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4526" w14:textId="049BC616" w:rsidR="00CD2997" w:rsidRPr="0031189A" w:rsidRDefault="00CD2997" w:rsidP="00CD2997">
      <w:pPr>
        <w:rPr>
          <w:rFonts w:eastAsia="Times New Roman" w:cs="Calibri"/>
          <w:color w:val="FF0000"/>
        </w:rPr>
      </w:pPr>
      <w:bookmarkStart w:id="0" w:name="_Toc103776171"/>
      <w:r w:rsidRPr="0031189A">
        <w:rPr>
          <w:rFonts w:eastAsia="Times New Roman"/>
          <w:color w:val="FF0000"/>
        </w:rPr>
        <w:t xml:space="preserve">An addendum to </w:t>
      </w:r>
      <w:r w:rsidR="0075741E">
        <w:rPr>
          <w:rFonts w:eastAsia="Times New Roman"/>
          <w:color w:val="FF0000"/>
        </w:rPr>
        <w:t>this Public Summary Document</w:t>
      </w:r>
      <w:r w:rsidRPr="0031189A">
        <w:rPr>
          <w:rFonts w:eastAsia="Times New Roman"/>
          <w:color w:val="FF0000"/>
        </w:rPr>
        <w:t xml:space="preserve"> has been included at the end of the document.</w:t>
      </w:r>
    </w:p>
    <w:p w14:paraId="6019E385" w14:textId="77777777" w:rsidR="00CD2997" w:rsidRDefault="00CD2997" w:rsidP="00CD2997"/>
    <w:p w14:paraId="51C6701A" w14:textId="38BA59F5" w:rsidR="00B60939" w:rsidRPr="00DD72AC" w:rsidRDefault="00617C75" w:rsidP="00874DB2">
      <w:pPr>
        <w:pStyle w:val="1-MainHeading"/>
      </w:pPr>
      <w:r w:rsidRPr="00DD72AC">
        <w:t>5.16</w:t>
      </w:r>
      <w:r w:rsidR="00163F66" w:rsidRPr="00DD72AC">
        <w:tab/>
      </w:r>
      <w:r w:rsidR="00AC52D1" w:rsidRPr="00DD72AC">
        <w:t>VOSORITIDE</w:t>
      </w:r>
      <w:r w:rsidR="00163F66" w:rsidRPr="00DD72AC">
        <w:t>,</w:t>
      </w:r>
      <w:r w:rsidR="00163F66" w:rsidRPr="00DD72AC">
        <w:br/>
      </w:r>
      <w:r w:rsidR="00B46520" w:rsidRPr="00DD72AC">
        <w:t>Powder for injection</w:t>
      </w:r>
      <w:r w:rsidR="004A3392" w:rsidRPr="00DD72AC">
        <w:t xml:space="preserve"> 0.4 mg</w:t>
      </w:r>
      <w:r w:rsidR="005B3FEC" w:rsidRPr="00DD72AC">
        <w:t xml:space="preserve"> with </w:t>
      </w:r>
      <w:r w:rsidR="004A3392" w:rsidRPr="00DD72AC">
        <w:t>diluent</w:t>
      </w:r>
      <w:r w:rsidR="00747E89" w:rsidRPr="00DD72AC">
        <w:t>,</w:t>
      </w:r>
      <w:r w:rsidR="004A3392" w:rsidRPr="00DD72AC">
        <w:t xml:space="preserve"> </w:t>
      </w:r>
      <w:r w:rsidR="00874DB2" w:rsidRPr="00DD72AC">
        <w:br/>
      </w:r>
      <w:r w:rsidR="004A3392" w:rsidRPr="00DD72AC">
        <w:t>Powder for injection 0.56 mg with diluent</w:t>
      </w:r>
      <w:r w:rsidR="00747E89" w:rsidRPr="00DD72AC">
        <w:t>,</w:t>
      </w:r>
      <w:r w:rsidR="004A3392" w:rsidRPr="00DD72AC">
        <w:t xml:space="preserve"> </w:t>
      </w:r>
      <w:r w:rsidR="00874DB2" w:rsidRPr="00DD72AC">
        <w:br/>
      </w:r>
      <w:r w:rsidR="004A3392" w:rsidRPr="00DD72AC">
        <w:t>Powder for injection 1.2 mg with diluent</w:t>
      </w:r>
      <w:r w:rsidR="00747E89" w:rsidRPr="00DD72AC">
        <w:t>,</w:t>
      </w:r>
      <w:r w:rsidR="004A3392" w:rsidRPr="00DD72AC">
        <w:t xml:space="preserve"> </w:t>
      </w:r>
      <w:r w:rsidR="00874DB2" w:rsidRPr="00DD72AC">
        <w:br/>
      </w:r>
      <w:proofErr w:type="spellStart"/>
      <w:r w:rsidR="004A3392" w:rsidRPr="00DD72AC">
        <w:t>Voxzogo</w:t>
      </w:r>
      <w:proofErr w:type="spellEnd"/>
      <w:r w:rsidR="004A3392" w:rsidRPr="00DD72AC">
        <w:t>®</w:t>
      </w:r>
      <w:r w:rsidR="00874DB2" w:rsidRPr="00DD72AC">
        <w:t>,</w:t>
      </w:r>
      <w:r w:rsidR="00874DB2" w:rsidRPr="00DD72AC">
        <w:br/>
      </w:r>
      <w:r w:rsidR="00C37878" w:rsidRPr="00DD72AC">
        <w:t xml:space="preserve">BioMarin Pharmaceutical </w:t>
      </w:r>
      <w:r w:rsidR="004A3392" w:rsidRPr="00DD72AC">
        <w:t>Australia Pty Ltd</w:t>
      </w:r>
      <w:bookmarkEnd w:id="0"/>
    </w:p>
    <w:p w14:paraId="11C00795" w14:textId="3DFB6D23" w:rsidR="00B50DB8" w:rsidRPr="007A3EF7" w:rsidRDefault="00B50DB8" w:rsidP="007A3EF7">
      <w:pPr>
        <w:pStyle w:val="2-SectionHeading"/>
      </w:pPr>
      <w:bookmarkStart w:id="1" w:name="_Toc103776173"/>
      <w:r w:rsidRPr="007A3EF7">
        <w:t xml:space="preserve">Purpose of </w:t>
      </w:r>
      <w:r w:rsidR="00CD7193" w:rsidRPr="007A3EF7">
        <w:t>s</w:t>
      </w:r>
      <w:r w:rsidR="00BB3A45" w:rsidRPr="007A3EF7">
        <w:t>ubmission</w:t>
      </w:r>
      <w:bookmarkEnd w:id="1"/>
    </w:p>
    <w:p w14:paraId="19414AA1" w14:textId="07DF3AAC" w:rsidR="002C2775" w:rsidRPr="00DD72AC" w:rsidRDefault="00F564E3" w:rsidP="004E18E9">
      <w:pPr>
        <w:pStyle w:val="3-BodyText"/>
      </w:pPr>
      <w:r w:rsidRPr="00DD72AC">
        <w:t xml:space="preserve">The submission requested the </w:t>
      </w:r>
      <w:r w:rsidR="00747E89" w:rsidRPr="00DD72AC">
        <w:t xml:space="preserve">Authority Required (Telephone) </w:t>
      </w:r>
      <w:r w:rsidRPr="00DD72AC">
        <w:t>listing of vosoritide for the treatment of patients with achondroplasia whose epiphyses are not closed.</w:t>
      </w:r>
    </w:p>
    <w:p w14:paraId="4E9FBCB5" w14:textId="4AFE9770" w:rsidR="00C2778B" w:rsidRPr="00DD72AC" w:rsidRDefault="005750C5" w:rsidP="004E18E9">
      <w:pPr>
        <w:pStyle w:val="3-BodyText"/>
      </w:pPr>
      <w:r w:rsidRPr="00DD72AC">
        <w:t xml:space="preserve">Listing was requested on the basis of a cost-effectiveness analysis versus </w:t>
      </w:r>
      <w:r w:rsidR="009A681E" w:rsidRPr="00DD72AC">
        <w:t>placebo (best supportive care</w:t>
      </w:r>
      <w:r w:rsidR="00747E89" w:rsidRPr="00DD72AC">
        <w:t xml:space="preserve"> (BSC</w:t>
      </w:r>
      <w:r w:rsidR="009A681E" w:rsidRPr="00DD72AC">
        <w:t>)</w:t>
      </w:r>
      <w:r w:rsidR="00747E89" w:rsidRPr="00DD72AC">
        <w:t>)</w:t>
      </w:r>
      <w:r w:rsidRPr="00DD72AC">
        <w:t xml:space="preserve">. </w:t>
      </w:r>
    </w:p>
    <w:p w14:paraId="69997A36" w14:textId="649097CC" w:rsidR="00C20800" w:rsidRPr="00DD72AC" w:rsidRDefault="00C20800" w:rsidP="00C20800">
      <w:pPr>
        <w:pStyle w:val="TableFigureHeading"/>
      </w:pPr>
      <w:r w:rsidRPr="00DD72AC">
        <w:t xml:space="preserve">Table </w:t>
      </w:r>
      <w:r w:rsidRPr="00DD72AC">
        <w:fldChar w:fldCharType="begin" w:fldLock="1"/>
      </w:r>
      <w:r w:rsidRPr="00DD72AC">
        <w:instrText>SEQ Table \* ARABIC</w:instrText>
      </w:r>
      <w:r w:rsidRPr="00DD72AC">
        <w:fldChar w:fldCharType="separate"/>
      </w:r>
      <w:r w:rsidR="003136E6" w:rsidRPr="00DD72AC">
        <w:t>1</w:t>
      </w:r>
      <w:r w:rsidRPr="00DD72AC">
        <w:fldChar w:fldCharType="end"/>
      </w:r>
      <w:r w:rsidRPr="00DD72AC">
        <w:rPr>
          <w:rStyle w:val="CommentReference"/>
          <w:b/>
          <w:szCs w:val="24"/>
        </w:rPr>
        <w:t>: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56"/>
        <w:gridCol w:w="7360"/>
      </w:tblGrid>
      <w:tr w:rsidR="00C20800" w:rsidRPr="00DD72AC" w14:paraId="722C1469" w14:textId="77777777" w:rsidTr="009F39C7">
        <w:tc>
          <w:tcPr>
            <w:tcW w:w="1668" w:type="dxa"/>
            <w:vAlign w:val="center"/>
          </w:tcPr>
          <w:p w14:paraId="3FF24D46" w14:textId="77777777" w:rsidR="00C20800" w:rsidRPr="00DD72AC" w:rsidRDefault="00C20800" w:rsidP="00CE4505">
            <w:pPr>
              <w:pStyle w:val="In-tableHeading"/>
              <w:rPr>
                <w:lang w:val="en-AU"/>
              </w:rPr>
            </w:pPr>
            <w:r w:rsidRPr="00DD72AC">
              <w:rPr>
                <w:lang w:val="en-AU"/>
              </w:rPr>
              <w:t>Component</w:t>
            </w:r>
          </w:p>
        </w:tc>
        <w:tc>
          <w:tcPr>
            <w:tcW w:w="7488" w:type="dxa"/>
            <w:vAlign w:val="center"/>
          </w:tcPr>
          <w:p w14:paraId="4D8B403C" w14:textId="77777777" w:rsidR="00C20800" w:rsidRPr="00DD72AC" w:rsidRDefault="00C20800" w:rsidP="00CE4505">
            <w:pPr>
              <w:pStyle w:val="In-tableHeading"/>
              <w:rPr>
                <w:lang w:val="en-AU"/>
              </w:rPr>
            </w:pPr>
            <w:r w:rsidRPr="00DD72AC">
              <w:rPr>
                <w:lang w:val="en-AU"/>
              </w:rPr>
              <w:t>Description</w:t>
            </w:r>
          </w:p>
        </w:tc>
      </w:tr>
      <w:tr w:rsidR="00C20800" w:rsidRPr="00DD72AC" w14:paraId="150B70F0" w14:textId="77777777" w:rsidTr="009F39C7">
        <w:tc>
          <w:tcPr>
            <w:tcW w:w="1668" w:type="dxa"/>
            <w:vAlign w:val="center"/>
          </w:tcPr>
          <w:p w14:paraId="2017FF73" w14:textId="77777777" w:rsidR="00C20800" w:rsidRPr="00DD72AC" w:rsidRDefault="00C20800" w:rsidP="00CE4505">
            <w:pPr>
              <w:pStyle w:val="TableText0"/>
            </w:pPr>
            <w:r w:rsidRPr="00DD72AC">
              <w:t>Population</w:t>
            </w:r>
          </w:p>
        </w:tc>
        <w:tc>
          <w:tcPr>
            <w:tcW w:w="7488" w:type="dxa"/>
          </w:tcPr>
          <w:p w14:paraId="53AFA9A1" w14:textId="77777777" w:rsidR="00C20800" w:rsidRPr="00DD72AC" w:rsidRDefault="00C20800" w:rsidP="00CE4505">
            <w:pPr>
              <w:pStyle w:val="TableText0"/>
            </w:pPr>
            <w:r w:rsidRPr="00DD72AC">
              <w:t>Patients with achondroplasia whose epiphyses are not closed</w:t>
            </w:r>
          </w:p>
        </w:tc>
      </w:tr>
      <w:tr w:rsidR="00C20800" w:rsidRPr="00DD72AC" w14:paraId="2B2957E4" w14:textId="77777777" w:rsidTr="009F39C7">
        <w:tc>
          <w:tcPr>
            <w:tcW w:w="1668" w:type="dxa"/>
            <w:vAlign w:val="center"/>
          </w:tcPr>
          <w:p w14:paraId="72F86CCB" w14:textId="77777777" w:rsidR="00C20800" w:rsidRPr="00DD72AC" w:rsidRDefault="00C20800" w:rsidP="00CE4505">
            <w:pPr>
              <w:pStyle w:val="TableText0"/>
            </w:pPr>
            <w:r w:rsidRPr="00DD72AC">
              <w:t>Intervention</w:t>
            </w:r>
          </w:p>
        </w:tc>
        <w:tc>
          <w:tcPr>
            <w:tcW w:w="7488" w:type="dxa"/>
          </w:tcPr>
          <w:p w14:paraId="3F729E22" w14:textId="3382DCB6" w:rsidR="00C20800" w:rsidRPr="00DD72AC" w:rsidRDefault="00C20800" w:rsidP="00CE4505">
            <w:pPr>
              <w:pStyle w:val="TableText0"/>
            </w:pPr>
            <w:r w:rsidRPr="00DD72AC">
              <w:t xml:space="preserve">Vosoritide: </w:t>
            </w:r>
            <w:r w:rsidR="003E10FC" w:rsidRPr="00DD72AC">
              <w:t>daily subcutaneous (SC) administration with the recommended dose based on the patient's weight and the vosoritide concentration</w:t>
            </w:r>
            <w:r w:rsidRPr="00DD72AC">
              <w:t xml:space="preserve">. The usual dose is 15 µg/kg body weight or </w:t>
            </w:r>
            <w:r w:rsidR="00882452" w:rsidRPr="00DD72AC">
              <w:t>30</w:t>
            </w:r>
            <w:r w:rsidR="00882452">
              <w:t> </w:t>
            </w:r>
            <w:r w:rsidRPr="00DD72AC">
              <w:t xml:space="preserve">µg/kg in children less than 2 years of age </w:t>
            </w:r>
            <w:r w:rsidR="003E10FC" w:rsidRPr="00DD72AC">
              <w:t xml:space="preserve"> </w:t>
            </w:r>
          </w:p>
        </w:tc>
      </w:tr>
      <w:tr w:rsidR="00C20800" w:rsidRPr="00DD72AC" w14:paraId="6A13FBD2" w14:textId="77777777" w:rsidTr="009F39C7">
        <w:tc>
          <w:tcPr>
            <w:tcW w:w="1668" w:type="dxa"/>
            <w:vAlign w:val="center"/>
          </w:tcPr>
          <w:p w14:paraId="6C1DA1FD" w14:textId="77777777" w:rsidR="00C20800" w:rsidRPr="00DD72AC" w:rsidRDefault="00C20800" w:rsidP="00CE4505">
            <w:pPr>
              <w:pStyle w:val="TableText0"/>
            </w:pPr>
            <w:r w:rsidRPr="00DD72AC">
              <w:t>Comparator</w:t>
            </w:r>
          </w:p>
        </w:tc>
        <w:tc>
          <w:tcPr>
            <w:tcW w:w="7488" w:type="dxa"/>
            <w:vAlign w:val="center"/>
          </w:tcPr>
          <w:p w14:paraId="47DC50C9" w14:textId="77777777" w:rsidR="00C20800" w:rsidRPr="00DD72AC" w:rsidRDefault="00C20800" w:rsidP="00CE4505">
            <w:pPr>
              <w:pStyle w:val="TableText0"/>
            </w:pPr>
            <w:r w:rsidRPr="00DD72AC">
              <w:t>Best supportive care (BSC)</w:t>
            </w:r>
          </w:p>
        </w:tc>
      </w:tr>
      <w:tr w:rsidR="00C20800" w:rsidRPr="00DD72AC" w14:paraId="270B5FED" w14:textId="77777777" w:rsidTr="009F39C7">
        <w:tc>
          <w:tcPr>
            <w:tcW w:w="1668" w:type="dxa"/>
            <w:vAlign w:val="center"/>
          </w:tcPr>
          <w:p w14:paraId="1BB08819" w14:textId="77777777" w:rsidR="00C20800" w:rsidRPr="00DD72AC" w:rsidRDefault="00C20800" w:rsidP="00CE4505">
            <w:pPr>
              <w:pStyle w:val="TableText0"/>
            </w:pPr>
            <w:r w:rsidRPr="00DD72AC">
              <w:t>Outcomes</w:t>
            </w:r>
          </w:p>
        </w:tc>
        <w:tc>
          <w:tcPr>
            <w:tcW w:w="7488" w:type="dxa"/>
            <w:vAlign w:val="center"/>
          </w:tcPr>
          <w:p w14:paraId="5E61F4A2" w14:textId="77777777" w:rsidR="00C20800" w:rsidRPr="00DD72AC" w:rsidRDefault="00C20800" w:rsidP="00CE4505">
            <w:pPr>
              <w:pStyle w:val="TableText0"/>
            </w:pPr>
            <w:r w:rsidRPr="00DD72AC">
              <w:t>Efficacy:</w:t>
            </w:r>
          </w:p>
          <w:p w14:paraId="6EF2C49D" w14:textId="77777777" w:rsidR="00C20800" w:rsidRPr="00DD72AC" w:rsidRDefault="00C20800" w:rsidP="00214558">
            <w:pPr>
              <w:pStyle w:val="TableText0"/>
              <w:numPr>
                <w:ilvl w:val="0"/>
                <w:numId w:val="5"/>
              </w:numPr>
            </w:pPr>
            <w:r w:rsidRPr="00DD72AC">
              <w:t xml:space="preserve">Annual growth velocity </w:t>
            </w:r>
          </w:p>
          <w:p w14:paraId="726DAC19" w14:textId="77777777" w:rsidR="00C20800" w:rsidRPr="00DD72AC" w:rsidRDefault="00C20800" w:rsidP="00214558">
            <w:pPr>
              <w:pStyle w:val="TableText0"/>
              <w:numPr>
                <w:ilvl w:val="0"/>
                <w:numId w:val="5"/>
              </w:numPr>
            </w:pPr>
            <w:r w:rsidRPr="00DD72AC">
              <w:t>Z-score</w:t>
            </w:r>
          </w:p>
          <w:p w14:paraId="74703F07" w14:textId="77777777" w:rsidR="00C20800" w:rsidRPr="00DD72AC" w:rsidRDefault="00C20800" w:rsidP="00214558">
            <w:pPr>
              <w:pStyle w:val="TableText0"/>
              <w:numPr>
                <w:ilvl w:val="0"/>
                <w:numId w:val="5"/>
              </w:numPr>
            </w:pPr>
            <w:r w:rsidRPr="00DD72AC">
              <w:t xml:space="preserve">Upper to lower segment body ratio </w:t>
            </w:r>
          </w:p>
          <w:p w14:paraId="112EEACE" w14:textId="77777777" w:rsidR="00C20800" w:rsidRPr="00DD72AC" w:rsidRDefault="00C20800" w:rsidP="00CE4505">
            <w:pPr>
              <w:pStyle w:val="TableText0"/>
            </w:pPr>
            <w:r w:rsidRPr="00DD72AC">
              <w:t>Safety:</w:t>
            </w:r>
          </w:p>
          <w:p w14:paraId="4FF28CAB" w14:textId="77777777" w:rsidR="00C20800" w:rsidRPr="00DD72AC" w:rsidRDefault="00C20800" w:rsidP="00214558">
            <w:pPr>
              <w:pStyle w:val="TableText0"/>
              <w:numPr>
                <w:ilvl w:val="0"/>
                <w:numId w:val="6"/>
              </w:numPr>
            </w:pPr>
            <w:r w:rsidRPr="00DD72AC">
              <w:t>Adverse events</w:t>
            </w:r>
          </w:p>
        </w:tc>
      </w:tr>
      <w:tr w:rsidR="00C20800" w:rsidRPr="00DD72AC" w14:paraId="0CF5C487" w14:textId="77777777" w:rsidTr="009F39C7">
        <w:tc>
          <w:tcPr>
            <w:tcW w:w="1668" w:type="dxa"/>
            <w:vAlign w:val="center"/>
          </w:tcPr>
          <w:p w14:paraId="7A6BDED6" w14:textId="77777777" w:rsidR="00C20800" w:rsidRPr="00DD72AC" w:rsidRDefault="00C20800" w:rsidP="00CE4505">
            <w:pPr>
              <w:pStyle w:val="TableText0"/>
            </w:pPr>
            <w:r w:rsidRPr="00DD72AC">
              <w:t>Clinical claim</w:t>
            </w:r>
          </w:p>
        </w:tc>
        <w:tc>
          <w:tcPr>
            <w:tcW w:w="7488" w:type="dxa"/>
            <w:vAlign w:val="center"/>
          </w:tcPr>
          <w:p w14:paraId="1750AC7C" w14:textId="77777777" w:rsidR="00C20800" w:rsidRPr="00DD72AC" w:rsidRDefault="00C20800" w:rsidP="00CE4505">
            <w:pPr>
              <w:pStyle w:val="TableText0"/>
            </w:pPr>
            <w:r w:rsidRPr="00DD72AC">
              <w:t xml:space="preserve">Vosoritide is superior with respect to efficacy. Vosoritide is well tolerated relative to best supportive care, indicating non-inferior safety. Whilst a claim of non-inferior safety may not be appropriate in the context of a comparison versus placebo, the differences observed were related to the mode of administration (injection site reactions, injection site swelling), with events generally mild in severity, transient in nature and manageable. </w:t>
            </w:r>
          </w:p>
        </w:tc>
      </w:tr>
    </w:tbl>
    <w:p w14:paraId="4B811A5A" w14:textId="3A468860" w:rsidR="00C20800" w:rsidRPr="00DD72AC" w:rsidRDefault="00C20800" w:rsidP="00C20800">
      <w:pPr>
        <w:pStyle w:val="TableFigureFooter"/>
        <w:rPr>
          <w:i/>
          <w:iCs/>
        </w:rPr>
      </w:pPr>
      <w:r w:rsidRPr="00DD72AC">
        <w:t xml:space="preserve">Source: Table 13, p17 of the submission. </w:t>
      </w:r>
    </w:p>
    <w:p w14:paraId="367D4F80" w14:textId="500FF72C" w:rsidR="009A681E" w:rsidRPr="00DD72AC" w:rsidRDefault="00C20800" w:rsidP="00E3586C">
      <w:pPr>
        <w:pStyle w:val="TableFigureFooter"/>
      </w:pPr>
      <w:r w:rsidRPr="00DD72AC">
        <w:t xml:space="preserve">Abbreviations: µg/kg = microgram per kilogram. </w:t>
      </w:r>
    </w:p>
    <w:p w14:paraId="6B4AB6C2" w14:textId="7F01D731" w:rsidR="005C25FF" w:rsidRPr="00DD72AC" w:rsidRDefault="005C25FF" w:rsidP="004A6040">
      <w:pPr>
        <w:pStyle w:val="2-SectionHeading"/>
      </w:pPr>
      <w:bookmarkStart w:id="2" w:name="_Toc103776174"/>
      <w:r w:rsidRPr="00DD72AC">
        <w:t>Background</w:t>
      </w:r>
      <w:bookmarkEnd w:id="2"/>
    </w:p>
    <w:p w14:paraId="2C521D6D" w14:textId="0E0ADD65" w:rsidR="005C25FF" w:rsidRPr="00DD72AC" w:rsidRDefault="005C25FF" w:rsidP="004A6040">
      <w:pPr>
        <w:pStyle w:val="4-SubsectionHeading"/>
      </w:pPr>
      <w:bookmarkStart w:id="3" w:name="_Toc22897638"/>
      <w:bookmarkStart w:id="4" w:name="_Toc103776175"/>
      <w:r w:rsidRPr="00DD72AC">
        <w:t>Registration status</w:t>
      </w:r>
      <w:bookmarkEnd w:id="3"/>
      <w:bookmarkEnd w:id="4"/>
      <w:r w:rsidR="00227395" w:rsidRPr="00DD72AC">
        <w:t xml:space="preserve"> </w:t>
      </w:r>
    </w:p>
    <w:p w14:paraId="45D825DF" w14:textId="1031C211" w:rsidR="005340A5" w:rsidRPr="00DD72AC" w:rsidRDefault="005340A5" w:rsidP="00F9381E">
      <w:pPr>
        <w:pStyle w:val="3-BodyText"/>
      </w:pPr>
      <w:r w:rsidRPr="00DD72AC">
        <w:rPr>
          <w:rFonts w:ascii="Calibri" w:eastAsia="Calibri" w:hAnsi="Calibri"/>
          <w:b/>
          <w:szCs w:val="22"/>
        </w:rPr>
        <w:t>TGA status at time of PBAC consideration</w:t>
      </w:r>
      <w:r w:rsidRPr="00DD72AC">
        <w:rPr>
          <w:rFonts w:ascii="Calibri" w:eastAsia="Calibri" w:hAnsi="Calibri"/>
          <w:szCs w:val="22"/>
        </w:rPr>
        <w:t>: not registered.</w:t>
      </w:r>
      <w:r w:rsidRPr="00DD72AC">
        <w:t xml:space="preserve"> </w:t>
      </w:r>
    </w:p>
    <w:p w14:paraId="19C41C5D" w14:textId="0113CD7D" w:rsidR="00843618" w:rsidRPr="00DD72AC" w:rsidRDefault="005C25FF" w:rsidP="00F9381E">
      <w:pPr>
        <w:pStyle w:val="3-BodyText"/>
      </w:pPr>
      <w:r w:rsidRPr="00DD72AC">
        <w:lastRenderedPageBreak/>
        <w:t xml:space="preserve">The submission was made under </w:t>
      </w:r>
      <w:r w:rsidR="00E244F6" w:rsidRPr="00DD72AC">
        <w:t xml:space="preserve">the </w:t>
      </w:r>
      <w:r w:rsidRPr="00DD72AC">
        <w:t xml:space="preserve">TGA/PBAC Parallel Process. At the time of evaluation for PBAC consideration, </w:t>
      </w:r>
      <w:r w:rsidR="00273381" w:rsidRPr="00DD72AC">
        <w:t>no TGA documents</w:t>
      </w:r>
      <w:r w:rsidRPr="00DD72AC">
        <w:t xml:space="preserve"> were available. </w:t>
      </w:r>
    </w:p>
    <w:p w14:paraId="54728CAB" w14:textId="15C051D8" w:rsidR="00703E21" w:rsidRPr="00DD72AC" w:rsidRDefault="00935399" w:rsidP="003C6BE7">
      <w:pPr>
        <w:pStyle w:val="3-BodyText"/>
      </w:pPr>
      <w:r w:rsidRPr="00DD72AC">
        <w:t xml:space="preserve">The sponsor has obtained orphan drug designation for vosoritide and lodged an application to the TGA for registration of vosoritide in patients with achondroplasia in October 2021 via the comparable overseas regulators A (COR-A) pathway. </w:t>
      </w:r>
      <w:r w:rsidR="005340A5" w:rsidRPr="00DD72AC">
        <w:rPr>
          <w:iCs/>
        </w:rPr>
        <w:t>The TGA Delegate</w:t>
      </w:r>
      <w:r w:rsidR="00E54C18" w:rsidRPr="00DD72AC">
        <w:rPr>
          <w:iCs/>
        </w:rPr>
        <w:t>’</w:t>
      </w:r>
      <w:r w:rsidR="005340A5" w:rsidRPr="00DD72AC">
        <w:rPr>
          <w:iCs/>
        </w:rPr>
        <w:t xml:space="preserve">s Overview dated 29 June 2022 was provided by the sponsor. </w:t>
      </w:r>
      <w:r w:rsidR="003C6BE7" w:rsidRPr="00DD72AC">
        <w:t>T</w:t>
      </w:r>
      <w:r w:rsidR="00703E21" w:rsidRPr="00DD72AC">
        <w:t>he proposed</w:t>
      </w:r>
      <w:r w:rsidR="00D53E50" w:rsidRPr="00DD72AC">
        <w:t xml:space="preserve"> TGA</w:t>
      </w:r>
      <w:r w:rsidR="00703E21" w:rsidRPr="00DD72AC">
        <w:t xml:space="preserve"> indication for vosoritide is: “for the treatment of achondroplasia in patients 2 years of age and older whose epiphyses are not closed. The diagnosis of achondroplasia should be confirmed by appropriate genetic testing”. </w:t>
      </w:r>
    </w:p>
    <w:p w14:paraId="5374AD55" w14:textId="35FCBF50" w:rsidR="005C25FF" w:rsidRPr="00DD72AC" w:rsidRDefault="00A6514F" w:rsidP="004E18E9">
      <w:pPr>
        <w:pStyle w:val="3-BodyText"/>
      </w:pPr>
      <w:r w:rsidRPr="00DD72AC">
        <w:t>T</w:t>
      </w:r>
      <w:r w:rsidR="00630F9C" w:rsidRPr="00DD72AC">
        <w:t xml:space="preserve">reatment age differs across EMA and FDA approvals. </w:t>
      </w:r>
      <w:r w:rsidRPr="00DD72AC">
        <w:t xml:space="preserve">The EMA approved </w:t>
      </w:r>
      <w:r w:rsidR="00630F9C" w:rsidRPr="00DD72AC">
        <w:t xml:space="preserve">use </w:t>
      </w:r>
      <w:r w:rsidRPr="00DD72AC">
        <w:t xml:space="preserve">for </w:t>
      </w:r>
      <w:r w:rsidR="00630F9C" w:rsidRPr="00DD72AC">
        <w:t xml:space="preserve">patients </w:t>
      </w:r>
      <w:r w:rsidRPr="00DD72AC">
        <w:t xml:space="preserve">2 years of age and older while </w:t>
      </w:r>
      <w:r w:rsidR="00D938CD" w:rsidRPr="00DD72AC">
        <w:t xml:space="preserve">the </w:t>
      </w:r>
      <w:r w:rsidRPr="00DD72AC">
        <w:t xml:space="preserve">FDA approved use in </w:t>
      </w:r>
      <w:r w:rsidR="00630F9C" w:rsidRPr="00DD72AC">
        <w:t xml:space="preserve">those </w:t>
      </w:r>
      <w:r w:rsidRPr="00DD72AC">
        <w:t xml:space="preserve">5 years of age and older. The proposed TGA </w:t>
      </w:r>
      <w:r w:rsidR="00630F9C" w:rsidRPr="00DD72AC">
        <w:t xml:space="preserve">indication </w:t>
      </w:r>
      <w:r w:rsidRPr="00DD72AC">
        <w:t xml:space="preserve">is for </w:t>
      </w:r>
      <w:r w:rsidR="00630F9C" w:rsidRPr="00DD72AC">
        <w:t xml:space="preserve">use in patients </w:t>
      </w:r>
      <w:r w:rsidRPr="00DD72AC">
        <w:t>2 years and above</w:t>
      </w:r>
      <w:r w:rsidR="00630F9C" w:rsidRPr="00DD72AC">
        <w:t xml:space="preserve"> with the submission stating</w:t>
      </w:r>
      <w:r w:rsidRPr="00DD72AC">
        <w:t xml:space="preserve"> expert advice has been submitted to the TGA stating further benefits of vosoritide under age 2 years.</w:t>
      </w:r>
      <w:r w:rsidR="00D143F4" w:rsidRPr="00DD72AC">
        <w:t xml:space="preserve"> </w:t>
      </w:r>
      <w:r w:rsidR="00E54C18" w:rsidRPr="00DD72AC">
        <w:t>The TGA Delegate’s Overview stated that because early treatment is likely to maximize patient benefit, it appears reasonable to include patients from the age 2 years in the authorised indication.</w:t>
      </w:r>
    </w:p>
    <w:p w14:paraId="0B5C3582" w14:textId="63A380DC" w:rsidR="00212469" w:rsidRPr="00DD72AC" w:rsidRDefault="00212469" w:rsidP="00212469">
      <w:pPr>
        <w:pStyle w:val="3-BodyText"/>
        <w:numPr>
          <w:ilvl w:val="0"/>
          <w:numId w:val="0"/>
        </w:numPr>
        <w:ind w:left="720"/>
        <w:rPr>
          <w:i/>
          <w:iCs/>
        </w:rPr>
      </w:pPr>
      <w:bookmarkStart w:id="5" w:name="_Hlk76375324"/>
      <w:r w:rsidRPr="00DD72AC">
        <w:rPr>
          <w:i/>
          <w:iCs/>
        </w:rPr>
        <w:t>For more detail on PBAC’s view, see section 7 PBAC outcome.</w:t>
      </w:r>
      <w:bookmarkEnd w:id="5"/>
    </w:p>
    <w:p w14:paraId="56763224" w14:textId="64928E09" w:rsidR="00617E12" w:rsidRPr="00DD72AC" w:rsidRDefault="00B50DB8" w:rsidP="00617E12">
      <w:pPr>
        <w:pStyle w:val="2-SectionHeading"/>
      </w:pPr>
      <w:bookmarkStart w:id="6" w:name="_Toc103776176"/>
      <w:r w:rsidRPr="00DD72AC">
        <w:t>Requested listing</w:t>
      </w:r>
      <w:bookmarkEnd w:id="6"/>
    </w:p>
    <w:p w14:paraId="0D9C4EFC" w14:textId="19DB8C0D" w:rsidR="006E4585" w:rsidRDefault="00C51745" w:rsidP="006E4585">
      <w:pPr>
        <w:pStyle w:val="3-BodyText"/>
      </w:pPr>
      <w:r w:rsidRPr="00DD72AC">
        <w:t>Suggestions and additions proposed by the Secretariat are added in italics and suggested deletions are crossed out with strikethrough.</w:t>
      </w:r>
    </w:p>
    <w:p w14:paraId="16989B14" w14:textId="77777777" w:rsidR="006E4585" w:rsidRPr="00DD72AC" w:rsidRDefault="006E4585" w:rsidP="006E4585">
      <w:pPr>
        <w:pStyle w:val="3-BodyText"/>
        <w:numPr>
          <w:ilvl w:val="0"/>
          <w:numId w:val="0"/>
        </w:numPr>
        <w:ind w:left="72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992"/>
        <w:gridCol w:w="850"/>
        <w:gridCol w:w="851"/>
        <w:gridCol w:w="709"/>
        <w:gridCol w:w="1204"/>
        <w:gridCol w:w="1205"/>
      </w:tblGrid>
      <w:tr w:rsidR="00C51745" w:rsidRPr="00DD72AC" w14:paraId="40CD8BC8" w14:textId="77777777" w:rsidTr="00F7498C">
        <w:trPr>
          <w:cantSplit/>
          <w:trHeight w:val="471"/>
        </w:trPr>
        <w:tc>
          <w:tcPr>
            <w:tcW w:w="3256" w:type="dxa"/>
          </w:tcPr>
          <w:p w14:paraId="52F92E06" w14:textId="77777777" w:rsidR="00C51745" w:rsidRPr="00DD72AC" w:rsidRDefault="00C51745" w:rsidP="00C51745">
            <w:pPr>
              <w:keepNext/>
              <w:ind w:left="-108"/>
              <w:jc w:val="left"/>
              <w:rPr>
                <w:rFonts w:ascii="Arial Narrow" w:hAnsi="Arial Narrow"/>
                <w:b/>
                <w:sz w:val="20"/>
                <w:szCs w:val="20"/>
              </w:rPr>
            </w:pPr>
            <w:r w:rsidRPr="00DD72AC">
              <w:rPr>
                <w:rFonts w:ascii="Arial Narrow" w:hAnsi="Arial Narrow"/>
                <w:b/>
                <w:sz w:val="20"/>
                <w:szCs w:val="20"/>
              </w:rPr>
              <w:t>MEDICINAL PRODUCT</w:t>
            </w:r>
          </w:p>
          <w:p w14:paraId="3C676B3B" w14:textId="77777777" w:rsidR="00C51745" w:rsidRPr="00DD72AC" w:rsidRDefault="00C51745" w:rsidP="00C51745">
            <w:pPr>
              <w:keepNext/>
              <w:ind w:left="-108"/>
              <w:jc w:val="left"/>
              <w:rPr>
                <w:b/>
              </w:rPr>
            </w:pPr>
            <w:r w:rsidRPr="00DD72AC">
              <w:rPr>
                <w:rFonts w:ascii="Arial Narrow" w:hAnsi="Arial Narrow"/>
                <w:b/>
                <w:sz w:val="20"/>
                <w:szCs w:val="20"/>
              </w:rPr>
              <w:t>medicinal product pack</w:t>
            </w:r>
          </w:p>
        </w:tc>
        <w:tc>
          <w:tcPr>
            <w:tcW w:w="992" w:type="dxa"/>
          </w:tcPr>
          <w:p w14:paraId="6689821C" w14:textId="77777777" w:rsidR="00C51745" w:rsidRPr="00DD72AC" w:rsidRDefault="00C51745" w:rsidP="00F7498C">
            <w:pPr>
              <w:keepNext/>
              <w:ind w:left="-108"/>
              <w:jc w:val="center"/>
              <w:rPr>
                <w:rFonts w:ascii="Arial Narrow" w:hAnsi="Arial Narrow"/>
                <w:b/>
                <w:sz w:val="20"/>
                <w:szCs w:val="20"/>
              </w:rPr>
            </w:pPr>
            <w:r w:rsidRPr="00DD72AC">
              <w:rPr>
                <w:rFonts w:ascii="Arial Narrow" w:hAnsi="Arial Narrow"/>
                <w:b/>
                <w:sz w:val="20"/>
                <w:szCs w:val="20"/>
              </w:rPr>
              <w:t>PBS item code</w:t>
            </w:r>
          </w:p>
        </w:tc>
        <w:tc>
          <w:tcPr>
            <w:tcW w:w="850" w:type="dxa"/>
          </w:tcPr>
          <w:p w14:paraId="4451578B" w14:textId="77777777" w:rsidR="00C51745" w:rsidRPr="00DD72AC" w:rsidRDefault="00C51745" w:rsidP="00F7498C">
            <w:pPr>
              <w:keepNext/>
              <w:ind w:left="-108"/>
              <w:jc w:val="center"/>
              <w:rPr>
                <w:rFonts w:ascii="Arial Narrow" w:hAnsi="Arial Narrow"/>
                <w:b/>
                <w:sz w:val="20"/>
                <w:szCs w:val="20"/>
              </w:rPr>
            </w:pPr>
            <w:r w:rsidRPr="00DD72AC">
              <w:rPr>
                <w:rFonts w:ascii="Arial Narrow" w:hAnsi="Arial Narrow"/>
                <w:b/>
                <w:sz w:val="20"/>
                <w:szCs w:val="20"/>
              </w:rPr>
              <w:t>Max. qty packs</w:t>
            </w:r>
          </w:p>
        </w:tc>
        <w:tc>
          <w:tcPr>
            <w:tcW w:w="851" w:type="dxa"/>
          </w:tcPr>
          <w:p w14:paraId="7F98547F" w14:textId="77777777" w:rsidR="00C51745" w:rsidRPr="00DD72AC" w:rsidRDefault="00C51745" w:rsidP="00F7498C">
            <w:pPr>
              <w:keepNext/>
              <w:ind w:left="-108"/>
              <w:jc w:val="center"/>
              <w:rPr>
                <w:rFonts w:ascii="Arial Narrow" w:hAnsi="Arial Narrow"/>
                <w:b/>
                <w:sz w:val="20"/>
                <w:szCs w:val="20"/>
              </w:rPr>
            </w:pPr>
            <w:r w:rsidRPr="00DD72AC">
              <w:rPr>
                <w:rFonts w:ascii="Arial Narrow" w:hAnsi="Arial Narrow"/>
                <w:b/>
                <w:sz w:val="20"/>
                <w:szCs w:val="20"/>
              </w:rPr>
              <w:t>Max. qty units</w:t>
            </w:r>
          </w:p>
        </w:tc>
        <w:tc>
          <w:tcPr>
            <w:tcW w:w="709" w:type="dxa"/>
          </w:tcPr>
          <w:p w14:paraId="11EE86A6" w14:textId="77777777" w:rsidR="00C51745" w:rsidRPr="00DD72AC" w:rsidRDefault="00C51745" w:rsidP="00F7498C">
            <w:pPr>
              <w:keepNext/>
              <w:ind w:left="-108"/>
              <w:jc w:val="center"/>
              <w:rPr>
                <w:rFonts w:ascii="Arial Narrow" w:hAnsi="Arial Narrow"/>
                <w:b/>
                <w:sz w:val="20"/>
                <w:szCs w:val="20"/>
              </w:rPr>
            </w:pPr>
            <w:r w:rsidRPr="00DD72AC">
              <w:rPr>
                <w:rFonts w:ascii="Arial Narrow" w:hAnsi="Arial Narrow"/>
                <w:b/>
                <w:sz w:val="20"/>
                <w:szCs w:val="20"/>
              </w:rPr>
              <w:t>№.of</w:t>
            </w:r>
          </w:p>
          <w:p w14:paraId="06B0412F" w14:textId="77777777" w:rsidR="00C51745" w:rsidRPr="00DD72AC" w:rsidRDefault="00C51745" w:rsidP="00F7498C">
            <w:pPr>
              <w:keepNext/>
              <w:ind w:left="-108"/>
              <w:jc w:val="center"/>
              <w:rPr>
                <w:rFonts w:ascii="Arial Narrow" w:hAnsi="Arial Narrow"/>
                <w:b/>
                <w:sz w:val="20"/>
                <w:szCs w:val="20"/>
              </w:rPr>
            </w:pPr>
            <w:r w:rsidRPr="00DD72AC">
              <w:rPr>
                <w:rFonts w:ascii="Arial Narrow" w:hAnsi="Arial Narrow"/>
                <w:b/>
                <w:sz w:val="20"/>
                <w:szCs w:val="20"/>
              </w:rPr>
              <w:t>Rpts</w:t>
            </w:r>
          </w:p>
        </w:tc>
        <w:tc>
          <w:tcPr>
            <w:tcW w:w="1204" w:type="dxa"/>
          </w:tcPr>
          <w:p w14:paraId="7DF26838" w14:textId="6F445C5A" w:rsidR="00C51745" w:rsidRPr="00DD72AC" w:rsidRDefault="00C51745" w:rsidP="00F7498C">
            <w:pPr>
              <w:keepNext/>
              <w:rPr>
                <w:rFonts w:ascii="Arial Narrow" w:hAnsi="Arial Narrow"/>
                <w:b/>
                <w:sz w:val="20"/>
                <w:szCs w:val="20"/>
              </w:rPr>
            </w:pPr>
            <w:r w:rsidRPr="00DD72AC">
              <w:rPr>
                <w:rFonts w:ascii="Arial Narrow" w:hAnsi="Arial Narrow"/>
                <w:b/>
                <w:sz w:val="20"/>
              </w:rPr>
              <w:t>Dispensed Price for Max. Qty</w:t>
            </w:r>
          </w:p>
        </w:tc>
        <w:tc>
          <w:tcPr>
            <w:tcW w:w="1205" w:type="dxa"/>
          </w:tcPr>
          <w:p w14:paraId="32C1685D" w14:textId="563A667C" w:rsidR="00C51745" w:rsidRPr="00DD72AC" w:rsidRDefault="00C51745" w:rsidP="00F7498C">
            <w:pPr>
              <w:keepNext/>
              <w:rPr>
                <w:rFonts w:ascii="Arial Narrow" w:hAnsi="Arial Narrow"/>
                <w:b/>
                <w:sz w:val="20"/>
                <w:szCs w:val="20"/>
              </w:rPr>
            </w:pPr>
            <w:r w:rsidRPr="00DD72AC">
              <w:rPr>
                <w:rFonts w:ascii="Arial Narrow" w:hAnsi="Arial Narrow"/>
                <w:b/>
                <w:sz w:val="20"/>
                <w:szCs w:val="20"/>
              </w:rPr>
              <w:t>Available brands</w:t>
            </w:r>
          </w:p>
        </w:tc>
      </w:tr>
      <w:tr w:rsidR="00C51745" w:rsidRPr="00DD72AC" w14:paraId="28AAC007" w14:textId="77777777" w:rsidTr="00F7498C">
        <w:trPr>
          <w:cantSplit/>
          <w:trHeight w:val="224"/>
        </w:trPr>
        <w:tc>
          <w:tcPr>
            <w:tcW w:w="9067" w:type="dxa"/>
            <w:gridSpan w:val="7"/>
          </w:tcPr>
          <w:p w14:paraId="287842E3" w14:textId="77777777" w:rsidR="00C51745" w:rsidRPr="00DD72AC" w:rsidRDefault="00C51745" w:rsidP="00F7498C">
            <w:pPr>
              <w:keepNext/>
              <w:ind w:left="-57"/>
              <w:rPr>
                <w:rFonts w:ascii="Arial Narrow" w:hAnsi="Arial Narrow"/>
                <w:sz w:val="20"/>
                <w:szCs w:val="20"/>
              </w:rPr>
            </w:pPr>
            <w:r w:rsidRPr="00DD72AC">
              <w:rPr>
                <w:rFonts w:ascii="Arial Narrow" w:hAnsi="Arial Narrow"/>
                <w:sz w:val="20"/>
                <w:szCs w:val="20"/>
              </w:rPr>
              <w:t>VOSORITIDE</w:t>
            </w:r>
          </w:p>
        </w:tc>
      </w:tr>
      <w:tr w:rsidR="00C51745" w:rsidRPr="00DD72AC" w14:paraId="0DDD22B9" w14:textId="77777777" w:rsidTr="00F7498C">
        <w:trPr>
          <w:cantSplit/>
          <w:trHeight w:val="255"/>
        </w:trPr>
        <w:tc>
          <w:tcPr>
            <w:tcW w:w="3256" w:type="dxa"/>
          </w:tcPr>
          <w:p w14:paraId="3995A3E9" w14:textId="77777777" w:rsidR="00C51745" w:rsidRPr="00DD72AC" w:rsidRDefault="00C51745" w:rsidP="00F7498C">
            <w:pPr>
              <w:keepNext/>
              <w:ind w:left="-57"/>
              <w:rPr>
                <w:rFonts w:ascii="Arial Narrow" w:hAnsi="Arial Narrow"/>
                <w:sz w:val="20"/>
                <w:szCs w:val="20"/>
              </w:rPr>
            </w:pPr>
            <w:r w:rsidRPr="00DD72AC">
              <w:rPr>
                <w:rFonts w:ascii="Arial Narrow" w:hAnsi="Arial Narrow"/>
                <w:sz w:val="20"/>
                <w:szCs w:val="20"/>
              </w:rPr>
              <w:t>Vosoritide powder for injection 0.4 mg with diluent, 10 units</w:t>
            </w:r>
          </w:p>
        </w:tc>
        <w:tc>
          <w:tcPr>
            <w:tcW w:w="992" w:type="dxa"/>
          </w:tcPr>
          <w:p w14:paraId="3CBDF38B"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NEW</w:t>
            </w:r>
          </w:p>
        </w:tc>
        <w:tc>
          <w:tcPr>
            <w:tcW w:w="850" w:type="dxa"/>
          </w:tcPr>
          <w:p w14:paraId="5E34E36D"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3</w:t>
            </w:r>
          </w:p>
        </w:tc>
        <w:tc>
          <w:tcPr>
            <w:tcW w:w="851" w:type="dxa"/>
          </w:tcPr>
          <w:p w14:paraId="2E05B4D3"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30</w:t>
            </w:r>
          </w:p>
        </w:tc>
        <w:tc>
          <w:tcPr>
            <w:tcW w:w="709" w:type="dxa"/>
          </w:tcPr>
          <w:p w14:paraId="2BF6CF88"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5</w:t>
            </w:r>
          </w:p>
        </w:tc>
        <w:tc>
          <w:tcPr>
            <w:tcW w:w="1204" w:type="dxa"/>
            <w:vMerge w:val="restart"/>
          </w:tcPr>
          <w:p w14:paraId="240F3FD0" w14:textId="77777777" w:rsidR="00C51745" w:rsidRPr="00DD72AC" w:rsidRDefault="00C51745" w:rsidP="00C51745">
            <w:pPr>
              <w:keepNext/>
              <w:jc w:val="center"/>
              <w:rPr>
                <w:rFonts w:ascii="Arial Narrow" w:hAnsi="Arial Narrow"/>
                <w:sz w:val="20"/>
              </w:rPr>
            </w:pPr>
          </w:p>
          <w:p w14:paraId="09F77E77" w14:textId="5C437C95" w:rsidR="00C51745" w:rsidRPr="00DD72AC" w:rsidRDefault="00C51745" w:rsidP="00C51745">
            <w:pPr>
              <w:keepNext/>
              <w:jc w:val="center"/>
              <w:rPr>
                <w:rFonts w:ascii="Arial Narrow" w:hAnsi="Arial Narrow"/>
                <w:sz w:val="20"/>
              </w:rPr>
            </w:pPr>
            <w:r w:rsidRPr="00DD72AC">
              <w:rPr>
                <w:rFonts w:ascii="Arial Narrow" w:hAnsi="Arial Narrow"/>
                <w:sz w:val="20"/>
              </w:rPr>
              <w:t>Published:</w:t>
            </w:r>
          </w:p>
          <w:p w14:paraId="76BB603D" w14:textId="59E63E74" w:rsidR="00C51745" w:rsidRPr="00DD72AC" w:rsidRDefault="00C51745" w:rsidP="00C51745">
            <w:pPr>
              <w:keepNext/>
              <w:jc w:val="center"/>
              <w:rPr>
                <w:rFonts w:ascii="Arial Narrow" w:hAnsi="Arial Narrow"/>
                <w:sz w:val="20"/>
              </w:rPr>
            </w:pPr>
            <w:r w:rsidRPr="00DD72AC">
              <w:rPr>
                <w:rFonts w:ascii="Arial Narrow" w:hAnsi="Arial Narrow"/>
                <w:sz w:val="20"/>
              </w:rPr>
              <w:t>$</w:t>
            </w:r>
            <w:r w:rsidR="00C97261" w:rsidRPr="005A0147">
              <w:rPr>
                <w:rFonts w:ascii="Arial Narrow" w:hAnsi="Arial Narrow"/>
                <w:color w:val="000000"/>
                <w:spacing w:val="69"/>
                <w:sz w:val="20"/>
                <w:shd w:val="solid" w:color="000000" w:fill="000000"/>
                <w:fitText w:val="380" w:id="-1435792128"/>
                <w14:textFill>
                  <w14:solidFill>
                    <w14:srgbClr w14:val="000000">
                      <w14:alpha w14:val="100000"/>
                    </w14:srgbClr>
                  </w14:solidFill>
                </w14:textFill>
              </w:rPr>
              <w:t>|||</w:t>
            </w:r>
            <w:r w:rsidR="00C97261" w:rsidRPr="005A0147">
              <w:rPr>
                <w:rFonts w:ascii="Arial Narrow" w:hAnsi="Arial Narrow"/>
                <w:color w:val="000000"/>
                <w:spacing w:val="3"/>
                <w:sz w:val="20"/>
                <w:shd w:val="solid" w:color="000000" w:fill="000000"/>
                <w:fitText w:val="380" w:id="-1435792128"/>
                <w14:textFill>
                  <w14:solidFill>
                    <w14:srgbClr w14:val="000000">
                      <w14:alpha w14:val="100000"/>
                    </w14:srgbClr>
                  </w14:solidFill>
                </w14:textFill>
              </w:rPr>
              <w:t>|</w:t>
            </w:r>
          </w:p>
          <w:p w14:paraId="0D67E92B" w14:textId="77777777" w:rsidR="00C51745" w:rsidRPr="00DD72AC" w:rsidRDefault="00C51745" w:rsidP="00C51745">
            <w:pPr>
              <w:keepNext/>
              <w:jc w:val="center"/>
              <w:rPr>
                <w:rFonts w:ascii="Arial Narrow" w:hAnsi="Arial Narrow"/>
                <w:sz w:val="20"/>
              </w:rPr>
            </w:pPr>
            <w:r w:rsidRPr="00DD72AC">
              <w:rPr>
                <w:rFonts w:ascii="Arial Narrow" w:hAnsi="Arial Narrow"/>
                <w:sz w:val="20"/>
              </w:rPr>
              <w:t>Effective:</w:t>
            </w:r>
          </w:p>
          <w:p w14:paraId="759762D1" w14:textId="72916500" w:rsidR="00C51745" w:rsidRPr="00DD72AC" w:rsidRDefault="00C51745" w:rsidP="00C51745">
            <w:pPr>
              <w:keepNext/>
              <w:jc w:val="center"/>
              <w:rPr>
                <w:rFonts w:ascii="Arial Narrow" w:hAnsi="Arial Narrow"/>
                <w:sz w:val="20"/>
                <w:szCs w:val="20"/>
              </w:rPr>
            </w:pPr>
            <w:r w:rsidRPr="00DD72AC">
              <w:rPr>
                <w:rFonts w:ascii="Arial Narrow" w:hAnsi="Arial Narrow"/>
                <w:sz w:val="20"/>
              </w:rPr>
              <w:t>$</w:t>
            </w:r>
            <w:r w:rsidR="00C97261" w:rsidRPr="005A0147">
              <w:rPr>
                <w:rFonts w:ascii="Arial Narrow" w:hAnsi="Arial Narrow"/>
                <w:color w:val="000000"/>
                <w:spacing w:val="69"/>
                <w:sz w:val="20"/>
                <w:shd w:val="solid" w:color="000000" w:fill="000000"/>
                <w:fitText w:val="380" w:id="-1435792127"/>
                <w14:textFill>
                  <w14:solidFill>
                    <w14:srgbClr w14:val="000000">
                      <w14:alpha w14:val="100000"/>
                    </w14:srgbClr>
                  </w14:solidFill>
                </w14:textFill>
              </w:rPr>
              <w:t>|||</w:t>
            </w:r>
            <w:r w:rsidR="00C97261" w:rsidRPr="005A0147">
              <w:rPr>
                <w:rFonts w:ascii="Arial Narrow" w:hAnsi="Arial Narrow"/>
                <w:color w:val="000000"/>
                <w:spacing w:val="3"/>
                <w:sz w:val="20"/>
                <w:shd w:val="solid" w:color="000000" w:fill="000000"/>
                <w:fitText w:val="380" w:id="-1435792127"/>
                <w14:textFill>
                  <w14:solidFill>
                    <w14:srgbClr w14:val="000000">
                      <w14:alpha w14:val="100000"/>
                    </w14:srgbClr>
                  </w14:solidFill>
                </w14:textFill>
              </w:rPr>
              <w:t>|</w:t>
            </w:r>
          </w:p>
        </w:tc>
        <w:tc>
          <w:tcPr>
            <w:tcW w:w="1205" w:type="dxa"/>
          </w:tcPr>
          <w:p w14:paraId="368455D2" w14:textId="1605FF30" w:rsidR="00C51745" w:rsidRPr="00DD72AC" w:rsidRDefault="00C51745" w:rsidP="00F7498C">
            <w:pPr>
              <w:keepNext/>
              <w:rPr>
                <w:rFonts w:ascii="Arial Narrow" w:hAnsi="Arial Narrow"/>
                <w:sz w:val="20"/>
                <w:szCs w:val="20"/>
              </w:rPr>
            </w:pPr>
            <w:proofErr w:type="spellStart"/>
            <w:r w:rsidRPr="00DD72AC">
              <w:rPr>
                <w:rFonts w:ascii="Arial Narrow" w:hAnsi="Arial Narrow"/>
                <w:sz w:val="20"/>
                <w:szCs w:val="20"/>
              </w:rPr>
              <w:t>Voxzogo</w:t>
            </w:r>
            <w:proofErr w:type="spellEnd"/>
          </w:p>
        </w:tc>
      </w:tr>
      <w:tr w:rsidR="00C51745" w:rsidRPr="00DD72AC" w14:paraId="73819EE4" w14:textId="77777777" w:rsidTr="00F7498C">
        <w:trPr>
          <w:cantSplit/>
          <w:trHeight w:val="347"/>
        </w:trPr>
        <w:tc>
          <w:tcPr>
            <w:tcW w:w="3256" w:type="dxa"/>
          </w:tcPr>
          <w:p w14:paraId="7789C6FB" w14:textId="77777777" w:rsidR="00C51745" w:rsidRPr="00DD72AC" w:rsidRDefault="00C51745" w:rsidP="00F7498C">
            <w:pPr>
              <w:keepNext/>
              <w:ind w:left="-57"/>
              <w:rPr>
                <w:rFonts w:ascii="Arial Narrow" w:hAnsi="Arial Narrow"/>
                <w:sz w:val="20"/>
                <w:szCs w:val="20"/>
              </w:rPr>
            </w:pPr>
            <w:r w:rsidRPr="00DD72AC">
              <w:rPr>
                <w:rFonts w:ascii="Arial Narrow" w:hAnsi="Arial Narrow"/>
                <w:sz w:val="20"/>
                <w:szCs w:val="20"/>
              </w:rPr>
              <w:t>Vosoritide powder for injection 0.56 mg with diluent, 10 units</w:t>
            </w:r>
          </w:p>
        </w:tc>
        <w:tc>
          <w:tcPr>
            <w:tcW w:w="992" w:type="dxa"/>
          </w:tcPr>
          <w:p w14:paraId="7BA378BA"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NEW</w:t>
            </w:r>
          </w:p>
        </w:tc>
        <w:tc>
          <w:tcPr>
            <w:tcW w:w="850" w:type="dxa"/>
          </w:tcPr>
          <w:p w14:paraId="495B66FD"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3</w:t>
            </w:r>
          </w:p>
        </w:tc>
        <w:tc>
          <w:tcPr>
            <w:tcW w:w="851" w:type="dxa"/>
          </w:tcPr>
          <w:p w14:paraId="528AD5A5"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30</w:t>
            </w:r>
          </w:p>
        </w:tc>
        <w:tc>
          <w:tcPr>
            <w:tcW w:w="709" w:type="dxa"/>
          </w:tcPr>
          <w:p w14:paraId="3332FDB3"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5</w:t>
            </w:r>
          </w:p>
        </w:tc>
        <w:tc>
          <w:tcPr>
            <w:tcW w:w="1204" w:type="dxa"/>
            <w:vMerge/>
          </w:tcPr>
          <w:p w14:paraId="2080C089" w14:textId="26B1E648" w:rsidR="00C51745" w:rsidRPr="00DD72AC" w:rsidRDefault="00C51745" w:rsidP="00F7498C">
            <w:pPr>
              <w:keepNext/>
              <w:rPr>
                <w:rFonts w:ascii="Arial Narrow" w:hAnsi="Arial Narrow"/>
                <w:sz w:val="20"/>
                <w:szCs w:val="20"/>
              </w:rPr>
            </w:pPr>
          </w:p>
        </w:tc>
        <w:tc>
          <w:tcPr>
            <w:tcW w:w="1205" w:type="dxa"/>
          </w:tcPr>
          <w:p w14:paraId="463B7EF0" w14:textId="7F1B80A4" w:rsidR="00C51745" w:rsidRPr="00DD72AC" w:rsidRDefault="00C51745" w:rsidP="00F7498C">
            <w:pPr>
              <w:keepNext/>
              <w:rPr>
                <w:rFonts w:ascii="Arial Narrow" w:hAnsi="Arial Narrow"/>
                <w:sz w:val="20"/>
                <w:szCs w:val="20"/>
              </w:rPr>
            </w:pPr>
            <w:proofErr w:type="spellStart"/>
            <w:r w:rsidRPr="00DD72AC">
              <w:rPr>
                <w:rFonts w:ascii="Arial Narrow" w:hAnsi="Arial Narrow"/>
                <w:sz w:val="20"/>
                <w:szCs w:val="20"/>
              </w:rPr>
              <w:t>Voxzogo</w:t>
            </w:r>
            <w:proofErr w:type="spellEnd"/>
          </w:p>
        </w:tc>
      </w:tr>
      <w:tr w:rsidR="00C51745" w:rsidRPr="00DD72AC" w14:paraId="73C753B3" w14:textId="77777777" w:rsidTr="00F7498C">
        <w:trPr>
          <w:cantSplit/>
          <w:trHeight w:val="327"/>
        </w:trPr>
        <w:tc>
          <w:tcPr>
            <w:tcW w:w="3256" w:type="dxa"/>
          </w:tcPr>
          <w:p w14:paraId="4EB98BA3" w14:textId="77777777" w:rsidR="00C51745" w:rsidRPr="00DD72AC" w:rsidRDefault="00C51745" w:rsidP="00F7498C">
            <w:pPr>
              <w:keepNext/>
              <w:ind w:left="-57"/>
              <w:rPr>
                <w:rFonts w:ascii="Arial Narrow" w:hAnsi="Arial Narrow"/>
                <w:sz w:val="20"/>
                <w:szCs w:val="20"/>
              </w:rPr>
            </w:pPr>
            <w:r w:rsidRPr="00DD72AC">
              <w:rPr>
                <w:rFonts w:ascii="Arial Narrow" w:hAnsi="Arial Narrow"/>
                <w:sz w:val="20"/>
                <w:szCs w:val="20"/>
              </w:rPr>
              <w:t>Vosoritide powder for injection 1.2 mg with diluent, 10 units</w:t>
            </w:r>
          </w:p>
        </w:tc>
        <w:tc>
          <w:tcPr>
            <w:tcW w:w="992" w:type="dxa"/>
          </w:tcPr>
          <w:p w14:paraId="3F2EBAF7"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NEW</w:t>
            </w:r>
          </w:p>
        </w:tc>
        <w:tc>
          <w:tcPr>
            <w:tcW w:w="850" w:type="dxa"/>
          </w:tcPr>
          <w:p w14:paraId="7EC76BE5"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3</w:t>
            </w:r>
          </w:p>
        </w:tc>
        <w:tc>
          <w:tcPr>
            <w:tcW w:w="851" w:type="dxa"/>
          </w:tcPr>
          <w:p w14:paraId="43832C0C"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30</w:t>
            </w:r>
          </w:p>
        </w:tc>
        <w:tc>
          <w:tcPr>
            <w:tcW w:w="709" w:type="dxa"/>
          </w:tcPr>
          <w:p w14:paraId="1A3DABF1"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5</w:t>
            </w:r>
          </w:p>
        </w:tc>
        <w:tc>
          <w:tcPr>
            <w:tcW w:w="1204" w:type="dxa"/>
            <w:vMerge/>
          </w:tcPr>
          <w:p w14:paraId="57BFEF0B" w14:textId="11DC2F60" w:rsidR="00C51745" w:rsidRPr="00DD72AC" w:rsidRDefault="00C51745" w:rsidP="00F7498C">
            <w:pPr>
              <w:keepNext/>
              <w:rPr>
                <w:rFonts w:ascii="Arial Narrow" w:hAnsi="Arial Narrow"/>
                <w:sz w:val="20"/>
                <w:szCs w:val="20"/>
              </w:rPr>
            </w:pPr>
          </w:p>
        </w:tc>
        <w:tc>
          <w:tcPr>
            <w:tcW w:w="1205" w:type="dxa"/>
          </w:tcPr>
          <w:p w14:paraId="4AF9FF63" w14:textId="5D231A39" w:rsidR="00C51745" w:rsidRPr="00DD72AC" w:rsidRDefault="00C51745" w:rsidP="00F7498C">
            <w:pPr>
              <w:keepNext/>
              <w:rPr>
                <w:rFonts w:ascii="Arial Narrow" w:hAnsi="Arial Narrow"/>
                <w:sz w:val="20"/>
                <w:szCs w:val="20"/>
              </w:rPr>
            </w:pPr>
            <w:proofErr w:type="spellStart"/>
            <w:r w:rsidRPr="00DD72AC">
              <w:rPr>
                <w:rFonts w:ascii="Arial Narrow" w:hAnsi="Arial Narrow"/>
                <w:sz w:val="20"/>
                <w:szCs w:val="20"/>
              </w:rPr>
              <w:t>Voxzogo</w:t>
            </w:r>
            <w:proofErr w:type="spellEnd"/>
          </w:p>
        </w:tc>
      </w:tr>
      <w:tr w:rsidR="00C51745" w:rsidRPr="00DD72AC" w14:paraId="5E759D74" w14:textId="77777777" w:rsidTr="00F7498C">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40E2F8F5" w14:textId="77777777" w:rsidR="00C51745" w:rsidRPr="00DD72AC" w:rsidRDefault="00C51745" w:rsidP="00F7498C">
            <w:pPr>
              <w:rPr>
                <w:rFonts w:ascii="Arial Narrow" w:hAnsi="Arial Narrow"/>
                <w:sz w:val="20"/>
                <w:szCs w:val="20"/>
              </w:rPr>
            </w:pPr>
          </w:p>
        </w:tc>
      </w:tr>
      <w:tr w:rsidR="00F94BAA" w:rsidRPr="00DD72AC" w14:paraId="49AC4C93" w14:textId="77777777" w:rsidTr="0022467A">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4268CDCF" w14:textId="77777777" w:rsidR="00F94BAA" w:rsidRPr="00DD72AC" w:rsidRDefault="00F94BAA" w:rsidP="00F7498C">
            <w:pPr>
              <w:rPr>
                <w:rFonts w:ascii="Arial Narrow" w:hAnsi="Arial Narrow"/>
                <w:sz w:val="20"/>
                <w:szCs w:val="20"/>
              </w:rPr>
            </w:pPr>
            <w:r w:rsidRPr="00DD72AC">
              <w:rPr>
                <w:rFonts w:ascii="Arial Narrow" w:hAnsi="Arial Narrow"/>
                <w:b/>
                <w:sz w:val="20"/>
                <w:szCs w:val="20"/>
              </w:rPr>
              <w:t xml:space="preserve">Category / Program: </w:t>
            </w:r>
            <w:r w:rsidRPr="00DD72AC">
              <w:rPr>
                <w:rFonts w:ascii="Arial Narrow" w:hAnsi="Arial Narrow"/>
                <w:sz w:val="20"/>
                <w:szCs w:val="20"/>
              </w:rPr>
              <w:t xml:space="preserve">GENERAL – General Schedule (Code GE) </w:t>
            </w:r>
          </w:p>
        </w:tc>
      </w:tr>
      <w:tr w:rsidR="00F94BAA" w:rsidRPr="00DD72AC" w14:paraId="7AF4D4C5" w14:textId="77777777" w:rsidTr="007A1C11">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7"/>
            <w:tcBorders>
              <w:left w:val="single" w:sz="4" w:space="0" w:color="auto"/>
              <w:right w:val="single" w:sz="4" w:space="0" w:color="auto"/>
            </w:tcBorders>
          </w:tcPr>
          <w:p w14:paraId="6485C574" w14:textId="77777777" w:rsidR="00F94BAA" w:rsidRPr="00DD72AC" w:rsidRDefault="00F94BAA" w:rsidP="00F7498C">
            <w:pPr>
              <w:rPr>
                <w:rFonts w:ascii="Arial Narrow" w:hAnsi="Arial Narrow"/>
                <w:b/>
                <w:sz w:val="20"/>
                <w:szCs w:val="20"/>
              </w:rPr>
            </w:pPr>
            <w:r w:rsidRPr="00DD72AC">
              <w:rPr>
                <w:rFonts w:ascii="Arial Narrow" w:hAnsi="Arial Narrow"/>
                <w:b/>
                <w:sz w:val="20"/>
                <w:szCs w:val="20"/>
              </w:rPr>
              <w:t xml:space="preserve">Prescriber type: </w:t>
            </w:r>
            <w:r w:rsidRPr="00DD72AC">
              <w:rPr>
                <w:rFonts w:ascii="Arial Narrow" w:hAnsi="Arial Narrow"/>
                <w:sz w:val="20"/>
                <w:szCs w:val="20"/>
              </w:rPr>
              <w:fldChar w:fldCharType="begin" w:fldLock="1">
                <w:ffData>
                  <w:name w:val=""/>
                  <w:enabled/>
                  <w:calcOnExit w:val="0"/>
                  <w:checkBox>
                    <w:sizeAuto/>
                    <w:default w:val="1"/>
                  </w:checkBox>
                </w:ffData>
              </w:fldChar>
            </w:r>
            <w:r w:rsidRPr="00DD72AC">
              <w:rPr>
                <w:rFonts w:ascii="Arial Narrow" w:hAnsi="Arial Narrow"/>
                <w:sz w:val="20"/>
                <w:szCs w:val="20"/>
              </w:rPr>
              <w:instrText xml:space="preserve"> FORMCHECKBOX </w:instrText>
            </w:r>
            <w:r w:rsidR="00FA023D">
              <w:rPr>
                <w:rFonts w:ascii="Arial Narrow" w:hAnsi="Arial Narrow"/>
                <w:sz w:val="20"/>
                <w:szCs w:val="20"/>
              </w:rPr>
            </w:r>
            <w:r w:rsidR="00FA023D">
              <w:rPr>
                <w:rFonts w:ascii="Arial Narrow" w:hAnsi="Arial Narrow"/>
                <w:sz w:val="20"/>
                <w:szCs w:val="20"/>
              </w:rPr>
              <w:fldChar w:fldCharType="separate"/>
            </w:r>
            <w:r w:rsidRPr="00DD72AC">
              <w:rPr>
                <w:rFonts w:ascii="Arial Narrow" w:hAnsi="Arial Narrow"/>
                <w:sz w:val="20"/>
                <w:szCs w:val="20"/>
              </w:rPr>
              <w:fldChar w:fldCharType="end"/>
            </w:r>
            <w:r w:rsidRPr="00DD72AC">
              <w:rPr>
                <w:rFonts w:ascii="Arial Narrow" w:hAnsi="Arial Narrow"/>
                <w:sz w:val="20"/>
                <w:szCs w:val="20"/>
              </w:rPr>
              <w:t xml:space="preserve">Medical Practitioners </w:t>
            </w:r>
          </w:p>
        </w:tc>
      </w:tr>
      <w:tr w:rsidR="00F94BAA" w:rsidRPr="00DD72AC" w14:paraId="0B00A956" w14:textId="77777777" w:rsidTr="00A93A14">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bottom w:val="single" w:sz="4" w:space="0" w:color="auto"/>
              <w:right w:val="single" w:sz="4" w:space="0" w:color="auto"/>
            </w:tcBorders>
          </w:tcPr>
          <w:p w14:paraId="3E3ED1BA" w14:textId="77777777" w:rsidR="00F94BAA" w:rsidRPr="00DD72AC" w:rsidRDefault="00F94BAA" w:rsidP="00F7498C">
            <w:pPr>
              <w:rPr>
                <w:rFonts w:ascii="Arial Narrow" w:eastAsia="Calibri" w:hAnsi="Arial Narrow"/>
                <w:sz w:val="20"/>
                <w:szCs w:val="20"/>
              </w:rPr>
            </w:pPr>
            <w:r w:rsidRPr="00DD72AC">
              <w:rPr>
                <w:rFonts w:ascii="Arial Narrow" w:hAnsi="Arial Narrow"/>
                <w:b/>
                <w:sz w:val="20"/>
                <w:szCs w:val="20"/>
              </w:rPr>
              <w:t xml:space="preserve">Restriction type: </w:t>
            </w:r>
            <w:r w:rsidRPr="00DD72AC">
              <w:rPr>
                <w:rFonts w:ascii="Arial Narrow" w:eastAsia="Calibri" w:hAnsi="Arial Narrow"/>
                <w:sz w:val="20"/>
                <w:szCs w:val="20"/>
              </w:rPr>
              <w:fldChar w:fldCharType="begin" w:fldLock="1">
                <w:ffData>
                  <w:name w:val="Check3"/>
                  <w:enabled/>
                  <w:calcOnExit w:val="0"/>
                  <w:checkBox>
                    <w:sizeAuto/>
                    <w:default w:val="1"/>
                  </w:checkBox>
                </w:ffData>
              </w:fldChar>
            </w:r>
            <w:r w:rsidRPr="00DD72AC">
              <w:rPr>
                <w:rFonts w:ascii="Arial Narrow" w:eastAsia="Calibri" w:hAnsi="Arial Narrow"/>
                <w:sz w:val="20"/>
                <w:szCs w:val="20"/>
              </w:rPr>
              <w:instrText xml:space="preserve"> FORMCHECKBOX </w:instrText>
            </w:r>
            <w:r w:rsidR="00FA023D">
              <w:rPr>
                <w:rFonts w:ascii="Arial Narrow" w:eastAsia="Calibri" w:hAnsi="Arial Narrow"/>
                <w:sz w:val="20"/>
                <w:szCs w:val="20"/>
              </w:rPr>
            </w:r>
            <w:r w:rsidR="00FA023D">
              <w:rPr>
                <w:rFonts w:ascii="Arial Narrow" w:eastAsia="Calibri" w:hAnsi="Arial Narrow"/>
                <w:sz w:val="20"/>
                <w:szCs w:val="20"/>
              </w:rPr>
              <w:fldChar w:fldCharType="separate"/>
            </w:r>
            <w:r w:rsidRPr="00DD72AC">
              <w:rPr>
                <w:rFonts w:ascii="Arial Narrow" w:eastAsia="Calibri" w:hAnsi="Arial Narrow"/>
                <w:sz w:val="20"/>
                <w:szCs w:val="20"/>
              </w:rPr>
              <w:fldChar w:fldCharType="end"/>
            </w:r>
            <w:r w:rsidRPr="00DD72AC">
              <w:rPr>
                <w:rFonts w:ascii="Arial Narrow" w:eastAsia="Calibri" w:hAnsi="Arial Narrow"/>
                <w:sz w:val="20"/>
                <w:szCs w:val="20"/>
              </w:rPr>
              <w:t xml:space="preserve">Authority Required (telephone/online PBS Authorities system) </w:t>
            </w:r>
          </w:p>
        </w:tc>
      </w:tr>
      <w:tr w:rsidR="00F94BAA" w:rsidRPr="00DD72AC" w14:paraId="3AF138E3" w14:textId="77777777" w:rsidTr="00657694">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tcBorders>
          </w:tcPr>
          <w:p w14:paraId="245DBB90" w14:textId="77777777" w:rsidR="00F94BAA" w:rsidRPr="00DD72AC" w:rsidRDefault="00F94BAA" w:rsidP="00F7498C">
            <w:pPr>
              <w:rPr>
                <w:rFonts w:ascii="Arial Narrow" w:hAnsi="Arial Narrow"/>
                <w:i/>
                <w:iCs/>
                <w:sz w:val="20"/>
                <w:szCs w:val="20"/>
              </w:rPr>
            </w:pPr>
            <w:r w:rsidRPr="00DD72AC">
              <w:rPr>
                <w:rFonts w:ascii="Arial Narrow" w:hAnsi="Arial Narrow"/>
                <w:b/>
                <w:bCs/>
                <w:i/>
                <w:iCs/>
                <w:sz w:val="20"/>
                <w:szCs w:val="20"/>
              </w:rPr>
              <w:t>Administrative advice:</w:t>
            </w:r>
            <w:r w:rsidRPr="00DD72AC">
              <w:rPr>
                <w:rFonts w:ascii="Arial Narrow" w:hAnsi="Arial Narrow"/>
                <w:i/>
                <w:iCs/>
                <w:sz w:val="20"/>
                <w:szCs w:val="20"/>
              </w:rPr>
              <w:t xml:space="preserve"> Special Pricing Arrangements apply.</w:t>
            </w:r>
          </w:p>
        </w:tc>
      </w:tr>
      <w:tr w:rsidR="00F94BAA" w:rsidRPr="00DD72AC" w14:paraId="3424DDF2" w14:textId="77777777" w:rsidTr="009624D2">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tcBorders>
          </w:tcPr>
          <w:p w14:paraId="6C87E338" w14:textId="77777777" w:rsidR="00F94BAA" w:rsidRPr="00DD72AC" w:rsidRDefault="00F94BAA" w:rsidP="00F7498C">
            <w:pPr>
              <w:rPr>
                <w:rFonts w:ascii="Arial Narrow" w:eastAsia="Times New Roman" w:hAnsi="Arial Narrow"/>
                <w:b/>
                <w:bCs/>
                <w:sz w:val="20"/>
                <w:szCs w:val="20"/>
                <w:highlight w:val="yellow"/>
              </w:rPr>
            </w:pPr>
            <w:r w:rsidRPr="00DD72AC">
              <w:rPr>
                <w:rFonts w:ascii="Arial Narrow" w:hAnsi="Arial Narrow"/>
                <w:b/>
                <w:bCs/>
                <w:i/>
                <w:iCs/>
                <w:sz w:val="20"/>
                <w:szCs w:val="20"/>
              </w:rPr>
              <w:t xml:space="preserve">Administrative advice: </w:t>
            </w:r>
            <w:r w:rsidRPr="00DD72AC">
              <w:rPr>
                <w:rFonts w:ascii="Arial Narrow" w:hAnsi="Arial Narrow"/>
                <w:bCs/>
                <w:i/>
                <w:iCs/>
                <w:sz w:val="20"/>
                <w:szCs w:val="20"/>
              </w:rPr>
              <w:t>No increase in the maximum quantity or number of units may be authorised.</w:t>
            </w:r>
          </w:p>
        </w:tc>
      </w:tr>
      <w:tr w:rsidR="00F94BAA" w:rsidRPr="00DD72AC" w14:paraId="35A81C02" w14:textId="77777777" w:rsidTr="00F94BAA">
        <w:tblPrEx>
          <w:tblCellMar>
            <w:top w:w="15" w:type="dxa"/>
            <w:left w:w="15" w:type="dxa"/>
            <w:bottom w:w="15" w:type="dxa"/>
            <w:right w:w="15" w:type="dxa"/>
          </w:tblCellMar>
        </w:tblPrEx>
        <w:trPr>
          <w:trHeight w:val="246"/>
        </w:trPr>
        <w:tc>
          <w:tcPr>
            <w:tcW w:w="9067" w:type="dxa"/>
            <w:gridSpan w:val="7"/>
            <w:tcBorders>
              <w:left w:val="single" w:sz="4" w:space="0" w:color="auto"/>
              <w:bottom w:val="single" w:sz="4" w:space="0" w:color="auto"/>
            </w:tcBorders>
          </w:tcPr>
          <w:p w14:paraId="029F55B8" w14:textId="77777777" w:rsidR="00F94BAA" w:rsidRPr="00DD72AC" w:rsidRDefault="00F94BAA" w:rsidP="00F7498C">
            <w:pPr>
              <w:rPr>
                <w:rFonts w:ascii="Arial Narrow" w:eastAsia="Times New Roman" w:hAnsi="Arial Narrow"/>
                <w:b/>
                <w:bCs/>
                <w:sz w:val="20"/>
                <w:szCs w:val="20"/>
                <w:highlight w:val="yellow"/>
              </w:rPr>
            </w:pPr>
            <w:r w:rsidRPr="00DD72AC">
              <w:rPr>
                <w:rFonts w:ascii="Arial Narrow" w:hAnsi="Arial Narrow"/>
                <w:b/>
                <w:bCs/>
                <w:i/>
                <w:iCs/>
                <w:sz w:val="20"/>
                <w:szCs w:val="20"/>
              </w:rPr>
              <w:t>Administrative advice:</w:t>
            </w:r>
            <w:r w:rsidRPr="00DD72AC">
              <w:rPr>
                <w:rFonts w:ascii="Arial Narrow" w:hAnsi="Arial Narrow"/>
                <w:bCs/>
                <w:sz w:val="20"/>
                <w:szCs w:val="20"/>
              </w:rPr>
              <w:t xml:space="preserve"> </w:t>
            </w:r>
            <w:r w:rsidRPr="00DD72AC">
              <w:rPr>
                <w:rFonts w:ascii="Arial Narrow" w:hAnsi="Arial Narrow"/>
                <w:bCs/>
                <w:i/>
                <w:iCs/>
                <w:sz w:val="20"/>
                <w:szCs w:val="20"/>
              </w:rPr>
              <w:t>No increase in the maximum number of repeats may be authorised.</w:t>
            </w:r>
          </w:p>
        </w:tc>
      </w:tr>
      <w:tr w:rsidR="00F94BAA" w:rsidRPr="00DD72AC" w14:paraId="133339E2" w14:textId="77777777" w:rsidTr="00AE7176">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08897C6" w14:textId="77777777" w:rsidR="00F94BAA" w:rsidRPr="00DD72AC" w:rsidRDefault="00F94BAA" w:rsidP="00F7498C">
            <w:pPr>
              <w:rPr>
                <w:rFonts w:ascii="Arial Narrow" w:eastAsia="Times New Roman" w:hAnsi="Arial Narrow"/>
                <w:bCs/>
                <w:sz w:val="20"/>
                <w:szCs w:val="20"/>
              </w:rPr>
            </w:pPr>
            <w:proofErr w:type="spellStart"/>
            <w:r w:rsidRPr="00DD72AC">
              <w:rPr>
                <w:rFonts w:ascii="Arial Narrow" w:eastAsia="Times New Roman" w:hAnsi="Arial Narrow"/>
                <w:b/>
                <w:bCs/>
                <w:sz w:val="20"/>
                <w:szCs w:val="20"/>
              </w:rPr>
              <w:t>Episodicity</w:t>
            </w:r>
            <w:proofErr w:type="spellEnd"/>
            <w:r w:rsidRPr="00DD72AC">
              <w:rPr>
                <w:rFonts w:ascii="Arial Narrow" w:eastAsia="Times New Roman" w:hAnsi="Arial Narrow"/>
                <w:b/>
                <w:bCs/>
                <w:sz w:val="20"/>
                <w:szCs w:val="20"/>
              </w:rPr>
              <w:t xml:space="preserve">: </w:t>
            </w:r>
            <w:r w:rsidRPr="00DD72AC">
              <w:rPr>
                <w:rFonts w:ascii="Arial Narrow" w:eastAsia="Times New Roman" w:hAnsi="Arial Narrow"/>
                <w:bCs/>
                <w:strike/>
                <w:sz w:val="20"/>
                <w:szCs w:val="20"/>
              </w:rPr>
              <w:t>Chronic</w:t>
            </w:r>
          </w:p>
        </w:tc>
      </w:tr>
      <w:tr w:rsidR="00F94BAA" w:rsidRPr="00DD72AC" w14:paraId="2A29AA5D" w14:textId="77777777" w:rsidTr="008B3616">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2D756CC" w14:textId="77777777" w:rsidR="00F94BAA" w:rsidRPr="00DD72AC" w:rsidRDefault="00F94BAA" w:rsidP="00F7498C">
            <w:pPr>
              <w:rPr>
                <w:rFonts w:ascii="Arial Narrow" w:eastAsia="Times New Roman" w:hAnsi="Arial Narrow"/>
                <w:b/>
                <w:bCs/>
                <w:sz w:val="20"/>
                <w:szCs w:val="20"/>
              </w:rPr>
            </w:pPr>
            <w:r w:rsidRPr="00DD72AC">
              <w:rPr>
                <w:rFonts w:ascii="Arial Narrow" w:eastAsia="Times New Roman" w:hAnsi="Arial Narrow"/>
                <w:b/>
                <w:bCs/>
                <w:sz w:val="20"/>
                <w:szCs w:val="20"/>
              </w:rPr>
              <w:t xml:space="preserve">Severity: </w:t>
            </w:r>
            <w:r w:rsidRPr="00DD72AC">
              <w:rPr>
                <w:rFonts w:ascii="Arial Narrow" w:eastAsia="Times New Roman" w:hAnsi="Arial Narrow"/>
                <w:bCs/>
                <w:sz w:val="20"/>
                <w:szCs w:val="20"/>
              </w:rPr>
              <w:t>[blank]</w:t>
            </w:r>
          </w:p>
        </w:tc>
      </w:tr>
      <w:tr w:rsidR="00F94BAA" w:rsidRPr="00DD72AC" w14:paraId="36535368" w14:textId="77777777" w:rsidTr="004A402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1CD51A01" w14:textId="77777777" w:rsidR="00F94BAA" w:rsidRPr="00DD72AC" w:rsidRDefault="00F94BAA" w:rsidP="00F7498C">
            <w:pPr>
              <w:rPr>
                <w:rFonts w:ascii="Arial Narrow" w:eastAsia="Times New Roman" w:hAnsi="Arial Narrow"/>
                <w:b/>
                <w:bCs/>
                <w:sz w:val="20"/>
                <w:szCs w:val="20"/>
              </w:rPr>
            </w:pPr>
            <w:r w:rsidRPr="00DD72AC">
              <w:rPr>
                <w:rFonts w:ascii="Arial Narrow" w:eastAsia="Times New Roman" w:hAnsi="Arial Narrow"/>
                <w:b/>
                <w:bCs/>
                <w:sz w:val="20"/>
                <w:szCs w:val="20"/>
              </w:rPr>
              <w:t xml:space="preserve">Condition: </w:t>
            </w:r>
            <w:r w:rsidRPr="00DD72AC">
              <w:rPr>
                <w:rFonts w:ascii="Arial Narrow" w:eastAsia="Times New Roman" w:hAnsi="Arial Narrow"/>
                <w:bCs/>
                <w:sz w:val="20"/>
                <w:szCs w:val="20"/>
              </w:rPr>
              <w:t>Achondroplasia</w:t>
            </w:r>
          </w:p>
        </w:tc>
      </w:tr>
      <w:tr w:rsidR="00F94BAA" w:rsidRPr="00DD72AC" w14:paraId="5C5E5347" w14:textId="77777777" w:rsidTr="00D75D82">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46699AA4"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lastRenderedPageBreak/>
              <w:t>Indication:</w:t>
            </w:r>
            <w:r w:rsidRPr="00DD72AC">
              <w:rPr>
                <w:rFonts w:ascii="Arial Narrow" w:eastAsia="Times New Roman" w:hAnsi="Arial Narrow"/>
                <w:sz w:val="20"/>
                <w:szCs w:val="20"/>
              </w:rPr>
              <w:t xml:space="preserve"> </w:t>
            </w:r>
            <w:r w:rsidRPr="00DD72AC">
              <w:rPr>
                <w:rFonts w:ascii="Arial Narrow" w:eastAsia="Times New Roman" w:hAnsi="Arial Narrow"/>
                <w:strike/>
                <w:sz w:val="20"/>
                <w:szCs w:val="20"/>
              </w:rPr>
              <w:t>Patients with</w:t>
            </w:r>
            <w:r w:rsidRPr="00DD72AC">
              <w:rPr>
                <w:rFonts w:ascii="Arial Narrow" w:eastAsia="Times New Roman" w:hAnsi="Arial Narrow"/>
                <w:sz w:val="20"/>
                <w:szCs w:val="20"/>
              </w:rPr>
              <w:t xml:space="preserve"> </w:t>
            </w:r>
            <w:proofErr w:type="spellStart"/>
            <w:r w:rsidRPr="00DD72AC">
              <w:rPr>
                <w:rFonts w:ascii="Arial Narrow" w:eastAsia="Times New Roman" w:hAnsi="Arial Narrow"/>
                <w:i/>
                <w:iCs/>
                <w:sz w:val="20"/>
                <w:szCs w:val="20"/>
              </w:rPr>
              <w:t>A</w:t>
            </w:r>
            <w:r w:rsidRPr="00DD72AC">
              <w:rPr>
                <w:rFonts w:ascii="Arial Narrow" w:eastAsia="Times New Roman" w:hAnsi="Arial Narrow"/>
                <w:strike/>
                <w:sz w:val="20"/>
                <w:szCs w:val="20"/>
              </w:rPr>
              <w:t>a</w:t>
            </w:r>
            <w:r w:rsidRPr="00DD72AC">
              <w:rPr>
                <w:rFonts w:ascii="Arial Narrow" w:eastAsia="Times New Roman" w:hAnsi="Arial Narrow"/>
                <w:sz w:val="20"/>
                <w:szCs w:val="20"/>
              </w:rPr>
              <w:t>chondroplasia</w:t>
            </w:r>
            <w:proofErr w:type="spellEnd"/>
          </w:p>
        </w:tc>
      </w:tr>
      <w:tr w:rsidR="00F94BAA" w:rsidRPr="00DD72AC" w14:paraId="7176EFD7" w14:textId="77777777" w:rsidTr="00AB7A5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7A5749A"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Treatment Phase:</w:t>
            </w:r>
            <w:r w:rsidRPr="00DD72AC">
              <w:rPr>
                <w:rFonts w:ascii="Arial Narrow" w:eastAsia="Times New Roman" w:hAnsi="Arial Narrow"/>
                <w:sz w:val="20"/>
                <w:szCs w:val="20"/>
              </w:rPr>
              <w:t xml:space="preserve"> Initial</w:t>
            </w:r>
          </w:p>
        </w:tc>
      </w:tr>
      <w:tr w:rsidR="00F94BAA" w:rsidRPr="00DD72AC" w14:paraId="5209909E" w14:textId="77777777" w:rsidTr="005D4BD8">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3D0884B"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 xml:space="preserve">Clinical criteria: </w:t>
            </w:r>
          </w:p>
        </w:tc>
      </w:tr>
      <w:tr w:rsidR="00F94BAA" w:rsidRPr="00DD72AC" w14:paraId="2689367B" w14:textId="77777777" w:rsidTr="001D0045">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4DE35D90" w14:textId="77777777" w:rsidR="00F94BAA" w:rsidRPr="00DD72AC" w:rsidRDefault="00F94BAA" w:rsidP="00F7498C">
            <w:pPr>
              <w:pStyle w:val="PBACTabletext"/>
              <w:rPr>
                <w:szCs w:val="20"/>
                <w:lang w:eastAsia="en-AU"/>
              </w:rPr>
            </w:pPr>
            <w:r w:rsidRPr="00DD72AC">
              <w:rPr>
                <w:rFonts w:eastAsiaTheme="minorHAnsi" w:cs="Arial Narrow"/>
                <w:iCs/>
                <w:strike/>
                <w:szCs w:val="20"/>
                <w:lang w:eastAsia="en-US"/>
              </w:rPr>
              <w:t xml:space="preserve">The </w:t>
            </w:r>
            <w:proofErr w:type="spellStart"/>
            <w:r w:rsidRPr="00DD72AC">
              <w:rPr>
                <w:rFonts w:eastAsiaTheme="minorHAnsi" w:cs="Arial Narrow"/>
                <w:i/>
                <w:strike/>
                <w:szCs w:val="20"/>
                <w:lang w:eastAsia="en-US"/>
              </w:rPr>
              <w:t>p</w:t>
            </w:r>
            <w:r w:rsidRPr="00DD72AC">
              <w:rPr>
                <w:rFonts w:eastAsiaTheme="minorHAnsi" w:cs="Arial Narrow"/>
                <w:i/>
                <w:szCs w:val="20"/>
                <w:lang w:eastAsia="en-US"/>
              </w:rPr>
              <w:t>P</w:t>
            </w:r>
            <w:r w:rsidRPr="00DD72AC">
              <w:rPr>
                <w:rFonts w:eastAsiaTheme="minorHAnsi" w:cs="Arial Narrow"/>
                <w:iCs/>
                <w:szCs w:val="20"/>
                <w:lang w:eastAsia="en-US"/>
              </w:rPr>
              <w:t>atient</w:t>
            </w:r>
            <w:proofErr w:type="spellEnd"/>
            <w:r w:rsidRPr="00DD72AC">
              <w:rPr>
                <w:rFonts w:eastAsiaTheme="minorHAnsi" w:cs="Arial Narrow"/>
                <w:iCs/>
                <w:szCs w:val="20"/>
                <w:lang w:eastAsia="en-US"/>
              </w:rPr>
              <w:t xml:space="preserve"> must have a diagnosis of achondroplasia, confirmed by appropriate genetic testing </w:t>
            </w:r>
          </w:p>
        </w:tc>
      </w:tr>
      <w:tr w:rsidR="00F94BAA" w:rsidRPr="00DD72AC" w14:paraId="7567F589" w14:textId="77777777" w:rsidTr="006D30C5">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DE7EC7A"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AND</w:t>
            </w:r>
          </w:p>
        </w:tc>
      </w:tr>
      <w:tr w:rsidR="00F94BAA" w:rsidRPr="00DD72AC" w14:paraId="41DAA36D" w14:textId="77777777" w:rsidTr="00FF55B7">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6D12DE6"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Clinical criteria:</w:t>
            </w:r>
          </w:p>
        </w:tc>
      </w:tr>
      <w:tr w:rsidR="00F94BAA" w:rsidRPr="00DD72AC" w14:paraId="6F1754B7" w14:textId="77777777" w:rsidTr="007F4A73">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5176F59" w14:textId="43B56644" w:rsidR="00F94BAA" w:rsidRPr="00DD72AC" w:rsidRDefault="00F94BAA" w:rsidP="00F7498C">
            <w:pPr>
              <w:pStyle w:val="PBACTabletext"/>
              <w:rPr>
                <w:rFonts w:eastAsiaTheme="minorHAnsi" w:cs="Arial Narrow"/>
                <w:i/>
                <w:szCs w:val="20"/>
                <w:lang w:eastAsia="en-US"/>
              </w:rPr>
            </w:pPr>
            <w:r w:rsidRPr="00DD72AC">
              <w:rPr>
                <w:rFonts w:eastAsiaTheme="minorHAnsi" w:cs="Arial Narrow"/>
                <w:iCs/>
                <w:strike/>
                <w:szCs w:val="20"/>
                <w:lang w:eastAsia="en-US"/>
              </w:rPr>
              <w:t xml:space="preserve">The </w:t>
            </w:r>
            <w:proofErr w:type="spellStart"/>
            <w:r w:rsidRPr="00DD72AC">
              <w:rPr>
                <w:rFonts w:eastAsiaTheme="minorHAnsi" w:cs="Arial Narrow"/>
                <w:i/>
                <w:strike/>
                <w:szCs w:val="20"/>
                <w:lang w:eastAsia="en-US"/>
              </w:rPr>
              <w:t>p</w:t>
            </w:r>
            <w:r w:rsidRPr="00DD72AC">
              <w:rPr>
                <w:rFonts w:eastAsiaTheme="minorHAnsi" w:cs="Arial Narrow"/>
                <w:i/>
                <w:szCs w:val="20"/>
                <w:lang w:eastAsia="en-US"/>
              </w:rPr>
              <w:t>P</w:t>
            </w:r>
            <w:r w:rsidRPr="00DD72AC">
              <w:rPr>
                <w:rFonts w:eastAsiaTheme="minorHAnsi" w:cs="Arial Narrow"/>
                <w:iCs/>
                <w:szCs w:val="20"/>
                <w:lang w:eastAsia="en-US"/>
              </w:rPr>
              <w:t>atient</w:t>
            </w:r>
            <w:proofErr w:type="spellEnd"/>
            <w:r w:rsidRPr="00DD72AC">
              <w:rPr>
                <w:rFonts w:eastAsiaTheme="minorHAnsi" w:cs="Arial Narrow"/>
                <w:iCs/>
                <w:szCs w:val="20"/>
                <w:lang w:eastAsia="en-US"/>
              </w:rPr>
              <w:t xml:space="preserve"> must not have evidence of growth plate closure </w:t>
            </w:r>
            <w:r w:rsidRPr="00DD72AC">
              <w:rPr>
                <w:rFonts w:eastAsiaTheme="minorHAnsi" w:cs="Arial Narrow"/>
                <w:i/>
                <w:szCs w:val="20"/>
                <w:lang w:eastAsia="en-US"/>
              </w:rPr>
              <w:t>either: i)</w:t>
            </w:r>
            <w:r w:rsidRPr="00DD72AC">
              <w:rPr>
                <w:rFonts w:eastAsiaTheme="minorHAnsi" w:cs="Arial Narrow"/>
                <w:iCs/>
                <w:szCs w:val="20"/>
                <w:lang w:eastAsia="en-US"/>
              </w:rPr>
              <w:t xml:space="preserve"> confirmed through bilateral lower extremity X-rays (proximal tibia, distal femur); </w:t>
            </w:r>
            <w:r w:rsidRPr="00DD72AC">
              <w:rPr>
                <w:rFonts w:eastAsiaTheme="minorHAnsi" w:cs="Arial Narrow"/>
                <w:i/>
                <w:szCs w:val="20"/>
                <w:lang w:eastAsia="en-US"/>
              </w:rPr>
              <w:t xml:space="preserve">ii) </w:t>
            </w:r>
            <w:r w:rsidRPr="00DD72AC">
              <w:rPr>
                <w:rFonts w:eastAsiaTheme="minorHAnsi" w:cs="Arial Narrow"/>
                <w:iCs/>
                <w:szCs w:val="20"/>
                <w:lang w:eastAsia="en-US"/>
              </w:rPr>
              <w:t xml:space="preserve"> </w:t>
            </w:r>
            <w:r w:rsidRPr="00DD72AC">
              <w:rPr>
                <w:rFonts w:eastAsiaTheme="minorHAnsi" w:cs="Arial Narrow"/>
                <w:iCs/>
                <w:strike/>
                <w:szCs w:val="20"/>
                <w:lang w:eastAsia="en-US"/>
              </w:rPr>
              <w:t xml:space="preserve">OR </w:t>
            </w:r>
            <w:r w:rsidRPr="00DD72AC">
              <w:rPr>
                <w:rFonts w:cs="Arial Narrow"/>
                <w:iCs/>
                <w:szCs w:val="20"/>
                <w:lang w:eastAsia="en-US"/>
              </w:rPr>
              <w:t xml:space="preserve">demonstrated by </w:t>
            </w:r>
            <w:r w:rsidRPr="00DD72AC">
              <w:rPr>
                <w:rFonts w:cs="Arial Narrow"/>
                <w:i/>
                <w:szCs w:val="20"/>
                <w:lang w:eastAsia="en-US"/>
              </w:rPr>
              <w:t xml:space="preserve">an annual </w:t>
            </w:r>
            <w:r w:rsidRPr="00DD72AC">
              <w:rPr>
                <w:rFonts w:cs="Arial Narrow"/>
                <w:iCs/>
                <w:strike/>
                <w:szCs w:val="20"/>
                <w:lang w:eastAsia="en-US"/>
              </w:rPr>
              <w:t xml:space="preserve">decreased </w:t>
            </w:r>
            <w:r w:rsidRPr="00DD72AC">
              <w:rPr>
                <w:rFonts w:cs="Arial Narrow"/>
                <w:iCs/>
                <w:szCs w:val="20"/>
                <w:lang w:eastAsia="en-US"/>
              </w:rPr>
              <w:t xml:space="preserve">growth velocity of </w:t>
            </w:r>
            <w:r w:rsidRPr="00DD72AC">
              <w:rPr>
                <w:rFonts w:cs="Arial Narrow"/>
                <w:iCs/>
                <w:strike/>
                <w:szCs w:val="20"/>
                <w:lang w:eastAsia="en-US"/>
              </w:rPr>
              <w:t>(</w:t>
            </w:r>
            <w:proofErr w:type="spellStart"/>
            <w:r w:rsidRPr="00DD72AC">
              <w:rPr>
                <w:rFonts w:cs="Arial Narrow"/>
                <w:iCs/>
                <w:strike/>
                <w:szCs w:val="20"/>
                <w:lang w:eastAsia="en-US"/>
              </w:rPr>
              <w:t>ie</w:t>
            </w:r>
            <w:proofErr w:type="spellEnd"/>
            <w:r w:rsidRPr="00DD72AC">
              <w:rPr>
                <w:rFonts w:cs="Arial Narrow"/>
                <w:iCs/>
                <w:strike/>
                <w:szCs w:val="20"/>
                <w:lang w:eastAsia="en-US"/>
              </w:rPr>
              <w:t>, annual growth velocity</w:t>
            </w:r>
            <w:r w:rsidRPr="00DD72AC">
              <w:rPr>
                <w:rFonts w:cs="Arial Narrow"/>
                <w:iCs/>
                <w:szCs w:val="20"/>
                <w:lang w:eastAsia="en-US"/>
              </w:rPr>
              <w:t xml:space="preserve"> less than 1.5 cm/year</w:t>
            </w:r>
            <w:r w:rsidRPr="00DD72AC">
              <w:rPr>
                <w:rFonts w:cs="Arial Narrow"/>
                <w:iCs/>
                <w:strike/>
                <w:szCs w:val="20"/>
                <w:lang w:eastAsia="en-US"/>
              </w:rPr>
              <w:t>)</w:t>
            </w:r>
            <w:r w:rsidRPr="00DD72AC">
              <w:rPr>
                <w:rFonts w:cs="Arial Narrow"/>
                <w:iCs/>
                <w:szCs w:val="20"/>
                <w:lang w:eastAsia="en-US"/>
              </w:rPr>
              <w:t xml:space="preserve"> </w:t>
            </w:r>
            <w:r w:rsidRPr="00DD72AC">
              <w:rPr>
                <w:rFonts w:cs="Arial Narrow"/>
                <w:i/>
                <w:szCs w:val="20"/>
                <w:lang w:eastAsia="en-US"/>
              </w:rPr>
              <w:t xml:space="preserve">as assessed over a period of at least 6 months. </w:t>
            </w:r>
          </w:p>
        </w:tc>
      </w:tr>
      <w:tr w:rsidR="00F94BAA" w:rsidRPr="00DD72AC" w14:paraId="1094AD90" w14:textId="77777777" w:rsidTr="000B7083">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126D925D"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Treatment criteria:</w:t>
            </w:r>
          </w:p>
        </w:tc>
      </w:tr>
      <w:tr w:rsidR="00F94BAA" w:rsidRPr="00DD72AC" w14:paraId="4FDB36B8" w14:textId="77777777" w:rsidTr="00DE1D9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B91B50A" w14:textId="77777777" w:rsidR="00F94BAA" w:rsidRPr="00DD72AC" w:rsidRDefault="00F94BAA" w:rsidP="00F7498C">
            <w:pPr>
              <w:autoSpaceDE w:val="0"/>
              <w:autoSpaceDN w:val="0"/>
              <w:adjustRightInd w:val="0"/>
              <w:rPr>
                <w:rFonts w:ascii="Arial Narrow" w:hAnsi="Arial Narrow" w:cs="Arial Narrow"/>
                <w:i/>
                <w:iCs/>
                <w:sz w:val="20"/>
                <w:szCs w:val="20"/>
              </w:rPr>
            </w:pPr>
            <w:r w:rsidRPr="00DD72AC">
              <w:rPr>
                <w:rFonts w:ascii="Arial Narrow" w:hAnsi="Arial Narrow" w:cs="Arial Narrow"/>
                <w:iCs/>
                <w:sz w:val="20"/>
                <w:szCs w:val="20"/>
              </w:rPr>
              <w:t>Must be treated by a medical specialist, experienced in the management of achondroplasia</w:t>
            </w:r>
          </w:p>
        </w:tc>
      </w:tr>
      <w:tr w:rsidR="00F94BAA" w:rsidRPr="00DD72AC" w14:paraId="2058C499" w14:textId="77777777" w:rsidTr="006265C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4E609BA8" w14:textId="77777777" w:rsidR="00F94BAA" w:rsidRPr="00DD72AC" w:rsidRDefault="00F94BAA" w:rsidP="00F7498C">
            <w:pPr>
              <w:rPr>
                <w:rFonts w:ascii="Arial Narrow" w:eastAsia="Times New Roman" w:hAnsi="Arial Narrow"/>
                <w:bCs/>
                <w:sz w:val="20"/>
                <w:szCs w:val="20"/>
              </w:rPr>
            </w:pPr>
            <w:r w:rsidRPr="00DD72AC">
              <w:rPr>
                <w:rFonts w:ascii="Arial Narrow" w:eastAsia="Times New Roman" w:hAnsi="Arial Narrow"/>
                <w:b/>
                <w:bCs/>
                <w:sz w:val="20"/>
                <w:szCs w:val="20"/>
              </w:rPr>
              <w:t xml:space="preserve">Administrative Advice: </w:t>
            </w:r>
          </w:p>
          <w:p w14:paraId="6B406467" w14:textId="77777777" w:rsidR="00F94BAA" w:rsidRPr="00DD72AC" w:rsidRDefault="00F94BAA" w:rsidP="00F7498C">
            <w:pPr>
              <w:rPr>
                <w:rFonts w:ascii="Arial Narrow" w:eastAsia="Times New Roman" w:hAnsi="Arial Narrow"/>
                <w:bCs/>
                <w:sz w:val="20"/>
                <w:szCs w:val="20"/>
              </w:rPr>
            </w:pPr>
            <w:r w:rsidRPr="00DD72AC">
              <w:rPr>
                <w:rFonts w:ascii="Arial Narrow" w:eastAsia="Times New Roman"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C51745" w:rsidRPr="00DD72AC" w14:paraId="6C26E84A" w14:textId="77777777" w:rsidTr="00F7498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87ADAC2" w14:textId="77777777" w:rsidR="00C51745" w:rsidRPr="00DD72AC" w:rsidRDefault="00C51745" w:rsidP="00F7498C">
            <w:pPr>
              <w:rPr>
                <w:rFonts w:ascii="Arial Narrow" w:eastAsia="Times New Roman" w:hAnsi="Arial Narrow"/>
                <w:bCs/>
                <w:sz w:val="20"/>
                <w:szCs w:val="20"/>
              </w:rPr>
            </w:pPr>
          </w:p>
        </w:tc>
      </w:tr>
      <w:tr w:rsidR="00C51745" w:rsidRPr="00DD72AC" w14:paraId="410BEC61" w14:textId="77777777" w:rsidTr="00F7498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BAA5858" w14:textId="77777777" w:rsidR="00C51745" w:rsidRPr="00DD72AC" w:rsidRDefault="00C51745" w:rsidP="00F7498C">
            <w:pPr>
              <w:rPr>
                <w:rFonts w:ascii="Arial Narrow" w:eastAsia="Times New Roman" w:hAnsi="Arial Narrow"/>
                <w:b/>
                <w:bCs/>
                <w:sz w:val="20"/>
                <w:szCs w:val="20"/>
              </w:rPr>
            </w:pPr>
          </w:p>
        </w:tc>
      </w:tr>
      <w:tr w:rsidR="00F94BAA" w:rsidRPr="00DD72AC" w14:paraId="4FFB928F" w14:textId="77777777" w:rsidTr="001B154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318B81B4" w14:textId="77777777" w:rsidR="00F94BAA" w:rsidRPr="00DD72AC" w:rsidRDefault="00F94BAA" w:rsidP="00F7498C">
            <w:pPr>
              <w:rPr>
                <w:rFonts w:ascii="Arial Narrow" w:hAnsi="Arial Narrow"/>
                <w:sz w:val="20"/>
                <w:szCs w:val="20"/>
              </w:rPr>
            </w:pPr>
            <w:r w:rsidRPr="00DD72AC">
              <w:rPr>
                <w:rFonts w:ascii="Arial Narrow" w:hAnsi="Arial Narrow"/>
                <w:b/>
                <w:sz w:val="20"/>
                <w:szCs w:val="20"/>
              </w:rPr>
              <w:t xml:space="preserve">Category / Program: </w:t>
            </w:r>
            <w:r w:rsidRPr="00DD72AC">
              <w:rPr>
                <w:rFonts w:ascii="Arial Narrow" w:hAnsi="Arial Narrow"/>
                <w:sz w:val="20"/>
                <w:szCs w:val="20"/>
              </w:rPr>
              <w:t>GENERAL – General Schedule (Code GE)</w:t>
            </w:r>
          </w:p>
        </w:tc>
      </w:tr>
      <w:tr w:rsidR="00F94BAA" w:rsidRPr="00DD72AC" w14:paraId="725AB475" w14:textId="77777777" w:rsidTr="00C07863">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7"/>
            <w:tcBorders>
              <w:left w:val="single" w:sz="4" w:space="0" w:color="auto"/>
              <w:right w:val="single" w:sz="4" w:space="0" w:color="auto"/>
            </w:tcBorders>
          </w:tcPr>
          <w:p w14:paraId="01A6AD80" w14:textId="77777777" w:rsidR="00F94BAA" w:rsidRPr="00DD72AC" w:rsidRDefault="00F94BAA" w:rsidP="00F7498C">
            <w:pPr>
              <w:rPr>
                <w:rFonts w:ascii="Arial Narrow" w:hAnsi="Arial Narrow"/>
                <w:b/>
                <w:sz w:val="20"/>
                <w:szCs w:val="20"/>
              </w:rPr>
            </w:pPr>
            <w:r w:rsidRPr="00DD72AC">
              <w:rPr>
                <w:rFonts w:ascii="Arial Narrow" w:hAnsi="Arial Narrow"/>
                <w:b/>
                <w:sz w:val="20"/>
                <w:szCs w:val="20"/>
              </w:rPr>
              <w:t xml:space="preserve">Prescriber type: </w:t>
            </w:r>
            <w:r w:rsidRPr="00DD72AC">
              <w:rPr>
                <w:rFonts w:ascii="Arial Narrow" w:hAnsi="Arial Narrow"/>
                <w:sz w:val="20"/>
                <w:szCs w:val="20"/>
              </w:rPr>
              <w:fldChar w:fldCharType="begin" w:fldLock="1">
                <w:ffData>
                  <w:name w:val=""/>
                  <w:enabled/>
                  <w:calcOnExit w:val="0"/>
                  <w:checkBox>
                    <w:sizeAuto/>
                    <w:default w:val="1"/>
                  </w:checkBox>
                </w:ffData>
              </w:fldChar>
            </w:r>
            <w:r w:rsidRPr="00DD72AC">
              <w:rPr>
                <w:rFonts w:ascii="Arial Narrow" w:hAnsi="Arial Narrow"/>
                <w:sz w:val="20"/>
                <w:szCs w:val="20"/>
              </w:rPr>
              <w:instrText xml:space="preserve"> FORMCHECKBOX </w:instrText>
            </w:r>
            <w:r w:rsidR="00FA023D">
              <w:rPr>
                <w:rFonts w:ascii="Arial Narrow" w:hAnsi="Arial Narrow"/>
                <w:sz w:val="20"/>
                <w:szCs w:val="20"/>
              </w:rPr>
            </w:r>
            <w:r w:rsidR="00FA023D">
              <w:rPr>
                <w:rFonts w:ascii="Arial Narrow" w:hAnsi="Arial Narrow"/>
                <w:sz w:val="20"/>
                <w:szCs w:val="20"/>
              </w:rPr>
              <w:fldChar w:fldCharType="separate"/>
            </w:r>
            <w:r w:rsidRPr="00DD72AC">
              <w:rPr>
                <w:rFonts w:ascii="Arial Narrow" w:hAnsi="Arial Narrow"/>
                <w:sz w:val="20"/>
                <w:szCs w:val="20"/>
              </w:rPr>
              <w:fldChar w:fldCharType="end"/>
            </w:r>
            <w:r w:rsidRPr="00DD72AC">
              <w:rPr>
                <w:rFonts w:ascii="Arial Narrow" w:hAnsi="Arial Narrow"/>
                <w:sz w:val="20"/>
                <w:szCs w:val="20"/>
              </w:rPr>
              <w:t xml:space="preserve">Medical Practitioners    </w:t>
            </w:r>
            <w:r w:rsidRPr="00DD72AC">
              <w:rPr>
                <w:rFonts w:ascii="Arial Narrow" w:hAnsi="Arial Narrow"/>
                <w:sz w:val="20"/>
                <w:szCs w:val="20"/>
              </w:rPr>
              <w:fldChar w:fldCharType="begin" w:fldLock="1">
                <w:ffData>
                  <w:name w:val=""/>
                  <w:enabled/>
                  <w:calcOnExit w:val="0"/>
                  <w:checkBox>
                    <w:sizeAuto/>
                    <w:default w:val="1"/>
                  </w:checkBox>
                </w:ffData>
              </w:fldChar>
            </w:r>
            <w:r w:rsidRPr="00DD72AC">
              <w:rPr>
                <w:rFonts w:ascii="Arial Narrow" w:hAnsi="Arial Narrow"/>
                <w:sz w:val="20"/>
                <w:szCs w:val="20"/>
              </w:rPr>
              <w:instrText xml:space="preserve"> FORMCHECKBOX </w:instrText>
            </w:r>
            <w:r w:rsidR="00FA023D">
              <w:rPr>
                <w:rFonts w:ascii="Arial Narrow" w:hAnsi="Arial Narrow"/>
                <w:sz w:val="20"/>
                <w:szCs w:val="20"/>
              </w:rPr>
            </w:r>
            <w:r w:rsidR="00FA023D">
              <w:rPr>
                <w:rFonts w:ascii="Arial Narrow" w:hAnsi="Arial Narrow"/>
                <w:sz w:val="20"/>
                <w:szCs w:val="20"/>
              </w:rPr>
              <w:fldChar w:fldCharType="separate"/>
            </w:r>
            <w:r w:rsidRPr="00DD72AC">
              <w:rPr>
                <w:rFonts w:ascii="Arial Narrow" w:hAnsi="Arial Narrow"/>
                <w:sz w:val="20"/>
                <w:szCs w:val="20"/>
              </w:rPr>
              <w:fldChar w:fldCharType="end"/>
            </w:r>
            <w:r w:rsidRPr="00DD72AC">
              <w:rPr>
                <w:rFonts w:ascii="Arial Narrow" w:hAnsi="Arial Narrow"/>
                <w:sz w:val="20"/>
                <w:szCs w:val="20"/>
              </w:rPr>
              <w:t xml:space="preserve">Nurse practitioners  </w:t>
            </w:r>
          </w:p>
        </w:tc>
      </w:tr>
      <w:tr w:rsidR="00F94BAA" w:rsidRPr="00DD72AC" w14:paraId="44EC66B3" w14:textId="77777777" w:rsidTr="0083134D">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bottom w:val="single" w:sz="4" w:space="0" w:color="auto"/>
              <w:right w:val="single" w:sz="4" w:space="0" w:color="auto"/>
            </w:tcBorders>
          </w:tcPr>
          <w:p w14:paraId="056D15DD" w14:textId="2BD1EB73" w:rsidR="00F94BAA" w:rsidRPr="00DD72AC" w:rsidRDefault="00F94BAA" w:rsidP="00F7498C">
            <w:pPr>
              <w:rPr>
                <w:rFonts w:ascii="Arial Narrow" w:eastAsia="Calibri" w:hAnsi="Arial Narrow"/>
                <w:sz w:val="20"/>
                <w:szCs w:val="20"/>
              </w:rPr>
            </w:pPr>
            <w:r w:rsidRPr="00DD72AC">
              <w:rPr>
                <w:rFonts w:ascii="Arial Narrow" w:hAnsi="Arial Narrow"/>
                <w:b/>
                <w:sz w:val="20"/>
                <w:szCs w:val="20"/>
              </w:rPr>
              <w:t xml:space="preserve">Restriction type: </w:t>
            </w:r>
            <w:r w:rsidRPr="00DD72AC">
              <w:rPr>
                <w:rFonts w:ascii="Arial Narrow" w:eastAsia="Calibri" w:hAnsi="Arial Narrow"/>
                <w:sz w:val="20"/>
                <w:szCs w:val="20"/>
              </w:rPr>
              <w:fldChar w:fldCharType="begin" w:fldLock="1">
                <w:ffData>
                  <w:name w:val=""/>
                  <w:enabled/>
                  <w:calcOnExit w:val="0"/>
                  <w:checkBox>
                    <w:sizeAuto/>
                    <w:default w:val="1"/>
                  </w:checkBox>
                </w:ffData>
              </w:fldChar>
            </w:r>
            <w:r w:rsidRPr="00DD72AC">
              <w:rPr>
                <w:rFonts w:ascii="Arial Narrow" w:eastAsia="Calibri" w:hAnsi="Arial Narrow"/>
                <w:sz w:val="20"/>
                <w:szCs w:val="20"/>
              </w:rPr>
              <w:instrText xml:space="preserve"> FORMCHECKBOX </w:instrText>
            </w:r>
            <w:r w:rsidR="00FA023D">
              <w:rPr>
                <w:rFonts w:ascii="Arial Narrow" w:eastAsia="Calibri" w:hAnsi="Arial Narrow"/>
                <w:sz w:val="20"/>
                <w:szCs w:val="20"/>
              </w:rPr>
            </w:r>
            <w:r w:rsidR="00FA023D">
              <w:rPr>
                <w:rFonts w:ascii="Arial Narrow" w:eastAsia="Calibri" w:hAnsi="Arial Narrow"/>
                <w:sz w:val="20"/>
                <w:szCs w:val="20"/>
              </w:rPr>
              <w:fldChar w:fldCharType="separate"/>
            </w:r>
            <w:r w:rsidRPr="00DD72AC">
              <w:rPr>
                <w:rFonts w:ascii="Arial Narrow" w:eastAsia="Calibri" w:hAnsi="Arial Narrow"/>
                <w:sz w:val="20"/>
                <w:szCs w:val="20"/>
              </w:rPr>
              <w:fldChar w:fldCharType="end"/>
            </w:r>
            <w:r w:rsidRPr="00DD72AC">
              <w:rPr>
                <w:rFonts w:ascii="Arial Narrow" w:eastAsia="Calibri" w:hAnsi="Arial Narrow"/>
                <w:sz w:val="20"/>
                <w:szCs w:val="20"/>
              </w:rPr>
              <w:t xml:space="preserve"> Authority Required (telephone/online PBS Authorities system)</w:t>
            </w:r>
          </w:p>
        </w:tc>
      </w:tr>
      <w:tr w:rsidR="00F94BAA" w:rsidRPr="00DD72AC" w14:paraId="102E60C4" w14:textId="77777777" w:rsidTr="00230932">
        <w:tblPrEx>
          <w:tblCellMar>
            <w:top w:w="15" w:type="dxa"/>
            <w:left w:w="15" w:type="dxa"/>
            <w:bottom w:w="15" w:type="dxa"/>
            <w:right w:w="15" w:type="dxa"/>
          </w:tblCellMar>
          <w:tblLook w:val="04A0" w:firstRow="1" w:lastRow="0" w:firstColumn="1" w:lastColumn="0" w:noHBand="0" w:noVBand="1"/>
        </w:tblPrEx>
        <w:tc>
          <w:tcPr>
            <w:tcW w:w="9067" w:type="dxa"/>
            <w:gridSpan w:val="7"/>
          </w:tcPr>
          <w:p w14:paraId="18690696" w14:textId="77777777" w:rsidR="00F94BAA" w:rsidRPr="00DD72AC" w:rsidRDefault="00F94BAA" w:rsidP="00F7498C">
            <w:pPr>
              <w:rPr>
                <w:rFonts w:ascii="Arial Narrow" w:eastAsia="Calibri" w:hAnsi="Arial Narrow"/>
                <w:sz w:val="20"/>
                <w:szCs w:val="20"/>
              </w:rPr>
            </w:pPr>
            <w:r w:rsidRPr="00DD72AC">
              <w:rPr>
                <w:rFonts w:ascii="Arial Narrow" w:eastAsia="Calibri" w:hAnsi="Arial Narrow"/>
                <w:b/>
                <w:bCs/>
                <w:sz w:val="20"/>
                <w:szCs w:val="20"/>
              </w:rPr>
              <w:t>Indication:</w:t>
            </w:r>
            <w:r w:rsidRPr="00DD72AC">
              <w:rPr>
                <w:rFonts w:ascii="Arial Narrow" w:eastAsia="Calibri" w:hAnsi="Arial Narrow"/>
                <w:sz w:val="20"/>
                <w:szCs w:val="20"/>
              </w:rPr>
              <w:t xml:space="preserve"> </w:t>
            </w:r>
            <w:r w:rsidRPr="00DD72AC">
              <w:rPr>
                <w:rFonts w:ascii="Arial Narrow" w:eastAsia="Calibri" w:hAnsi="Arial Narrow"/>
                <w:strike/>
                <w:sz w:val="20"/>
                <w:szCs w:val="20"/>
              </w:rPr>
              <w:t>Patients with</w:t>
            </w:r>
            <w:r w:rsidRPr="00DD72AC">
              <w:rPr>
                <w:rFonts w:ascii="Arial Narrow" w:eastAsia="Calibri" w:hAnsi="Arial Narrow"/>
                <w:sz w:val="20"/>
                <w:szCs w:val="20"/>
              </w:rPr>
              <w:t xml:space="preserve"> </w:t>
            </w:r>
            <w:proofErr w:type="spellStart"/>
            <w:r w:rsidRPr="00DD72AC">
              <w:rPr>
                <w:rFonts w:ascii="Arial Narrow" w:eastAsia="Calibri" w:hAnsi="Arial Narrow"/>
                <w:sz w:val="20"/>
                <w:szCs w:val="20"/>
              </w:rPr>
              <w:t>A</w:t>
            </w:r>
            <w:r w:rsidRPr="00DD72AC">
              <w:rPr>
                <w:rFonts w:ascii="Arial Narrow" w:eastAsia="Calibri" w:hAnsi="Arial Narrow"/>
                <w:strike/>
                <w:sz w:val="20"/>
                <w:szCs w:val="20"/>
              </w:rPr>
              <w:t>a</w:t>
            </w:r>
            <w:r w:rsidRPr="00DD72AC">
              <w:rPr>
                <w:rFonts w:ascii="Arial Narrow" w:eastAsia="Calibri" w:hAnsi="Arial Narrow"/>
                <w:sz w:val="20"/>
                <w:szCs w:val="20"/>
              </w:rPr>
              <w:t>chondroplasia</w:t>
            </w:r>
            <w:proofErr w:type="spellEnd"/>
          </w:p>
        </w:tc>
      </w:tr>
      <w:tr w:rsidR="00F94BAA" w:rsidRPr="00DD72AC" w14:paraId="1F6AD46C" w14:textId="77777777" w:rsidTr="005D719A">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4BC35398"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Treatment Phase:</w:t>
            </w:r>
            <w:r w:rsidRPr="00DD72AC">
              <w:rPr>
                <w:rFonts w:ascii="Arial Narrow" w:eastAsia="Times New Roman" w:hAnsi="Arial Narrow"/>
                <w:sz w:val="20"/>
                <w:szCs w:val="20"/>
              </w:rPr>
              <w:t xml:space="preserve"> Continuation </w:t>
            </w:r>
          </w:p>
        </w:tc>
      </w:tr>
      <w:tr w:rsidR="00F94BAA" w:rsidRPr="00DD72AC" w14:paraId="181B8D5A" w14:textId="77777777" w:rsidTr="00A2687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77F1F39C"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 xml:space="preserve">Clinical criteria: </w:t>
            </w:r>
          </w:p>
        </w:tc>
      </w:tr>
      <w:tr w:rsidR="00F94BAA" w:rsidRPr="00DD72AC" w14:paraId="263E0517" w14:textId="77777777" w:rsidTr="004A3D0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1402E53" w14:textId="77777777" w:rsidR="00F94BAA" w:rsidRPr="00DD72AC" w:rsidRDefault="00F94BAA" w:rsidP="00F7498C">
            <w:pPr>
              <w:pStyle w:val="PBACTabletext"/>
              <w:rPr>
                <w:szCs w:val="20"/>
                <w:lang w:eastAsia="en-AU"/>
              </w:rPr>
            </w:pPr>
            <w:r w:rsidRPr="00DD72AC">
              <w:rPr>
                <w:rFonts w:eastAsiaTheme="minorHAnsi" w:cs="Arial Narrow"/>
                <w:iCs/>
                <w:szCs w:val="20"/>
                <w:lang w:eastAsia="en-US"/>
              </w:rPr>
              <w:t xml:space="preserve"> </w:t>
            </w:r>
            <w:r w:rsidRPr="00DD72AC">
              <w:rPr>
                <w:rFonts w:cs="Times New Roman"/>
                <w:szCs w:val="20"/>
                <w:lang w:eastAsia="en-AU"/>
              </w:rPr>
              <w:t>The patient must have received PBS subsidised vosoritide treatment for this condition</w:t>
            </w:r>
          </w:p>
        </w:tc>
      </w:tr>
      <w:tr w:rsidR="00F94BAA" w:rsidRPr="00DD72AC" w14:paraId="4C00F959" w14:textId="77777777" w:rsidTr="0040529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1B731DE"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AND</w:t>
            </w:r>
          </w:p>
        </w:tc>
      </w:tr>
      <w:tr w:rsidR="00F94BAA" w:rsidRPr="00DD72AC" w14:paraId="6058728D" w14:textId="77777777" w:rsidTr="007F58A4">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48E40CC"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Clinical criteria:</w:t>
            </w:r>
          </w:p>
        </w:tc>
      </w:tr>
      <w:tr w:rsidR="00F94BAA" w:rsidRPr="00DD72AC" w14:paraId="3D2F7407" w14:textId="77777777" w:rsidTr="003A2225">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5021D6C" w14:textId="2121146C" w:rsidR="00F94BAA" w:rsidRPr="00DD72AC" w:rsidRDefault="00F94BAA" w:rsidP="00F7498C">
            <w:pPr>
              <w:pStyle w:val="PBACTabletext"/>
              <w:rPr>
                <w:rFonts w:eastAsiaTheme="minorHAnsi" w:cs="Arial Narrow"/>
                <w:iCs/>
                <w:szCs w:val="20"/>
                <w:lang w:eastAsia="en-US"/>
              </w:rPr>
            </w:pPr>
            <w:r w:rsidRPr="00DD72AC">
              <w:rPr>
                <w:rFonts w:eastAsiaTheme="minorHAnsi" w:cs="Arial Narrow"/>
                <w:iCs/>
                <w:strike/>
                <w:szCs w:val="20"/>
                <w:lang w:eastAsia="en-US"/>
              </w:rPr>
              <w:t xml:space="preserve">The </w:t>
            </w:r>
            <w:proofErr w:type="spellStart"/>
            <w:r w:rsidRPr="00DD72AC">
              <w:rPr>
                <w:rFonts w:eastAsiaTheme="minorHAnsi" w:cs="Arial Narrow"/>
                <w:i/>
                <w:strike/>
                <w:szCs w:val="20"/>
                <w:lang w:eastAsia="en-US"/>
              </w:rPr>
              <w:t>p</w:t>
            </w:r>
            <w:r w:rsidRPr="00DD72AC">
              <w:rPr>
                <w:rFonts w:eastAsiaTheme="minorHAnsi" w:cs="Arial Narrow"/>
                <w:i/>
                <w:szCs w:val="20"/>
                <w:lang w:eastAsia="en-US"/>
              </w:rPr>
              <w:t>P</w:t>
            </w:r>
            <w:r w:rsidRPr="00DD72AC">
              <w:rPr>
                <w:rFonts w:eastAsiaTheme="minorHAnsi" w:cs="Arial Narrow"/>
                <w:iCs/>
                <w:szCs w:val="20"/>
                <w:lang w:eastAsia="en-US"/>
              </w:rPr>
              <w:t>atient</w:t>
            </w:r>
            <w:proofErr w:type="spellEnd"/>
            <w:r w:rsidRPr="00DD72AC">
              <w:rPr>
                <w:rFonts w:eastAsiaTheme="minorHAnsi" w:cs="Arial Narrow"/>
                <w:iCs/>
                <w:szCs w:val="20"/>
                <w:lang w:eastAsia="en-US"/>
              </w:rPr>
              <w:t xml:space="preserve"> must not have evidence of growth plate closure </w:t>
            </w:r>
            <w:r w:rsidRPr="00DD72AC">
              <w:rPr>
                <w:rFonts w:eastAsiaTheme="minorHAnsi" w:cs="Arial Narrow"/>
                <w:i/>
                <w:szCs w:val="20"/>
                <w:lang w:eastAsia="en-US"/>
              </w:rPr>
              <w:t>either: i)</w:t>
            </w:r>
            <w:r w:rsidRPr="00DD72AC">
              <w:rPr>
                <w:rFonts w:eastAsiaTheme="minorHAnsi" w:cs="Arial Narrow"/>
                <w:iCs/>
                <w:szCs w:val="20"/>
                <w:lang w:eastAsia="en-US"/>
              </w:rPr>
              <w:t xml:space="preserve"> confirmed through bilateral lower extremity X-rays (proximal tibia, distal femur); </w:t>
            </w:r>
            <w:r w:rsidRPr="00DD72AC">
              <w:rPr>
                <w:rFonts w:eastAsiaTheme="minorHAnsi" w:cs="Arial Narrow"/>
                <w:i/>
                <w:szCs w:val="20"/>
                <w:lang w:eastAsia="en-US"/>
              </w:rPr>
              <w:t xml:space="preserve"> ii) </w:t>
            </w:r>
            <w:r w:rsidRPr="00DD72AC">
              <w:rPr>
                <w:rFonts w:eastAsiaTheme="minorHAnsi" w:cs="Arial Narrow"/>
                <w:iCs/>
                <w:szCs w:val="20"/>
                <w:lang w:eastAsia="en-US"/>
              </w:rPr>
              <w:t xml:space="preserve"> </w:t>
            </w:r>
            <w:r w:rsidRPr="00DD72AC">
              <w:rPr>
                <w:rFonts w:eastAsiaTheme="minorHAnsi" w:cs="Arial Narrow"/>
                <w:iCs/>
                <w:strike/>
                <w:szCs w:val="20"/>
                <w:lang w:eastAsia="en-US"/>
              </w:rPr>
              <w:t xml:space="preserve">OR </w:t>
            </w:r>
            <w:r w:rsidRPr="00DD72AC">
              <w:rPr>
                <w:rFonts w:cs="Arial Narrow"/>
                <w:iCs/>
                <w:szCs w:val="20"/>
                <w:lang w:eastAsia="en-US"/>
              </w:rPr>
              <w:t xml:space="preserve">demonstrated by </w:t>
            </w:r>
            <w:r w:rsidRPr="00DD72AC">
              <w:rPr>
                <w:rFonts w:cs="Arial Narrow"/>
                <w:i/>
                <w:szCs w:val="20"/>
                <w:lang w:eastAsia="en-US"/>
              </w:rPr>
              <w:t xml:space="preserve">an annual </w:t>
            </w:r>
            <w:r w:rsidRPr="00DD72AC">
              <w:rPr>
                <w:rFonts w:cs="Arial Narrow"/>
                <w:iCs/>
                <w:strike/>
                <w:szCs w:val="20"/>
                <w:lang w:eastAsia="en-US"/>
              </w:rPr>
              <w:t xml:space="preserve">decreased </w:t>
            </w:r>
            <w:r w:rsidRPr="00DD72AC">
              <w:rPr>
                <w:rFonts w:cs="Arial Narrow"/>
                <w:iCs/>
                <w:szCs w:val="20"/>
                <w:lang w:eastAsia="en-US"/>
              </w:rPr>
              <w:t xml:space="preserve">growth velocity of </w:t>
            </w:r>
            <w:r w:rsidRPr="00DD72AC">
              <w:rPr>
                <w:rFonts w:cs="Arial Narrow"/>
                <w:iCs/>
                <w:strike/>
                <w:szCs w:val="20"/>
                <w:lang w:eastAsia="en-US"/>
              </w:rPr>
              <w:t>(</w:t>
            </w:r>
            <w:proofErr w:type="spellStart"/>
            <w:r w:rsidRPr="00DD72AC">
              <w:rPr>
                <w:rFonts w:cs="Arial Narrow"/>
                <w:iCs/>
                <w:strike/>
                <w:szCs w:val="20"/>
                <w:lang w:eastAsia="en-US"/>
              </w:rPr>
              <w:t>ie</w:t>
            </w:r>
            <w:proofErr w:type="spellEnd"/>
            <w:r w:rsidRPr="00DD72AC">
              <w:rPr>
                <w:rFonts w:cs="Arial Narrow"/>
                <w:iCs/>
                <w:strike/>
                <w:szCs w:val="20"/>
                <w:lang w:eastAsia="en-US"/>
              </w:rPr>
              <w:t>, annual growth velocity</w:t>
            </w:r>
            <w:r w:rsidRPr="00DD72AC">
              <w:rPr>
                <w:rFonts w:cs="Arial Narrow"/>
                <w:iCs/>
                <w:szCs w:val="20"/>
                <w:lang w:eastAsia="en-US"/>
              </w:rPr>
              <w:t xml:space="preserve"> less than 1.5 cm/year</w:t>
            </w:r>
            <w:r w:rsidRPr="00DD72AC">
              <w:rPr>
                <w:rFonts w:cs="Arial Narrow"/>
                <w:iCs/>
                <w:strike/>
                <w:szCs w:val="20"/>
                <w:lang w:eastAsia="en-US"/>
              </w:rPr>
              <w:t>)</w:t>
            </w:r>
            <w:r w:rsidRPr="00DD72AC">
              <w:rPr>
                <w:rFonts w:cs="Arial Narrow"/>
                <w:iCs/>
                <w:szCs w:val="20"/>
                <w:lang w:eastAsia="en-US"/>
              </w:rPr>
              <w:t>.</w:t>
            </w:r>
          </w:p>
        </w:tc>
      </w:tr>
      <w:tr w:rsidR="00F94BAA" w:rsidRPr="00DD72AC" w14:paraId="51594CA9" w14:textId="77777777" w:rsidTr="006E7179">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1DE766A3"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Treatment criteria:</w:t>
            </w:r>
          </w:p>
        </w:tc>
      </w:tr>
      <w:tr w:rsidR="00F94BAA" w:rsidRPr="00DD72AC" w14:paraId="0DDD27CE" w14:textId="77777777" w:rsidTr="005E28C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567571D" w14:textId="77777777" w:rsidR="00F94BAA" w:rsidRPr="00DD72AC" w:rsidRDefault="00F94BAA" w:rsidP="00F7498C">
            <w:pPr>
              <w:autoSpaceDE w:val="0"/>
              <w:autoSpaceDN w:val="0"/>
              <w:adjustRightInd w:val="0"/>
              <w:rPr>
                <w:rFonts w:ascii="Arial Narrow" w:hAnsi="Arial Narrow" w:cs="Arial Narrow"/>
                <w:iCs/>
                <w:sz w:val="20"/>
                <w:szCs w:val="20"/>
              </w:rPr>
            </w:pPr>
            <w:r w:rsidRPr="00DD72AC">
              <w:rPr>
                <w:rFonts w:ascii="Arial Narrow" w:hAnsi="Arial Narrow" w:cs="Arial Narrow"/>
                <w:iCs/>
                <w:sz w:val="20"/>
                <w:szCs w:val="20"/>
              </w:rPr>
              <w:t>Must be treated by a medical specialist, experienced in the management of achondroplasia; OR</w:t>
            </w:r>
          </w:p>
          <w:p w14:paraId="0885BE2B" w14:textId="77777777" w:rsidR="00F94BAA" w:rsidRPr="00DD72AC" w:rsidRDefault="00F94BAA" w:rsidP="00F7498C">
            <w:pPr>
              <w:autoSpaceDE w:val="0"/>
              <w:autoSpaceDN w:val="0"/>
              <w:adjustRightInd w:val="0"/>
              <w:rPr>
                <w:rFonts w:ascii="Arial Narrow" w:hAnsi="Arial Narrow" w:cs="Arial Narrow"/>
                <w:i/>
                <w:iCs/>
                <w:sz w:val="20"/>
                <w:szCs w:val="20"/>
              </w:rPr>
            </w:pPr>
            <w:r w:rsidRPr="00DD72AC">
              <w:rPr>
                <w:rFonts w:ascii="Arial Narrow" w:hAnsi="Arial Narrow" w:cs="Arial Narrow"/>
                <w:iCs/>
                <w:sz w:val="20"/>
                <w:szCs w:val="20"/>
              </w:rPr>
              <w:t>Must be treated by a nurse practitioner experienced in the treatment of achondroplasia in consultation with a medical specialist experienced in the management of achondroplasia</w:t>
            </w:r>
          </w:p>
        </w:tc>
      </w:tr>
      <w:tr w:rsidR="00F94BAA" w:rsidRPr="00DD72AC" w14:paraId="123968BF" w14:textId="77777777" w:rsidTr="00E51504">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31D9A551" w14:textId="77777777" w:rsidR="00F94BAA" w:rsidRPr="00DD72AC" w:rsidRDefault="00F94BAA" w:rsidP="00F7498C">
            <w:pPr>
              <w:rPr>
                <w:rFonts w:ascii="Arial Narrow" w:eastAsia="Times New Roman" w:hAnsi="Arial Narrow"/>
                <w:bCs/>
                <w:sz w:val="20"/>
                <w:szCs w:val="20"/>
              </w:rPr>
            </w:pPr>
            <w:r w:rsidRPr="00DD72AC">
              <w:rPr>
                <w:rFonts w:ascii="Arial Narrow" w:eastAsia="Times New Roman" w:hAnsi="Arial Narrow"/>
                <w:b/>
                <w:bCs/>
                <w:sz w:val="20"/>
                <w:szCs w:val="20"/>
              </w:rPr>
              <w:t xml:space="preserve">Administrative Advice: </w:t>
            </w:r>
          </w:p>
          <w:p w14:paraId="05A7D23F" w14:textId="77777777" w:rsidR="00F94BAA" w:rsidRPr="00DD72AC" w:rsidRDefault="00F94BAA" w:rsidP="00F7498C">
            <w:pPr>
              <w:rPr>
                <w:rFonts w:ascii="Arial Narrow" w:eastAsia="Times New Roman" w:hAnsi="Arial Narrow"/>
                <w:bCs/>
                <w:sz w:val="20"/>
                <w:szCs w:val="20"/>
              </w:rPr>
            </w:pPr>
            <w:r w:rsidRPr="00DD72AC">
              <w:rPr>
                <w:rFonts w:ascii="Arial Narrow" w:eastAsia="Times New Roman"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F94BAA" w:rsidRPr="00DD72AC" w14:paraId="6AD08C35" w14:textId="77777777" w:rsidTr="00A16E8B">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528D717" w14:textId="77777777" w:rsidR="00F94BAA" w:rsidRPr="00DD72AC" w:rsidRDefault="00F94BAA" w:rsidP="00F7498C">
            <w:pPr>
              <w:rPr>
                <w:rFonts w:ascii="Arial Narrow" w:eastAsia="Times New Roman" w:hAnsi="Arial Narrow"/>
                <w:b/>
                <w:bCs/>
                <w:sz w:val="20"/>
                <w:szCs w:val="20"/>
              </w:rPr>
            </w:pPr>
          </w:p>
        </w:tc>
      </w:tr>
      <w:tr w:rsidR="00F94BAA" w:rsidRPr="00DD72AC" w14:paraId="005713BF" w14:textId="77777777" w:rsidTr="000F4B65">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3D3D31E" w14:textId="77777777" w:rsidR="00F94BAA" w:rsidRPr="00DD72AC" w:rsidRDefault="00F94BAA" w:rsidP="00F7498C">
            <w:pPr>
              <w:rPr>
                <w:rFonts w:ascii="Arial Narrow" w:eastAsia="Times New Roman" w:hAnsi="Arial Narrow"/>
                <w:b/>
                <w:bCs/>
                <w:sz w:val="20"/>
                <w:szCs w:val="20"/>
              </w:rPr>
            </w:pPr>
          </w:p>
        </w:tc>
      </w:tr>
      <w:tr w:rsidR="00F94BAA" w:rsidRPr="00DD72AC" w14:paraId="18A2B602" w14:textId="77777777" w:rsidTr="00286582">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6248A9B0" w14:textId="77777777" w:rsidR="00F94BAA" w:rsidRPr="00DD72AC" w:rsidRDefault="00F94BAA" w:rsidP="00F7498C">
            <w:pPr>
              <w:rPr>
                <w:rFonts w:ascii="Arial Narrow" w:hAnsi="Arial Narrow"/>
                <w:sz w:val="20"/>
                <w:szCs w:val="20"/>
              </w:rPr>
            </w:pPr>
            <w:r w:rsidRPr="00DD72AC">
              <w:rPr>
                <w:rFonts w:ascii="Arial Narrow" w:hAnsi="Arial Narrow"/>
                <w:b/>
                <w:sz w:val="20"/>
                <w:szCs w:val="20"/>
              </w:rPr>
              <w:t xml:space="preserve">Category / Program: </w:t>
            </w:r>
            <w:r w:rsidRPr="00DD72AC">
              <w:rPr>
                <w:rFonts w:ascii="Arial Narrow" w:hAnsi="Arial Narrow"/>
                <w:sz w:val="20"/>
                <w:szCs w:val="20"/>
              </w:rPr>
              <w:t xml:space="preserve">GENERAL – General Schedule (Code GE) </w:t>
            </w:r>
          </w:p>
        </w:tc>
      </w:tr>
      <w:tr w:rsidR="00F94BAA" w:rsidRPr="00DD72AC" w14:paraId="0DD3EC59" w14:textId="77777777" w:rsidTr="00042BE6">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7"/>
            <w:tcBorders>
              <w:left w:val="single" w:sz="4" w:space="0" w:color="auto"/>
              <w:right w:val="single" w:sz="4" w:space="0" w:color="auto"/>
            </w:tcBorders>
          </w:tcPr>
          <w:p w14:paraId="1F795C3A" w14:textId="77777777" w:rsidR="00F94BAA" w:rsidRPr="00DD72AC" w:rsidRDefault="00F94BAA" w:rsidP="00F7498C">
            <w:pPr>
              <w:rPr>
                <w:rFonts w:ascii="Arial Narrow" w:hAnsi="Arial Narrow"/>
                <w:b/>
                <w:sz w:val="20"/>
                <w:szCs w:val="20"/>
              </w:rPr>
            </w:pPr>
            <w:r w:rsidRPr="00DD72AC">
              <w:rPr>
                <w:rFonts w:ascii="Arial Narrow" w:hAnsi="Arial Narrow"/>
                <w:b/>
                <w:sz w:val="20"/>
                <w:szCs w:val="20"/>
              </w:rPr>
              <w:t xml:space="preserve">Prescriber type: </w:t>
            </w:r>
            <w:r w:rsidRPr="00DD72AC">
              <w:rPr>
                <w:rFonts w:ascii="Arial Narrow" w:hAnsi="Arial Narrow"/>
                <w:sz w:val="20"/>
                <w:szCs w:val="20"/>
              </w:rPr>
              <w:fldChar w:fldCharType="begin" w:fldLock="1">
                <w:ffData>
                  <w:name w:val=""/>
                  <w:enabled/>
                  <w:calcOnExit w:val="0"/>
                  <w:checkBox>
                    <w:sizeAuto/>
                    <w:default w:val="1"/>
                  </w:checkBox>
                </w:ffData>
              </w:fldChar>
            </w:r>
            <w:r w:rsidRPr="00DD72AC">
              <w:rPr>
                <w:rFonts w:ascii="Arial Narrow" w:hAnsi="Arial Narrow"/>
                <w:sz w:val="20"/>
                <w:szCs w:val="20"/>
              </w:rPr>
              <w:instrText xml:space="preserve"> FORMCHECKBOX </w:instrText>
            </w:r>
            <w:r w:rsidR="00FA023D">
              <w:rPr>
                <w:rFonts w:ascii="Arial Narrow" w:hAnsi="Arial Narrow"/>
                <w:sz w:val="20"/>
                <w:szCs w:val="20"/>
              </w:rPr>
            </w:r>
            <w:r w:rsidR="00FA023D">
              <w:rPr>
                <w:rFonts w:ascii="Arial Narrow" w:hAnsi="Arial Narrow"/>
                <w:sz w:val="20"/>
                <w:szCs w:val="20"/>
              </w:rPr>
              <w:fldChar w:fldCharType="separate"/>
            </w:r>
            <w:r w:rsidRPr="00DD72AC">
              <w:rPr>
                <w:rFonts w:ascii="Arial Narrow" w:hAnsi="Arial Narrow"/>
                <w:sz w:val="20"/>
                <w:szCs w:val="20"/>
              </w:rPr>
              <w:fldChar w:fldCharType="end"/>
            </w:r>
            <w:r w:rsidRPr="00DD72AC">
              <w:rPr>
                <w:rFonts w:ascii="Arial Narrow" w:hAnsi="Arial Narrow"/>
                <w:sz w:val="20"/>
                <w:szCs w:val="20"/>
              </w:rPr>
              <w:t xml:space="preserve">Medical Practitioners </w:t>
            </w:r>
            <w:r w:rsidRPr="00DD72AC">
              <w:rPr>
                <w:rFonts w:ascii="Arial Narrow" w:hAnsi="Arial Narrow"/>
                <w:sz w:val="20"/>
                <w:szCs w:val="20"/>
              </w:rPr>
              <w:fldChar w:fldCharType="begin" w:fldLock="1">
                <w:ffData>
                  <w:name w:val=""/>
                  <w:enabled/>
                  <w:calcOnExit w:val="0"/>
                  <w:checkBox>
                    <w:sizeAuto/>
                    <w:default w:val="1"/>
                  </w:checkBox>
                </w:ffData>
              </w:fldChar>
            </w:r>
            <w:r w:rsidRPr="00DD72AC">
              <w:rPr>
                <w:rFonts w:ascii="Arial Narrow" w:hAnsi="Arial Narrow"/>
                <w:sz w:val="20"/>
                <w:szCs w:val="20"/>
              </w:rPr>
              <w:instrText xml:space="preserve"> FORMCHECKBOX </w:instrText>
            </w:r>
            <w:r w:rsidR="00FA023D">
              <w:rPr>
                <w:rFonts w:ascii="Arial Narrow" w:hAnsi="Arial Narrow"/>
                <w:sz w:val="20"/>
                <w:szCs w:val="20"/>
              </w:rPr>
            </w:r>
            <w:r w:rsidR="00FA023D">
              <w:rPr>
                <w:rFonts w:ascii="Arial Narrow" w:hAnsi="Arial Narrow"/>
                <w:sz w:val="20"/>
                <w:szCs w:val="20"/>
              </w:rPr>
              <w:fldChar w:fldCharType="separate"/>
            </w:r>
            <w:r w:rsidRPr="00DD72AC">
              <w:rPr>
                <w:rFonts w:ascii="Arial Narrow" w:hAnsi="Arial Narrow"/>
                <w:sz w:val="20"/>
                <w:szCs w:val="20"/>
              </w:rPr>
              <w:fldChar w:fldCharType="end"/>
            </w:r>
            <w:r w:rsidRPr="00DD72AC">
              <w:rPr>
                <w:rFonts w:ascii="Arial Narrow" w:hAnsi="Arial Narrow"/>
                <w:sz w:val="20"/>
                <w:szCs w:val="20"/>
              </w:rPr>
              <w:t xml:space="preserve">Nurse practitioners  </w:t>
            </w:r>
          </w:p>
        </w:tc>
      </w:tr>
      <w:tr w:rsidR="00F94BAA" w:rsidRPr="00DD72AC" w14:paraId="5139E98F" w14:textId="77777777" w:rsidTr="005358B0">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bottom w:val="single" w:sz="4" w:space="0" w:color="auto"/>
              <w:right w:val="single" w:sz="4" w:space="0" w:color="auto"/>
            </w:tcBorders>
          </w:tcPr>
          <w:p w14:paraId="369A1C3C" w14:textId="77777777" w:rsidR="00F94BAA" w:rsidRPr="00DD72AC" w:rsidRDefault="00F94BAA" w:rsidP="00F7498C">
            <w:pPr>
              <w:rPr>
                <w:rFonts w:ascii="Arial Narrow" w:eastAsia="Calibri" w:hAnsi="Arial Narrow"/>
                <w:sz w:val="20"/>
                <w:szCs w:val="20"/>
              </w:rPr>
            </w:pPr>
            <w:r w:rsidRPr="00DD72AC">
              <w:rPr>
                <w:rFonts w:ascii="Arial Narrow" w:hAnsi="Arial Narrow"/>
                <w:b/>
                <w:sz w:val="20"/>
                <w:szCs w:val="20"/>
              </w:rPr>
              <w:t xml:space="preserve">Restriction type: </w:t>
            </w:r>
            <w:r w:rsidRPr="00DD72AC">
              <w:rPr>
                <w:rFonts w:ascii="Arial Narrow" w:eastAsia="Calibri" w:hAnsi="Arial Narrow"/>
                <w:sz w:val="20"/>
                <w:szCs w:val="20"/>
              </w:rPr>
              <w:fldChar w:fldCharType="begin" w:fldLock="1">
                <w:ffData>
                  <w:name w:val="Check3"/>
                  <w:enabled/>
                  <w:calcOnExit w:val="0"/>
                  <w:checkBox>
                    <w:sizeAuto/>
                    <w:default w:val="1"/>
                  </w:checkBox>
                </w:ffData>
              </w:fldChar>
            </w:r>
            <w:r w:rsidRPr="00DD72AC">
              <w:rPr>
                <w:rFonts w:ascii="Arial Narrow" w:eastAsia="Calibri" w:hAnsi="Arial Narrow"/>
                <w:sz w:val="20"/>
                <w:szCs w:val="20"/>
              </w:rPr>
              <w:instrText xml:space="preserve"> FORMCHECKBOX </w:instrText>
            </w:r>
            <w:r w:rsidR="00FA023D">
              <w:rPr>
                <w:rFonts w:ascii="Arial Narrow" w:eastAsia="Calibri" w:hAnsi="Arial Narrow"/>
                <w:sz w:val="20"/>
                <w:szCs w:val="20"/>
              </w:rPr>
            </w:r>
            <w:r w:rsidR="00FA023D">
              <w:rPr>
                <w:rFonts w:ascii="Arial Narrow" w:eastAsia="Calibri" w:hAnsi="Arial Narrow"/>
                <w:sz w:val="20"/>
                <w:szCs w:val="20"/>
              </w:rPr>
              <w:fldChar w:fldCharType="separate"/>
            </w:r>
            <w:r w:rsidRPr="00DD72AC">
              <w:rPr>
                <w:rFonts w:ascii="Arial Narrow" w:eastAsia="Calibri" w:hAnsi="Arial Narrow"/>
                <w:sz w:val="20"/>
                <w:szCs w:val="20"/>
              </w:rPr>
              <w:fldChar w:fldCharType="end"/>
            </w:r>
            <w:r w:rsidRPr="00DD72AC">
              <w:rPr>
                <w:rFonts w:ascii="Arial Narrow" w:eastAsia="Calibri" w:hAnsi="Arial Narrow"/>
                <w:sz w:val="20"/>
                <w:szCs w:val="20"/>
              </w:rPr>
              <w:t xml:space="preserve">Authority Required (telephone/online PBS Authorities system) </w:t>
            </w:r>
          </w:p>
        </w:tc>
      </w:tr>
      <w:tr w:rsidR="00F94BAA" w:rsidRPr="00DD72AC" w14:paraId="66C29F38" w14:textId="77777777" w:rsidTr="00FF1342">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EF5CCE7" w14:textId="77777777" w:rsidR="00F94BAA" w:rsidRPr="00DD72AC" w:rsidRDefault="00F94BAA" w:rsidP="00F7498C">
            <w:pPr>
              <w:rPr>
                <w:rFonts w:ascii="Arial Narrow" w:eastAsia="Times New Roman" w:hAnsi="Arial Narrow"/>
                <w:bCs/>
                <w:sz w:val="20"/>
                <w:szCs w:val="20"/>
              </w:rPr>
            </w:pPr>
            <w:proofErr w:type="spellStart"/>
            <w:r w:rsidRPr="00DD72AC">
              <w:rPr>
                <w:rFonts w:ascii="Arial Narrow" w:eastAsia="Times New Roman" w:hAnsi="Arial Narrow"/>
                <w:b/>
                <w:bCs/>
                <w:sz w:val="20"/>
                <w:szCs w:val="20"/>
              </w:rPr>
              <w:t>Episodicity</w:t>
            </w:r>
            <w:proofErr w:type="spellEnd"/>
            <w:r w:rsidRPr="00DD72AC">
              <w:rPr>
                <w:rFonts w:ascii="Arial Narrow" w:eastAsia="Times New Roman" w:hAnsi="Arial Narrow"/>
                <w:b/>
                <w:bCs/>
                <w:sz w:val="20"/>
                <w:szCs w:val="20"/>
              </w:rPr>
              <w:t xml:space="preserve">: </w:t>
            </w:r>
            <w:r w:rsidRPr="00DD72AC">
              <w:rPr>
                <w:rFonts w:ascii="Arial Narrow" w:eastAsia="Times New Roman" w:hAnsi="Arial Narrow"/>
                <w:bCs/>
                <w:strike/>
                <w:sz w:val="20"/>
                <w:szCs w:val="20"/>
              </w:rPr>
              <w:t>Chronic</w:t>
            </w:r>
          </w:p>
        </w:tc>
      </w:tr>
      <w:tr w:rsidR="00F94BAA" w:rsidRPr="00DD72AC" w14:paraId="34EB9D6A" w14:textId="77777777" w:rsidTr="00B92F69">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1B841378" w14:textId="77777777" w:rsidR="00F94BAA" w:rsidRPr="00DD72AC" w:rsidRDefault="00F94BAA" w:rsidP="00F7498C">
            <w:pPr>
              <w:rPr>
                <w:rFonts w:ascii="Arial Narrow" w:eastAsia="Times New Roman" w:hAnsi="Arial Narrow"/>
                <w:b/>
                <w:bCs/>
                <w:sz w:val="20"/>
                <w:szCs w:val="20"/>
              </w:rPr>
            </w:pPr>
            <w:r w:rsidRPr="00DD72AC">
              <w:rPr>
                <w:rFonts w:ascii="Arial Narrow" w:eastAsia="Times New Roman" w:hAnsi="Arial Narrow"/>
                <w:b/>
                <w:bCs/>
                <w:sz w:val="20"/>
                <w:szCs w:val="20"/>
              </w:rPr>
              <w:t xml:space="preserve">Severity: </w:t>
            </w:r>
            <w:r w:rsidRPr="00DD72AC">
              <w:rPr>
                <w:rFonts w:ascii="Arial Narrow" w:eastAsia="Times New Roman" w:hAnsi="Arial Narrow"/>
                <w:bCs/>
                <w:sz w:val="20"/>
                <w:szCs w:val="20"/>
              </w:rPr>
              <w:t>[blank]</w:t>
            </w:r>
          </w:p>
        </w:tc>
      </w:tr>
      <w:tr w:rsidR="00F94BAA" w:rsidRPr="00DD72AC" w14:paraId="3811EDD3" w14:textId="77777777" w:rsidTr="00E24375">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8FB344A" w14:textId="77777777" w:rsidR="00F94BAA" w:rsidRPr="00DD72AC" w:rsidRDefault="00F94BAA" w:rsidP="00F7498C">
            <w:pPr>
              <w:rPr>
                <w:rFonts w:ascii="Arial Narrow" w:eastAsia="Times New Roman" w:hAnsi="Arial Narrow"/>
                <w:b/>
                <w:bCs/>
                <w:sz w:val="20"/>
                <w:szCs w:val="20"/>
              </w:rPr>
            </w:pPr>
            <w:r w:rsidRPr="00DD72AC">
              <w:rPr>
                <w:rFonts w:ascii="Arial Narrow" w:eastAsia="Times New Roman" w:hAnsi="Arial Narrow"/>
                <w:b/>
                <w:bCs/>
                <w:sz w:val="20"/>
                <w:szCs w:val="20"/>
              </w:rPr>
              <w:t xml:space="preserve">Condition: </w:t>
            </w:r>
            <w:r w:rsidRPr="00DD72AC">
              <w:rPr>
                <w:rFonts w:ascii="Arial Narrow" w:eastAsia="Times New Roman" w:hAnsi="Arial Narrow"/>
                <w:bCs/>
                <w:sz w:val="20"/>
                <w:szCs w:val="20"/>
              </w:rPr>
              <w:t>Achondroplasia</w:t>
            </w:r>
          </w:p>
        </w:tc>
      </w:tr>
      <w:tr w:rsidR="00F94BAA" w:rsidRPr="00DD72AC" w14:paraId="2E0EDF24" w14:textId="77777777" w:rsidTr="00175F46">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70CB880"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Indication:</w:t>
            </w:r>
            <w:r w:rsidRPr="00DD72AC">
              <w:rPr>
                <w:rFonts w:ascii="Arial Narrow" w:eastAsia="Times New Roman" w:hAnsi="Arial Narrow"/>
                <w:sz w:val="20"/>
                <w:szCs w:val="20"/>
              </w:rPr>
              <w:t xml:space="preserve"> </w:t>
            </w:r>
            <w:r w:rsidRPr="00DD72AC">
              <w:rPr>
                <w:rFonts w:ascii="Arial Narrow" w:eastAsia="Times New Roman" w:hAnsi="Arial Narrow"/>
                <w:strike/>
                <w:sz w:val="20"/>
                <w:szCs w:val="20"/>
              </w:rPr>
              <w:t>Patients with</w:t>
            </w:r>
            <w:r w:rsidRPr="00DD72AC">
              <w:rPr>
                <w:rFonts w:ascii="Arial Narrow" w:eastAsia="Times New Roman" w:hAnsi="Arial Narrow"/>
                <w:sz w:val="20"/>
                <w:szCs w:val="20"/>
              </w:rPr>
              <w:t xml:space="preserve"> </w:t>
            </w:r>
            <w:proofErr w:type="spellStart"/>
            <w:r w:rsidRPr="00DD72AC">
              <w:rPr>
                <w:rFonts w:ascii="Arial Narrow" w:eastAsia="Times New Roman" w:hAnsi="Arial Narrow"/>
                <w:i/>
                <w:iCs/>
                <w:sz w:val="20"/>
                <w:szCs w:val="20"/>
              </w:rPr>
              <w:t>A</w:t>
            </w:r>
            <w:r w:rsidRPr="00DD72AC">
              <w:rPr>
                <w:rFonts w:ascii="Arial Narrow" w:eastAsia="Times New Roman" w:hAnsi="Arial Narrow"/>
                <w:strike/>
                <w:sz w:val="20"/>
                <w:szCs w:val="20"/>
              </w:rPr>
              <w:t>a</w:t>
            </w:r>
            <w:r w:rsidRPr="00DD72AC">
              <w:rPr>
                <w:rFonts w:ascii="Arial Narrow" w:eastAsia="Times New Roman" w:hAnsi="Arial Narrow"/>
                <w:sz w:val="20"/>
                <w:szCs w:val="20"/>
              </w:rPr>
              <w:t>chondroplasia</w:t>
            </w:r>
            <w:proofErr w:type="spellEnd"/>
          </w:p>
        </w:tc>
      </w:tr>
      <w:tr w:rsidR="00F94BAA" w:rsidRPr="00DD72AC" w14:paraId="22AB920F" w14:textId="77777777" w:rsidTr="00863255">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AA54DEF"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Treatment Phase:</w:t>
            </w:r>
            <w:r w:rsidRPr="00DD72AC">
              <w:rPr>
                <w:rFonts w:ascii="Arial Narrow" w:eastAsia="Times New Roman" w:hAnsi="Arial Narrow"/>
                <w:sz w:val="20"/>
                <w:szCs w:val="20"/>
              </w:rPr>
              <w:t xml:space="preserve"> Grandfather (transition from non-PBS subsidised treatment)</w:t>
            </w:r>
          </w:p>
        </w:tc>
      </w:tr>
      <w:tr w:rsidR="00F94BAA" w:rsidRPr="00DD72AC" w14:paraId="71749E45" w14:textId="77777777" w:rsidTr="00881848">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799F5B0B" w14:textId="77777777" w:rsidR="00F94BAA" w:rsidRPr="00DD72AC" w:rsidRDefault="00F94BAA" w:rsidP="00F7498C">
            <w:pPr>
              <w:rPr>
                <w:rFonts w:ascii="Arial Narrow" w:eastAsia="Times New Roman" w:hAnsi="Arial Narrow"/>
                <w:i/>
                <w:iCs/>
                <w:sz w:val="20"/>
                <w:szCs w:val="20"/>
              </w:rPr>
            </w:pPr>
            <w:r w:rsidRPr="00DD72AC">
              <w:rPr>
                <w:rFonts w:ascii="Arial Narrow" w:eastAsia="Times New Roman" w:hAnsi="Arial Narrow"/>
                <w:b/>
                <w:bCs/>
                <w:i/>
                <w:iCs/>
                <w:sz w:val="20"/>
                <w:szCs w:val="20"/>
              </w:rPr>
              <w:t xml:space="preserve">Clinical criteria: </w:t>
            </w:r>
          </w:p>
        </w:tc>
      </w:tr>
      <w:tr w:rsidR="00F94BAA" w:rsidRPr="00DD72AC" w14:paraId="751F094F" w14:textId="77777777" w:rsidTr="00EE0C7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7422C651" w14:textId="77777777" w:rsidR="00F94BAA" w:rsidRPr="00DD72AC" w:rsidRDefault="00F94BAA" w:rsidP="00F7498C">
            <w:pPr>
              <w:pStyle w:val="PBACTabletext"/>
              <w:rPr>
                <w:i/>
                <w:iCs/>
                <w:szCs w:val="20"/>
                <w:lang w:eastAsia="en-AU"/>
              </w:rPr>
            </w:pPr>
            <w:r w:rsidRPr="00DD72AC">
              <w:rPr>
                <w:rFonts w:eastAsiaTheme="minorHAnsi" w:cs="Arial Narrow"/>
                <w:i/>
                <w:iCs/>
                <w:szCs w:val="20"/>
                <w:lang w:eastAsia="en-US"/>
              </w:rPr>
              <w:lastRenderedPageBreak/>
              <w:t xml:space="preserve">Patient must have a diagnosis of achondroplasia, confirmed by appropriate genetic testing </w:t>
            </w:r>
          </w:p>
        </w:tc>
      </w:tr>
      <w:tr w:rsidR="00F94BAA" w:rsidRPr="00DD72AC" w14:paraId="0B2D751D" w14:textId="77777777" w:rsidTr="00463375">
        <w:tblPrEx>
          <w:tblCellMar>
            <w:top w:w="15" w:type="dxa"/>
            <w:left w:w="15" w:type="dxa"/>
            <w:bottom w:w="15" w:type="dxa"/>
            <w:right w:w="15" w:type="dxa"/>
          </w:tblCellMar>
          <w:tblLook w:val="04A0" w:firstRow="1" w:lastRow="0" w:firstColumn="1" w:lastColumn="0" w:noHBand="0" w:noVBand="1"/>
        </w:tblPrEx>
        <w:tc>
          <w:tcPr>
            <w:tcW w:w="9067" w:type="dxa"/>
            <w:gridSpan w:val="7"/>
          </w:tcPr>
          <w:p w14:paraId="36D4577F" w14:textId="77777777" w:rsidR="00F94BAA" w:rsidRPr="00DD72AC" w:rsidRDefault="00F94BAA" w:rsidP="00F7498C">
            <w:pPr>
              <w:pStyle w:val="PBACTabletext"/>
              <w:rPr>
                <w:rFonts w:cs="Times New Roman"/>
                <w:b/>
                <w:bCs/>
                <w:szCs w:val="20"/>
                <w:lang w:eastAsia="en-AU"/>
              </w:rPr>
            </w:pPr>
            <w:r w:rsidRPr="00DD72AC">
              <w:rPr>
                <w:rFonts w:cs="Times New Roman"/>
                <w:b/>
                <w:bCs/>
                <w:szCs w:val="20"/>
                <w:lang w:eastAsia="en-AU"/>
              </w:rPr>
              <w:t>AND</w:t>
            </w:r>
          </w:p>
        </w:tc>
      </w:tr>
      <w:tr w:rsidR="00F94BAA" w:rsidRPr="00DD72AC" w14:paraId="77751730" w14:textId="77777777" w:rsidTr="00C74431">
        <w:tblPrEx>
          <w:tblCellMar>
            <w:top w:w="15" w:type="dxa"/>
            <w:left w:w="15" w:type="dxa"/>
            <w:bottom w:w="15" w:type="dxa"/>
            <w:right w:w="15" w:type="dxa"/>
          </w:tblCellMar>
          <w:tblLook w:val="04A0" w:firstRow="1" w:lastRow="0" w:firstColumn="1" w:lastColumn="0" w:noHBand="0" w:noVBand="1"/>
        </w:tblPrEx>
        <w:tc>
          <w:tcPr>
            <w:tcW w:w="9067" w:type="dxa"/>
            <w:gridSpan w:val="7"/>
          </w:tcPr>
          <w:p w14:paraId="1774D0A5" w14:textId="77777777" w:rsidR="00F94BAA" w:rsidRPr="00DD72AC" w:rsidRDefault="00F94BAA" w:rsidP="00F7498C">
            <w:pPr>
              <w:pStyle w:val="PBACTabletext"/>
              <w:rPr>
                <w:rFonts w:cs="Times New Roman"/>
                <w:b/>
                <w:bCs/>
                <w:szCs w:val="20"/>
                <w:lang w:eastAsia="en-AU"/>
              </w:rPr>
            </w:pPr>
            <w:r w:rsidRPr="00DD72AC">
              <w:rPr>
                <w:rFonts w:cs="Times New Roman"/>
                <w:b/>
                <w:bCs/>
                <w:szCs w:val="20"/>
                <w:lang w:eastAsia="en-AU"/>
              </w:rPr>
              <w:t>Clinical criteria:</w:t>
            </w:r>
          </w:p>
        </w:tc>
      </w:tr>
      <w:tr w:rsidR="00F94BAA" w:rsidRPr="00DD72AC" w14:paraId="63344C2E" w14:textId="77777777" w:rsidTr="00882A67">
        <w:tblPrEx>
          <w:tblCellMar>
            <w:top w:w="15" w:type="dxa"/>
            <w:left w:w="15" w:type="dxa"/>
            <w:bottom w:w="15" w:type="dxa"/>
            <w:right w:w="15" w:type="dxa"/>
          </w:tblCellMar>
          <w:tblLook w:val="04A0" w:firstRow="1" w:lastRow="0" w:firstColumn="1" w:lastColumn="0" w:noHBand="0" w:noVBand="1"/>
        </w:tblPrEx>
        <w:tc>
          <w:tcPr>
            <w:tcW w:w="9067" w:type="dxa"/>
            <w:gridSpan w:val="7"/>
          </w:tcPr>
          <w:p w14:paraId="583ACF6C" w14:textId="77777777" w:rsidR="00F94BAA" w:rsidRPr="00DD72AC" w:rsidRDefault="00F94BAA" w:rsidP="00F7498C">
            <w:pPr>
              <w:pStyle w:val="PBACTabletext"/>
              <w:rPr>
                <w:rFonts w:cs="Times New Roman"/>
                <w:b/>
                <w:bCs/>
                <w:szCs w:val="20"/>
                <w:lang w:eastAsia="en-AU"/>
              </w:rPr>
            </w:pPr>
            <w:r w:rsidRPr="00DD72AC">
              <w:rPr>
                <w:rFonts w:eastAsiaTheme="minorHAnsi" w:cs="Arial Narrow"/>
                <w:iCs/>
                <w:szCs w:val="20"/>
                <w:lang w:eastAsia="en-US"/>
              </w:rPr>
              <w:t>The patient must have received non-PBS subsidised vosoritide treatment for this condition prior to [listing date to be inserted]</w:t>
            </w:r>
          </w:p>
        </w:tc>
      </w:tr>
      <w:tr w:rsidR="00F94BAA" w:rsidRPr="00DD72AC" w14:paraId="41E19B91" w14:textId="77777777" w:rsidTr="004536C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1881AD49"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AND</w:t>
            </w:r>
          </w:p>
        </w:tc>
      </w:tr>
      <w:tr w:rsidR="00F94BAA" w:rsidRPr="00DD72AC" w14:paraId="0508B750" w14:textId="77777777" w:rsidTr="008479F1">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6A1B77C"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Clinical criteria:</w:t>
            </w:r>
          </w:p>
        </w:tc>
      </w:tr>
      <w:tr w:rsidR="00F94BAA" w:rsidRPr="00DD72AC" w14:paraId="1DF4AC2B" w14:textId="77777777" w:rsidTr="006E61D1">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A3492E9" w14:textId="0D194549" w:rsidR="00F94BAA" w:rsidRPr="00DD72AC" w:rsidRDefault="00F94BAA" w:rsidP="00F7498C">
            <w:pPr>
              <w:pStyle w:val="PBACTabletext"/>
              <w:rPr>
                <w:rFonts w:eastAsiaTheme="minorHAnsi" w:cs="Arial Narrow"/>
                <w:iCs/>
                <w:szCs w:val="20"/>
                <w:lang w:eastAsia="en-US"/>
              </w:rPr>
            </w:pPr>
            <w:r w:rsidRPr="00DD72AC">
              <w:rPr>
                <w:rFonts w:eastAsiaTheme="minorHAnsi" w:cs="Arial Narrow"/>
                <w:iCs/>
                <w:strike/>
                <w:szCs w:val="20"/>
                <w:lang w:eastAsia="en-US"/>
              </w:rPr>
              <w:t xml:space="preserve">The </w:t>
            </w:r>
            <w:proofErr w:type="spellStart"/>
            <w:r w:rsidRPr="00DD72AC">
              <w:rPr>
                <w:rFonts w:eastAsiaTheme="minorHAnsi" w:cs="Arial Narrow"/>
                <w:i/>
                <w:strike/>
                <w:szCs w:val="20"/>
                <w:lang w:eastAsia="en-US"/>
              </w:rPr>
              <w:t>p</w:t>
            </w:r>
            <w:r w:rsidRPr="00DD72AC">
              <w:rPr>
                <w:rFonts w:eastAsiaTheme="minorHAnsi" w:cs="Arial Narrow"/>
                <w:i/>
                <w:szCs w:val="20"/>
                <w:lang w:eastAsia="en-US"/>
              </w:rPr>
              <w:t>P</w:t>
            </w:r>
            <w:r w:rsidRPr="00DD72AC">
              <w:rPr>
                <w:rFonts w:eastAsiaTheme="minorHAnsi" w:cs="Arial Narrow"/>
                <w:iCs/>
                <w:szCs w:val="20"/>
                <w:lang w:eastAsia="en-US"/>
              </w:rPr>
              <w:t>atient</w:t>
            </w:r>
            <w:proofErr w:type="spellEnd"/>
            <w:r w:rsidRPr="00DD72AC">
              <w:rPr>
                <w:rFonts w:eastAsiaTheme="minorHAnsi" w:cs="Arial Narrow"/>
                <w:iCs/>
                <w:szCs w:val="20"/>
                <w:lang w:eastAsia="en-US"/>
              </w:rPr>
              <w:t xml:space="preserve"> must not have evidence of growth plate closure </w:t>
            </w:r>
            <w:r w:rsidRPr="00DD72AC">
              <w:rPr>
                <w:rFonts w:eastAsiaTheme="minorHAnsi" w:cs="Arial Narrow"/>
                <w:i/>
                <w:szCs w:val="20"/>
                <w:lang w:eastAsia="en-US"/>
              </w:rPr>
              <w:t>either: i)</w:t>
            </w:r>
            <w:r w:rsidRPr="00DD72AC">
              <w:rPr>
                <w:rFonts w:eastAsiaTheme="minorHAnsi" w:cs="Arial Narrow"/>
                <w:iCs/>
                <w:szCs w:val="20"/>
                <w:lang w:eastAsia="en-US"/>
              </w:rPr>
              <w:t xml:space="preserve"> confirmed through bilateral lower extremity X-rays (proximal tibia, distal femur); </w:t>
            </w:r>
            <w:r w:rsidRPr="00DD72AC">
              <w:rPr>
                <w:rFonts w:eastAsiaTheme="minorHAnsi" w:cs="Arial Narrow"/>
                <w:i/>
                <w:szCs w:val="20"/>
                <w:lang w:eastAsia="en-US"/>
              </w:rPr>
              <w:t xml:space="preserve">ii) </w:t>
            </w:r>
            <w:r w:rsidRPr="00DD72AC">
              <w:rPr>
                <w:rFonts w:eastAsiaTheme="minorHAnsi" w:cs="Arial Narrow"/>
                <w:iCs/>
                <w:szCs w:val="20"/>
                <w:lang w:eastAsia="en-US"/>
              </w:rPr>
              <w:t xml:space="preserve"> </w:t>
            </w:r>
            <w:r w:rsidRPr="00DD72AC">
              <w:rPr>
                <w:rFonts w:eastAsiaTheme="minorHAnsi" w:cs="Arial Narrow"/>
                <w:iCs/>
                <w:strike/>
                <w:szCs w:val="20"/>
                <w:lang w:eastAsia="en-US"/>
              </w:rPr>
              <w:t xml:space="preserve">OR </w:t>
            </w:r>
            <w:r w:rsidRPr="00DD72AC">
              <w:rPr>
                <w:rFonts w:cs="Arial Narrow"/>
                <w:iCs/>
                <w:szCs w:val="20"/>
                <w:lang w:eastAsia="en-US"/>
              </w:rPr>
              <w:t xml:space="preserve">demonstrated by </w:t>
            </w:r>
            <w:r w:rsidRPr="00DD72AC">
              <w:rPr>
                <w:rFonts w:cs="Arial Narrow"/>
                <w:i/>
                <w:szCs w:val="20"/>
                <w:lang w:eastAsia="en-US"/>
              </w:rPr>
              <w:t xml:space="preserve">an annual </w:t>
            </w:r>
            <w:r w:rsidRPr="00DD72AC">
              <w:rPr>
                <w:rFonts w:cs="Arial Narrow"/>
                <w:iCs/>
                <w:strike/>
                <w:szCs w:val="20"/>
                <w:lang w:eastAsia="en-US"/>
              </w:rPr>
              <w:t xml:space="preserve">decreased </w:t>
            </w:r>
            <w:r w:rsidRPr="00DD72AC">
              <w:rPr>
                <w:rFonts w:cs="Arial Narrow"/>
                <w:iCs/>
                <w:szCs w:val="20"/>
                <w:lang w:eastAsia="en-US"/>
              </w:rPr>
              <w:t xml:space="preserve">growth velocity of </w:t>
            </w:r>
            <w:r w:rsidRPr="00DD72AC">
              <w:rPr>
                <w:rFonts w:cs="Arial Narrow"/>
                <w:iCs/>
                <w:strike/>
                <w:szCs w:val="20"/>
                <w:lang w:eastAsia="en-US"/>
              </w:rPr>
              <w:t>(</w:t>
            </w:r>
            <w:proofErr w:type="spellStart"/>
            <w:r w:rsidRPr="00DD72AC">
              <w:rPr>
                <w:rFonts w:cs="Arial Narrow"/>
                <w:iCs/>
                <w:strike/>
                <w:szCs w:val="20"/>
                <w:lang w:eastAsia="en-US"/>
              </w:rPr>
              <w:t>ie</w:t>
            </w:r>
            <w:proofErr w:type="spellEnd"/>
            <w:r w:rsidRPr="00DD72AC">
              <w:rPr>
                <w:rFonts w:cs="Arial Narrow"/>
                <w:iCs/>
                <w:strike/>
                <w:szCs w:val="20"/>
                <w:lang w:eastAsia="en-US"/>
              </w:rPr>
              <w:t>, annual growth velocity</w:t>
            </w:r>
            <w:r w:rsidRPr="00DD72AC">
              <w:rPr>
                <w:rFonts w:cs="Arial Narrow"/>
                <w:iCs/>
                <w:szCs w:val="20"/>
                <w:lang w:eastAsia="en-US"/>
              </w:rPr>
              <w:t xml:space="preserve"> less than 1.5 cm/year</w:t>
            </w:r>
            <w:r w:rsidRPr="00DD72AC">
              <w:rPr>
                <w:rFonts w:cs="Arial Narrow"/>
                <w:iCs/>
                <w:strike/>
                <w:szCs w:val="20"/>
                <w:lang w:eastAsia="en-US"/>
              </w:rPr>
              <w:t>)</w:t>
            </w:r>
            <w:r w:rsidRPr="00DD72AC">
              <w:rPr>
                <w:rFonts w:cs="Arial Narrow"/>
                <w:iCs/>
                <w:szCs w:val="20"/>
                <w:lang w:eastAsia="en-US"/>
              </w:rPr>
              <w:t xml:space="preserve"> </w:t>
            </w:r>
            <w:r w:rsidRPr="00DD72AC">
              <w:rPr>
                <w:rFonts w:cs="Arial Narrow"/>
                <w:i/>
                <w:szCs w:val="20"/>
                <w:lang w:eastAsia="en-US"/>
              </w:rPr>
              <w:t>as assessed over a period of at least 6 months.</w:t>
            </w:r>
          </w:p>
        </w:tc>
      </w:tr>
      <w:tr w:rsidR="00F94BAA" w:rsidRPr="00DD72AC" w14:paraId="46F2A728" w14:textId="77777777" w:rsidTr="00253AF3">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4806C64F"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Treatment criteria:</w:t>
            </w:r>
          </w:p>
        </w:tc>
      </w:tr>
      <w:tr w:rsidR="00F94BAA" w:rsidRPr="00DD72AC" w14:paraId="2AB202CC" w14:textId="77777777" w:rsidTr="00750C7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DF67AA7" w14:textId="77777777" w:rsidR="00F94BAA" w:rsidRPr="00DD72AC" w:rsidRDefault="00F94BAA" w:rsidP="00F7498C">
            <w:pPr>
              <w:autoSpaceDE w:val="0"/>
              <w:autoSpaceDN w:val="0"/>
              <w:adjustRightInd w:val="0"/>
              <w:rPr>
                <w:rFonts w:ascii="Arial Narrow" w:hAnsi="Arial Narrow" w:cs="Arial Narrow"/>
                <w:iCs/>
                <w:sz w:val="20"/>
                <w:szCs w:val="20"/>
              </w:rPr>
            </w:pPr>
            <w:r w:rsidRPr="00DD72AC">
              <w:rPr>
                <w:rFonts w:ascii="Arial Narrow" w:hAnsi="Arial Narrow" w:cs="Arial Narrow"/>
                <w:iCs/>
                <w:sz w:val="20"/>
                <w:szCs w:val="20"/>
              </w:rPr>
              <w:t xml:space="preserve">Must be treated by a medical specialist, experienced in the management of achondroplasia; </w:t>
            </w:r>
          </w:p>
          <w:p w14:paraId="63CC2B9D" w14:textId="632EF935" w:rsidR="00F94BAA" w:rsidRPr="00DD72AC" w:rsidRDefault="00F94BAA" w:rsidP="00F7498C">
            <w:pPr>
              <w:autoSpaceDE w:val="0"/>
              <w:autoSpaceDN w:val="0"/>
              <w:adjustRightInd w:val="0"/>
              <w:rPr>
                <w:rFonts w:ascii="Arial Narrow" w:hAnsi="Arial Narrow" w:cs="Arial Narrow"/>
                <w:i/>
                <w:iCs/>
                <w:sz w:val="20"/>
                <w:szCs w:val="20"/>
              </w:rPr>
            </w:pPr>
            <w:r w:rsidRPr="00DD72AC">
              <w:rPr>
                <w:rFonts w:ascii="Arial Narrow" w:hAnsi="Arial Narrow" w:cs="Arial Narrow"/>
                <w:iCs/>
                <w:sz w:val="20"/>
                <w:szCs w:val="20"/>
              </w:rPr>
              <w:t>Must be treated by a nurse practitioner experienced in the treatment of achondroplasia in consultation with a medical specialist experienced in the management of achondroplasia</w:t>
            </w:r>
          </w:p>
        </w:tc>
      </w:tr>
      <w:tr w:rsidR="00F94BAA" w:rsidRPr="00DD72AC" w14:paraId="081A23F8" w14:textId="77777777" w:rsidTr="00250C6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A58F57C" w14:textId="77777777" w:rsidR="00F94BAA" w:rsidRPr="00DD72AC" w:rsidRDefault="00F94BAA" w:rsidP="00F7498C">
            <w:pPr>
              <w:rPr>
                <w:rFonts w:ascii="Arial Narrow" w:eastAsia="Times New Roman" w:hAnsi="Arial Narrow"/>
                <w:bCs/>
                <w:sz w:val="20"/>
                <w:szCs w:val="20"/>
              </w:rPr>
            </w:pPr>
            <w:r w:rsidRPr="00DD72AC">
              <w:rPr>
                <w:rFonts w:ascii="Arial Narrow" w:eastAsia="Times New Roman" w:hAnsi="Arial Narrow"/>
                <w:b/>
                <w:bCs/>
                <w:sz w:val="20"/>
                <w:szCs w:val="20"/>
              </w:rPr>
              <w:t xml:space="preserve">Administrative Advice: </w:t>
            </w:r>
          </w:p>
          <w:p w14:paraId="21CE72E3" w14:textId="77777777" w:rsidR="00F94BAA" w:rsidRPr="00DD72AC" w:rsidRDefault="00F94BAA" w:rsidP="00F7498C">
            <w:pPr>
              <w:rPr>
                <w:rFonts w:ascii="Arial Narrow" w:eastAsia="Times New Roman" w:hAnsi="Arial Narrow"/>
                <w:bCs/>
                <w:sz w:val="20"/>
                <w:szCs w:val="20"/>
              </w:rPr>
            </w:pPr>
            <w:r w:rsidRPr="00DD72AC">
              <w:rPr>
                <w:rFonts w:ascii="Arial Narrow" w:eastAsia="Times New Roman"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F94BAA" w:rsidRPr="00DD72AC" w14:paraId="07E3A2C9" w14:textId="77777777" w:rsidTr="00A52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26A44B25" w14:textId="77777777" w:rsidR="00F94BAA" w:rsidRPr="00DD72AC" w:rsidRDefault="00F94BAA" w:rsidP="00F7498C">
            <w:pPr>
              <w:rPr>
                <w:rFonts w:ascii="Arial Narrow" w:eastAsia="Times New Roman" w:hAnsi="Arial Narrow"/>
                <w:b/>
                <w:bCs/>
                <w:i/>
                <w:iCs/>
                <w:sz w:val="20"/>
                <w:szCs w:val="20"/>
              </w:rPr>
            </w:pPr>
            <w:r w:rsidRPr="00DD72AC">
              <w:rPr>
                <w:rFonts w:ascii="Arial Narrow" w:eastAsia="Times New Roman" w:hAnsi="Arial Narrow"/>
                <w:b/>
                <w:bCs/>
                <w:i/>
                <w:iCs/>
                <w:sz w:val="20"/>
                <w:szCs w:val="20"/>
              </w:rPr>
              <w:t xml:space="preserve">Administrative advice: </w:t>
            </w:r>
            <w:r w:rsidRPr="00DD72AC">
              <w:rPr>
                <w:rFonts w:ascii="Arial Narrow" w:eastAsia="Times New Roman" w:hAnsi="Arial Narrow"/>
                <w:i/>
                <w:iCs/>
                <w:sz w:val="20"/>
                <w:szCs w:val="20"/>
              </w:rPr>
              <w:t>Patients may qualify for PBS-subsidised treatment under this restriction once only. For continuing PBS-subsidised treatment, a 'Grandfathered' patient must qualify under the 'Continuing treatment' criteria.</w:t>
            </w:r>
          </w:p>
        </w:tc>
      </w:tr>
      <w:tr w:rsidR="00F94BAA" w:rsidRPr="00DD72AC" w14:paraId="5B596CF3" w14:textId="77777777" w:rsidTr="00954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74116B97" w14:textId="77777777" w:rsidR="00F94BAA" w:rsidRPr="00DD72AC" w:rsidRDefault="00F94BAA" w:rsidP="00F7498C">
            <w:pPr>
              <w:rPr>
                <w:rFonts w:ascii="Arial Narrow" w:eastAsia="Times New Roman" w:hAnsi="Arial Narrow"/>
                <w:b/>
                <w:bCs/>
                <w:i/>
                <w:iCs/>
                <w:sz w:val="20"/>
                <w:szCs w:val="20"/>
              </w:rPr>
            </w:pPr>
            <w:r w:rsidRPr="00DD72AC">
              <w:rPr>
                <w:rFonts w:ascii="Arial Narrow" w:eastAsia="Times New Roman" w:hAnsi="Arial Narrow"/>
                <w:b/>
                <w:bCs/>
                <w:i/>
                <w:iCs/>
                <w:sz w:val="20"/>
                <w:szCs w:val="20"/>
              </w:rPr>
              <w:t xml:space="preserve">Administrative advice: </w:t>
            </w:r>
            <w:r w:rsidRPr="00DD72AC">
              <w:rPr>
                <w:rFonts w:ascii="Arial Narrow" w:eastAsia="Times New Roman" w:hAnsi="Arial Narrow"/>
                <w:i/>
                <w:iCs/>
                <w:sz w:val="20"/>
                <w:szCs w:val="20"/>
              </w:rPr>
              <w:t>This grandfather restriction will cease to operate from 12 months after the date specified in the clinical criteria.</w:t>
            </w:r>
          </w:p>
        </w:tc>
      </w:tr>
    </w:tbl>
    <w:p w14:paraId="2FCF6DCA" w14:textId="77777777" w:rsidR="00E23C59" w:rsidRPr="00DD72AC" w:rsidRDefault="00E23C59" w:rsidP="004B1CB4"/>
    <w:p w14:paraId="3F6C6153" w14:textId="381E5332" w:rsidR="00300F76" w:rsidRPr="00DD72AC" w:rsidRDefault="00300F76" w:rsidP="00642BC1">
      <w:pPr>
        <w:pStyle w:val="3-BodyText"/>
      </w:pPr>
      <w:r w:rsidRPr="00DD72AC">
        <w:t xml:space="preserve">The submission proposed </w:t>
      </w:r>
      <w:r w:rsidR="00A960F3" w:rsidRPr="00DD72AC">
        <w:t>the same</w:t>
      </w:r>
      <w:r w:rsidRPr="00DD72AC">
        <w:t xml:space="preserve"> </w:t>
      </w:r>
      <w:r w:rsidR="002443EB" w:rsidRPr="00DD72AC">
        <w:t>DPMQ</w:t>
      </w:r>
      <w:r w:rsidR="005E6BEA" w:rsidRPr="00DD72AC">
        <w:t xml:space="preserve"> </w:t>
      </w:r>
      <w:r w:rsidR="002443EB" w:rsidRPr="00DD72AC">
        <w:t>for vosoritide</w:t>
      </w:r>
      <w:r w:rsidR="00A960F3" w:rsidRPr="00DD72AC">
        <w:t xml:space="preserve"> (</w:t>
      </w:r>
      <w:r w:rsidR="005E6BEA" w:rsidRPr="00DD72AC">
        <w:t>published $</w:t>
      </w:r>
      <w:r w:rsidR="00C97261" w:rsidRPr="005A0147">
        <w:rPr>
          <w:color w:val="000000"/>
          <w:spacing w:val="20"/>
          <w:w w:val="45"/>
          <w:shd w:val="solid" w:color="000000" w:fill="000000"/>
          <w:fitText w:val="630" w:id="-1435792126"/>
          <w14:textFill>
            <w14:solidFill>
              <w14:srgbClr w14:val="000000">
                <w14:alpha w14:val="100000"/>
              </w14:srgbClr>
            </w14:solidFill>
          </w14:textFill>
        </w:rPr>
        <w:t>||||  |||</w:t>
      </w:r>
      <w:r w:rsidR="00C97261" w:rsidRPr="005A0147">
        <w:rPr>
          <w:color w:val="000000"/>
          <w:spacing w:val="4"/>
          <w:w w:val="45"/>
          <w:shd w:val="solid" w:color="000000" w:fill="000000"/>
          <w:fitText w:val="630" w:id="-1435792126"/>
          <w14:textFill>
            <w14:solidFill>
              <w14:srgbClr w14:val="000000">
                <w14:alpha w14:val="100000"/>
              </w14:srgbClr>
            </w14:solidFill>
          </w14:textFill>
        </w:rPr>
        <w:t>|</w:t>
      </w:r>
      <w:r w:rsidR="002443EB" w:rsidRPr="00DD72AC">
        <w:t xml:space="preserve"> and effective $</w:t>
      </w:r>
      <w:r w:rsidR="00C97261" w:rsidRPr="00DA600A">
        <w:rPr>
          <w:color w:val="000000"/>
          <w:w w:val="15"/>
          <w:shd w:val="solid" w:color="000000" w:fill="000000"/>
          <w:fitText w:val="-20" w:id="-1435792125"/>
          <w14:textFill>
            <w14:solidFill>
              <w14:srgbClr w14:val="000000">
                <w14:alpha w14:val="100000"/>
              </w14:srgbClr>
            </w14:solidFill>
          </w14:textFill>
        </w:rPr>
        <w:t xml:space="preserve">|  </w:t>
      </w:r>
      <w:r w:rsidR="00C97261" w:rsidRPr="00DA600A">
        <w:rPr>
          <w:color w:val="000000"/>
          <w:spacing w:val="-69"/>
          <w:w w:val="15"/>
          <w:shd w:val="solid" w:color="000000" w:fill="000000"/>
          <w:fitText w:val="-20" w:id="-1435792125"/>
          <w14:textFill>
            <w14:solidFill>
              <w14:srgbClr w14:val="000000">
                <w14:alpha w14:val="100000"/>
              </w14:srgbClr>
            </w14:solidFill>
          </w14:textFill>
        </w:rPr>
        <w:t>|</w:t>
      </w:r>
      <w:r w:rsidR="00A960F3" w:rsidRPr="00DD72AC">
        <w:t>) across all three strengths</w:t>
      </w:r>
      <w:r w:rsidR="005E6BEA" w:rsidRPr="00DD72AC">
        <w:t>.</w:t>
      </w:r>
      <w:r w:rsidRPr="00DD72AC">
        <w:t xml:space="preserve"> </w:t>
      </w:r>
    </w:p>
    <w:p w14:paraId="25DC6F74" w14:textId="068A014F" w:rsidR="0015214F" w:rsidRPr="00DD72AC" w:rsidRDefault="0015214F" w:rsidP="00747E89">
      <w:pPr>
        <w:pStyle w:val="3-BodyText"/>
        <w:rPr>
          <w:color w:val="0066FF"/>
        </w:rPr>
      </w:pPr>
      <w:r w:rsidRPr="00DD72AC">
        <w:t>The submission proposed a</w:t>
      </w:r>
      <w:r w:rsidR="004E2FFE" w:rsidRPr="00DD72AC">
        <w:t xml:space="preserve"> Special Pricing Arrangement (</w:t>
      </w:r>
      <w:r w:rsidRPr="00DD72AC">
        <w:t>SPA</w:t>
      </w:r>
      <w:r w:rsidR="004E2FFE" w:rsidRPr="00DD72AC">
        <w:t>)</w:t>
      </w:r>
      <w:r w:rsidRPr="00DD72AC">
        <w:t xml:space="preserve"> for vosoritide, presented as effective AEMP and effective DPMQ.</w:t>
      </w:r>
    </w:p>
    <w:p w14:paraId="77C3AD52" w14:textId="391550F1" w:rsidR="00CC61C2" w:rsidRPr="00DD72AC" w:rsidRDefault="00CC61C2" w:rsidP="00747E89">
      <w:pPr>
        <w:pStyle w:val="3-BodyText"/>
        <w:rPr>
          <w:color w:val="0066FF"/>
        </w:rPr>
      </w:pPr>
      <w:r w:rsidRPr="00DD72AC">
        <w:t xml:space="preserve">The requested </w:t>
      </w:r>
      <w:r w:rsidR="00A32DE6" w:rsidRPr="00DD72AC">
        <w:t xml:space="preserve">PBS </w:t>
      </w:r>
      <w:r w:rsidRPr="00DD72AC">
        <w:t xml:space="preserve">restriction is </w:t>
      </w:r>
      <w:r w:rsidR="0003675B" w:rsidRPr="00DD72AC">
        <w:t xml:space="preserve">not </w:t>
      </w:r>
      <w:r w:rsidRPr="00DD72AC">
        <w:t xml:space="preserve">consistent with the (proposed) TGA indication, the </w:t>
      </w:r>
      <w:r w:rsidR="007249BE" w:rsidRPr="00DD72AC">
        <w:t xml:space="preserve">clinical </w:t>
      </w:r>
      <w:r w:rsidRPr="00DD72AC">
        <w:t xml:space="preserve">evidence presented, </w:t>
      </w:r>
      <w:r w:rsidR="0003675B" w:rsidRPr="00DD72AC">
        <w:t xml:space="preserve">or </w:t>
      </w:r>
      <w:r w:rsidRPr="00DD72AC">
        <w:t xml:space="preserve">the </w:t>
      </w:r>
      <w:r w:rsidR="00720877" w:rsidRPr="00DD72AC">
        <w:t>population included in</w:t>
      </w:r>
      <w:r w:rsidR="007249BE" w:rsidRPr="00DD72AC">
        <w:t xml:space="preserve"> the </w:t>
      </w:r>
      <w:r w:rsidRPr="00DD72AC">
        <w:t xml:space="preserve">economic model. The main difference is that the proposed PBS restriction does not </w:t>
      </w:r>
      <w:r w:rsidR="00BE2FF4" w:rsidRPr="00DD72AC">
        <w:t xml:space="preserve">include </w:t>
      </w:r>
      <w:r w:rsidRPr="00DD72AC">
        <w:t>age</w:t>
      </w:r>
      <w:r w:rsidR="00BE2FF4" w:rsidRPr="00DD72AC">
        <w:t xml:space="preserve"> criteria</w:t>
      </w:r>
      <w:r w:rsidRPr="00DD72AC">
        <w:t xml:space="preserve">. The proposed TGA indication is for patients 2 years of age and older. </w:t>
      </w:r>
      <w:r w:rsidR="002757FF" w:rsidRPr="00DD72AC">
        <w:t>The clinical evidence provided include</w:t>
      </w:r>
      <w:r w:rsidR="003573A5" w:rsidRPr="00DD72AC">
        <w:t>d</w:t>
      </w:r>
      <w:r w:rsidR="002757FF" w:rsidRPr="00DD72AC">
        <w:t xml:space="preserve"> </w:t>
      </w:r>
      <w:r w:rsidRPr="00DD72AC">
        <w:t>a clinical trial in patients aged ≥5 years (</w:t>
      </w:r>
      <w:r w:rsidR="00A960F3" w:rsidRPr="00DD72AC">
        <w:t>S</w:t>
      </w:r>
      <w:r w:rsidRPr="00DD72AC">
        <w:t>tudy 111-301) and another clinical trial in patients 0 to &lt;5 years (</w:t>
      </w:r>
      <w:r w:rsidR="00A960F3" w:rsidRPr="00DD72AC">
        <w:t xml:space="preserve">Study </w:t>
      </w:r>
      <w:r w:rsidRPr="00DD72AC">
        <w:t>111-206)</w:t>
      </w:r>
      <w:r w:rsidR="00A960F3" w:rsidRPr="00DD72AC">
        <w:t>. R</w:t>
      </w:r>
      <w:r w:rsidRPr="00DD72AC">
        <w:t xml:space="preserve">esults available for patients aged 6 months to &lt;5 years </w:t>
      </w:r>
      <w:r w:rsidR="00A960F3" w:rsidRPr="00DD72AC">
        <w:t xml:space="preserve">(Study 111-206) were limited to </w:t>
      </w:r>
      <w:r w:rsidR="008F613F" w:rsidRPr="00DD72AC">
        <w:t>eight</w:t>
      </w:r>
      <w:r w:rsidRPr="00DD72AC">
        <w:t xml:space="preserve"> sentinel </w:t>
      </w:r>
      <w:r w:rsidR="0003675B" w:rsidRPr="00DD72AC">
        <w:t xml:space="preserve">intervention </w:t>
      </w:r>
      <w:r w:rsidRPr="00DD72AC">
        <w:t xml:space="preserve">patients only. </w:t>
      </w:r>
      <w:bookmarkStart w:id="7" w:name="_Hlk105704985"/>
      <w:r w:rsidR="00BE2FF4" w:rsidRPr="00DD72AC">
        <w:t>In t</w:t>
      </w:r>
      <w:r w:rsidR="002757FF" w:rsidRPr="00DD72AC">
        <w:t xml:space="preserve">he economic model </w:t>
      </w:r>
      <w:r w:rsidR="00BE2FF4" w:rsidRPr="00DD72AC">
        <w:t>patients commenced treatment at</w:t>
      </w:r>
      <w:r w:rsidR="002757FF" w:rsidRPr="00DD72AC">
        <w:t xml:space="preserve"> </w:t>
      </w:r>
      <w:r w:rsidRPr="00DD72AC">
        <w:t>4</w:t>
      </w:r>
      <w:r w:rsidR="007249BE" w:rsidRPr="00DD72AC">
        <w:t xml:space="preserve"> </w:t>
      </w:r>
      <w:r w:rsidR="002757FF" w:rsidRPr="00DD72AC">
        <w:t>years of age</w:t>
      </w:r>
      <w:r w:rsidRPr="00DD72AC">
        <w:t xml:space="preserve">, while </w:t>
      </w:r>
      <w:r w:rsidR="002757FF" w:rsidRPr="00DD72AC">
        <w:t>the financial estimates</w:t>
      </w:r>
      <w:r w:rsidRPr="00DD72AC">
        <w:t xml:space="preserve"> </w:t>
      </w:r>
      <w:r w:rsidR="002757FF" w:rsidRPr="00DD72AC">
        <w:t xml:space="preserve">included patients from </w:t>
      </w:r>
      <w:r w:rsidRPr="00DD72AC">
        <w:t xml:space="preserve">age 0 to 17 years. </w:t>
      </w:r>
      <w:bookmarkEnd w:id="7"/>
      <w:r w:rsidR="00685A05" w:rsidRPr="00DD72AC">
        <w:t xml:space="preserve">The </w:t>
      </w:r>
      <w:r w:rsidR="007B0455" w:rsidRPr="00DD72AC">
        <w:t>Pre-Sub-Committee Response (</w:t>
      </w:r>
      <w:r w:rsidR="00685A05" w:rsidRPr="00882452">
        <w:t>PSCR</w:t>
      </w:r>
      <w:r w:rsidR="007B0455" w:rsidRPr="00DD72AC">
        <w:t>)</w:t>
      </w:r>
      <w:r w:rsidR="00685A05" w:rsidRPr="00DD72AC">
        <w:t xml:space="preserve"> stated the proposed PBS initiation restriction for vosoritide is age agnostic because expert clinicians have recommended treatment with vosoritide to commence as soon as possible after confirmation of a diagnosis of achondroplasia, to maximise the opportunity for growth. </w:t>
      </w:r>
      <w:r w:rsidR="007B0455" w:rsidRPr="00DD72AC">
        <w:t>The PSCR provided updated data from the randomised treatment arms for children 0-5 years from Study 111-206 and argued that an age agnostic restriction was appropriate. The ESC considered that evidence for use in patients less than 5 years was minimal with more detail about the updated data from Study 111-206 required to allow its evaluation</w:t>
      </w:r>
      <w:r w:rsidR="00DF5CA5" w:rsidRPr="00DD72AC">
        <w:t xml:space="preserve">. The pre-PBAC response argued the results from Study 111-206 had since </w:t>
      </w:r>
      <w:r w:rsidR="00DF5CA5" w:rsidRPr="00DD72AC">
        <w:lastRenderedPageBreak/>
        <w:t>been published in a poster (</w:t>
      </w:r>
      <w:proofErr w:type="spellStart"/>
      <w:r w:rsidR="00DF5CA5" w:rsidRPr="00DD72AC">
        <w:t>Savarirayan</w:t>
      </w:r>
      <w:proofErr w:type="spellEnd"/>
      <w:r w:rsidR="00DF5CA5" w:rsidRPr="00DD72AC">
        <w:t>, 2022), providing evidence of efficacy and safety of vosoritide in children aged 0 to 5 years old (n=75)</w:t>
      </w:r>
      <w:r w:rsidR="006F54A6" w:rsidRPr="00DD72AC">
        <w:t xml:space="preserve"> (see paragraph </w:t>
      </w:r>
      <w:r w:rsidR="00C43F27" w:rsidRPr="00DD72AC">
        <w:fldChar w:fldCharType="begin" w:fldLock="1"/>
      </w:r>
      <w:r w:rsidR="00C43F27" w:rsidRPr="00DD72AC">
        <w:instrText xml:space="preserve"> REF _Ref109142908 \r \h  \* MERGEFORMAT </w:instrText>
      </w:r>
      <w:r w:rsidR="00C43F27" w:rsidRPr="00DD72AC">
        <w:fldChar w:fldCharType="separate"/>
      </w:r>
      <w:r w:rsidR="000F61A3" w:rsidRPr="00DD72AC">
        <w:t>6.15</w:t>
      </w:r>
      <w:r w:rsidR="00C43F27" w:rsidRPr="00DD72AC">
        <w:fldChar w:fldCharType="end"/>
      </w:r>
      <w:r w:rsidR="006F54A6" w:rsidRPr="00DD72AC">
        <w:t>)</w:t>
      </w:r>
      <w:r w:rsidR="00DF5CA5" w:rsidRPr="00DD72AC">
        <w:t>.</w:t>
      </w:r>
      <w:r w:rsidR="006F54A6" w:rsidRPr="00DD72AC">
        <w:t xml:space="preserve"> The PBAC considered </w:t>
      </w:r>
      <w:r w:rsidR="00FE0E58" w:rsidRPr="00DD72AC">
        <w:t xml:space="preserve">that, while evidence for use in patients less than 5 years was limited, </w:t>
      </w:r>
      <w:r w:rsidR="006F54A6" w:rsidRPr="00DD72AC">
        <w:t xml:space="preserve">an age agnostic restriction </w:t>
      </w:r>
      <w:r w:rsidR="00FE0E58" w:rsidRPr="00DD72AC">
        <w:t xml:space="preserve">was </w:t>
      </w:r>
      <w:r w:rsidR="006F54A6" w:rsidRPr="00DD72AC">
        <w:t xml:space="preserve">appropriate. </w:t>
      </w:r>
      <w:r w:rsidR="00DF5CA5" w:rsidRPr="00DD72AC">
        <w:t xml:space="preserve"> </w:t>
      </w:r>
    </w:p>
    <w:p w14:paraId="50DF3000" w14:textId="79BE82A5" w:rsidR="00CC35EA" w:rsidRPr="00DD72AC" w:rsidRDefault="00752A0F" w:rsidP="00F9393E">
      <w:pPr>
        <w:pStyle w:val="3-BodyText"/>
      </w:pPr>
      <w:r w:rsidRPr="00DD72AC">
        <w:t>An authority required restriction is sought based on the need for medical specialist oversight. T</w:t>
      </w:r>
      <w:r w:rsidR="00685A05" w:rsidRPr="00DD72AC">
        <w:t>he evaluation considered t</w:t>
      </w:r>
      <w:r w:rsidRPr="00DD72AC">
        <w:t xml:space="preserve">his reasonable. </w:t>
      </w:r>
      <w:r w:rsidR="007B0455" w:rsidRPr="00DD72AC">
        <w:t>The ESC considered i</w:t>
      </w:r>
      <w:r w:rsidRPr="00DD72AC">
        <w:t xml:space="preserve">t is unclear to what </w:t>
      </w:r>
      <w:r w:rsidR="009C5E4A" w:rsidRPr="00DD72AC">
        <w:t xml:space="preserve">extent </w:t>
      </w:r>
      <w:r w:rsidRPr="00DD72AC">
        <w:t xml:space="preserve">nurse practitioners are currently involved in the care of patients with achondroplasia. </w:t>
      </w:r>
      <w:r w:rsidR="0038405F" w:rsidRPr="00DD72AC">
        <w:t xml:space="preserve">The PBAC considered that while paediatricians were likely to be the most common prescribers, inclusion of </w:t>
      </w:r>
      <w:r w:rsidRPr="00DD72AC">
        <w:t xml:space="preserve">nurse practitioners in continuing and grandfathered restriction treatment criteria </w:t>
      </w:r>
      <w:r w:rsidR="0038405F" w:rsidRPr="00DD72AC">
        <w:t xml:space="preserve">was </w:t>
      </w:r>
      <w:r w:rsidRPr="00DD72AC">
        <w:t>appropriate.</w:t>
      </w:r>
    </w:p>
    <w:p w14:paraId="28436435" w14:textId="01CF0AEA" w:rsidR="007B0455" w:rsidRPr="00DD72AC" w:rsidRDefault="007B0455" w:rsidP="00F9393E">
      <w:pPr>
        <w:pStyle w:val="3-BodyText"/>
      </w:pPr>
      <w:r w:rsidRPr="00DD72AC">
        <w:t xml:space="preserve">The ESC noted </w:t>
      </w:r>
      <w:r w:rsidR="00346154" w:rsidRPr="00DD72AC">
        <w:t xml:space="preserve">that patients must not have evidence of growth plate closure to remain eligible for ongoing PBS subsidised treatment. </w:t>
      </w:r>
      <w:r w:rsidR="00193260" w:rsidRPr="00DD72AC">
        <w:t xml:space="preserve">Growth plate closure in the restriction could be assessed by either bilateral lower extremity X-rays or demonstrated by decreased growth velocity. </w:t>
      </w:r>
      <w:r w:rsidR="00E278C9" w:rsidRPr="00DD72AC">
        <w:t xml:space="preserve">The ESC considered that the option for growth plate closure assessment by either method would likely reduce the requirement for 6-monthly X-rays. However, </w:t>
      </w:r>
      <w:r w:rsidR="00436D2A" w:rsidRPr="00DD72AC">
        <w:t xml:space="preserve">as both of these requirements were to be met for removal of patients from treatment in </w:t>
      </w:r>
      <w:r w:rsidR="00193260" w:rsidRPr="00DD72AC">
        <w:t>Study 111-301 and Study 111-206</w:t>
      </w:r>
      <w:r w:rsidR="00436D2A" w:rsidRPr="00DD72AC">
        <w:t xml:space="preserve"> the ESC considered that there would be potentially earlier treatment cessation in the PBS population. The ESC also considered that the continuing treatment restriction did not include a marker for successful treatment continuation. </w:t>
      </w:r>
      <w:r w:rsidR="009F1596" w:rsidRPr="00DD72AC">
        <w:t xml:space="preserve">The PBAC agreed with the ESC that the option for growth plate closure assessment by either method was appropriate </w:t>
      </w:r>
      <w:proofErr w:type="gramStart"/>
      <w:r w:rsidR="009F1596" w:rsidRPr="00DD72AC">
        <w:t>and</w:t>
      </w:r>
      <w:proofErr w:type="gramEnd"/>
      <w:r w:rsidR="009F1596" w:rsidRPr="00DD72AC">
        <w:t xml:space="preserve"> would reduce the requirement for 6-monthly X-rays.</w:t>
      </w:r>
      <w:r w:rsidR="00193260" w:rsidRPr="00DD72AC">
        <w:t xml:space="preserve"> </w:t>
      </w:r>
    </w:p>
    <w:p w14:paraId="11FA3827" w14:textId="505F9F41" w:rsidR="00212469" w:rsidRPr="00DD72AC" w:rsidRDefault="00DB6BD3" w:rsidP="00EC1CA3">
      <w:pPr>
        <w:pStyle w:val="3-BodyText"/>
      </w:pPr>
      <w:r w:rsidRPr="00DD72AC">
        <w:t>The submission also stated that the diagnosis of achondroplasia is based on the assessment of key clinical and radiographic features, with confirmation achieved via molecular genetic testing, and access to such genetic testing is straightforward with testing readily available to the small number of patients via tertiary hospital laboratories and funded by the state public hospital system at no cost to the patient. This is reasonable and a co-dependent application is not required.</w:t>
      </w:r>
      <w:r w:rsidR="00EC1CA3" w:rsidRPr="00DD72AC">
        <w:t xml:space="preserve"> While the submission provided a description of the genetic analysis of the fibroblast growth factor receptor 3 (FGFR3) gene that is routinely performed, the PSCR argued that a full description of the genetic analysis as a prescribing instruction is unlikely to be useful in the restriction. The PSCR argued that the use of the words ‘The condition must have been confirmed by genetic testing’ was consistent with other genetic conditions </w:t>
      </w:r>
      <w:r w:rsidR="00737754" w:rsidRPr="00DD72AC">
        <w:t>with the PBS listings of evolocumab and alirocumab provided as examples</w:t>
      </w:r>
      <w:r w:rsidR="00EC1CA3" w:rsidRPr="00DD72AC">
        <w:t>.</w:t>
      </w:r>
    </w:p>
    <w:p w14:paraId="4389C639" w14:textId="2AA284A3" w:rsidR="00274E80" w:rsidRPr="00DD72AC" w:rsidRDefault="00274E80" w:rsidP="00274E80">
      <w:pPr>
        <w:pStyle w:val="3-BodyText"/>
      </w:pPr>
      <w:r w:rsidRPr="00DD72AC">
        <w:t xml:space="preserve">The proposed TGA Product Information (PI) states patients should be monitored every 3-6 months to check body weight and growth with the dose adjusted according to the patient’s body weight. The vials are single use only with the maximum quantity and repeats providing 6 months of treatment. As the maximum quantity and repeats enables dosing for all weights (as per Table 1 of the proposed PI) the PBAC considered </w:t>
      </w:r>
      <w:r w:rsidRPr="00DD72AC">
        <w:lastRenderedPageBreak/>
        <w:t xml:space="preserve">the addition of administrative advice that no increase in the maximum quantity or repeats allowed was appropriate. </w:t>
      </w:r>
    </w:p>
    <w:p w14:paraId="68CB4A61" w14:textId="7F6D5128" w:rsidR="00506D39" w:rsidRPr="00DD72AC" w:rsidRDefault="00506D39" w:rsidP="00620F9D">
      <w:pPr>
        <w:pStyle w:val="3-BodyText"/>
      </w:pPr>
      <w:r w:rsidRPr="00DD72AC">
        <w:t>The submission proposed a grandfathering restriction to allow for patients that have received non-PBS funded vosoritide as part of participation in a clinical trial to transition to receiving PBS reimbursed treatment. The submission stated that 54 Australian patients are currently participating in a clinical trial with a proportion expected to transition to PBS funded treatment. The PBAC considered a grandfathering restriction appropriate. The PBAC advised that the grandfathering restriction should include the requirement for achondroplasia to be confirmed by appropriate genetic testing</w:t>
      </w:r>
      <w:r w:rsidR="00620F9D" w:rsidRPr="00DD72AC">
        <w:t xml:space="preserve">, allow a patient to qualify under such a restriction once only and should </w:t>
      </w:r>
      <w:r w:rsidRPr="00DD72AC">
        <w:t>cease to operate 12 months post listing.</w:t>
      </w:r>
    </w:p>
    <w:p w14:paraId="3B970430" w14:textId="52270F0D" w:rsidR="00EC1CA3" w:rsidRPr="00DD72AC" w:rsidRDefault="00212469" w:rsidP="00212469">
      <w:pPr>
        <w:pStyle w:val="3-BodyText"/>
        <w:numPr>
          <w:ilvl w:val="0"/>
          <w:numId w:val="0"/>
        </w:numPr>
        <w:ind w:left="720"/>
        <w:rPr>
          <w:i/>
          <w:iCs/>
        </w:rPr>
      </w:pPr>
      <w:r w:rsidRPr="00DD72AC">
        <w:rPr>
          <w:i/>
          <w:iCs/>
        </w:rPr>
        <w:t>For more detail on PBAC’s view, see section 7 PBAC outcome.</w:t>
      </w:r>
      <w:r w:rsidR="00EC1CA3" w:rsidRPr="00DD72AC">
        <w:rPr>
          <w:i/>
          <w:iCs/>
        </w:rPr>
        <w:t xml:space="preserve">  </w:t>
      </w:r>
    </w:p>
    <w:p w14:paraId="7075B85C" w14:textId="1655A25A" w:rsidR="00B50DB8" w:rsidRPr="00DD72AC" w:rsidRDefault="00203181" w:rsidP="004E18E9">
      <w:pPr>
        <w:pStyle w:val="2-SectionHeading"/>
      </w:pPr>
      <w:bookmarkStart w:id="8" w:name="_Toc103776177"/>
      <w:r w:rsidRPr="00DD72AC">
        <w:t xml:space="preserve">Population and </w:t>
      </w:r>
      <w:r w:rsidR="008E0D3C" w:rsidRPr="00DD72AC">
        <w:t>d</w:t>
      </w:r>
      <w:r w:rsidRPr="00DD72AC">
        <w:t>isease</w:t>
      </w:r>
      <w:bookmarkEnd w:id="8"/>
    </w:p>
    <w:p w14:paraId="21FDD135" w14:textId="549D4134" w:rsidR="00894489" w:rsidRPr="00DD72AC" w:rsidRDefault="005B727E" w:rsidP="004E18E9">
      <w:pPr>
        <w:pStyle w:val="3-BodyText"/>
      </w:pPr>
      <w:bookmarkStart w:id="9" w:name="_Ref105704483"/>
      <w:r w:rsidRPr="00DD72AC">
        <w:t>Achondroplasia is a genetic condition that impairs bone growth and is the most common cause of dwarfism. It is a primary skeletal dysplasia caused by heterozygous, gain-of-function mutations in the FGFR3 gene that lead to impaired endochondral ossification. People with achondroplasia are at risk of experiencing severe complications throughout their lifespan, with a nearly 50 times higher increased risk of death in children less than five years of age compared to the general population (Hoover-Fong 2021; Hecht 1987).</w:t>
      </w:r>
      <w:r w:rsidR="001455A1" w:rsidRPr="00DD72AC">
        <w:t xml:space="preserve"> Given the adult height of an average person with achondroplasia is well less than the height of a 5th percentile female (~153 cm), the design of ordinary public and private spaces does not cater for persons with achondroplasia, which in turn impacts their ability to perform activities of daily living </w:t>
      </w:r>
      <w:r w:rsidR="00621A42" w:rsidRPr="00DD72AC">
        <w:t xml:space="preserve">resulting in </w:t>
      </w:r>
      <w:r w:rsidR="001455A1" w:rsidRPr="00DD72AC">
        <w:t>lifelong impairments to quality of life</w:t>
      </w:r>
      <w:r w:rsidR="00414578" w:rsidRPr="00DD72AC">
        <w:t xml:space="preserve"> (QoL)</w:t>
      </w:r>
      <w:r w:rsidR="00C32CB5" w:rsidRPr="00DD72AC">
        <w:t>.</w:t>
      </w:r>
      <w:bookmarkEnd w:id="9"/>
      <w:r w:rsidR="001455A1" w:rsidRPr="00DD72AC">
        <w:t xml:space="preserve"> </w:t>
      </w:r>
    </w:p>
    <w:p w14:paraId="12A7DA8F" w14:textId="1FCF75DA" w:rsidR="00302B19" w:rsidRPr="00DD72AC" w:rsidRDefault="000B5B8F" w:rsidP="00A73C9E">
      <w:pPr>
        <w:pStyle w:val="3-BodyText"/>
        <w:rPr>
          <w:color w:val="0066FF"/>
        </w:rPr>
      </w:pPr>
      <w:r w:rsidRPr="00DD72AC">
        <w:t>Expert groups have published guidance documents pertaining to the diagnosis and management of achondroplasia. Such documents provide</w:t>
      </w:r>
      <w:r w:rsidR="00A73C9E" w:rsidRPr="00DD72AC">
        <w:t xml:space="preserve"> guiding principles on the management of patients with achondroplasia in different stages of their life rather than treatments available. </w:t>
      </w:r>
      <w:r w:rsidR="00D123D1" w:rsidRPr="00DD72AC">
        <w:t>Vosoritide</w:t>
      </w:r>
      <w:r w:rsidR="00A73C9E" w:rsidRPr="00DD72AC">
        <w:t xml:space="preserve"> is the only treatment that addresses the biological mechanism of achondroplasia.</w:t>
      </w:r>
    </w:p>
    <w:p w14:paraId="640342E1" w14:textId="3DF14A69" w:rsidR="00E96D5F" w:rsidRPr="00DD72AC" w:rsidRDefault="00737754" w:rsidP="00287B47">
      <w:pPr>
        <w:pStyle w:val="3-BodyText"/>
      </w:pPr>
      <w:r w:rsidRPr="00DD72AC">
        <w:t>A</w:t>
      </w:r>
      <w:r w:rsidR="00EC08A5" w:rsidRPr="00DD72AC">
        <w:t xml:space="preserve"> treatment</w:t>
      </w:r>
      <w:r w:rsidR="00916072" w:rsidRPr="00DD72AC">
        <w:t xml:space="preserve"> algorithm </w:t>
      </w:r>
      <w:r w:rsidR="000B5B8F" w:rsidRPr="00DD72AC">
        <w:t>wa</w:t>
      </w:r>
      <w:r w:rsidR="00916072" w:rsidRPr="00DD72AC">
        <w:t xml:space="preserve">s not provided </w:t>
      </w:r>
      <w:r w:rsidRPr="00DD72AC">
        <w:t xml:space="preserve">for vosoritide as </w:t>
      </w:r>
      <w:r w:rsidR="00916072" w:rsidRPr="00DD72AC">
        <w:t xml:space="preserve">there are currently no treatment options available to </w:t>
      </w:r>
      <w:r w:rsidR="0058525A" w:rsidRPr="00DD72AC">
        <w:t>patients</w:t>
      </w:r>
      <w:r w:rsidR="00916072" w:rsidRPr="00DD72AC">
        <w:t>. The submission gave a simple description of vosoritide</w:t>
      </w:r>
      <w:r w:rsidR="00EC08A5" w:rsidRPr="00DD72AC">
        <w:t xml:space="preserve"> treatment process</w:t>
      </w:r>
      <w:r w:rsidR="00287B47">
        <w:t xml:space="preserve">: </w:t>
      </w:r>
      <w:r w:rsidR="00E96D5F" w:rsidRPr="00DD72AC">
        <w:t>“On suspicion of achondroplasia, in utero or at birth</w:t>
      </w:r>
      <w:r w:rsidR="000B5B8F" w:rsidRPr="00DD72AC">
        <w:t>,</w:t>
      </w:r>
      <w:r w:rsidR="00E96D5F" w:rsidRPr="00DD72AC">
        <w:t xml:space="preserve"> assessment takes place by neonate specialist or paediatrician. The median age of diagnosis of achondroplasia is 17 days of age (Tofts 2021). Diagnosis is based on clinical characteristics, radiographs and confirmed with genetic testing. Once diagnosed, patients will receive BSC. </w:t>
      </w:r>
      <w:r w:rsidR="00EC08A5" w:rsidRPr="00DD72AC">
        <w:t>P</w:t>
      </w:r>
      <w:r w:rsidR="00E96D5F" w:rsidRPr="00DD72AC">
        <w:t>atients would commence treatment upon diagnosis in addition to receiving BSC.”</w:t>
      </w:r>
    </w:p>
    <w:p w14:paraId="11FCAAEE" w14:textId="387A0B0B" w:rsidR="007627BE" w:rsidRPr="00DD72AC" w:rsidRDefault="00D90083" w:rsidP="004E18E9">
      <w:pPr>
        <w:pStyle w:val="3-BodyText"/>
      </w:pPr>
      <w:r w:rsidRPr="00DD72AC">
        <w:t xml:space="preserve">Vosoritide is a biological analogue of C type natriuretic peptide (CNP) that was developed to have a longer half-life than its endogenous form in order to prolong </w:t>
      </w:r>
      <w:r w:rsidRPr="00DD72AC">
        <w:lastRenderedPageBreak/>
        <w:t>pharmacologic activity. CNP is a potent stimulator of endochondral ossification through downregulation of the intracellular signalling pathway of the FGFR3 receptor.</w:t>
      </w:r>
      <w:r w:rsidR="000B5B8F" w:rsidRPr="00DD72AC">
        <w:t xml:space="preserve"> </w:t>
      </w:r>
      <w:r w:rsidR="00C77015" w:rsidRPr="00DD72AC">
        <w:t>Recommended d</w:t>
      </w:r>
      <w:r w:rsidR="00C5522B" w:rsidRPr="00DD72AC">
        <w:t xml:space="preserve">aily subcutaneous (SC) administration dose </w:t>
      </w:r>
      <w:r w:rsidR="00C77015" w:rsidRPr="00DD72AC">
        <w:t xml:space="preserve">was </w:t>
      </w:r>
      <w:r w:rsidR="00C5522B" w:rsidRPr="00DD72AC">
        <w:t xml:space="preserve">based on the patient's weight and the vosoritide concentration. </w:t>
      </w:r>
    </w:p>
    <w:p w14:paraId="6806A542" w14:textId="69E24F56" w:rsidR="00737754" w:rsidRPr="00DD72AC" w:rsidRDefault="00737754" w:rsidP="004E18E9">
      <w:pPr>
        <w:pStyle w:val="3-BodyText"/>
      </w:pPr>
      <w:r w:rsidRPr="00DD72AC">
        <w:t xml:space="preserve">The ESC noted that a </w:t>
      </w:r>
      <w:proofErr w:type="gramStart"/>
      <w:r w:rsidRPr="00DD72AC">
        <w:t>number</w:t>
      </w:r>
      <w:proofErr w:type="gramEnd"/>
      <w:r w:rsidRPr="00DD72AC">
        <w:t xml:space="preserve"> </w:t>
      </w:r>
      <w:r w:rsidR="00B752D1" w:rsidRPr="00DD72AC">
        <w:t>other treatments for achondroplasia were currently being investigated in clinical trials.</w:t>
      </w:r>
      <w:r w:rsidR="00B752D1" w:rsidRPr="00DD72AC">
        <w:rPr>
          <w:rStyle w:val="FootnoteReference"/>
        </w:rPr>
        <w:footnoteReference w:id="2"/>
      </w:r>
      <w:r w:rsidR="00B752D1" w:rsidRPr="00DD72AC">
        <w:t xml:space="preserve"> </w:t>
      </w:r>
    </w:p>
    <w:p w14:paraId="2A0A8404" w14:textId="4560910F" w:rsidR="00212469" w:rsidRPr="00DD72AC" w:rsidRDefault="00212469" w:rsidP="00212469">
      <w:pPr>
        <w:pStyle w:val="3-BodyText"/>
        <w:numPr>
          <w:ilvl w:val="0"/>
          <w:numId w:val="0"/>
        </w:numPr>
        <w:ind w:left="720"/>
        <w:rPr>
          <w:i/>
          <w:iCs/>
          <w:snapToGrid/>
        </w:rPr>
      </w:pPr>
      <w:r w:rsidRPr="00DD72AC">
        <w:rPr>
          <w:i/>
          <w:iCs/>
          <w:snapToGrid/>
        </w:rPr>
        <w:t>For more detail on PBAC’s view, see section 7 PBAC outcome.</w:t>
      </w:r>
    </w:p>
    <w:p w14:paraId="51E5AE96" w14:textId="136A63B1" w:rsidR="00B50DB8" w:rsidRPr="00DD72AC" w:rsidRDefault="00B50DB8" w:rsidP="004E18E9">
      <w:pPr>
        <w:pStyle w:val="2-SectionHeading"/>
      </w:pPr>
      <w:bookmarkStart w:id="10" w:name="_Toc103776178"/>
      <w:r w:rsidRPr="00DD72AC">
        <w:t>Comparator</w:t>
      </w:r>
      <w:bookmarkEnd w:id="10"/>
    </w:p>
    <w:p w14:paraId="3EC8BB01" w14:textId="60E25BFA" w:rsidR="00110587" w:rsidRPr="00DD72AC" w:rsidRDefault="00FE6A9B" w:rsidP="006E6554">
      <w:pPr>
        <w:pStyle w:val="3-BodyText"/>
        <w:rPr>
          <w:i/>
          <w:iCs/>
        </w:rPr>
      </w:pPr>
      <w:r w:rsidRPr="00DD72AC">
        <w:rPr>
          <w:snapToGrid/>
        </w:rPr>
        <w:t xml:space="preserve">The submission nominated BSC as the comparator. The main arguments provided in support of this nomination were: that there is currently no cure for achondroplasia and no treatment option that addresses the biological mechanism of the disease for achondroplasia; and that current management of achondroplasia in Australia </w:t>
      </w:r>
      <w:r w:rsidR="00505EC3" w:rsidRPr="00DD72AC">
        <w:rPr>
          <w:snapToGrid/>
        </w:rPr>
        <w:t xml:space="preserve">is BSC </w:t>
      </w:r>
      <w:r w:rsidRPr="00DD72AC">
        <w:rPr>
          <w:snapToGrid/>
        </w:rPr>
        <w:t>consist</w:t>
      </w:r>
      <w:r w:rsidR="00505EC3" w:rsidRPr="00DD72AC">
        <w:rPr>
          <w:snapToGrid/>
        </w:rPr>
        <w:t>ing</w:t>
      </w:r>
      <w:r w:rsidRPr="00DD72AC">
        <w:rPr>
          <w:snapToGrid/>
        </w:rPr>
        <w:t xml:space="preserve"> of monitoring, prevention, and management of complications using a multidisciplinary approach.</w:t>
      </w:r>
      <w:r w:rsidR="006E6554" w:rsidRPr="00DD72AC">
        <w:rPr>
          <w:i/>
          <w:iCs/>
        </w:rPr>
        <w:t xml:space="preserve"> </w:t>
      </w:r>
    </w:p>
    <w:p w14:paraId="747A75CC" w14:textId="5168DBE5" w:rsidR="00A05472" w:rsidRPr="00DD72AC" w:rsidRDefault="006E6554" w:rsidP="006E6554">
      <w:pPr>
        <w:pStyle w:val="3-BodyText"/>
      </w:pPr>
      <w:r w:rsidRPr="00DD72AC">
        <w:t xml:space="preserve">BSC is an appropriate comparator given there are no other treatments available, and that current management is BSC focusing on the prevention and management of complications. </w:t>
      </w:r>
    </w:p>
    <w:p w14:paraId="1E805E8A" w14:textId="59BBDEF9" w:rsidR="00F702B5" w:rsidRPr="00DD72AC" w:rsidRDefault="00757901" w:rsidP="005D3046">
      <w:pPr>
        <w:pStyle w:val="3-BodyText"/>
      </w:pPr>
      <w:r w:rsidRPr="00DD72AC">
        <w:t>Some surgical treatments are attempted in other countries but not Australia (for example limb lengthening surgery is not standard practice in Australia and is considered ineffective and unacceptable).</w:t>
      </w:r>
      <w:r w:rsidR="00D7737C" w:rsidRPr="00DD72AC">
        <w:t xml:space="preserve"> Use of growth hormone in achondroplasia is controversial with the long-term effect</w:t>
      </w:r>
      <w:r w:rsidR="005153A0" w:rsidRPr="00DD72AC">
        <w:t>s</w:t>
      </w:r>
      <w:r w:rsidR="00D7737C" w:rsidRPr="00DD72AC">
        <w:t xml:space="preserve"> unclear (</w:t>
      </w:r>
      <w:proofErr w:type="spellStart"/>
      <w:r w:rsidR="00D7737C" w:rsidRPr="00DD72AC">
        <w:t>Savarirayan</w:t>
      </w:r>
      <w:proofErr w:type="spellEnd"/>
      <w:r w:rsidR="00D7737C" w:rsidRPr="00DD72AC">
        <w:t xml:space="preserve"> 2022).</w:t>
      </w:r>
      <w:r w:rsidR="00280460" w:rsidRPr="00DD72AC">
        <w:t xml:space="preserve"> Growth hormone is not registered for use in patients with achondroplasia in Australia, nor is it reimbursed on the PBS for this indication</w:t>
      </w:r>
      <w:r w:rsidR="00C32CB5" w:rsidRPr="00DD72AC">
        <w:t>.</w:t>
      </w:r>
      <w:r w:rsidR="00D7737C" w:rsidRPr="00DD72AC">
        <w:t xml:space="preserve"> </w:t>
      </w:r>
      <w:r w:rsidRPr="00DD72AC">
        <w:t xml:space="preserve"> </w:t>
      </w:r>
      <w:r w:rsidR="00CA126B" w:rsidRPr="00DD72AC">
        <w:t>If recommended, v</w:t>
      </w:r>
      <w:r w:rsidRPr="00DD72AC">
        <w:t xml:space="preserve">osoritide </w:t>
      </w:r>
      <w:r w:rsidR="00CA126B" w:rsidRPr="00DD72AC">
        <w:t xml:space="preserve">would </w:t>
      </w:r>
      <w:r w:rsidRPr="00DD72AC">
        <w:t>be the first treatment available for patients</w:t>
      </w:r>
      <w:r w:rsidR="00621A42" w:rsidRPr="00DD72AC">
        <w:t xml:space="preserve"> with achondroplasia</w:t>
      </w:r>
      <w:r w:rsidRPr="00DD72AC">
        <w:t xml:space="preserve">. </w:t>
      </w:r>
    </w:p>
    <w:p w14:paraId="1765EB0C" w14:textId="55813E88" w:rsidR="00212469" w:rsidRPr="00DD72AC" w:rsidRDefault="00212469" w:rsidP="00212469">
      <w:pPr>
        <w:pStyle w:val="3-BodyText"/>
        <w:numPr>
          <w:ilvl w:val="0"/>
          <w:numId w:val="0"/>
        </w:numPr>
        <w:ind w:left="720"/>
        <w:rPr>
          <w:i/>
          <w:iCs/>
        </w:rPr>
      </w:pPr>
      <w:r w:rsidRPr="00DD72AC">
        <w:rPr>
          <w:i/>
          <w:iCs/>
        </w:rPr>
        <w:t>For more detail on PBAC’s view, see section 7 PBAC outcome.</w:t>
      </w:r>
    </w:p>
    <w:p w14:paraId="7F9C27C8" w14:textId="0C2ABA91" w:rsidR="00223D5A" w:rsidRPr="00DD72AC" w:rsidRDefault="00223D5A" w:rsidP="00223D5A">
      <w:pPr>
        <w:pStyle w:val="2-SectionHeading"/>
      </w:pPr>
      <w:bookmarkStart w:id="11" w:name="_Toc103776179"/>
      <w:bookmarkStart w:id="12" w:name="_Toc22897640"/>
      <w:r w:rsidRPr="00DD72AC">
        <w:t>Consideration of the evidence</w:t>
      </w:r>
      <w:bookmarkEnd w:id="11"/>
    </w:p>
    <w:p w14:paraId="2BA7483F" w14:textId="77777777" w:rsidR="00485FE1" w:rsidRPr="00DD72AC" w:rsidRDefault="00485FE1" w:rsidP="00485FE1">
      <w:pPr>
        <w:pStyle w:val="4-SubsectionHeading"/>
      </w:pPr>
      <w:r w:rsidRPr="00DD72AC">
        <w:t>Sponsor hearing</w:t>
      </w:r>
    </w:p>
    <w:p w14:paraId="4B8B5A13" w14:textId="49789DA4" w:rsidR="00485FE1" w:rsidRPr="00DD72AC" w:rsidRDefault="00485FE1" w:rsidP="00485FE1">
      <w:pPr>
        <w:widowControl w:val="0"/>
        <w:numPr>
          <w:ilvl w:val="1"/>
          <w:numId w:val="1"/>
        </w:numPr>
        <w:spacing w:after="120"/>
        <w:rPr>
          <w:rFonts w:asciiTheme="minorHAnsi" w:hAnsiTheme="minorHAnsi"/>
          <w:bCs/>
          <w:snapToGrid w:val="0"/>
        </w:rPr>
      </w:pPr>
      <w:bookmarkStart w:id="13" w:name="_Hlk76382586"/>
      <w:r w:rsidRPr="00DD72AC">
        <w:rPr>
          <w:rFonts w:asciiTheme="minorHAnsi" w:hAnsiTheme="minorHAnsi"/>
          <w:bCs/>
          <w:snapToGrid w:val="0"/>
        </w:rPr>
        <w:t>The sponsor requested a hearing for this item.  The clinician discussed the</w:t>
      </w:r>
      <w:r w:rsidR="00164956" w:rsidRPr="00DD72AC">
        <w:rPr>
          <w:rFonts w:asciiTheme="minorHAnsi" w:hAnsiTheme="minorHAnsi"/>
          <w:bCs/>
          <w:snapToGrid w:val="0"/>
        </w:rPr>
        <w:t xml:space="preserve"> clinical significance of the change from baseline in </w:t>
      </w:r>
      <w:r w:rsidR="00164956" w:rsidRPr="00DD72AC">
        <w:t>annual growth velocity (AGV)</w:t>
      </w:r>
      <w:r w:rsidR="00164956" w:rsidRPr="00DD72AC">
        <w:rPr>
          <w:rFonts w:asciiTheme="minorHAnsi" w:hAnsiTheme="minorHAnsi"/>
          <w:bCs/>
          <w:snapToGrid w:val="0"/>
        </w:rPr>
        <w:t>.</w:t>
      </w:r>
      <w:r w:rsidRPr="00DD72AC">
        <w:rPr>
          <w:rFonts w:asciiTheme="minorHAnsi" w:hAnsiTheme="minorHAnsi"/>
          <w:bCs/>
          <w:snapToGrid w:val="0"/>
        </w:rPr>
        <w:t xml:space="preserve"> </w:t>
      </w:r>
      <w:r w:rsidR="00164956" w:rsidRPr="00DD72AC">
        <w:rPr>
          <w:rFonts w:asciiTheme="minorHAnsi" w:hAnsiTheme="minorHAnsi"/>
          <w:bCs/>
          <w:snapToGrid w:val="0"/>
        </w:rPr>
        <w:t xml:space="preserve">The implications of the increase in final height in terms of accessing environment and </w:t>
      </w:r>
      <w:r w:rsidR="00F41BFB" w:rsidRPr="00DD72AC">
        <w:rPr>
          <w:rFonts w:asciiTheme="minorHAnsi" w:hAnsiTheme="minorHAnsi"/>
          <w:bCs/>
          <w:snapToGrid w:val="0"/>
        </w:rPr>
        <w:t>a reduced</w:t>
      </w:r>
      <w:r w:rsidR="00164956" w:rsidRPr="00DD72AC">
        <w:rPr>
          <w:rFonts w:asciiTheme="minorHAnsi" w:hAnsiTheme="minorHAnsi"/>
          <w:bCs/>
          <w:snapToGrid w:val="0"/>
        </w:rPr>
        <w:t xml:space="preserve"> requirement for assistive devices along with the potential for a </w:t>
      </w:r>
      <w:r w:rsidR="00F41BFB" w:rsidRPr="00DD72AC">
        <w:rPr>
          <w:rFonts w:asciiTheme="minorHAnsi" w:hAnsiTheme="minorHAnsi"/>
          <w:bCs/>
          <w:snapToGrid w:val="0"/>
        </w:rPr>
        <w:t>decrease</w:t>
      </w:r>
      <w:r w:rsidR="00164956" w:rsidRPr="00DD72AC">
        <w:rPr>
          <w:rFonts w:asciiTheme="minorHAnsi" w:hAnsiTheme="minorHAnsi"/>
          <w:bCs/>
          <w:snapToGrid w:val="0"/>
        </w:rPr>
        <w:t xml:space="preserve"> in fatigue due to the ability to walk and run more efficiently was also discussed by the </w:t>
      </w:r>
      <w:r w:rsidR="00164956" w:rsidRPr="00DD72AC">
        <w:rPr>
          <w:rFonts w:asciiTheme="minorHAnsi" w:hAnsiTheme="minorHAnsi"/>
          <w:bCs/>
          <w:snapToGrid w:val="0"/>
        </w:rPr>
        <w:lastRenderedPageBreak/>
        <w:t xml:space="preserve">clinician. The clinician suggested </w:t>
      </w:r>
      <w:r w:rsidR="00F41BFB" w:rsidRPr="00DD72AC">
        <w:rPr>
          <w:rFonts w:asciiTheme="minorHAnsi" w:hAnsiTheme="minorHAnsi"/>
          <w:bCs/>
          <w:snapToGrid w:val="0"/>
        </w:rPr>
        <w:t xml:space="preserve">it </w:t>
      </w:r>
      <w:r w:rsidR="00164956" w:rsidRPr="00DD72AC">
        <w:rPr>
          <w:rFonts w:asciiTheme="minorHAnsi" w:hAnsiTheme="minorHAnsi"/>
          <w:bCs/>
          <w:snapToGrid w:val="0"/>
        </w:rPr>
        <w:t xml:space="preserve">was </w:t>
      </w:r>
      <w:r w:rsidR="00F41BFB" w:rsidRPr="00DD72AC">
        <w:rPr>
          <w:rFonts w:asciiTheme="minorHAnsi" w:hAnsiTheme="minorHAnsi"/>
          <w:bCs/>
          <w:snapToGrid w:val="0"/>
        </w:rPr>
        <w:t xml:space="preserve">conceivable that the earlier long-term treatment is started the greater the possibility of a positive </w:t>
      </w:r>
      <w:r w:rsidR="00ED5FDE" w:rsidRPr="00DD72AC">
        <w:rPr>
          <w:rFonts w:asciiTheme="minorHAnsi" w:hAnsiTheme="minorHAnsi"/>
          <w:bCs/>
          <w:snapToGrid w:val="0"/>
        </w:rPr>
        <w:t xml:space="preserve">effect </w:t>
      </w:r>
      <w:r w:rsidR="008B5015" w:rsidRPr="00DD72AC">
        <w:rPr>
          <w:rFonts w:asciiTheme="minorHAnsi" w:hAnsiTheme="minorHAnsi"/>
          <w:bCs/>
          <w:snapToGrid w:val="0"/>
        </w:rPr>
        <w:t xml:space="preserve">on </w:t>
      </w:r>
      <w:r w:rsidR="00ED5FDE" w:rsidRPr="00DD72AC">
        <w:rPr>
          <w:rFonts w:asciiTheme="minorHAnsi" w:hAnsiTheme="minorHAnsi"/>
          <w:bCs/>
          <w:snapToGrid w:val="0"/>
        </w:rPr>
        <w:t xml:space="preserve">the lifetime incidence of </w:t>
      </w:r>
      <w:r w:rsidR="00164956" w:rsidRPr="00DD72AC">
        <w:t>medical comorbidities of achondroplasia such as spinal stenosis, sleep apnoea and foramen magnum stenosis</w:t>
      </w:r>
      <w:r w:rsidR="00F41BFB" w:rsidRPr="00DD72AC">
        <w:t xml:space="preserve">. The clinician indicated that off target effects (such as premature closure of the growth plates) had not been identified and </w:t>
      </w:r>
      <w:r w:rsidR="009E560F" w:rsidRPr="00DD72AC">
        <w:t xml:space="preserve">that </w:t>
      </w:r>
      <w:r w:rsidR="00F41BFB" w:rsidRPr="00DD72AC">
        <w:t xml:space="preserve">treatment effects were anticipated to be durable. </w:t>
      </w:r>
      <w:r w:rsidRPr="00DD72AC">
        <w:rPr>
          <w:rFonts w:asciiTheme="minorHAnsi" w:hAnsiTheme="minorHAnsi"/>
          <w:bCs/>
          <w:snapToGrid w:val="0"/>
        </w:rPr>
        <w:t>The PBAC considered that the hearing was informative as it provided a clinical perspective on treating this uncommon disease.</w:t>
      </w:r>
    </w:p>
    <w:bookmarkEnd w:id="13"/>
    <w:p w14:paraId="4BC2B686" w14:textId="77777777" w:rsidR="00485FE1" w:rsidRPr="00DD72AC" w:rsidRDefault="00485FE1" w:rsidP="00485FE1">
      <w:pPr>
        <w:pStyle w:val="4-SubsectionHeading"/>
      </w:pPr>
      <w:r w:rsidRPr="00DD72AC">
        <w:t>Consumer comments</w:t>
      </w:r>
    </w:p>
    <w:p w14:paraId="0FF5E35A" w14:textId="38D5BE5B" w:rsidR="001C65F1" w:rsidRPr="00DD72AC" w:rsidRDefault="00485FE1" w:rsidP="00485FE1">
      <w:pPr>
        <w:widowControl w:val="0"/>
        <w:numPr>
          <w:ilvl w:val="1"/>
          <w:numId w:val="1"/>
        </w:numPr>
        <w:spacing w:after="120"/>
        <w:rPr>
          <w:rFonts w:asciiTheme="minorHAnsi" w:hAnsiTheme="minorHAnsi"/>
          <w:bCs/>
          <w:snapToGrid w:val="0"/>
        </w:rPr>
      </w:pPr>
      <w:r w:rsidRPr="00DD72AC">
        <w:rPr>
          <w:rFonts w:asciiTheme="minorHAnsi" w:hAnsiTheme="minorHAnsi"/>
          <w:bCs/>
          <w:snapToGrid w:val="0"/>
        </w:rPr>
        <w:t>The PBAC noted and welcomed the input from individuals (</w:t>
      </w:r>
      <w:r w:rsidR="00ED5FDE" w:rsidRPr="00DD72AC">
        <w:rPr>
          <w:rFonts w:asciiTheme="minorHAnsi" w:hAnsiTheme="minorHAnsi"/>
          <w:bCs/>
          <w:snapToGrid w:val="0"/>
        </w:rPr>
        <w:t>99</w:t>
      </w:r>
      <w:r w:rsidRPr="00DD72AC">
        <w:rPr>
          <w:rFonts w:asciiTheme="minorHAnsi" w:hAnsiTheme="minorHAnsi"/>
          <w:bCs/>
          <w:snapToGrid w:val="0"/>
        </w:rPr>
        <w:t>)</w:t>
      </w:r>
      <w:r w:rsidR="00ED5FDE" w:rsidRPr="00DD72AC">
        <w:rPr>
          <w:rFonts w:asciiTheme="minorHAnsi" w:hAnsiTheme="minorHAnsi"/>
          <w:bCs/>
          <w:snapToGrid w:val="0"/>
        </w:rPr>
        <w:t xml:space="preserve"> and</w:t>
      </w:r>
      <w:r w:rsidRPr="00DD72AC">
        <w:rPr>
          <w:rFonts w:asciiTheme="minorHAnsi" w:hAnsiTheme="minorHAnsi"/>
          <w:bCs/>
          <w:snapToGrid w:val="0"/>
        </w:rPr>
        <w:t xml:space="preserve"> health care professionals (</w:t>
      </w:r>
      <w:r w:rsidR="00ED5FDE" w:rsidRPr="00DD72AC">
        <w:rPr>
          <w:rFonts w:asciiTheme="minorHAnsi" w:hAnsiTheme="minorHAnsi"/>
          <w:bCs/>
          <w:snapToGrid w:val="0"/>
        </w:rPr>
        <w:t>5</w:t>
      </w:r>
      <w:r w:rsidRPr="00DD72AC">
        <w:rPr>
          <w:rFonts w:asciiTheme="minorHAnsi" w:hAnsiTheme="minorHAnsi"/>
          <w:bCs/>
          <w:snapToGrid w:val="0"/>
        </w:rPr>
        <w:t xml:space="preserve">) via the Consumer Comments facility on the PBS website. </w:t>
      </w:r>
      <w:r w:rsidR="00ED5FDE" w:rsidRPr="00DD72AC">
        <w:rPr>
          <w:rFonts w:asciiTheme="minorHAnsi" w:hAnsiTheme="minorHAnsi"/>
          <w:bCs/>
          <w:snapToGrid w:val="0"/>
        </w:rPr>
        <w:t xml:space="preserve">The PBAC noted that of the 104 consumer comments received, 34 </w:t>
      </w:r>
      <w:r w:rsidR="001C65F1" w:rsidRPr="00DD72AC">
        <w:rPr>
          <w:rFonts w:asciiTheme="minorHAnsi" w:hAnsiTheme="minorHAnsi"/>
          <w:bCs/>
          <w:snapToGrid w:val="0"/>
        </w:rPr>
        <w:t xml:space="preserve">from individuals </w:t>
      </w:r>
      <w:r w:rsidR="00ED5FDE" w:rsidRPr="00DD72AC">
        <w:rPr>
          <w:rFonts w:asciiTheme="minorHAnsi" w:hAnsiTheme="minorHAnsi"/>
          <w:bCs/>
          <w:snapToGrid w:val="0"/>
        </w:rPr>
        <w:t xml:space="preserve">were identical and 6 did not have any information typed in. </w:t>
      </w:r>
      <w:r w:rsidR="001C65F1" w:rsidRPr="00DD72AC">
        <w:rPr>
          <w:rFonts w:asciiTheme="minorHAnsi" w:hAnsiTheme="minorHAnsi"/>
          <w:bCs/>
          <w:snapToGrid w:val="0"/>
        </w:rPr>
        <w:t xml:space="preserve">The PBAC also noted that there were 5 videos uploaded with the submission with 4 featuring children taking vosoritide and one clinician speaking about the drug. </w:t>
      </w:r>
    </w:p>
    <w:p w14:paraId="7AF480CC" w14:textId="783ACC7B" w:rsidR="00F356C9" w:rsidRPr="00DD72AC" w:rsidRDefault="00025688" w:rsidP="00485FE1">
      <w:pPr>
        <w:widowControl w:val="0"/>
        <w:numPr>
          <w:ilvl w:val="1"/>
          <w:numId w:val="1"/>
        </w:numPr>
        <w:spacing w:after="120"/>
        <w:rPr>
          <w:rFonts w:asciiTheme="minorHAnsi" w:hAnsiTheme="minorHAnsi"/>
          <w:bCs/>
          <w:snapToGrid w:val="0"/>
        </w:rPr>
      </w:pPr>
      <w:r w:rsidRPr="00DD72AC">
        <w:rPr>
          <w:rFonts w:asciiTheme="minorHAnsi" w:hAnsiTheme="minorHAnsi"/>
          <w:bCs/>
          <w:snapToGrid w:val="0"/>
        </w:rPr>
        <w:t xml:space="preserve">The comments from individuals who would like access to the medicine to treat their own health condition described the experience of living with achondroplasia. Experiences included difficulties in reaching objects, </w:t>
      </w:r>
      <w:r w:rsidR="008B5015" w:rsidRPr="00DD72AC">
        <w:rPr>
          <w:rFonts w:asciiTheme="minorHAnsi" w:hAnsiTheme="minorHAnsi"/>
          <w:bCs/>
          <w:snapToGrid w:val="0"/>
        </w:rPr>
        <w:t xml:space="preserve">with </w:t>
      </w:r>
      <w:r w:rsidRPr="00DD72AC">
        <w:rPr>
          <w:rFonts w:asciiTheme="minorHAnsi" w:hAnsiTheme="minorHAnsi"/>
          <w:bCs/>
          <w:snapToGrid w:val="0"/>
        </w:rPr>
        <w:t>manoeuvring and</w:t>
      </w:r>
      <w:r w:rsidR="008B5015" w:rsidRPr="00DD72AC">
        <w:rPr>
          <w:rFonts w:asciiTheme="minorHAnsi" w:hAnsiTheme="minorHAnsi"/>
          <w:bCs/>
          <w:snapToGrid w:val="0"/>
        </w:rPr>
        <w:t xml:space="preserve"> </w:t>
      </w:r>
      <w:r w:rsidRPr="00DD72AC">
        <w:rPr>
          <w:rFonts w:asciiTheme="minorHAnsi" w:hAnsiTheme="minorHAnsi"/>
          <w:bCs/>
          <w:snapToGrid w:val="0"/>
        </w:rPr>
        <w:t xml:space="preserve">with coordination. The individuals also described suffering from joint and back pain along with other comorbidities and the medical treatment required to address these issues. </w:t>
      </w:r>
      <w:r w:rsidR="008B5015" w:rsidRPr="00DD72AC">
        <w:rPr>
          <w:rFonts w:asciiTheme="minorHAnsi" w:hAnsiTheme="minorHAnsi"/>
          <w:bCs/>
          <w:snapToGrid w:val="0"/>
        </w:rPr>
        <w:t>A</w:t>
      </w:r>
      <w:r w:rsidRPr="00DD72AC">
        <w:rPr>
          <w:rFonts w:asciiTheme="minorHAnsi" w:hAnsiTheme="minorHAnsi"/>
          <w:bCs/>
          <w:snapToGrid w:val="0"/>
        </w:rPr>
        <w:t xml:space="preserve">nticipated benefits of </w:t>
      </w:r>
      <w:r w:rsidR="008B5015" w:rsidRPr="00DD72AC">
        <w:rPr>
          <w:rFonts w:asciiTheme="minorHAnsi" w:hAnsiTheme="minorHAnsi"/>
          <w:bCs/>
          <w:snapToGrid w:val="0"/>
        </w:rPr>
        <w:t xml:space="preserve">the potential height gains of </w:t>
      </w:r>
      <w:r w:rsidRPr="00DD72AC">
        <w:rPr>
          <w:rFonts w:asciiTheme="minorHAnsi" w:hAnsiTheme="minorHAnsi"/>
          <w:bCs/>
          <w:snapToGrid w:val="0"/>
        </w:rPr>
        <w:t>treatment with vosoritide</w:t>
      </w:r>
      <w:r w:rsidR="008B5015" w:rsidRPr="00DD72AC">
        <w:rPr>
          <w:rFonts w:asciiTheme="minorHAnsi" w:hAnsiTheme="minorHAnsi"/>
          <w:bCs/>
          <w:snapToGrid w:val="0"/>
        </w:rPr>
        <w:t xml:space="preserve"> </w:t>
      </w:r>
      <w:r w:rsidRPr="00DD72AC">
        <w:rPr>
          <w:rFonts w:asciiTheme="minorHAnsi" w:hAnsiTheme="minorHAnsi"/>
          <w:bCs/>
          <w:snapToGrid w:val="0"/>
        </w:rPr>
        <w:t>include</w:t>
      </w:r>
      <w:r w:rsidR="008B5015" w:rsidRPr="00DD72AC">
        <w:rPr>
          <w:rFonts w:asciiTheme="minorHAnsi" w:hAnsiTheme="minorHAnsi"/>
          <w:bCs/>
          <w:snapToGrid w:val="0"/>
        </w:rPr>
        <w:t>d:</w:t>
      </w:r>
      <w:r w:rsidRPr="00DD72AC">
        <w:rPr>
          <w:rFonts w:asciiTheme="minorHAnsi" w:hAnsiTheme="minorHAnsi"/>
          <w:bCs/>
          <w:snapToGrid w:val="0"/>
        </w:rPr>
        <w:t xml:space="preserve"> being able to participate in </w:t>
      </w:r>
      <w:r w:rsidR="008B5015" w:rsidRPr="00DD72AC">
        <w:rPr>
          <w:rFonts w:asciiTheme="minorHAnsi" w:hAnsiTheme="minorHAnsi"/>
          <w:bCs/>
          <w:snapToGrid w:val="0"/>
        </w:rPr>
        <w:t xml:space="preserve">a </w:t>
      </w:r>
      <w:r w:rsidRPr="00DD72AC">
        <w:rPr>
          <w:rFonts w:asciiTheme="minorHAnsi" w:hAnsiTheme="minorHAnsi"/>
          <w:bCs/>
          <w:snapToGrid w:val="0"/>
        </w:rPr>
        <w:t>wider range of activities at school; improvement in daily activities, chores, and routines</w:t>
      </w:r>
      <w:r w:rsidR="008B5015" w:rsidRPr="00DD72AC">
        <w:rPr>
          <w:rFonts w:asciiTheme="minorHAnsi" w:hAnsiTheme="minorHAnsi"/>
          <w:bCs/>
          <w:snapToGrid w:val="0"/>
        </w:rPr>
        <w:t>;</w:t>
      </w:r>
      <w:r w:rsidRPr="00DD72AC">
        <w:rPr>
          <w:rFonts w:asciiTheme="minorHAnsi" w:hAnsiTheme="minorHAnsi"/>
          <w:bCs/>
          <w:snapToGrid w:val="0"/>
        </w:rPr>
        <w:t xml:space="preserve"> accessibility and independence in a wider range of home, educational, work, and public environments</w:t>
      </w:r>
      <w:r w:rsidR="008B5015" w:rsidRPr="00DD72AC">
        <w:rPr>
          <w:rFonts w:asciiTheme="minorHAnsi" w:hAnsiTheme="minorHAnsi"/>
          <w:bCs/>
          <w:snapToGrid w:val="0"/>
        </w:rPr>
        <w:t>;</w:t>
      </w:r>
      <w:r w:rsidR="00075841" w:rsidRPr="00DD72AC">
        <w:rPr>
          <w:rFonts w:asciiTheme="minorHAnsi" w:hAnsiTheme="minorHAnsi"/>
          <w:bCs/>
          <w:snapToGrid w:val="0"/>
        </w:rPr>
        <w:t xml:space="preserve"> a</w:t>
      </w:r>
      <w:r w:rsidR="008B5015" w:rsidRPr="00DD72AC">
        <w:rPr>
          <w:rFonts w:asciiTheme="minorHAnsi" w:hAnsiTheme="minorHAnsi"/>
          <w:bCs/>
          <w:snapToGrid w:val="0"/>
        </w:rPr>
        <w:t>nd</w:t>
      </w:r>
      <w:r w:rsidR="00075841" w:rsidRPr="00DD72AC">
        <w:rPr>
          <w:rFonts w:asciiTheme="minorHAnsi" w:hAnsiTheme="minorHAnsi"/>
          <w:bCs/>
          <w:snapToGrid w:val="0"/>
        </w:rPr>
        <w:t xml:space="preserve"> </w:t>
      </w:r>
      <w:r w:rsidRPr="00DD72AC">
        <w:rPr>
          <w:rFonts w:asciiTheme="minorHAnsi" w:hAnsiTheme="minorHAnsi"/>
          <w:bCs/>
          <w:snapToGrid w:val="0"/>
        </w:rPr>
        <w:t xml:space="preserve">being able to drive and ride on transport without assistance. </w:t>
      </w:r>
      <w:r w:rsidR="00075841" w:rsidRPr="00DD72AC">
        <w:rPr>
          <w:rFonts w:asciiTheme="minorHAnsi" w:hAnsiTheme="minorHAnsi"/>
          <w:bCs/>
          <w:snapToGrid w:val="0"/>
        </w:rPr>
        <w:t xml:space="preserve">The comments from parents or partners of an individual with achondroplasia described benefits of treatment with vosoritide including increased independence in self-care activities and improved endurance allowing their child to keep up with peers at school. Concerns regarding the </w:t>
      </w:r>
      <w:r w:rsidR="008B5015" w:rsidRPr="00DD72AC">
        <w:rPr>
          <w:rFonts w:asciiTheme="minorHAnsi" w:hAnsiTheme="minorHAnsi"/>
          <w:bCs/>
          <w:snapToGrid w:val="0"/>
        </w:rPr>
        <w:t xml:space="preserve">high </w:t>
      </w:r>
      <w:r w:rsidR="00075841" w:rsidRPr="00DD72AC">
        <w:rPr>
          <w:rFonts w:asciiTheme="minorHAnsi" w:hAnsiTheme="minorHAnsi"/>
          <w:bCs/>
          <w:snapToGrid w:val="0"/>
        </w:rPr>
        <w:t xml:space="preserve">cost of vosoritide if not subsidised on the PBS was raised by both parents and other interested individuals who provided feedback via the Consumer Comments facility. </w:t>
      </w:r>
    </w:p>
    <w:p w14:paraId="07A9F0C4" w14:textId="32D1E1F2" w:rsidR="00F356C9" w:rsidRPr="00DD72AC" w:rsidRDefault="00485FE1" w:rsidP="00485FE1">
      <w:pPr>
        <w:widowControl w:val="0"/>
        <w:numPr>
          <w:ilvl w:val="1"/>
          <w:numId w:val="1"/>
        </w:numPr>
        <w:spacing w:after="120"/>
        <w:rPr>
          <w:rFonts w:asciiTheme="minorHAnsi" w:hAnsiTheme="minorHAnsi"/>
          <w:bCs/>
          <w:snapToGrid w:val="0"/>
        </w:rPr>
      </w:pPr>
      <w:r w:rsidRPr="00DD72AC">
        <w:rPr>
          <w:rFonts w:asciiTheme="minorHAnsi" w:hAnsiTheme="minorHAnsi"/>
          <w:bCs/>
          <w:snapToGrid w:val="0"/>
        </w:rPr>
        <w:t xml:space="preserve">The comments </w:t>
      </w:r>
      <w:r w:rsidR="00ED5FDE" w:rsidRPr="00DD72AC">
        <w:rPr>
          <w:rFonts w:asciiTheme="minorHAnsi" w:hAnsiTheme="minorHAnsi"/>
          <w:bCs/>
          <w:snapToGrid w:val="0"/>
        </w:rPr>
        <w:t xml:space="preserve">from health care professionals </w:t>
      </w:r>
      <w:r w:rsidR="00F356C9" w:rsidRPr="00DD72AC">
        <w:rPr>
          <w:rFonts w:asciiTheme="minorHAnsi" w:hAnsiTheme="minorHAnsi"/>
          <w:bCs/>
          <w:snapToGrid w:val="0"/>
        </w:rPr>
        <w:t xml:space="preserve">working in the area </w:t>
      </w:r>
      <w:r w:rsidRPr="00DD72AC">
        <w:rPr>
          <w:rFonts w:asciiTheme="minorHAnsi" w:hAnsiTheme="minorHAnsi"/>
          <w:bCs/>
          <w:snapToGrid w:val="0"/>
        </w:rPr>
        <w:t xml:space="preserve">described a range of benefits of treatment with </w:t>
      </w:r>
      <w:r w:rsidR="00F356C9" w:rsidRPr="00DD72AC">
        <w:rPr>
          <w:rFonts w:asciiTheme="minorHAnsi" w:hAnsiTheme="minorHAnsi"/>
          <w:bCs/>
          <w:snapToGrid w:val="0"/>
        </w:rPr>
        <w:t xml:space="preserve">vosoritide resulting from the observed height gains </w:t>
      </w:r>
      <w:r w:rsidRPr="00DD72AC">
        <w:rPr>
          <w:rFonts w:asciiTheme="minorHAnsi" w:hAnsiTheme="minorHAnsi"/>
          <w:bCs/>
          <w:snapToGrid w:val="0"/>
        </w:rPr>
        <w:t>including</w:t>
      </w:r>
      <w:r w:rsidR="00F356C9" w:rsidRPr="00DD72AC">
        <w:rPr>
          <w:rFonts w:asciiTheme="minorHAnsi" w:hAnsiTheme="minorHAnsi"/>
          <w:bCs/>
          <w:snapToGrid w:val="0"/>
        </w:rPr>
        <w:t xml:space="preserve"> improved access to the environment, </w:t>
      </w:r>
      <w:bookmarkStart w:id="14" w:name="_Hlk109055354"/>
      <w:r w:rsidR="00F356C9" w:rsidRPr="00DD72AC">
        <w:rPr>
          <w:rFonts w:asciiTheme="minorHAnsi" w:hAnsiTheme="minorHAnsi"/>
          <w:bCs/>
          <w:snapToGrid w:val="0"/>
        </w:rPr>
        <w:t>increased functionality and exercise tolerance along with the potential for reduced pain and medical complications</w:t>
      </w:r>
      <w:bookmarkEnd w:id="14"/>
      <w:r w:rsidR="00F356C9" w:rsidRPr="00DD72AC">
        <w:rPr>
          <w:rFonts w:asciiTheme="minorHAnsi" w:hAnsiTheme="minorHAnsi"/>
          <w:bCs/>
          <w:snapToGrid w:val="0"/>
        </w:rPr>
        <w:t xml:space="preserve">. The health care professionals indicated vosoritide appears well tolerated and noted improvements in quality of life with treatment. A health care professional suggested that the costs of vosoritide treatment (which has an endpoint) should be considered versus the costs of supporting individuals with this condition through the medical system for the rest of their lives. </w:t>
      </w:r>
      <w:r w:rsidRPr="00DD72AC">
        <w:rPr>
          <w:rFonts w:asciiTheme="minorHAnsi" w:hAnsiTheme="minorHAnsi"/>
          <w:bCs/>
          <w:snapToGrid w:val="0"/>
        </w:rPr>
        <w:t xml:space="preserve"> </w:t>
      </w:r>
    </w:p>
    <w:p w14:paraId="609C0765" w14:textId="6B7F2592" w:rsidR="00B60939" w:rsidRPr="00DD72AC" w:rsidRDefault="00B60939" w:rsidP="002E4F02">
      <w:pPr>
        <w:pStyle w:val="4-SubsectionHeading"/>
      </w:pPr>
      <w:bookmarkStart w:id="15" w:name="_Toc103776180"/>
      <w:r w:rsidRPr="00DD72AC">
        <w:lastRenderedPageBreak/>
        <w:t>Clinical trials</w:t>
      </w:r>
      <w:bookmarkEnd w:id="12"/>
      <w:bookmarkEnd w:id="15"/>
    </w:p>
    <w:p w14:paraId="28C1800B" w14:textId="1F5FE441" w:rsidR="00EA284F" w:rsidRPr="00DD72AC" w:rsidRDefault="00852CA3" w:rsidP="00713F82">
      <w:pPr>
        <w:pStyle w:val="3-BodyText"/>
        <w:rPr>
          <w:rStyle w:val="CommentReference"/>
          <w:rFonts w:asciiTheme="minorHAnsi" w:hAnsiTheme="minorHAnsi"/>
          <w:b w:val="0"/>
          <w:sz w:val="24"/>
          <w:szCs w:val="24"/>
        </w:rPr>
      </w:pPr>
      <w:r w:rsidRPr="00DD72AC">
        <w:t xml:space="preserve">Details of the trials presented in the submission are provided in the table below. </w:t>
      </w:r>
      <w:r w:rsidR="00C64B5F" w:rsidRPr="00DD72AC">
        <w:t>The submission was based on two pivotal vosoritide studies (St</w:t>
      </w:r>
      <w:r w:rsidR="00CA126B" w:rsidRPr="00DD72AC">
        <w:t>udy</w:t>
      </w:r>
      <w:r w:rsidR="00C64B5F" w:rsidRPr="00DD72AC">
        <w:t xml:space="preserve"> 111-301 and</w:t>
      </w:r>
      <w:r w:rsidR="00CA126B" w:rsidRPr="00DD72AC">
        <w:t xml:space="preserve"> Study</w:t>
      </w:r>
      <w:r w:rsidR="00C64B5F" w:rsidRPr="00DD72AC">
        <w:t xml:space="preserve"> 111-206), which are placebo-controlled randomised trials comparing vosoritide to placebo and two corresponding open-label extension studies</w:t>
      </w:r>
      <w:r w:rsidR="00967213" w:rsidRPr="00DD72AC">
        <w:t xml:space="preserve"> (</w:t>
      </w:r>
      <w:r w:rsidR="00CA126B" w:rsidRPr="00DD72AC">
        <w:t>S</w:t>
      </w:r>
      <w:r w:rsidR="00967213" w:rsidRPr="00DD72AC">
        <w:t xml:space="preserve">tudy </w:t>
      </w:r>
      <w:r w:rsidR="00A179DA" w:rsidRPr="00DD72AC">
        <w:t>111-302</w:t>
      </w:r>
      <w:r w:rsidR="00967213" w:rsidRPr="00DD72AC">
        <w:t xml:space="preserve"> and </w:t>
      </w:r>
      <w:r w:rsidR="00CA126B" w:rsidRPr="00DD72AC">
        <w:t>S</w:t>
      </w:r>
      <w:r w:rsidR="00967213" w:rsidRPr="00DD72AC">
        <w:t xml:space="preserve">tudy </w:t>
      </w:r>
      <w:r w:rsidR="00A179DA" w:rsidRPr="00DD72AC">
        <w:t>111-20</w:t>
      </w:r>
      <w:r w:rsidR="00201081" w:rsidRPr="00DD72AC">
        <w:t>8</w:t>
      </w:r>
      <w:r w:rsidR="00967213" w:rsidRPr="00DD72AC">
        <w:t>)</w:t>
      </w:r>
      <w:r w:rsidR="00C64B5F" w:rsidRPr="00DD72AC">
        <w:t>.</w:t>
      </w:r>
      <w:r w:rsidR="00877111" w:rsidRPr="00DD72AC">
        <w:t xml:space="preserve"> </w:t>
      </w:r>
    </w:p>
    <w:p w14:paraId="39EE892F" w14:textId="317D8852" w:rsidR="00713F82" w:rsidRPr="00DD72AC" w:rsidRDefault="00684C91" w:rsidP="00F7498C">
      <w:pPr>
        <w:pStyle w:val="TableFigureHeading"/>
        <w:keepLines/>
      </w:pPr>
      <w:r w:rsidRPr="00DD72AC">
        <w:lastRenderedPageBreak/>
        <w:t xml:space="preserve">Table </w:t>
      </w:r>
      <w:r w:rsidR="00FA023D">
        <w:fldChar w:fldCharType="begin" w:fldLock="1"/>
      </w:r>
      <w:r w:rsidR="00FA023D">
        <w:instrText xml:space="preserve"> SEQ Table \* ARABIC </w:instrText>
      </w:r>
      <w:r w:rsidR="00FA023D">
        <w:fldChar w:fldCharType="separate"/>
      </w:r>
      <w:r w:rsidR="003136E6" w:rsidRPr="00DD72AC">
        <w:t>2</w:t>
      </w:r>
      <w:r w:rsidR="00FA023D">
        <w:fldChar w:fldCharType="end"/>
      </w:r>
      <w:r w:rsidR="00004E4F">
        <w:t>:</w:t>
      </w:r>
      <w:r w:rsidR="00004CC1" w:rsidRPr="00DD72AC">
        <w:t xml:space="preserve"> </w:t>
      </w:r>
      <w:r w:rsidR="00713F82" w:rsidRPr="00DD72AC">
        <w:rPr>
          <w:bCs w:val="0"/>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336"/>
        <w:gridCol w:w="5363"/>
        <w:gridCol w:w="2317"/>
      </w:tblGrid>
      <w:tr w:rsidR="00713F82" w:rsidRPr="00DD72AC" w14:paraId="2EEBA94D" w14:textId="77777777" w:rsidTr="00EB6AD4">
        <w:trPr>
          <w:tblHeader/>
        </w:trPr>
        <w:tc>
          <w:tcPr>
            <w:tcW w:w="741" w:type="pct"/>
            <w:vAlign w:val="center"/>
          </w:tcPr>
          <w:p w14:paraId="0F11A293" w14:textId="77777777" w:rsidR="00713F82" w:rsidRPr="00DD72AC" w:rsidRDefault="00713F82" w:rsidP="00F7498C">
            <w:pPr>
              <w:pStyle w:val="In-tableHeading"/>
              <w:keepLines/>
              <w:rPr>
                <w:lang w:val="en-AU"/>
              </w:rPr>
            </w:pPr>
            <w:r w:rsidRPr="00DD72AC">
              <w:rPr>
                <w:lang w:val="en-AU"/>
              </w:rPr>
              <w:t>Trial ID</w:t>
            </w:r>
          </w:p>
        </w:tc>
        <w:tc>
          <w:tcPr>
            <w:tcW w:w="2974" w:type="pct"/>
            <w:tcBorders>
              <w:bottom w:val="single" w:sz="4" w:space="0" w:color="auto"/>
            </w:tcBorders>
            <w:vAlign w:val="center"/>
          </w:tcPr>
          <w:p w14:paraId="3296945B" w14:textId="77777777" w:rsidR="00713F82" w:rsidRPr="00DD72AC" w:rsidRDefault="00713F82" w:rsidP="00F7498C">
            <w:pPr>
              <w:pStyle w:val="In-tableHeading"/>
              <w:keepLines/>
              <w:rPr>
                <w:lang w:val="en-AU"/>
              </w:rPr>
            </w:pPr>
            <w:r w:rsidRPr="00DD72AC">
              <w:rPr>
                <w:lang w:val="en-AU"/>
              </w:rPr>
              <w:t>Protocol title/ Publication title</w:t>
            </w:r>
          </w:p>
        </w:tc>
        <w:tc>
          <w:tcPr>
            <w:tcW w:w="1285" w:type="pct"/>
            <w:tcBorders>
              <w:bottom w:val="single" w:sz="4" w:space="0" w:color="auto"/>
            </w:tcBorders>
            <w:vAlign w:val="center"/>
          </w:tcPr>
          <w:p w14:paraId="55C62E50" w14:textId="77777777" w:rsidR="00713F82" w:rsidRPr="00DD72AC" w:rsidRDefault="00713F82" w:rsidP="00F7498C">
            <w:pPr>
              <w:pStyle w:val="In-tableHeading"/>
              <w:keepLines/>
              <w:rPr>
                <w:lang w:val="en-AU"/>
              </w:rPr>
            </w:pPr>
            <w:r w:rsidRPr="00DD72AC">
              <w:rPr>
                <w:lang w:val="en-AU"/>
              </w:rPr>
              <w:t>Publication citation</w:t>
            </w:r>
          </w:p>
        </w:tc>
      </w:tr>
      <w:tr w:rsidR="00713F82" w:rsidRPr="00DD72AC" w14:paraId="11515F3D" w14:textId="77777777" w:rsidTr="00EB6AD4">
        <w:tc>
          <w:tcPr>
            <w:tcW w:w="741" w:type="pct"/>
            <w:vMerge w:val="restart"/>
          </w:tcPr>
          <w:p w14:paraId="21CABA94" w14:textId="77777777" w:rsidR="00713F82" w:rsidRPr="00DD72AC" w:rsidRDefault="00713F82" w:rsidP="00F7498C">
            <w:pPr>
              <w:pStyle w:val="TableText0"/>
              <w:keepLines/>
              <w:widowControl w:val="0"/>
            </w:pPr>
            <w:r w:rsidRPr="00DD72AC">
              <w:t xml:space="preserve">111-301 (NCT03197766) / </w:t>
            </w:r>
          </w:p>
          <w:p w14:paraId="79647DCE" w14:textId="77777777" w:rsidR="00713F82" w:rsidRPr="00DD72AC" w:rsidRDefault="00713F82" w:rsidP="00F7498C">
            <w:pPr>
              <w:pStyle w:val="TableText0"/>
              <w:keepLines/>
              <w:widowControl w:val="0"/>
            </w:pPr>
          </w:p>
          <w:p w14:paraId="1F3B30F6" w14:textId="77777777" w:rsidR="00713F82" w:rsidRPr="00DD72AC" w:rsidRDefault="00713F82" w:rsidP="00F7498C">
            <w:pPr>
              <w:pStyle w:val="TableText0"/>
              <w:keepLines/>
              <w:widowControl w:val="0"/>
            </w:pPr>
            <w:r w:rsidRPr="00DD72AC">
              <w:t xml:space="preserve">111-302 </w:t>
            </w:r>
          </w:p>
        </w:tc>
        <w:tc>
          <w:tcPr>
            <w:tcW w:w="2974" w:type="pct"/>
            <w:tcBorders>
              <w:bottom w:val="nil"/>
            </w:tcBorders>
            <w:vAlign w:val="center"/>
          </w:tcPr>
          <w:p w14:paraId="3CD22136" w14:textId="77777777" w:rsidR="00713F82" w:rsidRPr="00DD72AC" w:rsidRDefault="00713F82" w:rsidP="00F7498C">
            <w:pPr>
              <w:pStyle w:val="TableText0"/>
              <w:keepLines/>
              <w:widowControl w:val="0"/>
              <w:rPr>
                <w:szCs w:val="18"/>
              </w:rPr>
            </w:pPr>
            <w:r w:rsidRPr="00DD72AC">
              <w:rPr>
                <w:szCs w:val="18"/>
              </w:rPr>
              <w:t xml:space="preserve">A Phase 3 Randomised, Double-Blind, Placebo-Controlled, Multicenter Study to Evaluate the Efficacy and Safety of BMN 111 in Children with Achondroplasia </w:t>
            </w:r>
          </w:p>
        </w:tc>
        <w:tc>
          <w:tcPr>
            <w:tcW w:w="1285" w:type="pct"/>
            <w:tcBorders>
              <w:bottom w:val="nil"/>
            </w:tcBorders>
            <w:vAlign w:val="center"/>
          </w:tcPr>
          <w:p w14:paraId="6450F845" w14:textId="77777777" w:rsidR="00713F82" w:rsidRPr="00DD72AC" w:rsidRDefault="00713F82" w:rsidP="00F7498C">
            <w:pPr>
              <w:pStyle w:val="TableText0"/>
              <w:keepLines/>
              <w:widowControl w:val="0"/>
            </w:pPr>
            <w:r w:rsidRPr="00DD72AC">
              <w:t xml:space="preserve">Date not provided. </w:t>
            </w:r>
          </w:p>
        </w:tc>
      </w:tr>
      <w:tr w:rsidR="00713F82" w:rsidRPr="00DD72AC" w14:paraId="0043BFF1" w14:textId="77777777" w:rsidTr="00EB6AD4">
        <w:tc>
          <w:tcPr>
            <w:tcW w:w="741" w:type="pct"/>
            <w:vMerge/>
            <w:vAlign w:val="center"/>
          </w:tcPr>
          <w:p w14:paraId="79BF5769" w14:textId="77777777" w:rsidR="00713F82" w:rsidRPr="00DD72AC" w:rsidRDefault="00713F82" w:rsidP="00F7498C">
            <w:pPr>
              <w:pStyle w:val="TableText0"/>
              <w:keepLines/>
              <w:widowControl w:val="0"/>
            </w:pPr>
          </w:p>
        </w:tc>
        <w:tc>
          <w:tcPr>
            <w:tcW w:w="2974" w:type="pct"/>
            <w:tcBorders>
              <w:top w:val="nil"/>
              <w:bottom w:val="nil"/>
            </w:tcBorders>
            <w:vAlign w:val="center"/>
          </w:tcPr>
          <w:p w14:paraId="3C895673" w14:textId="77777777" w:rsidR="00713F82" w:rsidRPr="00DD72AC" w:rsidRDefault="00713F82" w:rsidP="00F7498C">
            <w:pPr>
              <w:pStyle w:val="TableText0"/>
              <w:keepLines/>
              <w:widowControl w:val="0"/>
              <w:rPr>
                <w:szCs w:val="18"/>
              </w:rPr>
            </w:pPr>
            <w:r w:rsidRPr="00DD72AC">
              <w:rPr>
                <w:szCs w:val="18"/>
              </w:rPr>
              <w:t>A Phase 3, Open-Label Long-Term Extension Study to Evaluate the Safety and Efficacy of BMN 111 in Children with Achondroplasia Interim CSR</w:t>
            </w:r>
          </w:p>
        </w:tc>
        <w:tc>
          <w:tcPr>
            <w:tcW w:w="1285" w:type="pct"/>
            <w:tcBorders>
              <w:top w:val="nil"/>
              <w:bottom w:val="nil"/>
            </w:tcBorders>
            <w:vAlign w:val="center"/>
          </w:tcPr>
          <w:p w14:paraId="7BC644A1" w14:textId="77777777" w:rsidR="00713F82" w:rsidRPr="00DD72AC" w:rsidRDefault="00713F82" w:rsidP="00F7498C">
            <w:pPr>
              <w:pStyle w:val="TableText0"/>
              <w:keepLines/>
              <w:widowControl w:val="0"/>
              <w:rPr>
                <w:i/>
                <w:szCs w:val="18"/>
              </w:rPr>
            </w:pPr>
            <w:r w:rsidRPr="00DD72AC">
              <w:rPr>
                <w:i/>
                <w:szCs w:val="18"/>
              </w:rPr>
              <w:t>Date not provided.</w:t>
            </w:r>
          </w:p>
        </w:tc>
      </w:tr>
      <w:tr w:rsidR="00713F82" w:rsidRPr="00DD72AC" w14:paraId="059FA8A5" w14:textId="77777777" w:rsidTr="00EB6AD4">
        <w:tc>
          <w:tcPr>
            <w:tcW w:w="741" w:type="pct"/>
            <w:vMerge/>
            <w:vAlign w:val="center"/>
          </w:tcPr>
          <w:p w14:paraId="42271FF2" w14:textId="77777777" w:rsidR="00713F82" w:rsidRPr="00DD72AC" w:rsidRDefault="00713F82" w:rsidP="00F7498C">
            <w:pPr>
              <w:pStyle w:val="TableText0"/>
              <w:keepLines/>
              <w:widowControl w:val="0"/>
            </w:pPr>
          </w:p>
        </w:tc>
        <w:tc>
          <w:tcPr>
            <w:tcW w:w="2974" w:type="pct"/>
            <w:tcBorders>
              <w:top w:val="nil"/>
              <w:bottom w:val="nil"/>
            </w:tcBorders>
            <w:vAlign w:val="center"/>
          </w:tcPr>
          <w:p w14:paraId="720164DF" w14:textId="77777777" w:rsidR="00713F82" w:rsidRPr="00DD72AC" w:rsidRDefault="00713F82" w:rsidP="00F7498C">
            <w:pPr>
              <w:pStyle w:val="TableText0"/>
              <w:keepLines/>
              <w:widowControl w:val="0"/>
              <w:rPr>
                <w:szCs w:val="18"/>
              </w:rPr>
            </w:pPr>
            <w:r w:rsidRPr="00DD72AC">
              <w:rPr>
                <w:szCs w:val="18"/>
              </w:rPr>
              <w:t>A Phase 3, Open-Label Long-Term Extension Study to Evaluate the Safety and Efficacy of BMN 111 in Children with Achondroplasia Interim CSR 2</w:t>
            </w:r>
          </w:p>
        </w:tc>
        <w:tc>
          <w:tcPr>
            <w:tcW w:w="1285" w:type="pct"/>
            <w:tcBorders>
              <w:top w:val="nil"/>
              <w:bottom w:val="nil"/>
            </w:tcBorders>
            <w:vAlign w:val="center"/>
          </w:tcPr>
          <w:p w14:paraId="3A87C50F" w14:textId="77777777" w:rsidR="00713F82" w:rsidRPr="00DD72AC" w:rsidRDefault="00713F82" w:rsidP="00F7498C">
            <w:pPr>
              <w:pStyle w:val="TableText0"/>
              <w:keepLines/>
              <w:widowControl w:val="0"/>
              <w:rPr>
                <w:i/>
                <w:szCs w:val="18"/>
              </w:rPr>
            </w:pPr>
            <w:r w:rsidRPr="00DD72AC">
              <w:rPr>
                <w:i/>
                <w:szCs w:val="18"/>
              </w:rPr>
              <w:t xml:space="preserve">Date not provided. </w:t>
            </w:r>
          </w:p>
        </w:tc>
      </w:tr>
      <w:tr w:rsidR="00713F82" w:rsidRPr="00DD72AC" w14:paraId="419F98FF" w14:textId="77777777" w:rsidTr="00EB6AD4">
        <w:tc>
          <w:tcPr>
            <w:tcW w:w="741" w:type="pct"/>
            <w:vMerge/>
            <w:vAlign w:val="center"/>
          </w:tcPr>
          <w:p w14:paraId="59156D66" w14:textId="77777777" w:rsidR="00713F82" w:rsidRPr="00DD72AC" w:rsidRDefault="00713F82" w:rsidP="00F7498C">
            <w:pPr>
              <w:pStyle w:val="TableText0"/>
              <w:keepLines/>
              <w:widowControl w:val="0"/>
            </w:pPr>
          </w:p>
        </w:tc>
        <w:tc>
          <w:tcPr>
            <w:tcW w:w="2974" w:type="pct"/>
            <w:tcBorders>
              <w:top w:val="nil"/>
              <w:bottom w:val="nil"/>
            </w:tcBorders>
            <w:vAlign w:val="center"/>
          </w:tcPr>
          <w:p w14:paraId="2612C962" w14:textId="77777777" w:rsidR="00713F82" w:rsidRPr="00DD72AC" w:rsidRDefault="00713F82" w:rsidP="00F7498C">
            <w:pPr>
              <w:pStyle w:val="TableText0"/>
              <w:keepLines/>
              <w:widowControl w:val="0"/>
              <w:rPr>
                <w:szCs w:val="18"/>
              </w:rPr>
            </w:pPr>
            <w:proofErr w:type="spellStart"/>
            <w:r w:rsidRPr="00DD72AC">
              <w:rPr>
                <w:szCs w:val="18"/>
              </w:rPr>
              <w:t>Savarirayan</w:t>
            </w:r>
            <w:proofErr w:type="spellEnd"/>
            <w:r w:rsidRPr="00DD72AC">
              <w:rPr>
                <w:szCs w:val="18"/>
              </w:rPr>
              <w:t>, R., et al. Once-daily, subcutaneous vosoritide therapy in children with achondroplasia: a randomised, double-blind, phase 3, placebo-controlled, multicentre trial.</w:t>
            </w:r>
          </w:p>
        </w:tc>
        <w:tc>
          <w:tcPr>
            <w:tcW w:w="1285" w:type="pct"/>
            <w:tcBorders>
              <w:top w:val="nil"/>
              <w:bottom w:val="nil"/>
            </w:tcBorders>
            <w:vAlign w:val="center"/>
          </w:tcPr>
          <w:p w14:paraId="39C47A96" w14:textId="77777777" w:rsidR="00713F82" w:rsidRPr="00DD72AC" w:rsidRDefault="00713F82" w:rsidP="00F7498C">
            <w:pPr>
              <w:pStyle w:val="TableText0"/>
              <w:keepLines/>
              <w:widowControl w:val="0"/>
              <w:rPr>
                <w:i/>
                <w:szCs w:val="18"/>
              </w:rPr>
            </w:pPr>
            <w:r w:rsidRPr="00DD72AC">
              <w:rPr>
                <w:i/>
                <w:szCs w:val="18"/>
              </w:rPr>
              <w:t>Lancet. 2020 Sep 5;396(10252):684-692.</w:t>
            </w:r>
          </w:p>
        </w:tc>
      </w:tr>
      <w:tr w:rsidR="00713F82" w:rsidRPr="00DD72AC" w14:paraId="40E18D69" w14:textId="77777777" w:rsidTr="00EB6AD4">
        <w:tc>
          <w:tcPr>
            <w:tcW w:w="741" w:type="pct"/>
            <w:vMerge/>
            <w:vAlign w:val="center"/>
          </w:tcPr>
          <w:p w14:paraId="22BD3393" w14:textId="77777777" w:rsidR="00713F82" w:rsidRPr="00DD72AC" w:rsidRDefault="00713F82" w:rsidP="00F7498C">
            <w:pPr>
              <w:pStyle w:val="TableText0"/>
              <w:keepLines/>
              <w:widowControl w:val="0"/>
            </w:pPr>
          </w:p>
        </w:tc>
        <w:tc>
          <w:tcPr>
            <w:tcW w:w="2974" w:type="pct"/>
            <w:tcBorders>
              <w:top w:val="nil"/>
              <w:bottom w:val="nil"/>
            </w:tcBorders>
            <w:vAlign w:val="center"/>
          </w:tcPr>
          <w:p w14:paraId="4F704613" w14:textId="77777777" w:rsidR="00713F82" w:rsidRPr="00DD72AC" w:rsidRDefault="00713F82" w:rsidP="00F7498C">
            <w:pPr>
              <w:pStyle w:val="TableText0"/>
              <w:keepLines/>
              <w:widowControl w:val="0"/>
              <w:rPr>
                <w:szCs w:val="18"/>
              </w:rPr>
            </w:pPr>
            <w:proofErr w:type="spellStart"/>
            <w:r w:rsidRPr="00DD72AC">
              <w:rPr>
                <w:szCs w:val="18"/>
              </w:rPr>
              <w:t>Savarirayan</w:t>
            </w:r>
            <w:proofErr w:type="spellEnd"/>
            <w:r w:rsidRPr="00DD72AC">
              <w:rPr>
                <w:szCs w:val="18"/>
              </w:rPr>
              <w:t>, R., et al. Safe and persistent growth-promoting effects of vosoritide in children with achondroplasia: 2-year results from an open-label, phase 3 extension study.</w:t>
            </w:r>
          </w:p>
        </w:tc>
        <w:tc>
          <w:tcPr>
            <w:tcW w:w="1285" w:type="pct"/>
            <w:tcBorders>
              <w:top w:val="nil"/>
              <w:bottom w:val="nil"/>
            </w:tcBorders>
            <w:vAlign w:val="center"/>
          </w:tcPr>
          <w:p w14:paraId="213D1F2C" w14:textId="77777777" w:rsidR="00713F82" w:rsidRPr="00DD72AC" w:rsidRDefault="00713F82" w:rsidP="00F7498C">
            <w:pPr>
              <w:pStyle w:val="TableText0"/>
              <w:keepLines/>
              <w:widowControl w:val="0"/>
              <w:rPr>
                <w:i/>
                <w:szCs w:val="18"/>
              </w:rPr>
            </w:pPr>
            <w:r w:rsidRPr="00DD72AC">
              <w:rPr>
                <w:i/>
                <w:szCs w:val="18"/>
              </w:rPr>
              <w:t>Genet Med. 2021 Dec;23(12):2443-2447.</w:t>
            </w:r>
          </w:p>
        </w:tc>
      </w:tr>
      <w:tr w:rsidR="00713F82" w:rsidRPr="00DD72AC" w14:paraId="15BF4FDF" w14:textId="77777777" w:rsidTr="004967F5">
        <w:trPr>
          <w:trHeight w:val="539"/>
        </w:trPr>
        <w:tc>
          <w:tcPr>
            <w:tcW w:w="741" w:type="pct"/>
            <w:vMerge/>
            <w:vAlign w:val="center"/>
          </w:tcPr>
          <w:p w14:paraId="27FAD85A" w14:textId="77777777" w:rsidR="00713F82" w:rsidRPr="00DD72AC" w:rsidRDefault="00713F82" w:rsidP="00F7498C">
            <w:pPr>
              <w:pStyle w:val="TableText0"/>
              <w:keepLines/>
              <w:widowControl w:val="0"/>
            </w:pPr>
          </w:p>
        </w:tc>
        <w:tc>
          <w:tcPr>
            <w:tcW w:w="2974" w:type="pct"/>
            <w:tcBorders>
              <w:top w:val="nil"/>
              <w:bottom w:val="nil"/>
            </w:tcBorders>
            <w:vAlign w:val="center"/>
          </w:tcPr>
          <w:p w14:paraId="5D4ABB0D" w14:textId="77777777" w:rsidR="00713F82" w:rsidRPr="00DD72AC" w:rsidRDefault="00713F82" w:rsidP="00F7498C">
            <w:pPr>
              <w:pStyle w:val="TableText0"/>
              <w:keepLines/>
              <w:widowControl w:val="0"/>
              <w:rPr>
                <w:szCs w:val="18"/>
              </w:rPr>
            </w:pPr>
            <w:proofErr w:type="spellStart"/>
            <w:r w:rsidRPr="00DD72AC">
              <w:rPr>
                <w:szCs w:val="18"/>
              </w:rPr>
              <w:t>Polgreen</w:t>
            </w:r>
            <w:proofErr w:type="spellEnd"/>
            <w:r w:rsidRPr="00DD72AC">
              <w:rPr>
                <w:szCs w:val="18"/>
              </w:rPr>
              <w:t>, L., et al. A randomized controlled trial of vosoritide in children with achondroplasia. Hormone Research in Paediatrics 93(SUPPL 1): 169-170.</w:t>
            </w:r>
          </w:p>
        </w:tc>
        <w:tc>
          <w:tcPr>
            <w:tcW w:w="1285" w:type="pct"/>
            <w:tcBorders>
              <w:top w:val="nil"/>
              <w:bottom w:val="nil"/>
            </w:tcBorders>
            <w:vAlign w:val="center"/>
          </w:tcPr>
          <w:p w14:paraId="16F6D112" w14:textId="77777777" w:rsidR="00713F82" w:rsidRPr="00DD72AC" w:rsidRDefault="00713F82" w:rsidP="00F7498C">
            <w:pPr>
              <w:pStyle w:val="TableText0"/>
              <w:keepLines/>
              <w:widowControl w:val="0"/>
              <w:rPr>
                <w:i/>
                <w:szCs w:val="18"/>
              </w:rPr>
            </w:pPr>
            <w:r w:rsidRPr="00DD72AC">
              <w:rPr>
                <w:i/>
                <w:szCs w:val="18"/>
              </w:rPr>
              <w:t>Conference abstract, 2020, Hormone Research in Paediatrics 93(SUPPL 1): 169-170</w:t>
            </w:r>
          </w:p>
        </w:tc>
      </w:tr>
      <w:tr w:rsidR="00713F82" w:rsidRPr="00DD72AC" w14:paraId="080A5B78" w14:textId="77777777" w:rsidTr="00EB6AD4">
        <w:tc>
          <w:tcPr>
            <w:tcW w:w="741" w:type="pct"/>
            <w:vMerge/>
            <w:vAlign w:val="center"/>
          </w:tcPr>
          <w:p w14:paraId="6767D78E" w14:textId="77777777" w:rsidR="00713F82" w:rsidRPr="00DD72AC" w:rsidRDefault="00713F82" w:rsidP="00F7498C">
            <w:pPr>
              <w:pStyle w:val="TableText0"/>
              <w:keepLines/>
              <w:widowControl w:val="0"/>
            </w:pPr>
          </w:p>
        </w:tc>
        <w:tc>
          <w:tcPr>
            <w:tcW w:w="2974" w:type="pct"/>
            <w:tcBorders>
              <w:top w:val="nil"/>
            </w:tcBorders>
            <w:vAlign w:val="center"/>
          </w:tcPr>
          <w:p w14:paraId="15C54F9C" w14:textId="77777777" w:rsidR="00713F82" w:rsidRPr="00DD72AC" w:rsidRDefault="00713F82" w:rsidP="00F7498C">
            <w:pPr>
              <w:pStyle w:val="TableText0"/>
              <w:keepLines/>
              <w:widowControl w:val="0"/>
              <w:rPr>
                <w:szCs w:val="18"/>
              </w:rPr>
            </w:pPr>
            <w:proofErr w:type="spellStart"/>
            <w:r w:rsidRPr="00DD72AC">
              <w:rPr>
                <w:szCs w:val="18"/>
              </w:rPr>
              <w:t>Savarirayan</w:t>
            </w:r>
            <w:proofErr w:type="spellEnd"/>
            <w:r w:rsidRPr="00DD72AC">
              <w:rPr>
                <w:szCs w:val="18"/>
              </w:rPr>
              <w:t>, R., et al. (2020). "A Randomized Controlled Trial of Vosoritide in Children with Achondroplasia." Journal of Bone and Mineral Research 35(SUPPL 1): 18.</w:t>
            </w:r>
          </w:p>
        </w:tc>
        <w:tc>
          <w:tcPr>
            <w:tcW w:w="1285" w:type="pct"/>
            <w:tcBorders>
              <w:top w:val="nil"/>
            </w:tcBorders>
            <w:vAlign w:val="center"/>
          </w:tcPr>
          <w:p w14:paraId="4D8BD229" w14:textId="7AA3066F" w:rsidR="00713F82" w:rsidRPr="00DD72AC" w:rsidRDefault="00713F82" w:rsidP="00F7498C">
            <w:pPr>
              <w:pStyle w:val="TableText0"/>
              <w:keepLines/>
              <w:widowControl w:val="0"/>
              <w:rPr>
                <w:i/>
                <w:szCs w:val="18"/>
              </w:rPr>
            </w:pPr>
            <w:r w:rsidRPr="00DD72AC">
              <w:rPr>
                <w:i/>
                <w:szCs w:val="18"/>
              </w:rPr>
              <w:t>Conference abstract,</w:t>
            </w:r>
            <w:r w:rsidR="0014489C" w:rsidRPr="00DD72AC">
              <w:rPr>
                <w:i/>
                <w:szCs w:val="18"/>
              </w:rPr>
              <w:t>2020, Journal</w:t>
            </w:r>
            <w:r w:rsidRPr="00DD72AC">
              <w:rPr>
                <w:i/>
                <w:szCs w:val="18"/>
              </w:rPr>
              <w:t xml:space="preserve"> of Bone and Mineral Research 35(SUPPL 1): 18.</w:t>
            </w:r>
          </w:p>
        </w:tc>
      </w:tr>
      <w:tr w:rsidR="00713F82" w:rsidRPr="00DD72AC" w14:paraId="628FA66E" w14:textId="77777777" w:rsidTr="00EB6AD4">
        <w:tc>
          <w:tcPr>
            <w:tcW w:w="741" w:type="pct"/>
          </w:tcPr>
          <w:p w14:paraId="1063C5A4" w14:textId="77777777" w:rsidR="00713F82" w:rsidRPr="00DD72AC" w:rsidRDefault="00713F82" w:rsidP="00F7498C">
            <w:pPr>
              <w:pStyle w:val="TableText0"/>
              <w:keepLines/>
              <w:widowControl w:val="0"/>
            </w:pPr>
            <w:r w:rsidRPr="00DD72AC">
              <w:t>111-206 (NCT03583697) / 111-208</w:t>
            </w:r>
          </w:p>
        </w:tc>
        <w:tc>
          <w:tcPr>
            <w:tcW w:w="2974" w:type="pct"/>
            <w:tcBorders>
              <w:bottom w:val="single" w:sz="4" w:space="0" w:color="auto"/>
            </w:tcBorders>
            <w:vAlign w:val="center"/>
          </w:tcPr>
          <w:p w14:paraId="5EA1DD26" w14:textId="77777777" w:rsidR="00713F82" w:rsidRPr="00DD72AC" w:rsidRDefault="00713F82" w:rsidP="00F7498C">
            <w:pPr>
              <w:pStyle w:val="TableText0"/>
              <w:keepLines/>
              <w:widowControl w:val="0"/>
              <w:rPr>
                <w:szCs w:val="18"/>
              </w:rPr>
            </w:pPr>
            <w:r w:rsidRPr="00DD72AC">
              <w:rPr>
                <w:szCs w:val="18"/>
              </w:rPr>
              <w:t>A Phase 2 Randomised, Double-Blind, Placebo-Controlled Clinical Trial to Evaluate the Safety and Efficacy of BMN 111 in Infants and Young Children with Achondroplasia, Age 0 to &lt; 60 Months (Study 111-206) and A Phase 2 Open-Label Long-Term Extension Study to Evaluate the Safety and Efficacy of BMN 111 in Children with Achondroplasia (Study 111-208).</w:t>
            </w:r>
          </w:p>
        </w:tc>
        <w:tc>
          <w:tcPr>
            <w:tcW w:w="1285" w:type="pct"/>
            <w:tcBorders>
              <w:bottom w:val="single" w:sz="4" w:space="0" w:color="auto"/>
            </w:tcBorders>
            <w:vAlign w:val="center"/>
          </w:tcPr>
          <w:p w14:paraId="02ADD9F8" w14:textId="77777777" w:rsidR="00713F82" w:rsidRPr="00DD72AC" w:rsidRDefault="00713F82" w:rsidP="00F7498C">
            <w:pPr>
              <w:pStyle w:val="TableText0"/>
              <w:keepLines/>
              <w:widowControl w:val="0"/>
            </w:pPr>
            <w:r w:rsidRPr="00DD72AC">
              <w:t>Date not provided.</w:t>
            </w:r>
          </w:p>
        </w:tc>
      </w:tr>
      <w:tr w:rsidR="00713F82" w:rsidRPr="00DD72AC" w14:paraId="4066888D" w14:textId="77777777" w:rsidTr="004967F5">
        <w:tc>
          <w:tcPr>
            <w:tcW w:w="741" w:type="pct"/>
            <w:vMerge w:val="restart"/>
          </w:tcPr>
          <w:p w14:paraId="3BF0B1AA" w14:textId="77777777" w:rsidR="00713F82" w:rsidRPr="00DD72AC" w:rsidRDefault="00713F82" w:rsidP="00F7498C">
            <w:pPr>
              <w:pStyle w:val="TableText0"/>
              <w:keepLines/>
              <w:widowControl w:val="0"/>
            </w:pPr>
            <w:r w:rsidRPr="00DD72AC">
              <w:t>111-202/ 111-205 (Included as supportive evidence with efficacy presented as supportive evidence)</w:t>
            </w:r>
          </w:p>
        </w:tc>
        <w:tc>
          <w:tcPr>
            <w:tcW w:w="2974" w:type="pct"/>
            <w:tcBorders>
              <w:bottom w:val="nil"/>
            </w:tcBorders>
          </w:tcPr>
          <w:p w14:paraId="1BDCA03A" w14:textId="77777777" w:rsidR="00713F82" w:rsidRPr="00DD72AC" w:rsidRDefault="00713F82" w:rsidP="00F7498C">
            <w:pPr>
              <w:pStyle w:val="TableText0"/>
              <w:keepLines/>
              <w:widowControl w:val="0"/>
              <w:rPr>
                <w:szCs w:val="18"/>
              </w:rPr>
            </w:pPr>
            <w:r w:rsidRPr="00DD72AC">
              <w:t>A Phase 2, Open-label, Sequential Cohort Dose-escalation Study of BMN 111 in Children with Achondroplasia</w:t>
            </w:r>
          </w:p>
        </w:tc>
        <w:tc>
          <w:tcPr>
            <w:tcW w:w="1285" w:type="pct"/>
            <w:tcBorders>
              <w:bottom w:val="nil"/>
            </w:tcBorders>
          </w:tcPr>
          <w:p w14:paraId="79FB7FE6" w14:textId="77777777" w:rsidR="00713F82" w:rsidRPr="00DD72AC" w:rsidRDefault="00713F82" w:rsidP="00F7498C">
            <w:pPr>
              <w:pStyle w:val="TableText0"/>
              <w:keepLines/>
              <w:widowControl w:val="0"/>
            </w:pPr>
            <w:r w:rsidRPr="00DD72AC">
              <w:t>Date not provided.</w:t>
            </w:r>
          </w:p>
        </w:tc>
      </w:tr>
      <w:tr w:rsidR="00713F82" w:rsidRPr="00DD72AC" w14:paraId="1AF0466B" w14:textId="77777777" w:rsidTr="00EB6AD4">
        <w:tc>
          <w:tcPr>
            <w:tcW w:w="741" w:type="pct"/>
            <w:vMerge/>
            <w:vAlign w:val="center"/>
          </w:tcPr>
          <w:p w14:paraId="38915593" w14:textId="77777777" w:rsidR="00713F82" w:rsidRPr="00DD72AC" w:rsidRDefault="00713F82" w:rsidP="00F7498C">
            <w:pPr>
              <w:pStyle w:val="TableText0"/>
              <w:keepLines/>
              <w:widowControl w:val="0"/>
            </w:pPr>
          </w:p>
        </w:tc>
        <w:tc>
          <w:tcPr>
            <w:tcW w:w="2974" w:type="pct"/>
            <w:tcBorders>
              <w:top w:val="nil"/>
              <w:bottom w:val="nil"/>
            </w:tcBorders>
          </w:tcPr>
          <w:p w14:paraId="3A8CC5C3" w14:textId="77777777" w:rsidR="00713F82" w:rsidRPr="00DD72AC" w:rsidRDefault="00713F82" w:rsidP="00F7498C">
            <w:pPr>
              <w:pStyle w:val="TableText0"/>
              <w:keepLines/>
              <w:widowControl w:val="0"/>
              <w:rPr>
                <w:szCs w:val="18"/>
              </w:rPr>
            </w:pPr>
            <w:r w:rsidRPr="00DD72AC">
              <w:t>A Phase 2, Open-Label, Extension Study to Evaluate the Long-Term Safety, Tolerability, and Efficacy of BMN 111 in Children with Achondroplasia</w:t>
            </w:r>
          </w:p>
        </w:tc>
        <w:tc>
          <w:tcPr>
            <w:tcW w:w="1285" w:type="pct"/>
            <w:tcBorders>
              <w:top w:val="nil"/>
              <w:bottom w:val="nil"/>
            </w:tcBorders>
          </w:tcPr>
          <w:p w14:paraId="458BB01E" w14:textId="11E1539F" w:rsidR="00713F82" w:rsidRPr="00DD72AC" w:rsidRDefault="00713F82" w:rsidP="00F7498C">
            <w:pPr>
              <w:pStyle w:val="TableText0"/>
              <w:keepLines/>
              <w:widowControl w:val="0"/>
            </w:pPr>
            <w:r w:rsidRPr="00DD72AC">
              <w:t>Date</w:t>
            </w:r>
            <w:r w:rsidR="004967F5" w:rsidRPr="00DD72AC">
              <w:t xml:space="preserve"> </w:t>
            </w:r>
            <w:r w:rsidRPr="00DD72AC">
              <w:t>not provided.</w:t>
            </w:r>
          </w:p>
        </w:tc>
      </w:tr>
      <w:tr w:rsidR="00713F82" w:rsidRPr="00DD72AC" w14:paraId="6C50DDD2" w14:textId="77777777" w:rsidTr="00EB6AD4">
        <w:tc>
          <w:tcPr>
            <w:tcW w:w="741" w:type="pct"/>
            <w:vMerge/>
            <w:vAlign w:val="center"/>
          </w:tcPr>
          <w:p w14:paraId="0ECA3058" w14:textId="77777777" w:rsidR="00713F82" w:rsidRPr="00DD72AC" w:rsidRDefault="00713F82" w:rsidP="00F7498C">
            <w:pPr>
              <w:pStyle w:val="TableText0"/>
              <w:keepLines/>
              <w:widowControl w:val="0"/>
            </w:pPr>
          </w:p>
        </w:tc>
        <w:tc>
          <w:tcPr>
            <w:tcW w:w="2974" w:type="pct"/>
            <w:tcBorders>
              <w:top w:val="nil"/>
              <w:bottom w:val="nil"/>
            </w:tcBorders>
          </w:tcPr>
          <w:p w14:paraId="7F3B9901" w14:textId="6B1EE4D8" w:rsidR="00713F82" w:rsidRPr="00DD72AC" w:rsidRDefault="00713F82" w:rsidP="00F7498C">
            <w:pPr>
              <w:pStyle w:val="TableText0"/>
              <w:keepLines/>
              <w:widowControl w:val="0"/>
            </w:pPr>
            <w:r w:rsidRPr="00DD72AC">
              <w:t>A Phase 2, Open-Label, Extension Study to Evaluate the Long-Term Safety, Tolerability, and Efficacy of BMN 111 in Children with Achondroplasia (Interim Clinical Study Report Erratum No. 2)</w:t>
            </w:r>
          </w:p>
        </w:tc>
        <w:tc>
          <w:tcPr>
            <w:tcW w:w="1285" w:type="pct"/>
            <w:tcBorders>
              <w:top w:val="nil"/>
              <w:bottom w:val="nil"/>
            </w:tcBorders>
          </w:tcPr>
          <w:p w14:paraId="2C69A7A3" w14:textId="77777777" w:rsidR="00713F82" w:rsidRPr="00DD72AC" w:rsidRDefault="00713F82" w:rsidP="00F7498C">
            <w:pPr>
              <w:pStyle w:val="TableText0"/>
              <w:keepLines/>
              <w:widowControl w:val="0"/>
            </w:pPr>
            <w:r w:rsidRPr="00DD72AC">
              <w:t>Date not provided.</w:t>
            </w:r>
          </w:p>
        </w:tc>
      </w:tr>
      <w:tr w:rsidR="00713F82" w:rsidRPr="00DD72AC" w14:paraId="3BFE2D1E" w14:textId="77777777" w:rsidTr="00EB6AD4">
        <w:tc>
          <w:tcPr>
            <w:tcW w:w="741" w:type="pct"/>
            <w:vMerge/>
            <w:vAlign w:val="center"/>
          </w:tcPr>
          <w:p w14:paraId="755AB7AC" w14:textId="77777777" w:rsidR="00713F82" w:rsidRPr="00DD72AC" w:rsidRDefault="00713F82" w:rsidP="00F7498C">
            <w:pPr>
              <w:pStyle w:val="TableText0"/>
              <w:keepLines/>
              <w:widowControl w:val="0"/>
            </w:pPr>
          </w:p>
        </w:tc>
        <w:tc>
          <w:tcPr>
            <w:tcW w:w="2974" w:type="pct"/>
            <w:tcBorders>
              <w:top w:val="nil"/>
              <w:bottom w:val="nil"/>
            </w:tcBorders>
          </w:tcPr>
          <w:p w14:paraId="5FEA4F33" w14:textId="1B3E2F4D" w:rsidR="00713F82" w:rsidRPr="00DD72AC" w:rsidRDefault="00713F82" w:rsidP="00F7498C">
            <w:pPr>
              <w:pStyle w:val="TableText0"/>
              <w:keepLines/>
              <w:widowControl w:val="0"/>
            </w:pPr>
            <w:proofErr w:type="spellStart"/>
            <w:r w:rsidRPr="00DD72AC">
              <w:t>Savarirayan</w:t>
            </w:r>
            <w:proofErr w:type="spellEnd"/>
            <w:r w:rsidRPr="00DD72AC">
              <w:t xml:space="preserve">, R., et al. C-type natriuretic peptide analogue therapy in children with achondroplasia. </w:t>
            </w:r>
          </w:p>
        </w:tc>
        <w:tc>
          <w:tcPr>
            <w:tcW w:w="1285" w:type="pct"/>
            <w:tcBorders>
              <w:top w:val="nil"/>
              <w:bottom w:val="nil"/>
            </w:tcBorders>
            <w:vAlign w:val="center"/>
          </w:tcPr>
          <w:p w14:paraId="3AED485F" w14:textId="77777777" w:rsidR="00713F82" w:rsidRPr="00DD72AC" w:rsidRDefault="00713F82" w:rsidP="00F7498C">
            <w:pPr>
              <w:pStyle w:val="TableText0"/>
              <w:keepLines/>
              <w:widowControl w:val="0"/>
              <w:rPr>
                <w:i/>
                <w:iCs/>
              </w:rPr>
            </w:pPr>
            <w:r w:rsidRPr="00DD72AC">
              <w:rPr>
                <w:i/>
                <w:iCs/>
              </w:rPr>
              <w:t>N Engl J Med. 2019 Jul 4;381(1):25-35.</w:t>
            </w:r>
          </w:p>
        </w:tc>
      </w:tr>
      <w:tr w:rsidR="00713F82" w:rsidRPr="00DD72AC" w14:paraId="4CD1A9D8" w14:textId="77777777" w:rsidTr="00EB6AD4">
        <w:tc>
          <w:tcPr>
            <w:tcW w:w="741" w:type="pct"/>
            <w:vMerge/>
            <w:vAlign w:val="center"/>
          </w:tcPr>
          <w:p w14:paraId="2115B21D" w14:textId="77777777" w:rsidR="00713F82" w:rsidRPr="00DD72AC" w:rsidRDefault="00713F82" w:rsidP="00F7498C">
            <w:pPr>
              <w:pStyle w:val="TableText0"/>
              <w:keepLines/>
              <w:widowControl w:val="0"/>
            </w:pPr>
          </w:p>
        </w:tc>
        <w:tc>
          <w:tcPr>
            <w:tcW w:w="2974" w:type="pct"/>
            <w:tcBorders>
              <w:top w:val="nil"/>
              <w:bottom w:val="nil"/>
            </w:tcBorders>
          </w:tcPr>
          <w:p w14:paraId="4878B4B9" w14:textId="3BA96820" w:rsidR="00713F82" w:rsidRPr="00DD72AC" w:rsidRDefault="00713F82" w:rsidP="00F7498C">
            <w:pPr>
              <w:pStyle w:val="TableText0"/>
              <w:keepLines/>
              <w:widowControl w:val="0"/>
            </w:pPr>
            <w:r w:rsidRPr="00DD72AC">
              <w:t>Irving, M., et al. Vosoritide (BMN 111) in children with achondroplasia: Results from a phase 2, open-label, sequential cohort, dose-escalation study</w:t>
            </w:r>
          </w:p>
        </w:tc>
        <w:tc>
          <w:tcPr>
            <w:tcW w:w="1285" w:type="pct"/>
            <w:tcBorders>
              <w:top w:val="nil"/>
              <w:bottom w:val="nil"/>
            </w:tcBorders>
            <w:vAlign w:val="center"/>
          </w:tcPr>
          <w:p w14:paraId="59B9ED4E" w14:textId="77777777" w:rsidR="00713F82" w:rsidRPr="00DD72AC" w:rsidRDefault="00713F82" w:rsidP="00F7498C">
            <w:pPr>
              <w:pStyle w:val="TableText0"/>
              <w:keepLines/>
              <w:widowControl w:val="0"/>
              <w:rPr>
                <w:i/>
                <w:iCs/>
              </w:rPr>
            </w:pPr>
            <w:r w:rsidRPr="00DD72AC">
              <w:rPr>
                <w:i/>
                <w:iCs/>
              </w:rPr>
              <w:t>Conference abstract, Journal of Bone and Mineral Research 30, 2015</w:t>
            </w:r>
          </w:p>
        </w:tc>
      </w:tr>
      <w:tr w:rsidR="00713F82" w:rsidRPr="00DD72AC" w14:paraId="322C8147" w14:textId="77777777" w:rsidTr="00EB6AD4">
        <w:tc>
          <w:tcPr>
            <w:tcW w:w="741" w:type="pct"/>
            <w:vMerge/>
            <w:vAlign w:val="center"/>
          </w:tcPr>
          <w:p w14:paraId="226D9B83" w14:textId="77777777" w:rsidR="00713F82" w:rsidRPr="00DD72AC" w:rsidRDefault="00713F82" w:rsidP="00F7498C">
            <w:pPr>
              <w:pStyle w:val="TableText0"/>
              <w:keepLines/>
              <w:widowControl w:val="0"/>
            </w:pPr>
          </w:p>
        </w:tc>
        <w:tc>
          <w:tcPr>
            <w:tcW w:w="2974" w:type="pct"/>
            <w:tcBorders>
              <w:top w:val="nil"/>
            </w:tcBorders>
          </w:tcPr>
          <w:p w14:paraId="61F3B479" w14:textId="77777777" w:rsidR="00713F82" w:rsidRPr="00DD72AC" w:rsidRDefault="00713F82" w:rsidP="00F7498C">
            <w:pPr>
              <w:pStyle w:val="TableText0"/>
              <w:keepLines/>
              <w:widowControl w:val="0"/>
              <w:rPr>
                <w:szCs w:val="18"/>
              </w:rPr>
            </w:pPr>
            <w:r w:rsidRPr="00DD72AC">
              <w:t>Irving, M., et al. Vosoritide for children with achondroplasia: A 30 month update from an ongoing phase 2 clinical trial.</w:t>
            </w:r>
          </w:p>
        </w:tc>
        <w:tc>
          <w:tcPr>
            <w:tcW w:w="1285" w:type="pct"/>
            <w:tcBorders>
              <w:top w:val="nil"/>
            </w:tcBorders>
            <w:vAlign w:val="center"/>
          </w:tcPr>
          <w:p w14:paraId="5D5F7586" w14:textId="77777777" w:rsidR="00713F82" w:rsidRPr="00DD72AC" w:rsidRDefault="00713F82" w:rsidP="00F7498C">
            <w:pPr>
              <w:pStyle w:val="TableText0"/>
              <w:keepLines/>
              <w:widowControl w:val="0"/>
              <w:rPr>
                <w:i/>
                <w:iCs/>
              </w:rPr>
            </w:pPr>
            <w:r w:rsidRPr="00DD72AC">
              <w:rPr>
                <w:i/>
                <w:iCs/>
              </w:rPr>
              <w:t>Conference abstract, Hormone Research in Paediatrics 90: 76., 2018</w:t>
            </w:r>
          </w:p>
        </w:tc>
      </w:tr>
    </w:tbl>
    <w:p w14:paraId="182E2CAD" w14:textId="04B8772F" w:rsidR="00673A67" w:rsidRPr="00DD72AC" w:rsidRDefault="00713F82" w:rsidP="00F7498C">
      <w:pPr>
        <w:pStyle w:val="TableFigureFooter"/>
        <w:keepNext/>
        <w:keepLines/>
        <w:widowControl w:val="0"/>
        <w:rPr>
          <w:sz w:val="20"/>
        </w:rPr>
      </w:pPr>
      <w:r w:rsidRPr="00DD72AC">
        <w:t xml:space="preserve">Source: Table 27, p51 of the submission. </w:t>
      </w:r>
    </w:p>
    <w:p w14:paraId="227267C3" w14:textId="59FFBE39" w:rsidR="004967F5" w:rsidRPr="00DD72AC" w:rsidRDefault="0084263A" w:rsidP="00DA535B">
      <w:pPr>
        <w:pStyle w:val="3-BodyText"/>
      </w:pPr>
      <w:bookmarkStart w:id="16" w:name="_Ref105672411"/>
      <w:r w:rsidRPr="00DD72AC">
        <w:t>Study 111-301 (duration of 52 weeks</w:t>
      </w:r>
      <w:r w:rsidR="00FA7C67" w:rsidRPr="00DD72AC">
        <w:t>,</w:t>
      </w:r>
      <w:r w:rsidR="0015214F" w:rsidRPr="00DD72AC">
        <w:t xml:space="preserve"> </w:t>
      </w:r>
      <w:r w:rsidRPr="00DD72AC">
        <w:t xml:space="preserve">with extension Study 111-302, follow up until </w:t>
      </w:r>
      <w:r w:rsidR="00201081" w:rsidRPr="00DD72AC">
        <w:t>f</w:t>
      </w:r>
      <w:r w:rsidRPr="00DD72AC">
        <w:t xml:space="preserve">inal </w:t>
      </w:r>
      <w:r w:rsidR="00201081" w:rsidRPr="00DD72AC">
        <w:t>a</w:t>
      </w:r>
      <w:r w:rsidRPr="00DD72AC">
        <w:t xml:space="preserve">dult </w:t>
      </w:r>
      <w:r w:rsidR="00201081" w:rsidRPr="00DD72AC">
        <w:t>h</w:t>
      </w:r>
      <w:r w:rsidRPr="00DD72AC">
        <w:t>eight, currently 104 weeks) includes children aged 5 to &lt;18 years of age (N=121)</w:t>
      </w:r>
      <w:r w:rsidR="00201081" w:rsidRPr="00DD72AC">
        <w:t>.</w:t>
      </w:r>
      <w:r w:rsidRPr="00DD72AC">
        <w:t xml:space="preserve"> Study 111-206 includes children aged 0 to &lt;5 years of age (N=8 sentinel intervention patients only are reported based on data cut-off point for interim report</w:t>
      </w:r>
      <w:r w:rsidR="00967213" w:rsidRPr="00DD72AC">
        <w:t>)</w:t>
      </w:r>
      <w:r w:rsidRPr="00DD72AC">
        <w:t xml:space="preserve">. </w:t>
      </w:r>
      <w:bookmarkStart w:id="17" w:name="_Hlk103690635"/>
      <w:r w:rsidR="00491641" w:rsidRPr="00DD72AC">
        <w:lastRenderedPageBreak/>
        <w:t xml:space="preserve">Data collection for </w:t>
      </w:r>
      <w:r w:rsidR="00201081" w:rsidRPr="00DD72AC">
        <w:t>Study 111-206</w:t>
      </w:r>
      <w:r w:rsidRPr="00DD72AC">
        <w:t xml:space="preserve"> </w:t>
      </w:r>
      <w:r w:rsidR="00491641" w:rsidRPr="00DD72AC">
        <w:t>patients aged 6 months to &lt; 5 years was</w:t>
      </w:r>
      <w:r w:rsidR="006534FE" w:rsidRPr="00DD72AC">
        <w:t xml:space="preserve"> </w:t>
      </w:r>
      <w:r w:rsidRPr="00DD72AC">
        <w:t xml:space="preserve">completed </w:t>
      </w:r>
      <w:r w:rsidR="006534FE" w:rsidRPr="00DD72AC">
        <w:t>(</w:t>
      </w:r>
      <w:r w:rsidR="00EA61D1" w:rsidRPr="00DD72AC">
        <w:t xml:space="preserve">duration of </w:t>
      </w:r>
      <w:r w:rsidRPr="00DD72AC">
        <w:t>52 weeks follow up</w:t>
      </w:r>
      <w:r w:rsidR="006534FE" w:rsidRPr="00DD72AC">
        <w:t xml:space="preserve">) </w:t>
      </w:r>
      <w:r w:rsidR="00B43F86" w:rsidRPr="00DD72AC">
        <w:t xml:space="preserve">in </w:t>
      </w:r>
      <w:r w:rsidR="009C4BCE" w:rsidRPr="00DD72AC">
        <w:t>Feb</w:t>
      </w:r>
      <w:r w:rsidR="00F766DE" w:rsidRPr="00DD72AC">
        <w:t>ruary</w:t>
      </w:r>
      <w:r w:rsidR="009C4BCE" w:rsidRPr="00DD72AC">
        <w:t xml:space="preserve"> 2022</w:t>
      </w:r>
      <w:r w:rsidRPr="00DD72AC">
        <w:t xml:space="preserve"> but </w:t>
      </w:r>
      <w:r w:rsidR="00223032" w:rsidRPr="00DD72AC">
        <w:t xml:space="preserve">at time of submission </w:t>
      </w:r>
      <w:r w:rsidR="006E6B4C" w:rsidRPr="00DD72AC">
        <w:t xml:space="preserve">only </w:t>
      </w:r>
      <w:r w:rsidR="00F766DE" w:rsidRPr="00DD72AC">
        <w:t xml:space="preserve">an </w:t>
      </w:r>
      <w:r w:rsidR="00704257" w:rsidRPr="00DD72AC">
        <w:t>interim report</w:t>
      </w:r>
      <w:r w:rsidR="00F766DE" w:rsidRPr="00DD72AC">
        <w:t xml:space="preserve"> was available focussed on</w:t>
      </w:r>
      <w:r w:rsidR="00704257" w:rsidRPr="00DD72AC">
        <w:t xml:space="preserve"> </w:t>
      </w:r>
      <w:r w:rsidR="00C32CB5" w:rsidRPr="00DD72AC">
        <w:t>eight</w:t>
      </w:r>
      <w:r w:rsidR="006E6B4C" w:rsidRPr="00DD72AC">
        <w:t xml:space="preserve"> sentinel intervention patients</w:t>
      </w:r>
      <w:r w:rsidRPr="00DD72AC">
        <w:t>.</w:t>
      </w:r>
      <w:r w:rsidR="00D964C4" w:rsidRPr="00DD72AC">
        <w:t xml:space="preserve"> </w:t>
      </w:r>
      <w:bookmarkEnd w:id="17"/>
      <w:r w:rsidR="005D5EF7" w:rsidRPr="00DD72AC">
        <w:t>Extension Study 111-</w:t>
      </w:r>
      <w:r w:rsidR="005A1F33" w:rsidRPr="00DD72AC">
        <w:t xml:space="preserve">208 </w:t>
      </w:r>
      <w:r w:rsidR="00E053CD" w:rsidRPr="00DD72AC">
        <w:t xml:space="preserve">is </w:t>
      </w:r>
      <w:r w:rsidR="0014489C" w:rsidRPr="00DD72AC">
        <w:t>ongoing,</w:t>
      </w:r>
      <w:r w:rsidR="00515FBF" w:rsidRPr="00DD72AC">
        <w:t xml:space="preserve"> </w:t>
      </w:r>
      <w:r w:rsidR="005A1F33" w:rsidRPr="00DD72AC">
        <w:t>and completion is expected in 2026.</w:t>
      </w:r>
      <w:r w:rsidR="00875C8A" w:rsidRPr="00DD72AC">
        <w:t xml:space="preserve"> The PSCR noted that, since submission, data had become available from the randomised treatment arms for children 0-5 years from Study 111-206. The ESC considered that more detail about the updated data from Study 111-206 was required to allow it to be evaluated.</w:t>
      </w:r>
      <w:bookmarkEnd w:id="16"/>
      <w:r w:rsidR="00B12E19" w:rsidRPr="00DD72AC">
        <w:t xml:space="preserve"> </w:t>
      </w:r>
      <w:r w:rsidR="00F577EB" w:rsidRPr="00DD72AC">
        <w:t>The pre-PBAC response noted the results from Study 111-206 had since been published in a poster (</w:t>
      </w:r>
      <w:proofErr w:type="spellStart"/>
      <w:r w:rsidR="00F577EB" w:rsidRPr="00DD72AC">
        <w:t>Savarirayan</w:t>
      </w:r>
      <w:proofErr w:type="spellEnd"/>
      <w:r w:rsidR="00F577EB" w:rsidRPr="00DD72AC">
        <w:t>, 2022).</w:t>
      </w:r>
    </w:p>
    <w:p w14:paraId="1BA3C08A" w14:textId="73A7DC45" w:rsidR="00325C46" w:rsidRDefault="008F120A" w:rsidP="00325C46">
      <w:pPr>
        <w:pStyle w:val="3-BodyText"/>
      </w:pPr>
      <w:r w:rsidRPr="00DD72AC">
        <w:t>The key features of the direct randomised trials</w:t>
      </w:r>
      <w:r w:rsidR="009757C5" w:rsidRPr="00DD72AC">
        <w:t>, extension studies</w:t>
      </w:r>
      <w:r w:rsidRPr="00DD72AC">
        <w:t xml:space="preserve"> </w:t>
      </w:r>
      <w:r w:rsidR="009757C5" w:rsidRPr="00DD72AC">
        <w:t xml:space="preserve">and supportive evidence </w:t>
      </w:r>
      <w:r w:rsidRPr="00DD72AC">
        <w:t>are summarised in</w:t>
      </w:r>
      <w:r w:rsidR="00A2459D" w:rsidRPr="00DD72AC">
        <w:t xml:space="preserve"> </w:t>
      </w:r>
      <w:r w:rsidR="00A2459D" w:rsidRPr="00DD72AC">
        <w:fldChar w:fldCharType="begin" w:fldLock="1"/>
      </w:r>
      <w:r w:rsidR="00A2459D" w:rsidRPr="00DD72AC">
        <w:instrText xml:space="preserve"> REF _Ref101256065 \h </w:instrText>
      </w:r>
      <w:r w:rsidR="00F9542A" w:rsidRPr="00DD72AC">
        <w:instrText xml:space="preserve"> \* MERGEFORMAT </w:instrText>
      </w:r>
      <w:r w:rsidR="00A2459D" w:rsidRPr="00DD72AC">
        <w:fldChar w:fldCharType="separate"/>
      </w:r>
      <w:r w:rsidR="003136E6" w:rsidRPr="00DD72AC">
        <w:t>Table 3</w:t>
      </w:r>
      <w:r w:rsidR="00A2459D" w:rsidRPr="00DD72AC">
        <w:fldChar w:fldCharType="end"/>
      </w:r>
      <w:r w:rsidRPr="00DD72AC">
        <w:t>.</w:t>
      </w:r>
      <w:r w:rsidR="00BC591F" w:rsidRPr="00DD72AC">
        <w:t xml:space="preserve"> </w:t>
      </w:r>
    </w:p>
    <w:p w14:paraId="54E39DE3" w14:textId="7E9C99E0" w:rsidR="00494376" w:rsidRPr="00DD72AC" w:rsidRDefault="007F1017" w:rsidP="00886B68">
      <w:pPr>
        <w:pStyle w:val="TableFigureHeading"/>
        <w:keepNext w:val="0"/>
        <w:widowControl w:val="0"/>
        <w:rPr>
          <w:b w:val="0"/>
        </w:rPr>
      </w:pPr>
      <w:bookmarkStart w:id="18" w:name="_Ref101256065"/>
      <w:r w:rsidRPr="00DD72AC">
        <w:t xml:space="preserve">Table </w:t>
      </w:r>
      <w:r w:rsidRPr="00DD72AC">
        <w:fldChar w:fldCharType="begin" w:fldLock="1"/>
      </w:r>
      <w:r w:rsidRPr="00DD72AC">
        <w:instrText>SEQ Table \* ARABIC</w:instrText>
      </w:r>
      <w:r w:rsidRPr="00DD72AC">
        <w:fldChar w:fldCharType="separate"/>
      </w:r>
      <w:r w:rsidR="003136E6" w:rsidRPr="00DD72AC">
        <w:t>3</w:t>
      </w:r>
      <w:r w:rsidRPr="00DD72AC">
        <w:fldChar w:fldCharType="end"/>
      </w:r>
      <w:bookmarkEnd w:id="18"/>
      <w:r w:rsidRPr="00004E4F">
        <w:rPr>
          <w:rStyle w:val="CommentReference"/>
          <w:b/>
          <w:bCs w:val="0"/>
          <w:szCs w:val="24"/>
        </w:rPr>
        <w:t>:</w:t>
      </w:r>
      <w:r w:rsidRPr="00DD72AC">
        <w:rPr>
          <w:rStyle w:val="CommentReference"/>
          <w:b/>
          <w:szCs w:val="24"/>
        </w:rPr>
        <w:t xml:space="preserve">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 Key features of the included evidence"/>
      </w:tblPr>
      <w:tblGrid>
        <w:gridCol w:w="567"/>
        <w:gridCol w:w="1825"/>
        <w:gridCol w:w="986"/>
        <w:gridCol w:w="988"/>
        <w:gridCol w:w="564"/>
        <w:gridCol w:w="1138"/>
        <w:gridCol w:w="1895"/>
        <w:gridCol w:w="1053"/>
      </w:tblGrid>
      <w:tr w:rsidR="00201081" w:rsidRPr="00DD72AC" w14:paraId="4C939B5B" w14:textId="2E767813" w:rsidTr="009F39C7">
        <w:trPr>
          <w:trHeight w:val="340"/>
          <w:tblHeader/>
        </w:trPr>
        <w:tc>
          <w:tcPr>
            <w:tcW w:w="314" w:type="pct"/>
            <w:shd w:val="clear" w:color="auto" w:fill="auto"/>
            <w:tcMar>
              <w:left w:w="28" w:type="dxa"/>
              <w:right w:w="28" w:type="dxa"/>
            </w:tcMar>
          </w:tcPr>
          <w:p w14:paraId="63B375E4" w14:textId="47EA58A0" w:rsidR="00201081" w:rsidRPr="00DD72AC" w:rsidRDefault="00201081" w:rsidP="00886B68">
            <w:pPr>
              <w:pStyle w:val="In-tableHeading"/>
              <w:rPr>
                <w:lang w:val="en-AU"/>
              </w:rPr>
            </w:pPr>
          </w:p>
        </w:tc>
        <w:tc>
          <w:tcPr>
            <w:tcW w:w="1012" w:type="pct"/>
            <w:shd w:val="clear" w:color="auto" w:fill="auto"/>
            <w:tcMar>
              <w:left w:w="28" w:type="dxa"/>
              <w:right w:w="28" w:type="dxa"/>
            </w:tcMar>
          </w:tcPr>
          <w:p w14:paraId="76BEA7C2" w14:textId="5107D22A" w:rsidR="00201081" w:rsidRPr="00DD72AC" w:rsidRDefault="00201081" w:rsidP="00886B68">
            <w:pPr>
              <w:pStyle w:val="In-tableHeading"/>
              <w:rPr>
                <w:lang w:val="en-AU"/>
              </w:rPr>
            </w:pPr>
            <w:r w:rsidRPr="00DD72AC">
              <w:rPr>
                <w:lang w:val="en-AU"/>
              </w:rPr>
              <w:t>Design/duration (study status)</w:t>
            </w:r>
          </w:p>
        </w:tc>
        <w:tc>
          <w:tcPr>
            <w:tcW w:w="547" w:type="pct"/>
            <w:shd w:val="clear" w:color="auto" w:fill="auto"/>
            <w:tcMar>
              <w:left w:w="28" w:type="dxa"/>
              <w:right w:w="28" w:type="dxa"/>
            </w:tcMar>
          </w:tcPr>
          <w:p w14:paraId="0B36A7F4" w14:textId="64FF196A" w:rsidR="00201081" w:rsidRPr="00DD72AC" w:rsidRDefault="00201081" w:rsidP="00886B68">
            <w:pPr>
              <w:pStyle w:val="In-tableHeading"/>
              <w:rPr>
                <w:lang w:val="en-AU"/>
              </w:rPr>
            </w:pPr>
            <w:r w:rsidRPr="00DD72AC">
              <w:rPr>
                <w:lang w:val="en-AU"/>
              </w:rPr>
              <w:t>Patient population (Age range)</w:t>
            </w:r>
          </w:p>
        </w:tc>
        <w:tc>
          <w:tcPr>
            <w:tcW w:w="548" w:type="pct"/>
            <w:shd w:val="clear" w:color="auto" w:fill="auto"/>
            <w:tcMar>
              <w:left w:w="28" w:type="dxa"/>
              <w:right w:w="28" w:type="dxa"/>
            </w:tcMar>
          </w:tcPr>
          <w:p w14:paraId="4AD5F376" w14:textId="77777777" w:rsidR="00201081" w:rsidRPr="00DD72AC" w:rsidRDefault="00201081" w:rsidP="00886B68">
            <w:pPr>
              <w:pStyle w:val="In-tableHeading"/>
              <w:rPr>
                <w:lang w:val="en-AU"/>
              </w:rPr>
            </w:pPr>
            <w:r w:rsidRPr="00DD72AC">
              <w:rPr>
                <w:lang w:val="en-AU"/>
              </w:rPr>
              <w:t>N</w:t>
            </w:r>
          </w:p>
        </w:tc>
        <w:tc>
          <w:tcPr>
            <w:tcW w:w="313" w:type="pct"/>
            <w:shd w:val="clear" w:color="auto" w:fill="auto"/>
            <w:tcMar>
              <w:left w:w="28" w:type="dxa"/>
              <w:right w:w="28" w:type="dxa"/>
            </w:tcMar>
          </w:tcPr>
          <w:p w14:paraId="0CE9DC13" w14:textId="37077089" w:rsidR="00201081" w:rsidRPr="00DD72AC" w:rsidRDefault="00201081" w:rsidP="00886B68">
            <w:pPr>
              <w:pStyle w:val="In-tableHeading"/>
              <w:rPr>
                <w:lang w:val="en-AU"/>
              </w:rPr>
            </w:pPr>
            <w:r w:rsidRPr="00DD72AC">
              <w:rPr>
                <w:lang w:val="en-AU"/>
              </w:rPr>
              <w:t>Risk of bias</w:t>
            </w:r>
          </w:p>
        </w:tc>
        <w:tc>
          <w:tcPr>
            <w:tcW w:w="631" w:type="pct"/>
            <w:shd w:val="clear" w:color="auto" w:fill="auto"/>
            <w:tcMar>
              <w:left w:w="28" w:type="dxa"/>
              <w:right w:w="28" w:type="dxa"/>
            </w:tcMar>
          </w:tcPr>
          <w:p w14:paraId="02AC6F17" w14:textId="77777777" w:rsidR="00201081" w:rsidRPr="00DD72AC" w:rsidRDefault="00201081" w:rsidP="00886B68">
            <w:pPr>
              <w:pStyle w:val="In-tableHeading"/>
              <w:rPr>
                <w:lang w:val="en-AU"/>
              </w:rPr>
            </w:pPr>
            <w:r w:rsidRPr="00DD72AC">
              <w:rPr>
                <w:lang w:val="en-AU"/>
              </w:rPr>
              <w:t xml:space="preserve">Comparator </w:t>
            </w:r>
          </w:p>
        </w:tc>
        <w:tc>
          <w:tcPr>
            <w:tcW w:w="1051" w:type="pct"/>
            <w:shd w:val="clear" w:color="auto" w:fill="auto"/>
            <w:tcMar>
              <w:left w:w="28" w:type="dxa"/>
              <w:right w:w="28" w:type="dxa"/>
            </w:tcMar>
          </w:tcPr>
          <w:p w14:paraId="1A4F6D9B" w14:textId="77777777" w:rsidR="00201081" w:rsidRPr="00DD72AC" w:rsidRDefault="00201081" w:rsidP="00886B68">
            <w:pPr>
              <w:pStyle w:val="In-tableHeading"/>
              <w:rPr>
                <w:lang w:val="en-AU"/>
              </w:rPr>
            </w:pPr>
            <w:r w:rsidRPr="00DD72AC">
              <w:rPr>
                <w:lang w:val="en-AU"/>
              </w:rPr>
              <w:t>Outcomes</w:t>
            </w:r>
          </w:p>
          <w:p w14:paraId="0F626399" w14:textId="282C96AC" w:rsidR="00201081" w:rsidRPr="00DD72AC" w:rsidRDefault="00201081" w:rsidP="00886B68">
            <w:pPr>
              <w:pStyle w:val="In-tableHeading"/>
              <w:rPr>
                <w:lang w:val="en-AU"/>
              </w:rPr>
            </w:pPr>
          </w:p>
        </w:tc>
        <w:tc>
          <w:tcPr>
            <w:tcW w:w="584" w:type="pct"/>
            <w:tcMar>
              <w:left w:w="28" w:type="dxa"/>
              <w:right w:w="28" w:type="dxa"/>
            </w:tcMar>
          </w:tcPr>
          <w:p w14:paraId="1163C2F3" w14:textId="04E8F9EA" w:rsidR="00201081" w:rsidRPr="00DD72AC" w:rsidRDefault="00201081" w:rsidP="00886B68">
            <w:pPr>
              <w:pStyle w:val="In-tableHeading"/>
              <w:rPr>
                <w:u w:val="single"/>
                <w:lang w:val="en-AU"/>
              </w:rPr>
            </w:pPr>
            <w:r w:rsidRPr="00DD72AC">
              <w:rPr>
                <w:u w:val="single"/>
                <w:lang w:val="en-AU"/>
              </w:rPr>
              <w:t>Used in modelled evaluation</w:t>
            </w:r>
          </w:p>
        </w:tc>
      </w:tr>
      <w:tr w:rsidR="00CA32FD" w:rsidRPr="00DD72AC" w14:paraId="1F4536D8" w14:textId="77777777" w:rsidTr="009F39C7">
        <w:trPr>
          <w:trHeight w:val="70"/>
        </w:trPr>
        <w:tc>
          <w:tcPr>
            <w:tcW w:w="5000" w:type="pct"/>
            <w:gridSpan w:val="8"/>
            <w:tcMar>
              <w:left w:w="28" w:type="dxa"/>
              <w:right w:w="28" w:type="dxa"/>
            </w:tcMar>
          </w:tcPr>
          <w:p w14:paraId="1F8C43B6" w14:textId="49D20B91" w:rsidR="00967213" w:rsidRPr="00DD72AC" w:rsidRDefault="00967213" w:rsidP="00886B68">
            <w:pPr>
              <w:pStyle w:val="TableText0"/>
              <w:keepNext w:val="0"/>
              <w:widowControl w:val="0"/>
              <w:rPr>
                <w:b/>
                <w:bCs w:val="0"/>
              </w:rPr>
            </w:pPr>
            <w:r w:rsidRPr="00DD72AC">
              <w:rPr>
                <w:b/>
                <w:bCs w:val="0"/>
              </w:rPr>
              <w:t>Pivotal evidence</w:t>
            </w:r>
          </w:p>
        </w:tc>
      </w:tr>
      <w:tr w:rsidR="00201081" w:rsidRPr="00DD72AC" w14:paraId="7B55B874" w14:textId="13B2F4B0" w:rsidTr="009F39C7">
        <w:trPr>
          <w:trHeight w:val="340"/>
        </w:trPr>
        <w:tc>
          <w:tcPr>
            <w:tcW w:w="314" w:type="pct"/>
            <w:tcMar>
              <w:left w:w="28" w:type="dxa"/>
              <w:right w:w="28" w:type="dxa"/>
            </w:tcMar>
          </w:tcPr>
          <w:p w14:paraId="3D55B4D1" w14:textId="77777777" w:rsidR="00201081" w:rsidRPr="00DD72AC" w:rsidRDefault="00201081" w:rsidP="00886B68">
            <w:pPr>
              <w:pStyle w:val="TableText0"/>
              <w:keepNext w:val="0"/>
              <w:widowControl w:val="0"/>
            </w:pPr>
            <w:r w:rsidRPr="00DD72AC">
              <w:t xml:space="preserve">111-301 </w:t>
            </w:r>
          </w:p>
        </w:tc>
        <w:tc>
          <w:tcPr>
            <w:tcW w:w="1012" w:type="pct"/>
            <w:tcMar>
              <w:left w:w="28" w:type="dxa"/>
              <w:right w:w="28" w:type="dxa"/>
            </w:tcMar>
          </w:tcPr>
          <w:p w14:paraId="4B3B1391" w14:textId="77777777" w:rsidR="00201081" w:rsidRPr="00DD72AC" w:rsidRDefault="00201081" w:rsidP="00886B68">
            <w:pPr>
              <w:pStyle w:val="TableText0"/>
              <w:keepNext w:val="0"/>
              <w:widowControl w:val="0"/>
            </w:pPr>
            <w:r w:rsidRPr="00DD72AC">
              <w:t>Phase 3, DB, RCT, PC, MN</w:t>
            </w:r>
          </w:p>
          <w:p w14:paraId="31C160D0" w14:textId="77777777" w:rsidR="00201081" w:rsidRPr="00DD72AC" w:rsidRDefault="00201081" w:rsidP="00886B68">
            <w:pPr>
              <w:pStyle w:val="TableText0"/>
              <w:keepNext w:val="0"/>
              <w:widowControl w:val="0"/>
            </w:pPr>
            <w:r w:rsidRPr="00DD72AC">
              <w:t>52 weeks</w:t>
            </w:r>
          </w:p>
          <w:p w14:paraId="1C06802F" w14:textId="7A4E2571" w:rsidR="00201081" w:rsidRPr="00DD72AC" w:rsidRDefault="00201081" w:rsidP="00886B68">
            <w:pPr>
              <w:pStyle w:val="TableText0"/>
              <w:keepNext w:val="0"/>
              <w:widowControl w:val="0"/>
            </w:pPr>
            <w:r w:rsidRPr="00DD72AC">
              <w:t>(completed)</w:t>
            </w:r>
          </w:p>
        </w:tc>
        <w:tc>
          <w:tcPr>
            <w:tcW w:w="547" w:type="pct"/>
            <w:vMerge w:val="restart"/>
            <w:tcMar>
              <w:left w:w="28" w:type="dxa"/>
              <w:right w:w="28" w:type="dxa"/>
            </w:tcMar>
          </w:tcPr>
          <w:p w14:paraId="40703EC6" w14:textId="77777777" w:rsidR="00201081" w:rsidRPr="00DD72AC" w:rsidRDefault="00201081" w:rsidP="00886B68">
            <w:pPr>
              <w:pStyle w:val="TableText0"/>
              <w:keepNext w:val="0"/>
              <w:widowControl w:val="0"/>
            </w:pPr>
            <w:r w:rsidRPr="00DD72AC">
              <w:t>5 to &lt;18 years</w:t>
            </w:r>
          </w:p>
        </w:tc>
        <w:tc>
          <w:tcPr>
            <w:tcW w:w="548" w:type="pct"/>
            <w:tcMar>
              <w:left w:w="28" w:type="dxa"/>
              <w:right w:w="28" w:type="dxa"/>
            </w:tcMar>
          </w:tcPr>
          <w:p w14:paraId="2D251882" w14:textId="77777777" w:rsidR="00201081" w:rsidRPr="00DD72AC" w:rsidRDefault="00201081" w:rsidP="00886B68">
            <w:pPr>
              <w:pStyle w:val="TableText0"/>
              <w:keepNext w:val="0"/>
              <w:widowControl w:val="0"/>
            </w:pPr>
            <w:r w:rsidRPr="00DD72AC">
              <w:t>121</w:t>
            </w:r>
          </w:p>
        </w:tc>
        <w:tc>
          <w:tcPr>
            <w:tcW w:w="313" w:type="pct"/>
            <w:tcMar>
              <w:left w:w="28" w:type="dxa"/>
              <w:right w:w="28" w:type="dxa"/>
            </w:tcMar>
          </w:tcPr>
          <w:p w14:paraId="032A0042" w14:textId="256B4CD7" w:rsidR="00201081" w:rsidRPr="00DD72AC" w:rsidRDefault="00201081" w:rsidP="00886B68">
            <w:pPr>
              <w:pStyle w:val="TableText0"/>
              <w:keepNext w:val="0"/>
              <w:widowControl w:val="0"/>
            </w:pPr>
            <w:r w:rsidRPr="00DD72AC">
              <w:t>Low</w:t>
            </w:r>
          </w:p>
        </w:tc>
        <w:tc>
          <w:tcPr>
            <w:tcW w:w="631" w:type="pct"/>
            <w:tcMar>
              <w:left w:w="28" w:type="dxa"/>
              <w:right w:w="28" w:type="dxa"/>
            </w:tcMar>
          </w:tcPr>
          <w:p w14:paraId="7D588CF5" w14:textId="77777777" w:rsidR="00201081" w:rsidRPr="00DD72AC" w:rsidRDefault="00201081" w:rsidP="00886B68">
            <w:pPr>
              <w:pStyle w:val="TableText0"/>
              <w:keepNext w:val="0"/>
              <w:widowControl w:val="0"/>
            </w:pPr>
            <w:r w:rsidRPr="00DD72AC">
              <w:t>Placebo</w:t>
            </w:r>
          </w:p>
        </w:tc>
        <w:tc>
          <w:tcPr>
            <w:tcW w:w="1051" w:type="pct"/>
            <w:vMerge w:val="restart"/>
            <w:tcMar>
              <w:left w:w="28" w:type="dxa"/>
              <w:right w:w="28" w:type="dxa"/>
            </w:tcMar>
          </w:tcPr>
          <w:p w14:paraId="120E07BF" w14:textId="77777777" w:rsidR="001C29B9" w:rsidRPr="00DD72AC" w:rsidRDefault="00201081" w:rsidP="00886B68">
            <w:pPr>
              <w:pStyle w:val="TableText0"/>
              <w:keepNext w:val="0"/>
              <w:widowControl w:val="0"/>
            </w:pPr>
            <w:r w:rsidRPr="00DD72AC">
              <w:t>Change from baseline in</w:t>
            </w:r>
            <w:r w:rsidR="001C29B9" w:rsidRPr="00DD72AC">
              <w:t>:</w:t>
            </w:r>
          </w:p>
          <w:p w14:paraId="67FF5B31" w14:textId="10E0E783" w:rsidR="001C29B9" w:rsidRPr="00DD72AC" w:rsidRDefault="00201081" w:rsidP="009F39C7">
            <w:pPr>
              <w:pStyle w:val="TableText0"/>
              <w:keepNext w:val="0"/>
              <w:widowControl w:val="0"/>
              <w:numPr>
                <w:ilvl w:val="0"/>
                <w:numId w:val="11"/>
              </w:numPr>
              <w:ind w:left="170" w:hanging="170"/>
            </w:pPr>
            <w:r w:rsidRPr="00DD72AC">
              <w:t>AGV</w:t>
            </w:r>
          </w:p>
          <w:p w14:paraId="2649A67B" w14:textId="684FE98B" w:rsidR="001C29B9" w:rsidRPr="00DD72AC" w:rsidRDefault="00201081" w:rsidP="009F39C7">
            <w:pPr>
              <w:pStyle w:val="TableText0"/>
              <w:keepNext w:val="0"/>
              <w:widowControl w:val="0"/>
              <w:numPr>
                <w:ilvl w:val="0"/>
                <w:numId w:val="11"/>
              </w:numPr>
              <w:ind w:left="170" w:hanging="170"/>
            </w:pPr>
            <w:r w:rsidRPr="00DD72AC">
              <w:t>height Z-score</w:t>
            </w:r>
          </w:p>
          <w:p w14:paraId="4F48B7F2" w14:textId="33A1F3C4" w:rsidR="001C29B9" w:rsidRPr="00DD72AC" w:rsidRDefault="00201081" w:rsidP="009F39C7">
            <w:pPr>
              <w:pStyle w:val="TableText0"/>
              <w:keepNext w:val="0"/>
              <w:widowControl w:val="0"/>
              <w:numPr>
                <w:ilvl w:val="0"/>
                <w:numId w:val="11"/>
              </w:numPr>
              <w:ind w:left="170" w:hanging="170"/>
            </w:pPr>
            <w:r w:rsidRPr="00DD72AC">
              <w:t>upper to lower body segment ratio</w:t>
            </w:r>
          </w:p>
          <w:p w14:paraId="71ED9F6D" w14:textId="67118882" w:rsidR="00201081" w:rsidRPr="00DD72AC" w:rsidRDefault="00201081" w:rsidP="009F39C7">
            <w:pPr>
              <w:pStyle w:val="TableText0"/>
              <w:keepNext w:val="0"/>
              <w:widowControl w:val="0"/>
              <w:numPr>
                <w:ilvl w:val="0"/>
                <w:numId w:val="11"/>
              </w:numPr>
              <w:ind w:left="170" w:hanging="170"/>
            </w:pPr>
            <w:r w:rsidRPr="00DD72AC">
              <w:t>body proportion ratios of the extremities</w:t>
            </w:r>
          </w:p>
          <w:p w14:paraId="4409FB5A" w14:textId="77777777" w:rsidR="00201081" w:rsidRPr="00DD72AC" w:rsidRDefault="00201081" w:rsidP="009F39C7">
            <w:pPr>
              <w:pStyle w:val="TableText0"/>
              <w:keepNext w:val="0"/>
              <w:widowControl w:val="0"/>
              <w:numPr>
                <w:ilvl w:val="0"/>
                <w:numId w:val="11"/>
              </w:numPr>
              <w:ind w:left="170" w:hanging="170"/>
            </w:pPr>
            <w:r w:rsidRPr="00DD72AC">
              <w:t xml:space="preserve">Changes in </w:t>
            </w:r>
            <w:proofErr w:type="spellStart"/>
            <w:r w:rsidRPr="00DD72AC">
              <w:t>HRQoL</w:t>
            </w:r>
            <w:proofErr w:type="spellEnd"/>
          </w:p>
          <w:p w14:paraId="43ADBDC3" w14:textId="5356EE3B" w:rsidR="00201081" w:rsidRPr="00DD72AC" w:rsidRDefault="00201081" w:rsidP="001C29B9">
            <w:pPr>
              <w:pStyle w:val="TableText0"/>
              <w:keepNext w:val="0"/>
              <w:widowControl w:val="0"/>
            </w:pPr>
            <w:r w:rsidRPr="00DD72AC">
              <w:t>Change in functional dependence</w:t>
            </w:r>
          </w:p>
        </w:tc>
        <w:tc>
          <w:tcPr>
            <w:tcW w:w="584" w:type="pct"/>
            <w:tcMar>
              <w:left w:w="28" w:type="dxa"/>
              <w:right w:w="28" w:type="dxa"/>
            </w:tcMar>
          </w:tcPr>
          <w:p w14:paraId="465EB0B8" w14:textId="2E49C581" w:rsidR="00201081" w:rsidRPr="00DD72AC" w:rsidRDefault="00201081" w:rsidP="00886B68">
            <w:pPr>
              <w:pStyle w:val="TableText0"/>
              <w:keepNext w:val="0"/>
              <w:widowControl w:val="0"/>
            </w:pPr>
            <w:r w:rsidRPr="00DD72AC">
              <w:t xml:space="preserve"> Yes</w:t>
            </w:r>
          </w:p>
        </w:tc>
      </w:tr>
      <w:tr w:rsidR="00201081" w:rsidRPr="00DD72AC" w14:paraId="24889D1F" w14:textId="0B8A4127" w:rsidTr="009F39C7">
        <w:trPr>
          <w:trHeight w:val="340"/>
        </w:trPr>
        <w:tc>
          <w:tcPr>
            <w:tcW w:w="314" w:type="pct"/>
            <w:tcMar>
              <w:left w:w="28" w:type="dxa"/>
              <w:right w:w="28" w:type="dxa"/>
            </w:tcMar>
          </w:tcPr>
          <w:p w14:paraId="22923972" w14:textId="77777777" w:rsidR="00201081" w:rsidRPr="00DD72AC" w:rsidRDefault="00201081" w:rsidP="00886B68">
            <w:pPr>
              <w:pStyle w:val="TableText0"/>
              <w:keepNext w:val="0"/>
              <w:widowControl w:val="0"/>
            </w:pPr>
            <w:r w:rsidRPr="00DD72AC">
              <w:t xml:space="preserve">111-302 </w:t>
            </w:r>
          </w:p>
        </w:tc>
        <w:tc>
          <w:tcPr>
            <w:tcW w:w="1012" w:type="pct"/>
            <w:tcMar>
              <w:left w:w="28" w:type="dxa"/>
              <w:right w:w="28" w:type="dxa"/>
            </w:tcMar>
          </w:tcPr>
          <w:p w14:paraId="5A4D46F7" w14:textId="77777777" w:rsidR="00201081" w:rsidRPr="00DD72AC" w:rsidRDefault="00201081" w:rsidP="00886B68">
            <w:pPr>
              <w:pStyle w:val="TableText0"/>
              <w:keepNext w:val="0"/>
              <w:widowControl w:val="0"/>
            </w:pPr>
            <w:r w:rsidRPr="00DD72AC">
              <w:t>Phase 3, OLE, SGA, MN</w:t>
            </w:r>
          </w:p>
          <w:p w14:paraId="1051AD7F" w14:textId="77777777" w:rsidR="00201081" w:rsidRPr="00DD72AC" w:rsidRDefault="00201081" w:rsidP="00886B68">
            <w:pPr>
              <w:pStyle w:val="TableText0"/>
              <w:keepNext w:val="0"/>
              <w:widowControl w:val="0"/>
            </w:pPr>
            <w:r w:rsidRPr="00DD72AC">
              <w:t>Until final adult height</w:t>
            </w:r>
          </w:p>
          <w:p w14:paraId="5EB29544" w14:textId="40F50D88" w:rsidR="00201081" w:rsidRPr="00DD72AC" w:rsidRDefault="00201081" w:rsidP="00886B68">
            <w:pPr>
              <w:pStyle w:val="TableText0"/>
              <w:keepNext w:val="0"/>
              <w:widowControl w:val="0"/>
            </w:pPr>
            <w:r w:rsidRPr="00DD72AC">
              <w:t>(Ongoing; completion expected Dec 2024)</w:t>
            </w:r>
          </w:p>
        </w:tc>
        <w:tc>
          <w:tcPr>
            <w:tcW w:w="547" w:type="pct"/>
            <w:vMerge/>
            <w:tcMar>
              <w:left w:w="28" w:type="dxa"/>
              <w:right w:w="28" w:type="dxa"/>
            </w:tcMar>
          </w:tcPr>
          <w:p w14:paraId="04153D27" w14:textId="77777777" w:rsidR="00201081" w:rsidRPr="00DD72AC" w:rsidRDefault="00201081" w:rsidP="00886B68">
            <w:pPr>
              <w:pStyle w:val="TableText0"/>
              <w:keepNext w:val="0"/>
              <w:widowControl w:val="0"/>
            </w:pPr>
          </w:p>
        </w:tc>
        <w:tc>
          <w:tcPr>
            <w:tcW w:w="548" w:type="pct"/>
            <w:tcMar>
              <w:left w:w="28" w:type="dxa"/>
              <w:right w:w="28" w:type="dxa"/>
            </w:tcMar>
          </w:tcPr>
          <w:p w14:paraId="3DD7C6C7" w14:textId="47342362" w:rsidR="00201081" w:rsidRPr="00DD72AC" w:rsidRDefault="00201081" w:rsidP="00886B68">
            <w:pPr>
              <w:pStyle w:val="TableText0"/>
              <w:keepNext w:val="0"/>
              <w:widowControl w:val="0"/>
            </w:pPr>
            <w:r w:rsidRPr="00DD72AC">
              <w:t>119</w:t>
            </w:r>
            <w:r w:rsidRPr="00DD72AC">
              <w:rPr>
                <w:vertAlign w:val="superscript"/>
              </w:rPr>
              <w:t>a</w:t>
            </w:r>
          </w:p>
        </w:tc>
        <w:tc>
          <w:tcPr>
            <w:tcW w:w="313" w:type="pct"/>
            <w:tcMar>
              <w:left w:w="28" w:type="dxa"/>
              <w:right w:w="28" w:type="dxa"/>
            </w:tcMar>
          </w:tcPr>
          <w:p w14:paraId="19F19052" w14:textId="697FD220" w:rsidR="00201081" w:rsidRPr="00DD72AC" w:rsidRDefault="00201081" w:rsidP="00886B68">
            <w:pPr>
              <w:pStyle w:val="TableText0"/>
              <w:keepNext w:val="0"/>
              <w:widowControl w:val="0"/>
            </w:pPr>
          </w:p>
        </w:tc>
        <w:tc>
          <w:tcPr>
            <w:tcW w:w="631" w:type="pct"/>
            <w:tcMar>
              <w:left w:w="28" w:type="dxa"/>
              <w:right w:w="28" w:type="dxa"/>
            </w:tcMar>
          </w:tcPr>
          <w:p w14:paraId="633A4CF7" w14:textId="77777777" w:rsidR="00201081" w:rsidRPr="00DD72AC" w:rsidRDefault="00201081" w:rsidP="00886B68">
            <w:pPr>
              <w:pStyle w:val="TableText0"/>
              <w:keepNext w:val="0"/>
              <w:widowControl w:val="0"/>
            </w:pPr>
            <w:r w:rsidRPr="00DD72AC">
              <w:t>NA</w:t>
            </w:r>
          </w:p>
        </w:tc>
        <w:tc>
          <w:tcPr>
            <w:tcW w:w="1051" w:type="pct"/>
            <w:vMerge/>
            <w:tcMar>
              <w:left w:w="28" w:type="dxa"/>
              <w:right w:w="28" w:type="dxa"/>
            </w:tcMar>
          </w:tcPr>
          <w:p w14:paraId="0A48C3B5" w14:textId="51A79927" w:rsidR="00201081" w:rsidRPr="00DD72AC" w:rsidRDefault="00201081" w:rsidP="00886B68">
            <w:pPr>
              <w:pStyle w:val="TableText0"/>
              <w:keepNext w:val="0"/>
              <w:widowControl w:val="0"/>
            </w:pPr>
          </w:p>
        </w:tc>
        <w:tc>
          <w:tcPr>
            <w:tcW w:w="584" w:type="pct"/>
            <w:tcMar>
              <w:left w:w="28" w:type="dxa"/>
              <w:right w:w="28" w:type="dxa"/>
            </w:tcMar>
          </w:tcPr>
          <w:p w14:paraId="5CE0D04E" w14:textId="73BF5ABF" w:rsidR="00201081" w:rsidRPr="00DD72AC" w:rsidRDefault="00201081" w:rsidP="00886B68">
            <w:pPr>
              <w:pStyle w:val="TableText0"/>
              <w:keepNext w:val="0"/>
              <w:widowControl w:val="0"/>
            </w:pPr>
            <w:r w:rsidRPr="00DD72AC">
              <w:t>No</w:t>
            </w:r>
          </w:p>
        </w:tc>
      </w:tr>
      <w:tr w:rsidR="008A680B" w:rsidRPr="00DD72AC" w14:paraId="1EFFC3B5" w14:textId="4506BCA6" w:rsidTr="009F39C7">
        <w:trPr>
          <w:trHeight w:val="1429"/>
        </w:trPr>
        <w:tc>
          <w:tcPr>
            <w:tcW w:w="314" w:type="pct"/>
            <w:tcMar>
              <w:left w:w="28" w:type="dxa"/>
              <w:right w:w="28" w:type="dxa"/>
            </w:tcMar>
          </w:tcPr>
          <w:p w14:paraId="280061BD" w14:textId="77777777" w:rsidR="008A680B" w:rsidRPr="00DD72AC" w:rsidRDefault="008A680B" w:rsidP="00886B68">
            <w:pPr>
              <w:pStyle w:val="TableText0"/>
              <w:keepNext w:val="0"/>
              <w:widowControl w:val="0"/>
            </w:pPr>
            <w:bookmarkStart w:id="19" w:name="_Hlk103690449"/>
            <w:r w:rsidRPr="00DD72AC">
              <w:t xml:space="preserve">111-206 </w:t>
            </w:r>
          </w:p>
          <w:p w14:paraId="31B26155" w14:textId="77777777" w:rsidR="008A680B" w:rsidRPr="00DD72AC" w:rsidRDefault="008A680B" w:rsidP="00886B68">
            <w:pPr>
              <w:pStyle w:val="TableText0"/>
              <w:keepNext w:val="0"/>
              <w:widowControl w:val="0"/>
            </w:pPr>
          </w:p>
          <w:p w14:paraId="234CD345" w14:textId="48FE1D4F" w:rsidR="008A680B" w:rsidRPr="00DD72AC" w:rsidRDefault="008A680B" w:rsidP="00886B68">
            <w:pPr>
              <w:pStyle w:val="TableText0"/>
              <w:keepNext w:val="0"/>
              <w:widowControl w:val="0"/>
            </w:pPr>
          </w:p>
        </w:tc>
        <w:tc>
          <w:tcPr>
            <w:tcW w:w="1012" w:type="pct"/>
            <w:tcMar>
              <w:left w:w="28" w:type="dxa"/>
              <w:right w:w="28" w:type="dxa"/>
            </w:tcMar>
          </w:tcPr>
          <w:p w14:paraId="504BB6C0" w14:textId="77777777" w:rsidR="008A680B" w:rsidRPr="00DD72AC" w:rsidRDefault="008A680B" w:rsidP="00886B68">
            <w:pPr>
              <w:pStyle w:val="TableText0"/>
              <w:keepNext w:val="0"/>
              <w:widowControl w:val="0"/>
            </w:pPr>
            <w:r w:rsidRPr="00DD72AC">
              <w:t>Phase 2, DB, RCT, PC, MN</w:t>
            </w:r>
          </w:p>
          <w:p w14:paraId="5B0EF52E" w14:textId="77777777" w:rsidR="008A680B" w:rsidRPr="00DD72AC" w:rsidRDefault="008A680B" w:rsidP="00886B68">
            <w:pPr>
              <w:pStyle w:val="TableText0"/>
              <w:keepNext w:val="0"/>
              <w:widowControl w:val="0"/>
            </w:pPr>
            <w:r w:rsidRPr="00DD72AC">
              <w:t>52 weeks</w:t>
            </w:r>
          </w:p>
          <w:p w14:paraId="5551CC4A" w14:textId="02300EF8" w:rsidR="008A680B" w:rsidRPr="00DD72AC" w:rsidRDefault="008A680B" w:rsidP="00886B68">
            <w:pPr>
              <w:pStyle w:val="TableText0"/>
              <w:keepNext w:val="0"/>
              <w:widowControl w:val="0"/>
            </w:pPr>
            <w:r w:rsidRPr="00DD72AC">
              <w:t>(</w:t>
            </w:r>
            <w:r w:rsidR="003D0CD0" w:rsidRPr="00DD72AC">
              <w:t xml:space="preserve">data collection for </w:t>
            </w:r>
            <w:r w:rsidR="00492EFE" w:rsidRPr="00DD72AC">
              <w:t xml:space="preserve">6 months to 60 months </w:t>
            </w:r>
            <w:r w:rsidRPr="00DD72AC">
              <w:t>completed Feb 2022</w:t>
            </w:r>
            <w:r w:rsidRPr="00DD72AC">
              <w:rPr>
                <w:vertAlign w:val="superscript"/>
              </w:rPr>
              <w:t>b</w:t>
            </w:r>
            <w:r w:rsidRPr="00DD72AC">
              <w:t>)</w:t>
            </w:r>
          </w:p>
        </w:tc>
        <w:tc>
          <w:tcPr>
            <w:tcW w:w="547" w:type="pct"/>
            <w:vMerge w:val="restart"/>
            <w:tcMar>
              <w:left w:w="28" w:type="dxa"/>
              <w:right w:w="28" w:type="dxa"/>
            </w:tcMar>
          </w:tcPr>
          <w:p w14:paraId="3E172500" w14:textId="77777777" w:rsidR="008A680B" w:rsidRPr="00DD72AC" w:rsidRDefault="008A680B" w:rsidP="00886B68">
            <w:pPr>
              <w:pStyle w:val="TableText0"/>
              <w:keepNext w:val="0"/>
              <w:widowControl w:val="0"/>
            </w:pPr>
            <w:r w:rsidRPr="00DD72AC">
              <w:t xml:space="preserve">0 to &lt; 60 months </w:t>
            </w:r>
          </w:p>
          <w:p w14:paraId="18F33CFB" w14:textId="77777777" w:rsidR="008A680B" w:rsidRPr="00DD72AC" w:rsidRDefault="008A680B" w:rsidP="00886B68">
            <w:pPr>
              <w:pStyle w:val="TableText0"/>
              <w:keepNext w:val="0"/>
              <w:widowControl w:val="0"/>
            </w:pPr>
          </w:p>
        </w:tc>
        <w:tc>
          <w:tcPr>
            <w:tcW w:w="548" w:type="pct"/>
            <w:tcMar>
              <w:left w:w="28" w:type="dxa"/>
              <w:right w:w="28" w:type="dxa"/>
            </w:tcMar>
          </w:tcPr>
          <w:p w14:paraId="44975E64" w14:textId="08BAF273" w:rsidR="008A680B" w:rsidRPr="00DD72AC" w:rsidRDefault="00274826" w:rsidP="00886B68">
            <w:pPr>
              <w:pStyle w:val="TableText0"/>
              <w:keepNext w:val="0"/>
              <w:widowControl w:val="0"/>
            </w:pPr>
            <w:r w:rsidRPr="00DD72AC">
              <w:t>75</w:t>
            </w:r>
            <w:r w:rsidR="008A680B" w:rsidRPr="00DD72AC">
              <w:t xml:space="preserve"> </w:t>
            </w:r>
          </w:p>
          <w:p w14:paraId="467723B4" w14:textId="47C3AF18" w:rsidR="008A680B" w:rsidRPr="00DD72AC" w:rsidRDefault="008A680B" w:rsidP="00886B68">
            <w:pPr>
              <w:pStyle w:val="TableText0"/>
              <w:keepNext w:val="0"/>
              <w:widowControl w:val="0"/>
            </w:pPr>
            <w:r w:rsidRPr="00DD72AC">
              <w:t>(results available for 8 sentinel patients</w:t>
            </w:r>
            <w:r w:rsidR="00724A81" w:rsidRPr="00DD72AC">
              <w:t xml:space="preserve"> in submission</w:t>
            </w:r>
            <w:r w:rsidRPr="00DD72AC">
              <w:t>)</w:t>
            </w:r>
          </w:p>
        </w:tc>
        <w:tc>
          <w:tcPr>
            <w:tcW w:w="313" w:type="pct"/>
            <w:tcMar>
              <w:left w:w="28" w:type="dxa"/>
              <w:right w:w="28" w:type="dxa"/>
            </w:tcMar>
          </w:tcPr>
          <w:p w14:paraId="63A184E8" w14:textId="0E56D07A" w:rsidR="008A680B" w:rsidRPr="00DD72AC" w:rsidRDefault="008A680B" w:rsidP="00886B68">
            <w:pPr>
              <w:pStyle w:val="TableText0"/>
              <w:keepNext w:val="0"/>
              <w:widowControl w:val="0"/>
            </w:pPr>
            <w:r w:rsidRPr="00DD72AC">
              <w:t xml:space="preserve"> Low</w:t>
            </w:r>
          </w:p>
        </w:tc>
        <w:tc>
          <w:tcPr>
            <w:tcW w:w="631" w:type="pct"/>
            <w:tcMar>
              <w:left w:w="28" w:type="dxa"/>
              <w:right w:w="28" w:type="dxa"/>
            </w:tcMar>
          </w:tcPr>
          <w:p w14:paraId="4674B44A" w14:textId="77777777" w:rsidR="008A680B" w:rsidRPr="00DD72AC" w:rsidRDefault="008A680B" w:rsidP="00886B68">
            <w:pPr>
              <w:pStyle w:val="TableText0"/>
              <w:keepNext w:val="0"/>
              <w:widowControl w:val="0"/>
            </w:pPr>
            <w:r w:rsidRPr="00DD72AC">
              <w:t>Placebo</w:t>
            </w:r>
          </w:p>
        </w:tc>
        <w:tc>
          <w:tcPr>
            <w:tcW w:w="1051" w:type="pct"/>
            <w:vMerge w:val="restart"/>
            <w:tcMar>
              <w:left w:w="28" w:type="dxa"/>
              <w:right w:w="28" w:type="dxa"/>
            </w:tcMar>
          </w:tcPr>
          <w:p w14:paraId="11A85254" w14:textId="77777777" w:rsidR="008A680B" w:rsidRPr="00DD72AC" w:rsidRDefault="008A680B" w:rsidP="00886B68">
            <w:pPr>
              <w:pStyle w:val="TableText0"/>
              <w:keepNext w:val="0"/>
              <w:widowControl w:val="0"/>
            </w:pPr>
            <w:r w:rsidRPr="00DD72AC">
              <w:t>Change from baseline in:</w:t>
            </w:r>
          </w:p>
          <w:p w14:paraId="2A8C6909" w14:textId="41DF0500" w:rsidR="008A680B" w:rsidRPr="00DD72AC" w:rsidRDefault="008A680B" w:rsidP="009F39C7">
            <w:pPr>
              <w:pStyle w:val="TableText0"/>
              <w:keepNext w:val="0"/>
              <w:widowControl w:val="0"/>
              <w:numPr>
                <w:ilvl w:val="0"/>
                <w:numId w:val="11"/>
              </w:numPr>
              <w:ind w:left="170" w:hanging="170"/>
            </w:pPr>
            <w:r w:rsidRPr="00DD72AC">
              <w:t>height Z-score</w:t>
            </w:r>
          </w:p>
          <w:p w14:paraId="67A64CCB" w14:textId="6FF0F640" w:rsidR="008A680B" w:rsidRPr="00DD72AC" w:rsidRDefault="008A680B" w:rsidP="009F39C7">
            <w:pPr>
              <w:pStyle w:val="TableText0"/>
              <w:keepNext w:val="0"/>
              <w:widowControl w:val="0"/>
              <w:numPr>
                <w:ilvl w:val="0"/>
                <w:numId w:val="11"/>
              </w:numPr>
              <w:ind w:left="170" w:hanging="170"/>
            </w:pPr>
            <w:r w:rsidRPr="00DD72AC">
              <w:t>AGV</w:t>
            </w:r>
          </w:p>
          <w:p w14:paraId="43D7F15E" w14:textId="0A23E98B" w:rsidR="008A680B" w:rsidRPr="00DD72AC" w:rsidRDefault="008A680B" w:rsidP="009F39C7">
            <w:pPr>
              <w:pStyle w:val="TableText0"/>
              <w:keepNext w:val="0"/>
              <w:widowControl w:val="0"/>
              <w:numPr>
                <w:ilvl w:val="0"/>
                <w:numId w:val="11"/>
              </w:numPr>
              <w:ind w:left="170" w:hanging="170"/>
            </w:pPr>
            <w:r w:rsidRPr="00DD72AC">
              <w:t>upper to lower body segment ratio</w:t>
            </w:r>
          </w:p>
          <w:p w14:paraId="58CF2D0A" w14:textId="192EC4D3" w:rsidR="008A680B" w:rsidRPr="00DD72AC" w:rsidRDefault="008A680B" w:rsidP="00886B68">
            <w:pPr>
              <w:pStyle w:val="TableText0"/>
              <w:keepNext w:val="0"/>
              <w:widowControl w:val="0"/>
            </w:pPr>
            <w:r w:rsidRPr="00DD72AC">
              <w:t xml:space="preserve"> </w:t>
            </w:r>
          </w:p>
        </w:tc>
        <w:tc>
          <w:tcPr>
            <w:tcW w:w="584" w:type="pct"/>
            <w:tcMar>
              <w:left w:w="28" w:type="dxa"/>
              <w:right w:w="28" w:type="dxa"/>
            </w:tcMar>
          </w:tcPr>
          <w:p w14:paraId="19A9A1AF" w14:textId="3D974245" w:rsidR="008A680B" w:rsidRPr="00DD72AC" w:rsidRDefault="008A680B" w:rsidP="00886B68">
            <w:pPr>
              <w:pStyle w:val="TableText0"/>
              <w:keepNext w:val="0"/>
              <w:widowControl w:val="0"/>
            </w:pPr>
            <w:r w:rsidRPr="00DD72AC">
              <w:t>No</w:t>
            </w:r>
          </w:p>
        </w:tc>
      </w:tr>
      <w:tr w:rsidR="008A680B" w:rsidRPr="00DD72AC" w14:paraId="2866ED67" w14:textId="77777777" w:rsidTr="009F39C7">
        <w:trPr>
          <w:trHeight w:val="320"/>
        </w:trPr>
        <w:tc>
          <w:tcPr>
            <w:tcW w:w="314" w:type="pct"/>
            <w:tcMar>
              <w:left w:w="28" w:type="dxa"/>
              <w:right w:w="28" w:type="dxa"/>
            </w:tcMar>
          </w:tcPr>
          <w:p w14:paraId="1F75D237" w14:textId="54A0818C" w:rsidR="008A680B" w:rsidRPr="00DD72AC" w:rsidRDefault="008A680B" w:rsidP="00886B68">
            <w:pPr>
              <w:pStyle w:val="TableText0"/>
              <w:keepNext w:val="0"/>
              <w:widowControl w:val="0"/>
            </w:pPr>
            <w:r w:rsidRPr="00DD72AC">
              <w:t>111-208</w:t>
            </w:r>
          </w:p>
        </w:tc>
        <w:tc>
          <w:tcPr>
            <w:tcW w:w="1012" w:type="pct"/>
            <w:tcMar>
              <w:left w:w="28" w:type="dxa"/>
              <w:right w:w="28" w:type="dxa"/>
            </w:tcMar>
          </w:tcPr>
          <w:p w14:paraId="5316C980" w14:textId="5F4C47E7" w:rsidR="008A680B" w:rsidRPr="00DD72AC" w:rsidRDefault="008A680B" w:rsidP="001C29B9">
            <w:pPr>
              <w:pStyle w:val="TableText0"/>
              <w:keepNext w:val="0"/>
              <w:widowControl w:val="0"/>
            </w:pPr>
            <w:r w:rsidRPr="00DD72AC">
              <w:t xml:space="preserve">Phase 2, OLE, SGA, MN </w:t>
            </w:r>
          </w:p>
          <w:p w14:paraId="0C6F6514" w14:textId="3C72B1F8" w:rsidR="008A680B" w:rsidRPr="00DD72AC" w:rsidRDefault="008A680B" w:rsidP="001C29B9">
            <w:pPr>
              <w:pStyle w:val="TableText0"/>
              <w:keepNext w:val="0"/>
              <w:widowControl w:val="0"/>
            </w:pPr>
            <w:r w:rsidRPr="00DD72AC">
              <w:t>Until final adult height</w:t>
            </w:r>
          </w:p>
          <w:p w14:paraId="060E3DC8" w14:textId="06F3DBA8" w:rsidR="008A680B" w:rsidRPr="00DD72AC" w:rsidRDefault="008A680B" w:rsidP="001C29B9">
            <w:pPr>
              <w:pStyle w:val="TableText0"/>
              <w:keepNext w:val="0"/>
              <w:widowControl w:val="0"/>
            </w:pPr>
            <w:r w:rsidRPr="00DD72AC">
              <w:t>(Ongoing; completion expected Dec 2026)</w:t>
            </w:r>
          </w:p>
        </w:tc>
        <w:tc>
          <w:tcPr>
            <w:tcW w:w="547" w:type="pct"/>
            <w:vMerge/>
            <w:tcMar>
              <w:left w:w="28" w:type="dxa"/>
              <w:right w:w="28" w:type="dxa"/>
            </w:tcMar>
          </w:tcPr>
          <w:p w14:paraId="6B64E52A" w14:textId="77777777" w:rsidR="008A680B" w:rsidRPr="00DD72AC" w:rsidRDefault="008A680B" w:rsidP="00886B68">
            <w:pPr>
              <w:pStyle w:val="TableText0"/>
              <w:keepNext w:val="0"/>
              <w:widowControl w:val="0"/>
            </w:pPr>
          </w:p>
        </w:tc>
        <w:tc>
          <w:tcPr>
            <w:tcW w:w="548" w:type="pct"/>
            <w:tcMar>
              <w:left w:w="28" w:type="dxa"/>
              <w:right w:w="28" w:type="dxa"/>
            </w:tcMar>
          </w:tcPr>
          <w:p w14:paraId="18B86F5A" w14:textId="77777777" w:rsidR="008A680B" w:rsidRPr="00DD72AC" w:rsidRDefault="008A680B" w:rsidP="00886B68">
            <w:pPr>
              <w:pStyle w:val="TableText0"/>
              <w:keepNext w:val="0"/>
              <w:widowControl w:val="0"/>
            </w:pPr>
          </w:p>
        </w:tc>
        <w:tc>
          <w:tcPr>
            <w:tcW w:w="313" w:type="pct"/>
            <w:tcMar>
              <w:left w:w="28" w:type="dxa"/>
              <w:right w:w="28" w:type="dxa"/>
            </w:tcMar>
          </w:tcPr>
          <w:p w14:paraId="7694832B" w14:textId="77777777" w:rsidR="008A680B" w:rsidRPr="00DD72AC" w:rsidRDefault="008A680B" w:rsidP="00886B68">
            <w:pPr>
              <w:pStyle w:val="TableText0"/>
              <w:keepNext w:val="0"/>
              <w:widowControl w:val="0"/>
              <w:rPr>
                <w:i/>
                <w:iCs/>
              </w:rPr>
            </w:pPr>
          </w:p>
        </w:tc>
        <w:tc>
          <w:tcPr>
            <w:tcW w:w="631" w:type="pct"/>
            <w:tcMar>
              <w:left w:w="28" w:type="dxa"/>
              <w:right w:w="28" w:type="dxa"/>
            </w:tcMar>
          </w:tcPr>
          <w:p w14:paraId="3A7900A8" w14:textId="2785A250" w:rsidR="008A680B" w:rsidRPr="00DD72AC" w:rsidRDefault="008A680B" w:rsidP="00886B68">
            <w:pPr>
              <w:pStyle w:val="TableText0"/>
              <w:keepNext w:val="0"/>
              <w:widowControl w:val="0"/>
            </w:pPr>
            <w:r w:rsidRPr="00DD72AC">
              <w:t>NA</w:t>
            </w:r>
          </w:p>
        </w:tc>
        <w:tc>
          <w:tcPr>
            <w:tcW w:w="1051" w:type="pct"/>
            <w:vMerge/>
            <w:tcMar>
              <w:left w:w="28" w:type="dxa"/>
              <w:right w:w="28" w:type="dxa"/>
            </w:tcMar>
          </w:tcPr>
          <w:p w14:paraId="4F1B0692" w14:textId="77777777" w:rsidR="008A680B" w:rsidRPr="00DD72AC" w:rsidRDefault="008A680B" w:rsidP="00886B68">
            <w:pPr>
              <w:pStyle w:val="TableText0"/>
              <w:keepNext w:val="0"/>
              <w:widowControl w:val="0"/>
            </w:pPr>
          </w:p>
        </w:tc>
        <w:tc>
          <w:tcPr>
            <w:tcW w:w="584" w:type="pct"/>
            <w:tcMar>
              <w:left w:w="28" w:type="dxa"/>
              <w:right w:w="28" w:type="dxa"/>
            </w:tcMar>
          </w:tcPr>
          <w:p w14:paraId="5AD7EB33" w14:textId="2273682C" w:rsidR="008A680B" w:rsidRPr="00DD72AC" w:rsidRDefault="008A680B" w:rsidP="00886B68">
            <w:pPr>
              <w:pStyle w:val="TableText0"/>
              <w:keepNext w:val="0"/>
              <w:widowControl w:val="0"/>
            </w:pPr>
            <w:r w:rsidRPr="00DD72AC">
              <w:t>No</w:t>
            </w:r>
          </w:p>
        </w:tc>
      </w:tr>
      <w:bookmarkEnd w:id="19"/>
      <w:tr w:rsidR="00CA32FD" w:rsidRPr="00DD72AC" w14:paraId="0BE525BC" w14:textId="77777777" w:rsidTr="009F39C7">
        <w:trPr>
          <w:trHeight w:val="70"/>
        </w:trPr>
        <w:tc>
          <w:tcPr>
            <w:tcW w:w="5000" w:type="pct"/>
            <w:gridSpan w:val="8"/>
            <w:tcMar>
              <w:left w:w="28" w:type="dxa"/>
              <w:right w:w="28" w:type="dxa"/>
            </w:tcMar>
          </w:tcPr>
          <w:p w14:paraId="7E4892FD" w14:textId="6C7AE4ED" w:rsidR="00967213" w:rsidRPr="00DD72AC" w:rsidRDefault="00967213" w:rsidP="00886B68">
            <w:pPr>
              <w:pStyle w:val="TableText0"/>
              <w:keepNext w:val="0"/>
              <w:widowControl w:val="0"/>
              <w:rPr>
                <w:b/>
                <w:bCs w:val="0"/>
              </w:rPr>
            </w:pPr>
            <w:r w:rsidRPr="00DD72AC">
              <w:rPr>
                <w:b/>
                <w:bCs w:val="0"/>
              </w:rPr>
              <w:t>Supportive evidence</w:t>
            </w:r>
          </w:p>
        </w:tc>
      </w:tr>
      <w:tr w:rsidR="008A680B" w:rsidRPr="00DD72AC" w14:paraId="2D00283E" w14:textId="5DE6B952" w:rsidTr="009F39C7">
        <w:trPr>
          <w:trHeight w:val="320"/>
        </w:trPr>
        <w:tc>
          <w:tcPr>
            <w:tcW w:w="314" w:type="pct"/>
            <w:tcMar>
              <w:left w:w="28" w:type="dxa"/>
              <w:right w:w="28" w:type="dxa"/>
            </w:tcMar>
          </w:tcPr>
          <w:p w14:paraId="70E54E99" w14:textId="77777777" w:rsidR="008A680B" w:rsidRPr="00DD72AC" w:rsidRDefault="008A680B" w:rsidP="00886B68">
            <w:pPr>
              <w:pStyle w:val="TableText0"/>
              <w:keepNext w:val="0"/>
              <w:widowControl w:val="0"/>
            </w:pPr>
            <w:r w:rsidRPr="00DD72AC">
              <w:t xml:space="preserve">111-202 </w:t>
            </w:r>
          </w:p>
          <w:p w14:paraId="2805315B" w14:textId="77777777" w:rsidR="008A680B" w:rsidRPr="00DD72AC" w:rsidRDefault="008A680B" w:rsidP="00886B68">
            <w:pPr>
              <w:pStyle w:val="TableText0"/>
              <w:keepNext w:val="0"/>
              <w:widowControl w:val="0"/>
            </w:pPr>
          </w:p>
        </w:tc>
        <w:tc>
          <w:tcPr>
            <w:tcW w:w="1012" w:type="pct"/>
            <w:tcMar>
              <w:left w:w="28" w:type="dxa"/>
              <w:right w:w="28" w:type="dxa"/>
            </w:tcMar>
          </w:tcPr>
          <w:p w14:paraId="4E616CA9" w14:textId="77777777" w:rsidR="008A680B" w:rsidRPr="00DD72AC" w:rsidRDefault="008A680B" w:rsidP="00BF5EC8">
            <w:pPr>
              <w:pStyle w:val="TableText0"/>
              <w:keepNext w:val="0"/>
              <w:widowControl w:val="0"/>
            </w:pPr>
            <w:r w:rsidRPr="00DD72AC">
              <w:t>Phase 2, OL, sequential dose-escalation</w:t>
            </w:r>
          </w:p>
          <w:p w14:paraId="49501BCF" w14:textId="77777777" w:rsidR="008A680B" w:rsidRPr="00DD72AC" w:rsidRDefault="008A680B" w:rsidP="00BF5EC8">
            <w:pPr>
              <w:pStyle w:val="TableText0"/>
              <w:keepNext w:val="0"/>
              <w:widowControl w:val="0"/>
            </w:pPr>
            <w:r w:rsidRPr="00DD72AC">
              <w:t>104 weeks</w:t>
            </w:r>
          </w:p>
          <w:p w14:paraId="6A432794" w14:textId="4085B3DB" w:rsidR="008A680B" w:rsidRPr="00DD72AC" w:rsidRDefault="008A680B" w:rsidP="00BF5EC8">
            <w:pPr>
              <w:pStyle w:val="TableText0"/>
              <w:keepNext w:val="0"/>
              <w:widowControl w:val="0"/>
            </w:pPr>
            <w:r w:rsidRPr="00DD72AC">
              <w:t>(completed)</w:t>
            </w:r>
          </w:p>
        </w:tc>
        <w:tc>
          <w:tcPr>
            <w:tcW w:w="547" w:type="pct"/>
            <w:tcMar>
              <w:left w:w="28" w:type="dxa"/>
              <w:right w:w="28" w:type="dxa"/>
            </w:tcMar>
          </w:tcPr>
          <w:p w14:paraId="2D524976" w14:textId="77777777" w:rsidR="008A680B" w:rsidRPr="00DD72AC" w:rsidRDefault="008A680B" w:rsidP="00BF5EC8">
            <w:pPr>
              <w:pStyle w:val="TableText0"/>
              <w:keepNext w:val="0"/>
              <w:widowControl w:val="0"/>
            </w:pPr>
            <w:r w:rsidRPr="00DD72AC">
              <w:t>5 to &lt; 14 years</w:t>
            </w:r>
          </w:p>
        </w:tc>
        <w:tc>
          <w:tcPr>
            <w:tcW w:w="548" w:type="pct"/>
            <w:tcMar>
              <w:left w:w="28" w:type="dxa"/>
              <w:right w:w="28" w:type="dxa"/>
            </w:tcMar>
          </w:tcPr>
          <w:p w14:paraId="48D8EE89" w14:textId="77777777" w:rsidR="008A680B" w:rsidRPr="00DD72AC" w:rsidRDefault="008A680B" w:rsidP="00BF5EC8">
            <w:pPr>
              <w:pStyle w:val="TableText0"/>
              <w:keepNext w:val="0"/>
              <w:widowControl w:val="0"/>
            </w:pPr>
            <w:r w:rsidRPr="00DD72AC">
              <w:t>35</w:t>
            </w:r>
          </w:p>
        </w:tc>
        <w:tc>
          <w:tcPr>
            <w:tcW w:w="313" w:type="pct"/>
            <w:tcMar>
              <w:left w:w="28" w:type="dxa"/>
              <w:right w:w="28" w:type="dxa"/>
            </w:tcMar>
          </w:tcPr>
          <w:p w14:paraId="4543E03A" w14:textId="0374823F" w:rsidR="008A680B" w:rsidRPr="00DD72AC" w:rsidRDefault="008A680B" w:rsidP="00886B68">
            <w:pPr>
              <w:pStyle w:val="TableText0"/>
              <w:keepNext w:val="0"/>
              <w:widowControl w:val="0"/>
            </w:pPr>
          </w:p>
        </w:tc>
        <w:tc>
          <w:tcPr>
            <w:tcW w:w="631" w:type="pct"/>
            <w:tcMar>
              <w:left w:w="28" w:type="dxa"/>
              <w:right w:w="28" w:type="dxa"/>
            </w:tcMar>
          </w:tcPr>
          <w:p w14:paraId="57FDDE78" w14:textId="77777777" w:rsidR="008A680B" w:rsidRPr="00DD72AC" w:rsidRDefault="008A680B" w:rsidP="00886B68">
            <w:pPr>
              <w:pStyle w:val="TableText0"/>
              <w:keepNext w:val="0"/>
              <w:widowControl w:val="0"/>
            </w:pPr>
            <w:r w:rsidRPr="00DD72AC">
              <w:t>NA</w:t>
            </w:r>
          </w:p>
        </w:tc>
        <w:tc>
          <w:tcPr>
            <w:tcW w:w="1051" w:type="pct"/>
            <w:tcMar>
              <w:left w:w="28" w:type="dxa"/>
              <w:right w:w="28" w:type="dxa"/>
            </w:tcMar>
          </w:tcPr>
          <w:p w14:paraId="39448676" w14:textId="77777777" w:rsidR="008A680B" w:rsidRPr="00DD72AC" w:rsidRDefault="008A680B" w:rsidP="00886B68">
            <w:pPr>
              <w:pStyle w:val="TableText0"/>
              <w:keepNext w:val="0"/>
              <w:widowControl w:val="0"/>
            </w:pPr>
            <w:r w:rsidRPr="00DD72AC">
              <w:t>Change from baseline in:</w:t>
            </w:r>
          </w:p>
          <w:p w14:paraId="464CDB40" w14:textId="33DD137D" w:rsidR="008A680B" w:rsidRPr="00DD72AC" w:rsidRDefault="008A680B" w:rsidP="009F39C7">
            <w:pPr>
              <w:pStyle w:val="TableText0"/>
              <w:keepNext w:val="0"/>
              <w:widowControl w:val="0"/>
              <w:numPr>
                <w:ilvl w:val="0"/>
                <w:numId w:val="11"/>
              </w:numPr>
              <w:ind w:left="170" w:hanging="170"/>
            </w:pPr>
            <w:r w:rsidRPr="00DD72AC">
              <w:t>AGV</w:t>
            </w:r>
          </w:p>
          <w:p w14:paraId="0D84057D" w14:textId="434183F8" w:rsidR="008A680B" w:rsidRPr="00DD72AC" w:rsidRDefault="008A680B" w:rsidP="009F39C7">
            <w:pPr>
              <w:pStyle w:val="TableText0"/>
              <w:keepNext w:val="0"/>
              <w:widowControl w:val="0"/>
              <w:numPr>
                <w:ilvl w:val="0"/>
                <w:numId w:val="11"/>
              </w:numPr>
              <w:ind w:left="170" w:hanging="170"/>
            </w:pPr>
            <w:r w:rsidRPr="00DD72AC">
              <w:t>height Z-score</w:t>
            </w:r>
          </w:p>
          <w:p w14:paraId="7D792EAA" w14:textId="0BFAEDBD" w:rsidR="008A680B" w:rsidRPr="00DD72AC" w:rsidRDefault="008A680B" w:rsidP="009F39C7">
            <w:pPr>
              <w:pStyle w:val="TableText0"/>
              <w:keepNext w:val="0"/>
              <w:widowControl w:val="0"/>
              <w:numPr>
                <w:ilvl w:val="0"/>
                <w:numId w:val="11"/>
              </w:numPr>
              <w:ind w:left="170" w:hanging="170"/>
            </w:pPr>
            <w:r w:rsidRPr="00DD72AC">
              <w:t xml:space="preserve">body proportion </w:t>
            </w:r>
          </w:p>
        </w:tc>
        <w:tc>
          <w:tcPr>
            <w:tcW w:w="584" w:type="pct"/>
            <w:tcMar>
              <w:left w:w="28" w:type="dxa"/>
              <w:right w:w="28" w:type="dxa"/>
            </w:tcMar>
          </w:tcPr>
          <w:p w14:paraId="5CF7C520" w14:textId="28FC0B3A" w:rsidR="008A680B" w:rsidRPr="00DD72AC" w:rsidRDefault="008A680B" w:rsidP="00886B68">
            <w:pPr>
              <w:pStyle w:val="TableText0"/>
              <w:keepNext w:val="0"/>
              <w:widowControl w:val="0"/>
            </w:pPr>
            <w:r w:rsidRPr="00DD72AC">
              <w:t>No</w:t>
            </w:r>
          </w:p>
        </w:tc>
      </w:tr>
      <w:tr w:rsidR="002C664D" w:rsidRPr="00DD72AC" w14:paraId="31B1F7D3" w14:textId="5346F223" w:rsidTr="009F39C7">
        <w:trPr>
          <w:trHeight w:val="320"/>
        </w:trPr>
        <w:tc>
          <w:tcPr>
            <w:tcW w:w="314" w:type="pct"/>
            <w:tcMar>
              <w:left w:w="28" w:type="dxa"/>
              <w:right w:w="28" w:type="dxa"/>
            </w:tcMar>
          </w:tcPr>
          <w:p w14:paraId="7A14AF5B" w14:textId="77777777" w:rsidR="002C664D" w:rsidRPr="00DD72AC" w:rsidRDefault="002C664D" w:rsidP="00886B68">
            <w:pPr>
              <w:pStyle w:val="TableText0"/>
              <w:keepNext w:val="0"/>
              <w:widowControl w:val="0"/>
            </w:pPr>
            <w:r w:rsidRPr="00DD72AC">
              <w:t xml:space="preserve">111-205 </w:t>
            </w:r>
          </w:p>
        </w:tc>
        <w:tc>
          <w:tcPr>
            <w:tcW w:w="1012" w:type="pct"/>
            <w:tcMar>
              <w:left w:w="28" w:type="dxa"/>
              <w:right w:w="28" w:type="dxa"/>
            </w:tcMar>
          </w:tcPr>
          <w:p w14:paraId="4FDFEB2B" w14:textId="77777777" w:rsidR="002C664D" w:rsidRPr="00DD72AC" w:rsidRDefault="002C664D" w:rsidP="00886B68">
            <w:pPr>
              <w:pStyle w:val="TableText0"/>
              <w:keepNext w:val="0"/>
              <w:widowControl w:val="0"/>
            </w:pPr>
            <w:r w:rsidRPr="00DD72AC">
              <w:t>Phase 2, OLE</w:t>
            </w:r>
          </w:p>
          <w:p w14:paraId="24E2792F" w14:textId="77777777" w:rsidR="002C664D" w:rsidRPr="00DD72AC" w:rsidRDefault="002C664D" w:rsidP="00886B68">
            <w:pPr>
              <w:pStyle w:val="TableText0"/>
              <w:keepNext w:val="0"/>
              <w:widowControl w:val="0"/>
            </w:pPr>
            <w:r w:rsidRPr="00DD72AC">
              <w:t>Until final adult</w:t>
            </w:r>
          </w:p>
          <w:p w14:paraId="0698384A" w14:textId="543E7724" w:rsidR="002C664D" w:rsidRPr="00DD72AC" w:rsidRDefault="002C664D" w:rsidP="00886B68">
            <w:pPr>
              <w:pStyle w:val="TableText0"/>
              <w:keepNext w:val="0"/>
              <w:widowControl w:val="0"/>
            </w:pPr>
            <w:r w:rsidRPr="00DD72AC">
              <w:t>(Ongoing; completion expected Oct 2022)</w:t>
            </w:r>
          </w:p>
        </w:tc>
        <w:tc>
          <w:tcPr>
            <w:tcW w:w="547" w:type="pct"/>
            <w:tcMar>
              <w:left w:w="28" w:type="dxa"/>
              <w:right w:w="28" w:type="dxa"/>
            </w:tcMar>
          </w:tcPr>
          <w:p w14:paraId="18B416AC" w14:textId="77777777" w:rsidR="002C664D" w:rsidRPr="00DD72AC" w:rsidRDefault="002C664D" w:rsidP="00886B68">
            <w:pPr>
              <w:pStyle w:val="TableText0"/>
              <w:keepNext w:val="0"/>
              <w:widowControl w:val="0"/>
            </w:pPr>
            <w:r w:rsidRPr="00DD72AC">
              <w:t>As per study 111-202</w:t>
            </w:r>
          </w:p>
        </w:tc>
        <w:tc>
          <w:tcPr>
            <w:tcW w:w="548" w:type="pct"/>
            <w:tcMar>
              <w:left w:w="28" w:type="dxa"/>
              <w:right w:w="28" w:type="dxa"/>
            </w:tcMar>
          </w:tcPr>
          <w:p w14:paraId="4FD68945" w14:textId="0CDFE79F" w:rsidR="002C664D" w:rsidRPr="00DD72AC" w:rsidRDefault="002C664D" w:rsidP="00886B68">
            <w:pPr>
              <w:pStyle w:val="TableText0"/>
              <w:keepNext w:val="0"/>
              <w:widowControl w:val="0"/>
            </w:pPr>
            <w:r w:rsidRPr="00DD72AC">
              <w:t>30</w:t>
            </w:r>
            <w:r w:rsidR="009757C5" w:rsidRPr="00DD72AC">
              <w:rPr>
                <w:vertAlign w:val="superscript"/>
              </w:rPr>
              <w:t>c</w:t>
            </w:r>
          </w:p>
        </w:tc>
        <w:tc>
          <w:tcPr>
            <w:tcW w:w="313" w:type="pct"/>
            <w:tcMar>
              <w:left w:w="28" w:type="dxa"/>
              <w:right w:w="28" w:type="dxa"/>
            </w:tcMar>
          </w:tcPr>
          <w:p w14:paraId="745CEC29" w14:textId="1E150BB8" w:rsidR="002C664D" w:rsidRPr="00DD72AC" w:rsidRDefault="002C664D" w:rsidP="00886B68">
            <w:pPr>
              <w:pStyle w:val="TableText0"/>
              <w:keepNext w:val="0"/>
              <w:widowControl w:val="0"/>
            </w:pPr>
          </w:p>
        </w:tc>
        <w:tc>
          <w:tcPr>
            <w:tcW w:w="631" w:type="pct"/>
            <w:tcMar>
              <w:left w:w="28" w:type="dxa"/>
              <w:right w:w="28" w:type="dxa"/>
            </w:tcMar>
          </w:tcPr>
          <w:p w14:paraId="2BDCE7C4" w14:textId="77777777" w:rsidR="002C664D" w:rsidRPr="00DD72AC" w:rsidRDefault="002C664D" w:rsidP="00886B68">
            <w:pPr>
              <w:pStyle w:val="TableText0"/>
              <w:keepNext w:val="0"/>
              <w:widowControl w:val="0"/>
            </w:pPr>
            <w:r w:rsidRPr="00DD72AC">
              <w:t>NA</w:t>
            </w:r>
          </w:p>
        </w:tc>
        <w:tc>
          <w:tcPr>
            <w:tcW w:w="1051" w:type="pct"/>
            <w:tcMar>
              <w:left w:w="28" w:type="dxa"/>
              <w:right w:w="28" w:type="dxa"/>
            </w:tcMar>
          </w:tcPr>
          <w:p w14:paraId="2E27F018" w14:textId="77777777" w:rsidR="002C664D" w:rsidRPr="00DD72AC" w:rsidRDefault="002C664D" w:rsidP="00886B68">
            <w:pPr>
              <w:pStyle w:val="TableText0"/>
              <w:keepNext w:val="0"/>
              <w:widowControl w:val="0"/>
            </w:pPr>
            <w:r w:rsidRPr="00DD72AC">
              <w:t>Change from baseline in:</w:t>
            </w:r>
          </w:p>
          <w:p w14:paraId="7E82A02D" w14:textId="04C57A69" w:rsidR="002C664D" w:rsidRPr="00DD72AC" w:rsidRDefault="002C664D" w:rsidP="009F39C7">
            <w:pPr>
              <w:pStyle w:val="TableText0"/>
              <w:keepNext w:val="0"/>
              <w:widowControl w:val="0"/>
              <w:numPr>
                <w:ilvl w:val="0"/>
                <w:numId w:val="11"/>
              </w:numPr>
              <w:ind w:left="170" w:hanging="170"/>
            </w:pPr>
            <w:r w:rsidRPr="00DD72AC">
              <w:t>AGV</w:t>
            </w:r>
          </w:p>
          <w:p w14:paraId="7447E178" w14:textId="26F5B1BD" w:rsidR="002C664D" w:rsidRPr="00DD72AC" w:rsidRDefault="002C664D" w:rsidP="009F39C7">
            <w:pPr>
              <w:pStyle w:val="TableText0"/>
              <w:keepNext w:val="0"/>
              <w:widowControl w:val="0"/>
              <w:numPr>
                <w:ilvl w:val="0"/>
                <w:numId w:val="11"/>
              </w:numPr>
              <w:ind w:left="170" w:hanging="170"/>
            </w:pPr>
            <w:r w:rsidRPr="00DD72AC">
              <w:t>height Z-score</w:t>
            </w:r>
          </w:p>
          <w:p w14:paraId="23C402F3" w14:textId="6D739109" w:rsidR="002C664D" w:rsidRPr="00DD72AC" w:rsidRDefault="002C664D" w:rsidP="009F39C7">
            <w:pPr>
              <w:pStyle w:val="TableText0"/>
              <w:keepNext w:val="0"/>
              <w:widowControl w:val="0"/>
              <w:numPr>
                <w:ilvl w:val="0"/>
                <w:numId w:val="11"/>
              </w:numPr>
              <w:ind w:left="170" w:hanging="170"/>
            </w:pPr>
            <w:r w:rsidRPr="00DD72AC">
              <w:t>upper to lower body segment ratio</w:t>
            </w:r>
          </w:p>
        </w:tc>
        <w:tc>
          <w:tcPr>
            <w:tcW w:w="584" w:type="pct"/>
            <w:tcMar>
              <w:left w:w="28" w:type="dxa"/>
              <w:right w:w="28" w:type="dxa"/>
            </w:tcMar>
          </w:tcPr>
          <w:p w14:paraId="2B4CDCB7" w14:textId="1AB94A5F" w:rsidR="002C664D" w:rsidRPr="00DD72AC" w:rsidRDefault="002C664D" w:rsidP="00886B68">
            <w:pPr>
              <w:pStyle w:val="TableText0"/>
              <w:keepNext w:val="0"/>
              <w:widowControl w:val="0"/>
            </w:pPr>
            <w:r w:rsidRPr="00DD72AC">
              <w:t>No</w:t>
            </w:r>
          </w:p>
        </w:tc>
      </w:tr>
    </w:tbl>
    <w:p w14:paraId="35D1877F" w14:textId="77777777" w:rsidR="00AD589D" w:rsidRPr="00DD72AC" w:rsidRDefault="00AD589D" w:rsidP="00886B68">
      <w:pPr>
        <w:pStyle w:val="TableFigureFooter"/>
        <w:widowControl w:val="0"/>
      </w:pPr>
      <w:r w:rsidRPr="00DD72AC">
        <w:t>Source: Table 29, p56 of the submission, and amended during the evaluation.</w:t>
      </w:r>
    </w:p>
    <w:p w14:paraId="4247D719" w14:textId="02C3729D" w:rsidR="00AD589D" w:rsidRPr="00DD72AC" w:rsidRDefault="00AD589D" w:rsidP="00886B68">
      <w:pPr>
        <w:pStyle w:val="TableFigureFooter"/>
        <w:widowControl w:val="0"/>
        <w:rPr>
          <w:snapToGrid/>
        </w:rPr>
      </w:pPr>
      <w:r w:rsidRPr="00DD72AC">
        <w:rPr>
          <w:snapToGrid/>
        </w:rPr>
        <w:t>AGV = annual growth velocity; DB = double-blind;</w:t>
      </w:r>
      <w:r w:rsidR="00414578" w:rsidRPr="00DD72AC">
        <w:rPr>
          <w:rFonts w:eastAsia="Times New Roman"/>
        </w:rPr>
        <w:t xml:space="preserve"> </w:t>
      </w:r>
      <w:proofErr w:type="spellStart"/>
      <w:r w:rsidR="00414578" w:rsidRPr="00DD72AC">
        <w:rPr>
          <w:rFonts w:eastAsia="Times New Roman"/>
        </w:rPr>
        <w:t>HRQoL</w:t>
      </w:r>
      <w:proofErr w:type="spellEnd"/>
      <w:r w:rsidR="00414578" w:rsidRPr="00DD72AC">
        <w:rPr>
          <w:rFonts w:eastAsia="Times New Roman"/>
        </w:rPr>
        <w:t xml:space="preserve"> = health related quality of life; </w:t>
      </w:r>
      <w:r w:rsidRPr="00DD72AC">
        <w:rPr>
          <w:snapToGrid/>
        </w:rPr>
        <w:t xml:space="preserve">MN = multinational; NA = not applicable; OL = </w:t>
      </w:r>
      <w:r w:rsidRPr="00DD72AC">
        <w:rPr>
          <w:snapToGrid/>
        </w:rPr>
        <w:lastRenderedPageBreak/>
        <w:t>open-label; OLE = open-label extension; PC = placebo-controlled; RCT = randomised controlled trial; SC = subcutaneous; SGA = single group assignment; VOS = vosoritide</w:t>
      </w:r>
    </w:p>
    <w:p w14:paraId="0A4E32D4" w14:textId="189F58D8" w:rsidR="00201081" w:rsidRPr="00DD72AC" w:rsidRDefault="00201081" w:rsidP="00886B68">
      <w:pPr>
        <w:pStyle w:val="TableFigureFooter"/>
        <w:widowControl w:val="0"/>
        <w:rPr>
          <w:snapToGrid/>
        </w:rPr>
      </w:pPr>
      <w:r w:rsidRPr="00DD72AC">
        <w:rPr>
          <w:snapToGrid/>
          <w:vertAlign w:val="superscript"/>
        </w:rPr>
        <w:t>a</w:t>
      </w:r>
      <w:r w:rsidRPr="00DD72AC">
        <w:rPr>
          <w:snapToGrid/>
        </w:rPr>
        <w:t xml:space="preserve"> </w:t>
      </w:r>
      <w:r w:rsidRPr="00DD72AC">
        <w:t>Currently 2 dropped from the planned 121 participants</w:t>
      </w:r>
    </w:p>
    <w:p w14:paraId="46EB9367" w14:textId="54C194B6" w:rsidR="00494376" w:rsidRPr="00DD72AC" w:rsidRDefault="001C29B9" w:rsidP="00EC5836">
      <w:pPr>
        <w:pStyle w:val="TableFigureFooter"/>
      </w:pPr>
      <w:bookmarkStart w:id="20" w:name="_Hlk103690475"/>
      <w:r w:rsidRPr="00DD72AC">
        <w:rPr>
          <w:vertAlign w:val="superscript"/>
        </w:rPr>
        <w:t>b</w:t>
      </w:r>
      <w:r w:rsidRPr="00DD72AC">
        <w:t xml:space="preserve"> Full results not available at time of submission, interim report on 8 sentinel patients only</w:t>
      </w:r>
    </w:p>
    <w:bookmarkEnd w:id="20"/>
    <w:p w14:paraId="2172F112" w14:textId="6C7A4EB5" w:rsidR="009757C5" w:rsidRPr="00DD72AC" w:rsidRDefault="009757C5" w:rsidP="00EC5836">
      <w:pPr>
        <w:pStyle w:val="TableFigureFooter"/>
      </w:pPr>
      <w:r w:rsidRPr="00DD72AC">
        <w:rPr>
          <w:vertAlign w:val="superscript"/>
        </w:rPr>
        <w:t>c</w:t>
      </w:r>
      <w:r w:rsidRPr="00DD72AC">
        <w:t xml:space="preserve"> Continuing treatment at data cut off (planned 35, same with 111-202)</w:t>
      </w:r>
    </w:p>
    <w:p w14:paraId="2B2A76A2" w14:textId="77777777" w:rsidR="006868C8" w:rsidRPr="00DD72AC" w:rsidRDefault="006868C8" w:rsidP="00EC5836">
      <w:pPr>
        <w:pStyle w:val="TableFigureFooter"/>
      </w:pPr>
    </w:p>
    <w:p w14:paraId="4B1FAF60" w14:textId="5E9C1A56" w:rsidR="00B63F3A" w:rsidRPr="00DD72AC" w:rsidRDefault="00B63F3A" w:rsidP="00B63F3A">
      <w:pPr>
        <w:pStyle w:val="3-BodyText"/>
      </w:pPr>
      <w:r w:rsidRPr="00DD72AC">
        <w:t>The risk of bias for the two randomised clinical trials (111-301 and study 111-20</w:t>
      </w:r>
      <w:r w:rsidR="00D348F4" w:rsidRPr="00DD72AC">
        <w:t>6)</w:t>
      </w:r>
      <w:r w:rsidRPr="00DD72AC">
        <w:t xml:space="preserve"> is considered low. Although study 111-206 is considered low risk of bias, the </w:t>
      </w:r>
      <w:r w:rsidR="00004CC1" w:rsidRPr="00DD72AC">
        <w:t xml:space="preserve">results of </w:t>
      </w:r>
      <w:r w:rsidRPr="00DD72AC">
        <w:t xml:space="preserve">only eight sentinel intervention patients were available </w:t>
      </w:r>
      <w:r w:rsidR="00004CC1" w:rsidRPr="00DD72AC">
        <w:t>at the</w:t>
      </w:r>
      <w:r w:rsidRPr="00DD72AC">
        <w:t xml:space="preserve"> time of submission. The interim data </w:t>
      </w:r>
      <w:r w:rsidR="00004CC1" w:rsidRPr="00DD72AC">
        <w:t>are</w:t>
      </w:r>
      <w:r w:rsidRPr="00DD72AC">
        <w:t xml:space="preserve"> limited in that it cannot provide study group comparison. The primary outcome of </w:t>
      </w:r>
      <w:r w:rsidR="00004CC1" w:rsidRPr="00DD72AC">
        <w:t xml:space="preserve">AGV </w:t>
      </w:r>
      <w:r w:rsidRPr="00DD72AC">
        <w:t xml:space="preserve">is objective which minimises potential sources of detection and performance bias. </w:t>
      </w:r>
      <w:r w:rsidR="00004CC1" w:rsidRPr="00DD72AC">
        <w:t>O</w:t>
      </w:r>
      <w:r w:rsidR="00CE2D48" w:rsidRPr="00DD72AC">
        <w:t>utcome</w:t>
      </w:r>
      <w:r w:rsidR="00E475D9" w:rsidRPr="00DD72AC">
        <w:t>s</w:t>
      </w:r>
      <w:r w:rsidR="00CE2D48" w:rsidRPr="00DD72AC">
        <w:t xml:space="preserve"> of annual height velocity</w:t>
      </w:r>
      <w:r w:rsidR="003A0902" w:rsidRPr="00DD72AC">
        <w:t xml:space="preserve"> and height standard </w:t>
      </w:r>
      <w:r w:rsidR="00E475D9" w:rsidRPr="00DD72AC">
        <w:t>deviation</w:t>
      </w:r>
      <w:r w:rsidR="003A0902" w:rsidRPr="00DD72AC">
        <w:t xml:space="preserve"> change</w:t>
      </w:r>
      <w:r w:rsidR="00CE2D48" w:rsidRPr="00DD72AC">
        <w:t xml:space="preserve"> </w:t>
      </w:r>
      <w:r w:rsidR="00E475D9" w:rsidRPr="00DD72AC">
        <w:t>were</w:t>
      </w:r>
      <w:r w:rsidR="00CE2D48" w:rsidRPr="00DD72AC">
        <w:t xml:space="preserve"> previously considered by the PBAC for </w:t>
      </w:r>
      <w:proofErr w:type="spellStart"/>
      <w:r w:rsidR="00CE2D48" w:rsidRPr="00DD72AC">
        <w:t>mecasermin</w:t>
      </w:r>
      <w:proofErr w:type="spellEnd"/>
      <w:r w:rsidR="00CE2D48" w:rsidRPr="00DD72AC">
        <w:t xml:space="preserve"> for </w:t>
      </w:r>
      <w:r w:rsidR="003B1593" w:rsidRPr="00DD72AC">
        <w:t>chil</w:t>
      </w:r>
      <w:r w:rsidR="009D3196" w:rsidRPr="00DD72AC">
        <w:t xml:space="preserve">dren and adolescents with </w:t>
      </w:r>
      <w:r w:rsidR="00603DBD" w:rsidRPr="00DD72AC">
        <w:t>growth failure with primary insulin-like growth facto</w:t>
      </w:r>
      <w:r w:rsidR="009D3196" w:rsidRPr="00DD72AC">
        <w:t>r</w:t>
      </w:r>
      <w:r w:rsidR="00603DBD" w:rsidRPr="00DD72AC">
        <w:t>-1 deficiency</w:t>
      </w:r>
      <w:r w:rsidR="00CD7CDB" w:rsidRPr="00DD72AC">
        <w:t xml:space="preserve"> (</w:t>
      </w:r>
      <w:proofErr w:type="spellStart"/>
      <w:r w:rsidR="00E475D9" w:rsidRPr="00DD72AC">
        <w:t>mecasermin</w:t>
      </w:r>
      <w:proofErr w:type="spellEnd"/>
      <w:r w:rsidR="00E475D9" w:rsidRPr="00DD72AC">
        <w:t xml:space="preserve"> </w:t>
      </w:r>
      <w:r w:rsidR="00882452">
        <w:t>public summary document (</w:t>
      </w:r>
      <w:r w:rsidR="00B92110" w:rsidRPr="00DD72AC">
        <w:t>PSD</w:t>
      </w:r>
      <w:r w:rsidR="00882452">
        <w:t>)</w:t>
      </w:r>
      <w:r w:rsidR="00B92110" w:rsidRPr="00DD72AC">
        <w:t xml:space="preserve">, </w:t>
      </w:r>
      <w:r w:rsidR="00E475D9" w:rsidRPr="00DD72AC">
        <w:t>November 2021)</w:t>
      </w:r>
      <w:r w:rsidR="00CD7CDB" w:rsidRPr="00DD72AC">
        <w:t xml:space="preserve">. </w:t>
      </w:r>
    </w:p>
    <w:p w14:paraId="0BDE6F9B" w14:textId="2EB2B46E" w:rsidR="00D10D5A" w:rsidRPr="00DD72AC" w:rsidRDefault="00B63F3A" w:rsidP="00D10D5A">
      <w:pPr>
        <w:pStyle w:val="3-BodyText"/>
      </w:pPr>
      <w:r w:rsidRPr="00DD72AC">
        <w:t xml:space="preserve">AGV is an objective outcome that is assessed routinely in clinical practice. The minimal clinically important difference (MCID) in AGV in patients with achondroplasia is not established. </w:t>
      </w:r>
      <w:r w:rsidR="00CB220E" w:rsidRPr="00DD72AC">
        <w:t xml:space="preserve">In the </w:t>
      </w:r>
      <w:r w:rsidR="00C740E8" w:rsidRPr="00DD72AC">
        <w:t xml:space="preserve">November 2021 </w:t>
      </w:r>
      <w:r w:rsidR="00CB220E" w:rsidRPr="00DD72AC">
        <w:t xml:space="preserve">consideration of </w:t>
      </w:r>
      <w:proofErr w:type="spellStart"/>
      <w:r w:rsidR="00CB220E" w:rsidRPr="00DD72AC">
        <w:t>mecasermin</w:t>
      </w:r>
      <w:proofErr w:type="spellEnd"/>
      <w:r w:rsidR="00CB220E" w:rsidRPr="00DD72AC">
        <w:t xml:space="preserve"> </w:t>
      </w:r>
      <w:r w:rsidR="007E7736" w:rsidRPr="00DD72AC">
        <w:t xml:space="preserve">the submission also did not indicate what difference in height velocity was considered to be clinically </w:t>
      </w:r>
      <w:r w:rsidR="00C96070" w:rsidRPr="00DD72AC">
        <w:t>meaningful.</w:t>
      </w:r>
      <w:r w:rsidR="00CB220E" w:rsidRPr="00DD72AC">
        <w:t xml:space="preserve"> </w:t>
      </w:r>
      <w:r w:rsidR="007E7736" w:rsidRPr="00DD72AC">
        <w:t xml:space="preserve">For </w:t>
      </w:r>
      <w:proofErr w:type="spellStart"/>
      <w:r w:rsidR="007E7736" w:rsidRPr="00DD72AC">
        <w:t>m</w:t>
      </w:r>
      <w:r w:rsidR="009617DD" w:rsidRPr="00DD72AC">
        <w:t>e</w:t>
      </w:r>
      <w:r w:rsidR="007E7736" w:rsidRPr="00DD72AC">
        <w:t>casermin</w:t>
      </w:r>
      <w:proofErr w:type="spellEnd"/>
      <w:r w:rsidR="00F635D9" w:rsidRPr="00DD72AC">
        <w:t>,</w:t>
      </w:r>
      <w:r w:rsidR="007E7736" w:rsidRPr="00DD72AC">
        <w:t xml:space="preserve"> changes in annual growth velocity of 1.79cm (</w:t>
      </w:r>
      <w:r w:rsidR="009617DD" w:rsidRPr="00DD72AC">
        <w:t xml:space="preserve">80 µg/kg twice daily) and </w:t>
      </w:r>
      <w:r w:rsidR="00C96070" w:rsidRPr="00DD72AC">
        <w:t>2.58cm (120 µg/kg twice daily) were reported (</w:t>
      </w:r>
      <w:r w:rsidR="004E0037" w:rsidRPr="00DD72AC">
        <w:t xml:space="preserve">Table 4, </w:t>
      </w:r>
      <w:proofErr w:type="spellStart"/>
      <w:r w:rsidR="00C96070" w:rsidRPr="00DD72AC">
        <w:t>mecasermin</w:t>
      </w:r>
      <w:proofErr w:type="spellEnd"/>
      <w:r w:rsidR="00B92110" w:rsidRPr="00DD72AC">
        <w:t xml:space="preserve"> PSD</w:t>
      </w:r>
      <w:r w:rsidR="00C96070" w:rsidRPr="00DD72AC">
        <w:t xml:space="preserve"> November 2021).</w:t>
      </w:r>
      <w:r w:rsidR="00D10D5A" w:rsidRPr="00DD72AC">
        <w:t xml:space="preserve"> The PSCR stated that the mean adult heights of persons with achondroplasia of approximately 120 cm in women and 130 cm in men are well below reach standards for urban design which are based on the height of a 5th percentile female (~153 cm). The PSCR argued that the relevance</w:t>
      </w:r>
      <w:r w:rsidR="00D10D5A" w:rsidRPr="00DD72AC" w:rsidDel="003F7961">
        <w:t xml:space="preserve"> </w:t>
      </w:r>
      <w:r w:rsidR="00D10D5A" w:rsidRPr="00DD72AC">
        <w:t xml:space="preserve">of increasing AGV in persons with achondroplasia is to close the gap between adult height of patients with achondroplasia and these reach standards, which would provide significant functional gains. The PSCR also noted expert advice that longer extremities improve functional mobility and reduce fatigue on walking. Additionally, the PSCR argued that increased height and limb length improves the ability to complete simple tasks of daily living associated with self-care and independence, that are challenging for persons with achondroplasia, which is expected to improve a person’s </w:t>
      </w:r>
      <w:r w:rsidR="00414578" w:rsidRPr="00DD72AC">
        <w:t>QoL</w:t>
      </w:r>
      <w:r w:rsidR="00D10D5A" w:rsidRPr="00DD72AC">
        <w:t>.</w:t>
      </w:r>
    </w:p>
    <w:p w14:paraId="6D12B845" w14:textId="42A7BFEE" w:rsidR="00494376" w:rsidRPr="00DD72AC" w:rsidRDefault="00B63F3A" w:rsidP="00265145">
      <w:pPr>
        <w:pStyle w:val="3-BodyText"/>
      </w:pPr>
      <w:r w:rsidRPr="00DD72AC">
        <w:t>For study 111-301, the mean (SD) age at baseline was 9.06 (2.47) years in the placebo group, and 8.35 (2.43) years in the vosoritide group. The submission stated that children with achondroplasia typically exhibit a stable and predictable growth pattern that is well characterised and described in the literature (Hoover-Fong 2008; Horton 1978; del Pino 2013) and thus favourable differences in change from baseline in AGV in vosoritide treated subjects relative to an untreated control group observed in a clinical trial, can be attributed to treatment effect of vosoritide</w:t>
      </w:r>
      <w:r w:rsidR="00265145" w:rsidRPr="00DD72AC">
        <w:t>.</w:t>
      </w:r>
      <w:r w:rsidR="00A6624D" w:rsidRPr="00DD72AC">
        <w:t xml:space="preserve"> </w:t>
      </w:r>
      <w:r w:rsidR="004E0037" w:rsidRPr="00DD72AC">
        <w:rPr>
          <w:rFonts w:eastAsia="Times New Roman"/>
        </w:rPr>
        <w:t xml:space="preserve"> </w:t>
      </w:r>
    </w:p>
    <w:p w14:paraId="4A4FE085" w14:textId="1C5613CC" w:rsidR="00B60939" w:rsidRPr="00DD72AC" w:rsidRDefault="00B60939" w:rsidP="00EC5836">
      <w:pPr>
        <w:pStyle w:val="4-SubsectionHeading"/>
        <w:rPr>
          <w:rFonts w:eastAsia="SimSun"/>
          <w:lang w:eastAsia="zh-CN"/>
        </w:rPr>
      </w:pPr>
      <w:bookmarkStart w:id="21" w:name="_Toc22897641"/>
      <w:bookmarkStart w:id="22" w:name="_Toc103776181"/>
      <w:r w:rsidRPr="00DD72AC">
        <w:t>Comparative effectiveness</w:t>
      </w:r>
      <w:bookmarkEnd w:id="21"/>
      <w:bookmarkEnd w:id="22"/>
    </w:p>
    <w:p w14:paraId="2BE18C32" w14:textId="7F8C96EC" w:rsidR="00B37404" w:rsidRPr="00DD72AC" w:rsidRDefault="009361D0" w:rsidP="001F1A17">
      <w:pPr>
        <w:pStyle w:val="3-BodyText"/>
      </w:pPr>
      <w:r w:rsidRPr="00DD72AC">
        <w:t xml:space="preserve">Results from the pivotal Study 111-301 pertaining to patients aged 5 </w:t>
      </w:r>
      <w:r w:rsidR="00983E91" w:rsidRPr="00DD72AC">
        <w:t>to &lt;</w:t>
      </w:r>
      <w:r w:rsidRPr="00DD72AC">
        <w:t xml:space="preserve">18 years old with respect to the primary outcome (change from baseline in AGV) and the key </w:t>
      </w:r>
      <w:r w:rsidRPr="00DD72AC">
        <w:lastRenderedPageBreak/>
        <w:t>secondary outcome (change from baseline in height Z-score) are presented</w:t>
      </w:r>
      <w:r w:rsidR="00790645" w:rsidRPr="00DD72AC">
        <w:t xml:space="preserve"> in</w:t>
      </w:r>
      <w:r w:rsidR="00A2459D" w:rsidRPr="00DD72AC">
        <w:t xml:space="preserve"> </w:t>
      </w:r>
      <w:r w:rsidR="00A2459D" w:rsidRPr="00DD72AC">
        <w:fldChar w:fldCharType="begin" w:fldLock="1"/>
      </w:r>
      <w:r w:rsidR="00A2459D" w:rsidRPr="00DD72AC">
        <w:instrText xml:space="preserve"> REF _Ref101267683 \h </w:instrText>
      </w:r>
      <w:r w:rsidR="00A2459D" w:rsidRPr="00DD72AC">
        <w:fldChar w:fldCharType="separate"/>
      </w:r>
      <w:r w:rsidR="003136E6" w:rsidRPr="00DD72AC">
        <w:t>Table 4</w:t>
      </w:r>
      <w:r w:rsidR="00A2459D" w:rsidRPr="00DD72AC">
        <w:fldChar w:fldCharType="end"/>
      </w:r>
      <w:r w:rsidR="00A2459D" w:rsidRPr="00DD72AC">
        <w:t xml:space="preserve"> and </w:t>
      </w:r>
      <w:r w:rsidR="00A2459D" w:rsidRPr="00DD72AC">
        <w:fldChar w:fldCharType="begin" w:fldLock="1"/>
      </w:r>
      <w:r w:rsidR="00A2459D" w:rsidRPr="00DD72AC">
        <w:instrText xml:space="preserve"> REF _Ref101265543 \h </w:instrText>
      </w:r>
      <w:r w:rsidR="00A2459D" w:rsidRPr="00DD72AC">
        <w:fldChar w:fldCharType="separate"/>
      </w:r>
      <w:r w:rsidR="003136E6" w:rsidRPr="00DD72AC">
        <w:t>Figure 1</w:t>
      </w:r>
      <w:r w:rsidR="00A2459D" w:rsidRPr="00DD72AC">
        <w:fldChar w:fldCharType="end"/>
      </w:r>
      <w:r w:rsidRPr="00DD72AC">
        <w:t>. Study 111-301 shows that vosoritide resulted in a statistically significant improvement in AGV vs</w:t>
      </w:r>
      <w:r w:rsidR="00A2459D" w:rsidRPr="00DD72AC">
        <w:t>.</w:t>
      </w:r>
      <w:r w:rsidRPr="00DD72AC">
        <w:t xml:space="preserve"> placebo (difference in </w:t>
      </w:r>
      <w:r w:rsidR="001F0185" w:rsidRPr="00DD72AC">
        <w:t xml:space="preserve">least squares </w:t>
      </w:r>
      <w:r w:rsidRPr="00DD72AC">
        <w:t xml:space="preserve">mean change from baseline: 1.57 cm/year [95% CI: 1.22, 1.93, p&lt;0.0001]) and height Z-score (difference in </w:t>
      </w:r>
      <w:r w:rsidR="001F0185" w:rsidRPr="00DD72AC">
        <w:t xml:space="preserve">least squares </w:t>
      </w:r>
      <w:r w:rsidRPr="00DD72AC">
        <w:t xml:space="preserve">mean change from baseline: +0.28 [95% CI: 0.17, 0.39; p&lt;0.0001]). </w:t>
      </w:r>
      <w:r w:rsidR="003472F3" w:rsidRPr="00DD72AC">
        <w:t>The clinical significance of a 1.57</w:t>
      </w:r>
      <w:r w:rsidR="00A714A4" w:rsidRPr="00DD72AC">
        <w:t xml:space="preserve"> </w:t>
      </w:r>
      <w:r w:rsidR="003472F3" w:rsidRPr="00DD72AC">
        <w:t xml:space="preserve">cm </w:t>
      </w:r>
      <w:r w:rsidR="004E017D" w:rsidRPr="00DD72AC">
        <w:rPr>
          <w:lang w:eastAsia="zh-CN"/>
        </w:rPr>
        <w:t>differe</w:t>
      </w:r>
      <w:r w:rsidR="004E017D" w:rsidRPr="00DD72AC">
        <w:t>nce</w:t>
      </w:r>
      <w:r w:rsidR="003C0BE2" w:rsidRPr="00DD72AC">
        <w:t xml:space="preserve"> (vosoritide vs placebo)</w:t>
      </w:r>
      <w:r w:rsidR="004E017D" w:rsidRPr="00DD72AC">
        <w:t xml:space="preserve"> in </w:t>
      </w:r>
      <w:r w:rsidR="003472F3" w:rsidRPr="00DD72AC">
        <w:t>change in AGV is</w:t>
      </w:r>
      <w:r w:rsidR="00F24C5F" w:rsidRPr="00DD72AC">
        <w:t xml:space="preserve"> </w:t>
      </w:r>
      <w:r w:rsidR="00F24C5F" w:rsidRPr="00DD72AC">
        <w:rPr>
          <w:rFonts w:eastAsia="Times New Roman"/>
        </w:rPr>
        <w:t>not clear</w:t>
      </w:r>
      <w:r w:rsidR="00EB26E9" w:rsidRPr="00DD72AC">
        <w:rPr>
          <w:rFonts w:eastAsia="Times New Roman"/>
        </w:rPr>
        <w:t xml:space="preserve"> as MCID </w:t>
      </w:r>
      <w:r w:rsidR="00E35869" w:rsidRPr="00DD72AC">
        <w:rPr>
          <w:rFonts w:eastAsia="Times New Roman"/>
        </w:rPr>
        <w:t xml:space="preserve">for this outcome </w:t>
      </w:r>
      <w:r w:rsidR="00EB26E9" w:rsidRPr="00DD72AC">
        <w:rPr>
          <w:rFonts w:eastAsia="Times New Roman"/>
        </w:rPr>
        <w:t>is not established</w:t>
      </w:r>
      <w:r w:rsidR="00F24C5F" w:rsidRPr="00DD72AC">
        <w:rPr>
          <w:rFonts w:eastAsia="Times New Roman"/>
        </w:rPr>
        <w:t>.</w:t>
      </w:r>
      <w:r w:rsidR="00391834" w:rsidRPr="00DD72AC">
        <w:rPr>
          <w:rFonts w:eastAsia="Times New Roman"/>
        </w:rPr>
        <w:t xml:space="preserve"> </w:t>
      </w:r>
      <w:r w:rsidR="00347830" w:rsidRPr="00DD72AC">
        <w:t xml:space="preserve"> The clinical relevance of a 1.57 cm increase in AGV will likely differ depending on child age with higher growth velocity expected at younger ages based on Australian achondroplasia growth charts</w:t>
      </w:r>
      <w:r w:rsidR="00CC2923" w:rsidRPr="00DD72AC">
        <w:rPr>
          <w:rFonts w:eastAsia="Times New Roman"/>
        </w:rPr>
        <w:t>.</w:t>
      </w:r>
      <w:r w:rsidR="00347830" w:rsidRPr="00DD72AC">
        <w:rPr>
          <w:rFonts w:eastAsia="Times New Roman"/>
        </w:rPr>
        <w:t xml:space="preserve"> The submission d</w:t>
      </w:r>
      <w:r w:rsidR="0096554D" w:rsidRPr="00DD72AC">
        <w:rPr>
          <w:rFonts w:eastAsia="Times New Roman"/>
        </w:rPr>
        <w:t>id</w:t>
      </w:r>
      <w:r w:rsidR="00347830" w:rsidRPr="00DD72AC">
        <w:rPr>
          <w:rFonts w:eastAsia="Times New Roman"/>
        </w:rPr>
        <w:t xml:space="preserve"> not comment on relevance of AGV outcome at different ages</w:t>
      </w:r>
      <w:r w:rsidR="00D0312C" w:rsidRPr="00DD72AC">
        <w:rPr>
          <w:rFonts w:eastAsia="Times New Roman"/>
        </w:rPr>
        <w:t xml:space="preserve"> although d</w:t>
      </w:r>
      <w:r w:rsidR="00F74EDF" w:rsidRPr="00DD72AC">
        <w:rPr>
          <w:rFonts w:eastAsia="Times New Roman"/>
        </w:rPr>
        <w:t>id</w:t>
      </w:r>
      <w:r w:rsidR="00D0312C" w:rsidRPr="00DD72AC">
        <w:rPr>
          <w:rFonts w:eastAsia="Times New Roman"/>
        </w:rPr>
        <w:t xml:space="preserve"> provide evidence that achondroplasia growth charts show more even annual growth compared to </w:t>
      </w:r>
      <w:r w:rsidR="00E35869" w:rsidRPr="00DD72AC">
        <w:rPr>
          <w:rFonts w:eastAsia="Times New Roman"/>
        </w:rPr>
        <w:t xml:space="preserve">similar age ranges in the general </w:t>
      </w:r>
      <w:r w:rsidR="00D0312C" w:rsidRPr="00DD72AC">
        <w:rPr>
          <w:rFonts w:eastAsia="Times New Roman"/>
        </w:rPr>
        <w:t>population.</w:t>
      </w:r>
      <w:r w:rsidR="00347830" w:rsidRPr="00DD72AC">
        <w:rPr>
          <w:rFonts w:eastAsia="Times New Roman"/>
          <w:i/>
          <w:iCs/>
        </w:rPr>
        <w:t xml:space="preserve"> </w:t>
      </w:r>
      <w:r w:rsidR="00CC2923" w:rsidRPr="00DD72AC">
        <w:rPr>
          <w:rFonts w:eastAsia="Times New Roman"/>
          <w:i/>
          <w:iCs/>
        </w:rPr>
        <w:t xml:space="preserve"> </w:t>
      </w:r>
      <w:r w:rsidR="00B37404" w:rsidRPr="00DD72AC">
        <w:t xml:space="preserve">The </w:t>
      </w:r>
      <w:r w:rsidR="00F74EDF" w:rsidRPr="00DD72AC">
        <w:br/>
      </w:r>
      <w:r w:rsidR="00B37404" w:rsidRPr="00DD72AC">
        <w:t xml:space="preserve">PSCR argued that if the observed benefit of vosoritide of 1.57 cm per year were to be maintained until growth plate closure, patients commencing vosoritide early in life could gain an incremental 25 cm in height (~1.57*16) with treatment relative to BSC when final adult height has been reached. To contextualise, the PSCR stated this additional height benefit would allow the average statured person with achondroplasia to approximate the height of reach standards (120+25=145 cm females; male 130+25=155 cm), which would have a favourable impact on a person’s </w:t>
      </w:r>
      <w:r w:rsidR="00414578" w:rsidRPr="00DD72AC">
        <w:t>QoL</w:t>
      </w:r>
      <w:r w:rsidR="00B37404" w:rsidRPr="00DD72AC">
        <w:t xml:space="preserve">. The ESC acknowledged the statistically significant improvement in AGV reported for patients receiving vosoritide. However, the ESC considered the clinical significance of the reported change remained uncertain </w:t>
      </w:r>
      <w:r w:rsidR="001F1A17" w:rsidRPr="00DD72AC">
        <w:t xml:space="preserve">as the AGV would likely differ depending on child age. In addition, the ESC noted </w:t>
      </w:r>
      <w:r w:rsidR="008B42D4" w:rsidRPr="00DD72AC">
        <w:t xml:space="preserve">that </w:t>
      </w:r>
      <w:r w:rsidR="001F1A17" w:rsidRPr="00DD72AC">
        <w:t>in the scenario presented in the PSCR a patient would need to commence treatment at 1 year of age to achieve the reported height benefit</w:t>
      </w:r>
      <w:r w:rsidR="008B42D4" w:rsidRPr="00DD72AC">
        <w:t xml:space="preserve"> (assuming the observed benefit were to be maintained until growth plate closure at 17 years of age)</w:t>
      </w:r>
      <w:r w:rsidR="001F1A17" w:rsidRPr="00DD72AC">
        <w:t>.</w:t>
      </w:r>
      <w:r w:rsidR="001F1A17" w:rsidRPr="00DD72AC">
        <w:rPr>
          <w:i/>
          <w:iCs/>
        </w:rPr>
        <w:t xml:space="preserve"> </w:t>
      </w:r>
    </w:p>
    <w:p w14:paraId="128CCD5D" w14:textId="523FFDF0" w:rsidR="00FA46E5" w:rsidRPr="00DD72AC" w:rsidRDefault="00C4594C" w:rsidP="001C6136">
      <w:pPr>
        <w:pStyle w:val="3-BodyText"/>
      </w:pPr>
      <w:r w:rsidRPr="00DD72AC">
        <w:t>S</w:t>
      </w:r>
      <w:r w:rsidR="00FA46E5" w:rsidRPr="00DD72AC">
        <w:t>econdary outcome</w:t>
      </w:r>
      <w:r w:rsidR="00C63D90" w:rsidRPr="00DD72AC">
        <w:t>s</w:t>
      </w:r>
      <w:r w:rsidR="00FA46E5" w:rsidRPr="00DD72AC">
        <w:t xml:space="preserve"> in Study 111-301</w:t>
      </w:r>
      <w:r w:rsidRPr="00DD72AC">
        <w:t xml:space="preserve"> showed no evidence of a difference between treatment groups in </w:t>
      </w:r>
      <w:r w:rsidR="00FA46E5" w:rsidRPr="00DD72AC">
        <w:t xml:space="preserve">change in upper to lower body segment ratio </w:t>
      </w:r>
      <w:r w:rsidRPr="00DD72AC">
        <w:t>from baseline to 52</w:t>
      </w:r>
      <w:r w:rsidR="005A3510" w:rsidRPr="00DD72AC">
        <w:t xml:space="preserve"> weeks</w:t>
      </w:r>
      <w:r w:rsidR="00FA46E5" w:rsidRPr="00DD72AC">
        <w:t xml:space="preserve">. </w:t>
      </w:r>
      <w:r w:rsidR="00E74B9A" w:rsidRPr="00DD72AC">
        <w:t xml:space="preserve">The </w:t>
      </w:r>
      <w:r w:rsidR="008B0CD9" w:rsidRPr="00DD72AC">
        <w:t>submission state</w:t>
      </w:r>
      <w:r w:rsidR="0096554D" w:rsidRPr="00DD72AC">
        <w:t>d</w:t>
      </w:r>
      <w:r w:rsidR="00476F22" w:rsidRPr="00DD72AC">
        <w:t xml:space="preserve"> that </w:t>
      </w:r>
      <w:r w:rsidR="00FA46E5" w:rsidRPr="00DD72AC">
        <w:t>there was no worsening in upper to lower body segment ratio</w:t>
      </w:r>
      <w:r w:rsidR="00476F22" w:rsidRPr="00DD72AC">
        <w:t>,</w:t>
      </w:r>
      <w:r w:rsidR="00FA46E5" w:rsidRPr="00DD72AC">
        <w:t xml:space="preserve"> which is clinically important as it indicates that the observed increase in growth is occurring proportionally in both the spine and the lower limbs.</w:t>
      </w:r>
      <w:r w:rsidR="005C14D5" w:rsidRPr="00DD72AC">
        <w:t xml:space="preserve"> </w:t>
      </w:r>
      <w:r w:rsidR="008B42D4" w:rsidRPr="00DD72AC">
        <w:t>The ESC noted that a</w:t>
      </w:r>
      <w:r w:rsidR="000741F5" w:rsidRPr="00DD72AC">
        <w:t>lthough t</w:t>
      </w:r>
      <w:r w:rsidR="004344AE" w:rsidRPr="00DD72AC">
        <w:t xml:space="preserve">here was no worsening of upper to lower body </w:t>
      </w:r>
      <w:r w:rsidR="000741F5" w:rsidRPr="00DD72AC">
        <w:t xml:space="preserve">ratio, </w:t>
      </w:r>
      <w:r w:rsidR="00002A49" w:rsidRPr="00DD72AC">
        <w:t xml:space="preserve">there was </w:t>
      </w:r>
      <w:r w:rsidR="003D45B4" w:rsidRPr="00DD72AC">
        <w:t xml:space="preserve">also </w:t>
      </w:r>
      <w:r w:rsidR="00002A49" w:rsidRPr="00DD72AC">
        <w:t xml:space="preserve">no improvement </w:t>
      </w:r>
      <w:r w:rsidR="008B0CD9" w:rsidRPr="00DD72AC">
        <w:t>in upper to lower body segment ratio</w:t>
      </w:r>
      <w:r w:rsidR="00002A49" w:rsidRPr="00DD72AC">
        <w:t xml:space="preserve"> </w:t>
      </w:r>
      <w:r w:rsidR="00A22EFF" w:rsidRPr="00DD72AC">
        <w:t xml:space="preserve">during the 52 week study. </w:t>
      </w:r>
    </w:p>
    <w:p w14:paraId="4E36A3B2" w14:textId="0E95874A" w:rsidR="00320E48" w:rsidRPr="00DD72AC" w:rsidRDefault="00675DEC" w:rsidP="00CA7732">
      <w:pPr>
        <w:pStyle w:val="3-BodyText"/>
        <w:rPr>
          <w:snapToGrid/>
        </w:rPr>
      </w:pPr>
      <w:bookmarkStart w:id="23" w:name="_Ref105703931"/>
      <w:r w:rsidRPr="00DD72AC">
        <w:rPr>
          <w:snapToGrid/>
        </w:rPr>
        <w:t xml:space="preserve">Patient-reported outcomes including </w:t>
      </w:r>
      <w:proofErr w:type="spellStart"/>
      <w:r w:rsidRPr="00DD72AC">
        <w:rPr>
          <w:snapToGrid/>
        </w:rPr>
        <w:t>PedsQL</w:t>
      </w:r>
      <w:proofErr w:type="spellEnd"/>
      <w:r w:rsidRPr="00DD72AC">
        <w:rPr>
          <w:snapToGrid/>
        </w:rPr>
        <w:t xml:space="preserve">, </w:t>
      </w:r>
      <w:r w:rsidR="009C019D" w:rsidRPr="00DD72AC">
        <w:rPr>
          <w:snapToGrid/>
        </w:rPr>
        <w:t>Quality of Life in Short Stature Youth (</w:t>
      </w:r>
      <w:proofErr w:type="spellStart"/>
      <w:r w:rsidRPr="00DD72AC">
        <w:rPr>
          <w:snapToGrid/>
        </w:rPr>
        <w:t>QoLISSY</w:t>
      </w:r>
      <w:proofErr w:type="spellEnd"/>
      <w:r w:rsidR="009C019D" w:rsidRPr="00DD72AC">
        <w:rPr>
          <w:snapToGrid/>
        </w:rPr>
        <w:t>)</w:t>
      </w:r>
      <w:r w:rsidRPr="00DD72AC">
        <w:rPr>
          <w:snapToGrid/>
        </w:rPr>
        <w:t xml:space="preserve"> and </w:t>
      </w:r>
      <w:proofErr w:type="spellStart"/>
      <w:r w:rsidRPr="00DD72AC">
        <w:rPr>
          <w:snapToGrid/>
        </w:rPr>
        <w:t>WeeFIM</w:t>
      </w:r>
      <w:proofErr w:type="spellEnd"/>
      <w:r w:rsidR="009C019D" w:rsidRPr="00DD72AC">
        <w:rPr>
          <w:snapToGrid/>
        </w:rPr>
        <w:t xml:space="preserve"> (</w:t>
      </w:r>
      <w:proofErr w:type="spellStart"/>
      <w:r w:rsidR="005C14D5" w:rsidRPr="00DD72AC">
        <w:rPr>
          <w:snapToGrid/>
        </w:rPr>
        <w:t>Pediatric</w:t>
      </w:r>
      <w:proofErr w:type="spellEnd"/>
      <w:r w:rsidR="005C14D5" w:rsidRPr="00DD72AC">
        <w:rPr>
          <w:snapToGrid/>
        </w:rPr>
        <w:t xml:space="preserve"> Functional Independence Measure</w:t>
      </w:r>
      <w:r w:rsidR="009C019D" w:rsidRPr="00DD72AC">
        <w:rPr>
          <w:snapToGrid/>
        </w:rPr>
        <w:t>)</w:t>
      </w:r>
      <w:r w:rsidRPr="00DD72AC">
        <w:rPr>
          <w:snapToGrid/>
        </w:rPr>
        <w:t xml:space="preserve"> </w:t>
      </w:r>
      <w:r w:rsidR="00C4594C" w:rsidRPr="00DD72AC">
        <w:rPr>
          <w:snapToGrid/>
        </w:rPr>
        <w:t xml:space="preserve">were </w:t>
      </w:r>
      <w:r w:rsidRPr="00DD72AC">
        <w:rPr>
          <w:snapToGrid/>
        </w:rPr>
        <w:t xml:space="preserve">evaluated </w:t>
      </w:r>
      <w:r w:rsidR="00C4594C" w:rsidRPr="00DD72AC">
        <w:rPr>
          <w:snapToGrid/>
        </w:rPr>
        <w:t>in</w:t>
      </w:r>
      <w:r w:rsidRPr="00DD72AC">
        <w:rPr>
          <w:snapToGrid/>
        </w:rPr>
        <w:t xml:space="preserve"> Study 111-301</w:t>
      </w:r>
      <w:r w:rsidR="00C4594C" w:rsidRPr="00DD72AC">
        <w:rPr>
          <w:snapToGrid/>
        </w:rPr>
        <w:t xml:space="preserve"> and showed no difference between study groups</w:t>
      </w:r>
      <w:r w:rsidRPr="00DD72AC">
        <w:rPr>
          <w:snapToGrid/>
        </w:rPr>
        <w:t xml:space="preserve">. The submission claimed that the study was not powered to detect differences in these outcomes. </w:t>
      </w:r>
      <w:r w:rsidR="00C4594C" w:rsidRPr="00DD72AC">
        <w:rPr>
          <w:snapToGrid/>
        </w:rPr>
        <w:t xml:space="preserve">Changes in </w:t>
      </w:r>
      <w:proofErr w:type="spellStart"/>
      <w:r w:rsidR="00C4594C" w:rsidRPr="00DD72AC">
        <w:rPr>
          <w:snapToGrid/>
        </w:rPr>
        <w:t>PedsQL</w:t>
      </w:r>
      <w:proofErr w:type="spellEnd"/>
      <w:r w:rsidR="00C4594C" w:rsidRPr="00DD72AC">
        <w:rPr>
          <w:snapToGrid/>
        </w:rPr>
        <w:t xml:space="preserve"> were all below </w:t>
      </w:r>
      <w:r w:rsidR="00E52D7C" w:rsidRPr="00DD72AC">
        <w:rPr>
          <w:snapToGrid/>
        </w:rPr>
        <w:t xml:space="preserve">five </w:t>
      </w:r>
      <w:r w:rsidR="00C4594C" w:rsidRPr="00DD72AC">
        <w:rPr>
          <w:snapToGrid/>
        </w:rPr>
        <w:t xml:space="preserve">points, and any differences below </w:t>
      </w:r>
      <w:r w:rsidR="00C05704" w:rsidRPr="00DD72AC">
        <w:rPr>
          <w:snapToGrid/>
        </w:rPr>
        <w:t>five</w:t>
      </w:r>
      <w:r w:rsidR="00C4594C" w:rsidRPr="00DD72AC">
        <w:rPr>
          <w:snapToGrid/>
        </w:rPr>
        <w:t xml:space="preserve"> are widely considered to be not clinically important (</w:t>
      </w:r>
      <w:proofErr w:type="spellStart"/>
      <w:r w:rsidR="00C4594C" w:rsidRPr="00DD72AC">
        <w:rPr>
          <w:snapToGrid/>
        </w:rPr>
        <w:t>Varni</w:t>
      </w:r>
      <w:proofErr w:type="spellEnd"/>
      <w:r w:rsidR="00C4594C" w:rsidRPr="00DD72AC">
        <w:rPr>
          <w:snapToGrid/>
        </w:rPr>
        <w:t xml:space="preserve">, J. W., et al. 2003). </w:t>
      </w:r>
      <w:r w:rsidRPr="00DD72AC">
        <w:rPr>
          <w:snapToGrid/>
        </w:rPr>
        <w:t xml:space="preserve">It is unclear over what time frame patient reported outcomes would be expected to change. It is </w:t>
      </w:r>
      <w:r w:rsidRPr="00DD72AC">
        <w:rPr>
          <w:snapToGrid/>
        </w:rPr>
        <w:lastRenderedPageBreak/>
        <w:t xml:space="preserve">possible that </w:t>
      </w:r>
      <w:r w:rsidR="00414578" w:rsidRPr="00DD72AC">
        <w:rPr>
          <w:snapToGrid/>
        </w:rPr>
        <w:t>QoL</w:t>
      </w:r>
      <w:r w:rsidRPr="00DD72AC">
        <w:rPr>
          <w:snapToGrid/>
        </w:rPr>
        <w:t xml:space="preserve"> impacts associated with increased height would take longer than 52 weeks to accrue for disease specific measures. </w:t>
      </w:r>
      <w:r w:rsidR="00ED0917" w:rsidRPr="00DD72AC">
        <w:rPr>
          <w:snapToGrid/>
        </w:rPr>
        <w:t xml:space="preserve">Patients are receiving daily SC injections in both treatment arms </w:t>
      </w:r>
      <w:r w:rsidR="008B0CD9" w:rsidRPr="00DD72AC">
        <w:rPr>
          <w:snapToGrid/>
        </w:rPr>
        <w:t>and there may be some disutility while receiving treatment</w:t>
      </w:r>
      <w:r w:rsidR="00ED0917" w:rsidRPr="00DD72AC">
        <w:rPr>
          <w:snapToGrid/>
        </w:rPr>
        <w:t xml:space="preserve">. </w:t>
      </w:r>
      <w:r w:rsidR="006C4BAD" w:rsidRPr="00DD72AC">
        <w:rPr>
          <w:snapToGrid/>
        </w:rPr>
        <w:t xml:space="preserve">The ESC noted in qualitative interviews (n=36) with children/adolescents with achondroplasia and/or their caregivers that pain, short stature, impacts on physical functioning and impacts on well-being (e.g. negative attention/comments) </w:t>
      </w:r>
      <w:r w:rsidR="00290CFF" w:rsidRPr="00DD72AC">
        <w:rPr>
          <w:snapToGrid/>
        </w:rPr>
        <w:t>were identified as</w:t>
      </w:r>
      <w:r w:rsidR="006C4BAD" w:rsidRPr="00DD72AC">
        <w:rPr>
          <w:snapToGrid/>
        </w:rPr>
        <w:t xml:space="preserve"> key bothersome aspects of the condition.</w:t>
      </w:r>
      <w:r w:rsidR="006C4BAD" w:rsidRPr="00DD72AC">
        <w:rPr>
          <w:rStyle w:val="FootnoteReference"/>
          <w:snapToGrid/>
        </w:rPr>
        <w:footnoteReference w:id="3"/>
      </w:r>
      <w:bookmarkEnd w:id="23"/>
      <w:r w:rsidR="006C4BAD" w:rsidRPr="00DD72AC">
        <w:rPr>
          <w:snapToGrid/>
        </w:rPr>
        <w:t xml:space="preserve"> </w:t>
      </w:r>
    </w:p>
    <w:p w14:paraId="0B06A224" w14:textId="684A1880" w:rsidR="002D6652" w:rsidRPr="00DD72AC" w:rsidRDefault="00C4594C" w:rsidP="002D6652">
      <w:pPr>
        <w:pStyle w:val="3-BodyText"/>
      </w:pPr>
      <w:r w:rsidRPr="00DD72AC">
        <w:t>The OLE longer term stud</w:t>
      </w:r>
      <w:r w:rsidR="00A2385A" w:rsidRPr="00DD72AC">
        <w:t>y</w:t>
      </w:r>
      <w:r w:rsidR="00920E84" w:rsidRPr="00DD72AC">
        <w:t xml:space="preserve"> (111-302)</w:t>
      </w:r>
      <w:r w:rsidRPr="00DD72AC">
        <w:t xml:space="preserve"> showed that up to 104 weeks follow up the AGV </w:t>
      </w:r>
      <w:r w:rsidR="004B382A" w:rsidRPr="00DD72AC">
        <w:t xml:space="preserve">outcome </w:t>
      </w:r>
      <w:r w:rsidRPr="00DD72AC">
        <w:t xml:space="preserve">is </w:t>
      </w:r>
      <w:r w:rsidR="008B0CD9" w:rsidRPr="00DD72AC">
        <w:t xml:space="preserve">continued </w:t>
      </w:r>
      <w:r w:rsidR="005351E6" w:rsidRPr="00DD72AC">
        <w:t xml:space="preserve">in </w:t>
      </w:r>
      <w:r w:rsidR="004B48C3" w:rsidRPr="00DD72AC">
        <w:fldChar w:fldCharType="begin" w:fldLock="1"/>
      </w:r>
      <w:r w:rsidR="004B48C3" w:rsidRPr="00DD72AC">
        <w:instrText xml:space="preserve"> REF _Ref101265543 \h </w:instrText>
      </w:r>
      <w:r w:rsidR="00F9542A" w:rsidRPr="00DD72AC">
        <w:instrText xml:space="preserve"> \* MERGEFORMAT </w:instrText>
      </w:r>
      <w:r w:rsidR="004B48C3" w:rsidRPr="00DD72AC">
        <w:fldChar w:fldCharType="separate"/>
      </w:r>
      <w:r w:rsidR="003136E6" w:rsidRPr="00DD72AC">
        <w:t>Figure 1</w:t>
      </w:r>
      <w:r w:rsidR="004B48C3" w:rsidRPr="00DD72AC">
        <w:fldChar w:fldCharType="end"/>
      </w:r>
      <w:r w:rsidR="004B48C3" w:rsidRPr="00DD72AC">
        <w:t xml:space="preserve">. </w:t>
      </w:r>
      <w:r w:rsidR="00F14AD2" w:rsidRPr="00DD72AC">
        <w:t>The observed mean change</w:t>
      </w:r>
      <w:r w:rsidR="00A7359D" w:rsidRPr="00DD72AC">
        <w:t xml:space="preserve"> in</w:t>
      </w:r>
      <w:r w:rsidR="00770FB0" w:rsidRPr="00DD72AC">
        <w:t xml:space="preserve"> </w:t>
      </w:r>
      <w:r w:rsidR="007F238E" w:rsidRPr="00DD72AC">
        <w:t>vosoritide</w:t>
      </w:r>
      <w:r w:rsidR="007F238E" w:rsidRPr="00DD72AC" w:rsidDel="007F238E">
        <w:t xml:space="preserve"> </w:t>
      </w:r>
      <w:r w:rsidR="00770FB0" w:rsidRPr="00DD72AC">
        <w:t>/</w:t>
      </w:r>
      <w:r w:rsidR="007F238E" w:rsidRPr="00DD72AC">
        <w:t xml:space="preserve"> vosoritide</w:t>
      </w:r>
      <w:r w:rsidR="00770FB0" w:rsidRPr="00DD72AC">
        <w:t xml:space="preserve"> group</w:t>
      </w:r>
      <w:r w:rsidR="00F14AD2" w:rsidRPr="00DD72AC">
        <w:t xml:space="preserve"> at 52 weeks was 1.41 cm/year which was the same at 104 weeks (1.41 cm/year), suggesting the treatment effect with vosoritide is consistent </w:t>
      </w:r>
      <w:r w:rsidR="00D55298" w:rsidRPr="00DD72AC">
        <w:t>in the subsequent year</w:t>
      </w:r>
      <w:r w:rsidR="00F14AD2" w:rsidRPr="00DD72AC">
        <w:t>.</w:t>
      </w:r>
      <w:r w:rsidR="002D6652" w:rsidRPr="00DD72AC" w:rsidDel="006C2058">
        <w:t xml:space="preserve"> </w:t>
      </w:r>
      <w:r w:rsidR="007F238E" w:rsidRPr="00DD72AC">
        <w:t xml:space="preserve"> </w:t>
      </w:r>
    </w:p>
    <w:p w14:paraId="3C011F34" w14:textId="00CAB94E" w:rsidR="007D3CDC" w:rsidRPr="00DD72AC" w:rsidRDefault="002D6652" w:rsidP="007D3CDC">
      <w:pPr>
        <w:pStyle w:val="3-BodyText"/>
      </w:pPr>
      <w:bookmarkStart w:id="24" w:name="_Ref105677720"/>
      <w:bookmarkStart w:id="25" w:name="_Ref109142908"/>
      <w:r w:rsidRPr="00DD72AC" w:rsidDel="006C2058">
        <w:t xml:space="preserve">Results from the eight sentinel intervention subjects from Study 111-206 are generally supportive of a positive treatment effect of vosoritide in younger patients (0 to &lt; 5 years) relative to baseline with respect to AGV and height Z scores. </w:t>
      </w:r>
      <w:r w:rsidRPr="00DD72AC">
        <w:t xml:space="preserve"> </w:t>
      </w:r>
      <w:r w:rsidRPr="00DD72AC" w:rsidDel="006C2058">
        <w:t xml:space="preserve">In study 111-206, given the small sample size and lack of controlled comparison, the results presented do not inform the magnitude of effect of vosoritide versus placebo, because the change in AGV might be due to natural change by age. </w:t>
      </w:r>
      <w:r w:rsidR="006F6D1D" w:rsidRPr="00DD72AC">
        <w:t xml:space="preserve">As per paragraph </w:t>
      </w:r>
      <w:r w:rsidR="006F6D1D" w:rsidRPr="00DD72AC">
        <w:fldChar w:fldCharType="begin" w:fldLock="1"/>
      </w:r>
      <w:r w:rsidR="006F6D1D" w:rsidRPr="00DD72AC">
        <w:instrText xml:space="preserve"> REF _Ref105672411 \r \h </w:instrText>
      </w:r>
      <w:r w:rsidR="00E745AD" w:rsidRPr="00DD72AC">
        <w:instrText xml:space="preserve"> \* MERGEFORMAT </w:instrText>
      </w:r>
      <w:r w:rsidR="006F6D1D" w:rsidRPr="00DD72AC">
        <w:fldChar w:fldCharType="separate"/>
      </w:r>
      <w:r w:rsidR="000F61A3" w:rsidRPr="00DD72AC">
        <w:t>6.6</w:t>
      </w:r>
      <w:r w:rsidR="006F6D1D" w:rsidRPr="00DD72AC">
        <w:fldChar w:fldCharType="end"/>
      </w:r>
      <w:r w:rsidR="006F6D1D" w:rsidRPr="00DD72AC">
        <w:t>, the PSCR provided additional data from the randomised treatment arms for children 0-5 years from Study 111-206 (</w:t>
      </w:r>
      <w:r w:rsidR="006F6D1D" w:rsidRPr="00DD72AC">
        <w:fldChar w:fldCharType="begin" w:fldLock="1"/>
      </w:r>
      <w:r w:rsidR="006F6D1D" w:rsidRPr="00DD72AC">
        <w:instrText xml:space="preserve"> REF _Ref101267683 \h  \* MERGEFORMAT </w:instrText>
      </w:r>
      <w:r w:rsidR="006F6D1D" w:rsidRPr="00DD72AC">
        <w:fldChar w:fldCharType="separate"/>
      </w:r>
      <w:r w:rsidR="003136E6" w:rsidRPr="00DD72AC">
        <w:t>Table 4</w:t>
      </w:r>
      <w:r w:rsidR="006F6D1D" w:rsidRPr="00DD72AC">
        <w:fldChar w:fldCharType="end"/>
      </w:r>
      <w:r w:rsidR="006F6D1D" w:rsidRPr="00DD72AC">
        <w:t>).</w:t>
      </w:r>
      <w:r w:rsidR="007D3CDC" w:rsidRPr="00DD72AC">
        <w:t xml:space="preserve"> The ESC noted the difference in least squares change from baseline in AGV was 0.92 cm/year (95% CI: 0.24, 1.59) for patients aged 0 to &lt;5 years in Study 111-20</w:t>
      </w:r>
      <w:r w:rsidR="00406D8A" w:rsidRPr="00DD72AC">
        <w:t>6</w:t>
      </w:r>
      <w:r w:rsidR="007D3CDC" w:rsidRPr="00DD72AC">
        <w:t xml:space="preserve">. This compares to 1.57 cm/year [95% CI: 1.22, 1.93, p&lt;0.0001] from Study 111-301 for patients aged 5 to &lt;18 years. Noting the study was not powered for efficacy comparisons the ESC </w:t>
      </w:r>
      <w:r w:rsidR="00FD7CBC" w:rsidRPr="00DD72AC">
        <w:t>considered</w:t>
      </w:r>
      <w:r w:rsidR="007D3CDC" w:rsidRPr="00DD72AC">
        <w:t xml:space="preserve"> that the size of </w:t>
      </w:r>
      <w:r w:rsidR="006C03A1" w:rsidRPr="00DD72AC">
        <w:t xml:space="preserve">AGV </w:t>
      </w:r>
      <w:r w:rsidR="007D3CDC" w:rsidRPr="00DD72AC">
        <w:t>effect appears smaller for younger children.</w:t>
      </w:r>
      <w:bookmarkEnd w:id="24"/>
      <w:r w:rsidR="007D3CDC" w:rsidRPr="00DD72AC">
        <w:t xml:space="preserve"> </w:t>
      </w:r>
      <w:r w:rsidR="00354E77" w:rsidRPr="00DD72AC">
        <w:t>The ESC noted that the difference in least squares mean change from baseline in z score was similar from both trials but with larger confidence intervals due to smaller sample size for study 111-206 (</w:t>
      </w:r>
      <w:r w:rsidR="00946734" w:rsidRPr="00DD72AC">
        <w:t xml:space="preserve">Study 111-206 z-score </w:t>
      </w:r>
      <w:r w:rsidR="00354E77" w:rsidRPr="00DD72AC">
        <w:t>0.30</w:t>
      </w:r>
      <w:r w:rsidR="00946734" w:rsidRPr="00DD72AC">
        <w:t>, 95% CI: 0.07, 0.54; Study 111-301 z-score 0.28, 95% CI: 0.17, 0.39).</w:t>
      </w:r>
      <w:r w:rsidR="008771C8" w:rsidRPr="00DD72AC">
        <w:t xml:space="preserve"> The pre-PBAC response </w:t>
      </w:r>
      <w:r w:rsidR="00BE7DEE" w:rsidRPr="00DD72AC">
        <w:t>stated that a</w:t>
      </w:r>
      <w:r w:rsidR="008771C8" w:rsidRPr="00DD72AC">
        <w:t xml:space="preserve"> positive treatment effect was observed in height Z scores across all cohorts </w:t>
      </w:r>
      <w:r w:rsidR="00BE7DEE" w:rsidRPr="00DD72AC">
        <w:t>in Study 111-206</w:t>
      </w:r>
      <w:r w:rsidR="00A532CA" w:rsidRPr="00DD72AC">
        <w:t xml:space="preserve"> (</w:t>
      </w:r>
      <w:r w:rsidR="00A532CA" w:rsidRPr="00DD72AC">
        <w:fldChar w:fldCharType="begin" w:fldLock="1"/>
      </w:r>
      <w:r w:rsidR="00A532CA" w:rsidRPr="00DD72AC">
        <w:instrText xml:space="preserve"> REF _Ref109052552 \h  \* MERGEFORMAT </w:instrText>
      </w:r>
      <w:r w:rsidR="00A532CA" w:rsidRPr="00DD72AC">
        <w:fldChar w:fldCharType="separate"/>
      </w:r>
      <w:r w:rsidR="0080776A" w:rsidRPr="00DD72AC">
        <w:t>Figure 2</w:t>
      </w:r>
      <w:r w:rsidR="00A532CA" w:rsidRPr="00DD72AC">
        <w:fldChar w:fldCharType="end"/>
      </w:r>
      <w:r w:rsidR="00A532CA" w:rsidRPr="00DD72AC">
        <w:t>),</w:t>
      </w:r>
      <w:r w:rsidR="00BE7DEE" w:rsidRPr="00DD72AC">
        <w:t xml:space="preserve"> </w:t>
      </w:r>
      <w:r w:rsidR="008771C8" w:rsidRPr="00DD72AC">
        <w:t>with the increased variability at youngest age group (Cohort 3 = &lt;6 months) reflecting rapidly changing growth pattern in young children with achondroplasia.</w:t>
      </w:r>
      <w:bookmarkEnd w:id="25"/>
      <w:r w:rsidR="008771C8" w:rsidRPr="00DD72AC">
        <w:t xml:space="preserve"> </w:t>
      </w:r>
      <w:r w:rsidR="00946734" w:rsidRPr="00DD72AC">
        <w:t xml:space="preserve"> </w:t>
      </w:r>
      <w:r w:rsidR="00354E77" w:rsidRPr="00DD72AC">
        <w:t xml:space="preserve"> </w:t>
      </w:r>
    </w:p>
    <w:p w14:paraId="34FEA88C" w14:textId="51EA031D" w:rsidR="00F61574" w:rsidRPr="00DD72AC" w:rsidRDefault="00173565" w:rsidP="00CE4505">
      <w:pPr>
        <w:pStyle w:val="TableFigureHeading"/>
        <w:rPr>
          <w:rFonts w:eastAsia="Calibri"/>
        </w:rPr>
      </w:pPr>
      <w:bookmarkStart w:id="26" w:name="_Ref101267683"/>
      <w:r w:rsidRPr="00DD72AC">
        <w:lastRenderedPageBreak/>
        <w:t xml:space="preserve">Table </w:t>
      </w:r>
      <w:r w:rsidRPr="00DD72AC">
        <w:fldChar w:fldCharType="begin" w:fldLock="1"/>
      </w:r>
      <w:r w:rsidRPr="00DD72AC">
        <w:instrText>SEQ Table \* ARABIC</w:instrText>
      </w:r>
      <w:r w:rsidRPr="00DD72AC">
        <w:fldChar w:fldCharType="separate"/>
      </w:r>
      <w:r w:rsidR="003136E6" w:rsidRPr="00DD72AC">
        <w:t>4</w:t>
      </w:r>
      <w:r w:rsidRPr="00DD72AC">
        <w:fldChar w:fldCharType="end"/>
      </w:r>
      <w:bookmarkEnd w:id="26"/>
      <w:r w:rsidR="005D26B4" w:rsidRPr="00DD72AC">
        <w:rPr>
          <w:rStyle w:val="CommentReference"/>
          <w:b/>
          <w:szCs w:val="24"/>
        </w:rPr>
        <w:t xml:space="preserve">: Results of </w:t>
      </w:r>
      <w:r w:rsidR="006E7226" w:rsidRPr="00DD72AC">
        <w:rPr>
          <w:rStyle w:val="CommentReference"/>
          <w:b/>
          <w:szCs w:val="24"/>
        </w:rPr>
        <w:t xml:space="preserve">key </w:t>
      </w:r>
      <w:r w:rsidR="005D26B4" w:rsidRPr="00DD72AC">
        <w:rPr>
          <w:rStyle w:val="CommentReference"/>
          <w:b/>
          <w:szCs w:val="24"/>
        </w:rPr>
        <w:t>outcome</w:t>
      </w:r>
      <w:r w:rsidR="0056473A" w:rsidRPr="00DD72AC">
        <w:rPr>
          <w:rStyle w:val="CommentReference"/>
          <w:b/>
          <w:szCs w:val="24"/>
        </w:rPr>
        <w:t>s</w:t>
      </w:r>
      <w:r w:rsidR="005D26B4" w:rsidRPr="00DD72AC">
        <w:rPr>
          <w:rStyle w:val="CommentReference"/>
          <w:b/>
          <w:szCs w:val="24"/>
        </w:rPr>
        <w:t xml:space="preserve"> </w:t>
      </w:r>
      <w:r w:rsidR="00877387" w:rsidRPr="00DD72AC">
        <w:rPr>
          <w:rStyle w:val="CommentReference"/>
          <w:b/>
          <w:szCs w:val="24"/>
        </w:rPr>
        <w:t xml:space="preserve">in </w:t>
      </w:r>
      <w:r w:rsidR="00881B08" w:rsidRPr="00DD72AC">
        <w:rPr>
          <w:rStyle w:val="CommentReference"/>
          <w:b/>
          <w:szCs w:val="24"/>
        </w:rPr>
        <w:t>Study</w:t>
      </w:r>
      <w:r w:rsidR="0000621C" w:rsidRPr="00DD72AC">
        <w:rPr>
          <w:rStyle w:val="CommentReference"/>
          <w:b/>
          <w:szCs w:val="24"/>
        </w:rPr>
        <w:t xml:space="preserve"> </w:t>
      </w:r>
      <w:r w:rsidR="00877387" w:rsidRPr="00DD72AC">
        <w:rPr>
          <w:rStyle w:val="CommentReference"/>
          <w:b/>
          <w:szCs w:val="24"/>
        </w:rPr>
        <w:t>111-301</w:t>
      </w:r>
      <w:r w:rsidR="00B4505A" w:rsidRPr="00DD72AC">
        <w:rPr>
          <w:rStyle w:val="CommentReference"/>
          <w:b/>
          <w:szCs w:val="24"/>
        </w:rPr>
        <w:t xml:space="preserve"> and Study 111-206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Results of key outcomes in Study 111-301 and Study 111-206 "/>
      </w:tblPr>
      <w:tblGrid>
        <w:gridCol w:w="972"/>
        <w:gridCol w:w="834"/>
        <w:gridCol w:w="1687"/>
        <w:gridCol w:w="800"/>
        <w:gridCol w:w="1545"/>
        <w:gridCol w:w="1723"/>
        <w:gridCol w:w="1455"/>
      </w:tblGrid>
      <w:tr w:rsidR="00FB63A6" w:rsidRPr="00DD72AC" w14:paraId="56073FE2" w14:textId="77777777" w:rsidTr="009F39C7">
        <w:tc>
          <w:tcPr>
            <w:tcW w:w="548" w:type="pct"/>
            <w:shd w:val="clear" w:color="auto" w:fill="auto"/>
          </w:tcPr>
          <w:p w14:paraId="70A0C15B" w14:textId="4770041D" w:rsidR="00FB63A6" w:rsidRPr="00DD72AC" w:rsidRDefault="00FB63A6" w:rsidP="00706C8A">
            <w:pPr>
              <w:pStyle w:val="In-tableHeading"/>
              <w:rPr>
                <w:bCs/>
                <w:szCs w:val="20"/>
                <w:lang w:val="en-AU"/>
              </w:rPr>
            </w:pPr>
            <w:r w:rsidRPr="00DD72AC">
              <w:rPr>
                <w:bCs/>
                <w:szCs w:val="20"/>
                <w:lang w:val="en-AU"/>
              </w:rPr>
              <w:t>Trial ID</w:t>
            </w:r>
          </w:p>
        </w:tc>
        <w:tc>
          <w:tcPr>
            <w:tcW w:w="471" w:type="pct"/>
            <w:shd w:val="clear" w:color="auto" w:fill="auto"/>
          </w:tcPr>
          <w:p w14:paraId="6226A3C9" w14:textId="77777777" w:rsidR="00FB63A6" w:rsidRPr="00DD72AC" w:rsidRDefault="00FB63A6" w:rsidP="00706C8A">
            <w:pPr>
              <w:pStyle w:val="In-tableHeading"/>
              <w:rPr>
                <w:bCs/>
                <w:szCs w:val="20"/>
                <w:lang w:val="en-AU"/>
              </w:rPr>
            </w:pPr>
            <w:r w:rsidRPr="00DD72AC">
              <w:rPr>
                <w:bCs/>
                <w:szCs w:val="20"/>
                <w:lang w:val="en-AU"/>
              </w:rPr>
              <w:t>Time point</w:t>
            </w:r>
          </w:p>
        </w:tc>
        <w:tc>
          <w:tcPr>
            <w:tcW w:w="944" w:type="pct"/>
            <w:shd w:val="clear" w:color="auto" w:fill="auto"/>
          </w:tcPr>
          <w:p w14:paraId="7F664D3A" w14:textId="77777777" w:rsidR="00FB63A6" w:rsidRPr="00DD72AC" w:rsidRDefault="00FB63A6" w:rsidP="00706C8A">
            <w:pPr>
              <w:pStyle w:val="In-tableHeading"/>
              <w:rPr>
                <w:bCs/>
                <w:szCs w:val="20"/>
                <w:lang w:val="en-AU"/>
              </w:rPr>
            </w:pPr>
            <w:r w:rsidRPr="00DD72AC">
              <w:rPr>
                <w:bCs/>
                <w:szCs w:val="20"/>
                <w:lang w:val="en-AU"/>
              </w:rPr>
              <w:t>Treatment arm</w:t>
            </w:r>
          </w:p>
        </w:tc>
        <w:tc>
          <w:tcPr>
            <w:tcW w:w="393" w:type="pct"/>
          </w:tcPr>
          <w:p w14:paraId="30F706B7" w14:textId="40121B1E" w:rsidR="00FB63A6" w:rsidRPr="00DD72AC" w:rsidRDefault="00FB63A6" w:rsidP="00706C8A">
            <w:pPr>
              <w:pStyle w:val="In-tableHeading"/>
              <w:rPr>
                <w:bCs/>
                <w:szCs w:val="20"/>
                <w:lang w:val="en-AU"/>
              </w:rPr>
            </w:pPr>
            <w:r w:rsidRPr="00DD72AC">
              <w:rPr>
                <w:bCs/>
                <w:szCs w:val="20"/>
                <w:lang w:val="en-AU"/>
              </w:rPr>
              <w:t>Sample size</w:t>
            </w:r>
          </w:p>
        </w:tc>
        <w:tc>
          <w:tcPr>
            <w:tcW w:w="865" w:type="pct"/>
            <w:shd w:val="clear" w:color="auto" w:fill="auto"/>
          </w:tcPr>
          <w:p w14:paraId="12ADA9E7" w14:textId="39F617AC" w:rsidR="00FB63A6" w:rsidRPr="00DD72AC" w:rsidRDefault="00FB63A6" w:rsidP="00706C8A">
            <w:pPr>
              <w:pStyle w:val="In-tableHeading"/>
              <w:rPr>
                <w:bCs/>
                <w:szCs w:val="20"/>
                <w:lang w:val="en-AU"/>
              </w:rPr>
            </w:pPr>
            <w:r w:rsidRPr="00DD72AC">
              <w:rPr>
                <w:bCs/>
                <w:szCs w:val="20"/>
                <w:lang w:val="en-AU"/>
              </w:rPr>
              <w:t>Change from baseline:</w:t>
            </w:r>
          </w:p>
          <w:p w14:paraId="2B5BB1E6" w14:textId="77777777" w:rsidR="00FB63A6" w:rsidRPr="00DD72AC" w:rsidRDefault="00FB63A6" w:rsidP="00706C8A">
            <w:pPr>
              <w:pStyle w:val="In-tableHeading"/>
              <w:rPr>
                <w:bCs/>
                <w:szCs w:val="20"/>
                <w:lang w:val="en-AU"/>
              </w:rPr>
            </w:pPr>
            <w:r w:rsidRPr="00DD72AC">
              <w:rPr>
                <w:bCs/>
                <w:szCs w:val="20"/>
                <w:lang w:val="en-AU"/>
              </w:rPr>
              <w:t>Mean (SD)</w:t>
            </w:r>
          </w:p>
        </w:tc>
        <w:tc>
          <w:tcPr>
            <w:tcW w:w="964" w:type="pct"/>
            <w:shd w:val="clear" w:color="auto" w:fill="auto"/>
          </w:tcPr>
          <w:p w14:paraId="77C49A1F" w14:textId="77777777" w:rsidR="00FB63A6" w:rsidRPr="00DD72AC" w:rsidRDefault="00FB63A6" w:rsidP="00706C8A">
            <w:pPr>
              <w:pStyle w:val="In-tableHeading"/>
              <w:rPr>
                <w:bCs/>
                <w:szCs w:val="20"/>
                <w:lang w:val="en-AU"/>
              </w:rPr>
            </w:pPr>
            <w:r w:rsidRPr="00DD72AC">
              <w:rPr>
                <w:bCs/>
                <w:szCs w:val="20"/>
                <w:lang w:val="en-AU"/>
              </w:rPr>
              <w:t>Change from baseline:</w:t>
            </w:r>
          </w:p>
          <w:p w14:paraId="4C5981BC" w14:textId="77777777" w:rsidR="00FB63A6" w:rsidRPr="00DD72AC" w:rsidRDefault="00FB63A6" w:rsidP="00706C8A">
            <w:pPr>
              <w:pStyle w:val="In-tableHeading"/>
              <w:rPr>
                <w:bCs/>
                <w:szCs w:val="20"/>
                <w:lang w:val="en-AU"/>
              </w:rPr>
            </w:pPr>
            <w:r w:rsidRPr="00DD72AC">
              <w:rPr>
                <w:bCs/>
                <w:szCs w:val="20"/>
                <w:lang w:val="en-AU"/>
              </w:rPr>
              <w:t>LS mean (95% CI)</w:t>
            </w:r>
          </w:p>
        </w:tc>
        <w:tc>
          <w:tcPr>
            <w:tcW w:w="815" w:type="pct"/>
            <w:shd w:val="clear" w:color="auto" w:fill="auto"/>
          </w:tcPr>
          <w:p w14:paraId="20D2E77C" w14:textId="7B21B1FD" w:rsidR="00FB63A6" w:rsidRPr="00DD72AC" w:rsidRDefault="00FB63A6" w:rsidP="00706C8A">
            <w:pPr>
              <w:pStyle w:val="In-tableHeading"/>
              <w:rPr>
                <w:bCs/>
                <w:szCs w:val="20"/>
                <w:lang w:val="en-AU"/>
              </w:rPr>
            </w:pPr>
            <w:r w:rsidRPr="00DD72AC">
              <w:rPr>
                <w:bCs/>
                <w:szCs w:val="20"/>
                <w:lang w:val="en-AU"/>
              </w:rPr>
              <w:t>VOS vs. PBO: Difference in LS mean change from baseline: (95% CI; p-value)</w:t>
            </w:r>
          </w:p>
        </w:tc>
      </w:tr>
      <w:tr w:rsidR="00C32CB5" w:rsidRPr="00DD72AC" w14:paraId="54E22F0B" w14:textId="77777777" w:rsidTr="00C32CB5">
        <w:tc>
          <w:tcPr>
            <w:tcW w:w="5000" w:type="pct"/>
            <w:gridSpan w:val="7"/>
          </w:tcPr>
          <w:p w14:paraId="6F2AB803" w14:textId="3E119B0B" w:rsidR="00C32CB5" w:rsidRPr="00DD72AC" w:rsidRDefault="00C32CB5" w:rsidP="001F0185">
            <w:pPr>
              <w:pStyle w:val="TableText0"/>
              <w:rPr>
                <w:b/>
                <w:szCs w:val="20"/>
              </w:rPr>
            </w:pPr>
            <w:r w:rsidRPr="00DD72AC">
              <w:rPr>
                <w:b/>
                <w:szCs w:val="20"/>
              </w:rPr>
              <w:t>Change from baseline in AGV</w:t>
            </w:r>
          </w:p>
        </w:tc>
      </w:tr>
      <w:tr w:rsidR="00FB63A6" w:rsidRPr="00DD72AC" w14:paraId="3A5057DC" w14:textId="77777777" w:rsidTr="009F39C7">
        <w:tc>
          <w:tcPr>
            <w:tcW w:w="548" w:type="pct"/>
            <w:vMerge w:val="restart"/>
          </w:tcPr>
          <w:p w14:paraId="04339ED4" w14:textId="77777777" w:rsidR="00FB63A6" w:rsidRPr="00DD72AC" w:rsidRDefault="00FB63A6" w:rsidP="005A7AE9">
            <w:pPr>
              <w:pStyle w:val="TableText0"/>
              <w:rPr>
                <w:bCs w:val="0"/>
                <w:szCs w:val="20"/>
              </w:rPr>
            </w:pPr>
            <w:r w:rsidRPr="00DD72AC">
              <w:rPr>
                <w:bCs w:val="0"/>
                <w:szCs w:val="20"/>
              </w:rPr>
              <w:t xml:space="preserve">111-301 </w:t>
            </w:r>
            <w:r w:rsidRPr="00DD72AC">
              <w:rPr>
                <w:bCs w:val="0"/>
                <w:szCs w:val="20"/>
              </w:rPr>
              <w:br/>
              <w:t>(5 to &lt;18 years)</w:t>
            </w:r>
          </w:p>
        </w:tc>
        <w:tc>
          <w:tcPr>
            <w:tcW w:w="471" w:type="pct"/>
            <w:vMerge w:val="restart"/>
          </w:tcPr>
          <w:p w14:paraId="4B60D8B9" w14:textId="4D66C24F" w:rsidR="00FB63A6" w:rsidRPr="00DD72AC" w:rsidRDefault="00FB63A6" w:rsidP="005A7AE9">
            <w:pPr>
              <w:pStyle w:val="TableText0"/>
              <w:jc w:val="center"/>
              <w:rPr>
                <w:bCs w:val="0"/>
                <w:szCs w:val="20"/>
              </w:rPr>
            </w:pPr>
            <w:r w:rsidRPr="00DD72AC">
              <w:rPr>
                <w:bCs w:val="0"/>
                <w:szCs w:val="20"/>
              </w:rPr>
              <w:t>Week 52</w:t>
            </w:r>
          </w:p>
        </w:tc>
        <w:tc>
          <w:tcPr>
            <w:tcW w:w="944" w:type="pct"/>
          </w:tcPr>
          <w:p w14:paraId="5D670367" w14:textId="77777777" w:rsidR="00FB63A6" w:rsidRPr="00DD72AC" w:rsidRDefault="00FB63A6" w:rsidP="005A7AE9">
            <w:pPr>
              <w:pStyle w:val="TableText0"/>
              <w:jc w:val="center"/>
              <w:rPr>
                <w:bCs w:val="0"/>
                <w:szCs w:val="20"/>
              </w:rPr>
            </w:pPr>
            <w:r w:rsidRPr="00DD72AC">
              <w:rPr>
                <w:bCs w:val="0"/>
                <w:szCs w:val="20"/>
              </w:rPr>
              <w:t>VOS</w:t>
            </w:r>
          </w:p>
        </w:tc>
        <w:tc>
          <w:tcPr>
            <w:tcW w:w="393" w:type="pct"/>
          </w:tcPr>
          <w:p w14:paraId="01732CC5" w14:textId="296370EA" w:rsidR="00FB63A6" w:rsidRPr="00DD72AC" w:rsidRDefault="0071493A" w:rsidP="005A7AE9">
            <w:pPr>
              <w:pStyle w:val="TableText0"/>
              <w:jc w:val="center"/>
              <w:rPr>
                <w:bCs w:val="0"/>
                <w:szCs w:val="20"/>
              </w:rPr>
            </w:pPr>
            <w:r w:rsidRPr="00DD72AC">
              <w:rPr>
                <w:bCs w:val="0"/>
                <w:szCs w:val="20"/>
              </w:rPr>
              <w:t>60</w:t>
            </w:r>
          </w:p>
        </w:tc>
        <w:tc>
          <w:tcPr>
            <w:tcW w:w="865" w:type="pct"/>
          </w:tcPr>
          <w:p w14:paraId="53FA6A39" w14:textId="1B90149B" w:rsidR="00FB63A6" w:rsidRPr="00DD72AC" w:rsidRDefault="00FB63A6" w:rsidP="005A7AE9">
            <w:pPr>
              <w:pStyle w:val="TableText0"/>
              <w:jc w:val="center"/>
              <w:rPr>
                <w:bCs w:val="0"/>
                <w:szCs w:val="20"/>
              </w:rPr>
            </w:pPr>
            <w:r w:rsidRPr="00DD72AC">
              <w:rPr>
                <w:bCs w:val="0"/>
                <w:szCs w:val="20"/>
              </w:rPr>
              <w:t>1.35 (1.71)</w:t>
            </w:r>
          </w:p>
        </w:tc>
        <w:tc>
          <w:tcPr>
            <w:tcW w:w="964" w:type="pct"/>
          </w:tcPr>
          <w:p w14:paraId="48C9E473" w14:textId="77777777" w:rsidR="00FB63A6" w:rsidRPr="00DD72AC" w:rsidRDefault="00FB63A6" w:rsidP="005A7AE9">
            <w:pPr>
              <w:pStyle w:val="TableText0"/>
              <w:jc w:val="center"/>
              <w:rPr>
                <w:bCs w:val="0"/>
                <w:szCs w:val="20"/>
              </w:rPr>
            </w:pPr>
            <w:r w:rsidRPr="00DD72AC">
              <w:rPr>
                <w:bCs w:val="0"/>
                <w:szCs w:val="20"/>
              </w:rPr>
              <w:t>1.71 (1.40, 2.01)</w:t>
            </w:r>
          </w:p>
        </w:tc>
        <w:tc>
          <w:tcPr>
            <w:tcW w:w="815" w:type="pct"/>
            <w:vMerge w:val="restart"/>
          </w:tcPr>
          <w:p w14:paraId="044DDE28" w14:textId="77777777" w:rsidR="00FB63A6" w:rsidRPr="00DD72AC" w:rsidRDefault="00FB63A6" w:rsidP="005A7AE9">
            <w:pPr>
              <w:pStyle w:val="TableText0"/>
              <w:jc w:val="center"/>
              <w:rPr>
                <w:bCs w:val="0"/>
                <w:szCs w:val="20"/>
              </w:rPr>
            </w:pPr>
            <w:r w:rsidRPr="00DD72AC">
              <w:rPr>
                <w:bCs w:val="0"/>
                <w:szCs w:val="20"/>
              </w:rPr>
              <w:t>1.57 (1.22, 1.93; p&lt;0.0001)</w:t>
            </w:r>
          </w:p>
        </w:tc>
      </w:tr>
      <w:tr w:rsidR="00FB63A6" w:rsidRPr="00DD72AC" w14:paraId="2A90A9BA" w14:textId="77777777" w:rsidTr="009F39C7">
        <w:tc>
          <w:tcPr>
            <w:tcW w:w="548" w:type="pct"/>
            <w:vMerge/>
          </w:tcPr>
          <w:p w14:paraId="374756A8" w14:textId="77777777" w:rsidR="00FB63A6" w:rsidRPr="00DD72AC" w:rsidRDefault="00FB63A6" w:rsidP="005A7AE9">
            <w:pPr>
              <w:pStyle w:val="TableText0"/>
              <w:rPr>
                <w:b/>
                <w:szCs w:val="20"/>
              </w:rPr>
            </w:pPr>
          </w:p>
        </w:tc>
        <w:tc>
          <w:tcPr>
            <w:tcW w:w="471" w:type="pct"/>
            <w:vMerge/>
          </w:tcPr>
          <w:p w14:paraId="46D44CAA" w14:textId="77777777" w:rsidR="00FB63A6" w:rsidRPr="00DD72AC" w:rsidRDefault="00FB63A6" w:rsidP="005A7AE9">
            <w:pPr>
              <w:pStyle w:val="TableText0"/>
              <w:jc w:val="center"/>
              <w:rPr>
                <w:bCs w:val="0"/>
                <w:szCs w:val="20"/>
              </w:rPr>
            </w:pPr>
          </w:p>
        </w:tc>
        <w:tc>
          <w:tcPr>
            <w:tcW w:w="944" w:type="pct"/>
          </w:tcPr>
          <w:p w14:paraId="598DE33C" w14:textId="77777777" w:rsidR="00FB63A6" w:rsidRPr="00DD72AC" w:rsidRDefault="00FB63A6" w:rsidP="005A7AE9">
            <w:pPr>
              <w:pStyle w:val="TableText0"/>
              <w:jc w:val="center"/>
              <w:rPr>
                <w:bCs w:val="0"/>
                <w:szCs w:val="20"/>
              </w:rPr>
            </w:pPr>
            <w:r w:rsidRPr="00DD72AC">
              <w:rPr>
                <w:bCs w:val="0"/>
                <w:szCs w:val="20"/>
              </w:rPr>
              <w:t>PBO</w:t>
            </w:r>
          </w:p>
        </w:tc>
        <w:tc>
          <w:tcPr>
            <w:tcW w:w="393" w:type="pct"/>
          </w:tcPr>
          <w:p w14:paraId="63A74149" w14:textId="2E9551BE" w:rsidR="00FB63A6" w:rsidRPr="00DD72AC" w:rsidRDefault="0071493A" w:rsidP="005A7AE9">
            <w:pPr>
              <w:pStyle w:val="TableText0"/>
              <w:jc w:val="center"/>
              <w:rPr>
                <w:bCs w:val="0"/>
                <w:szCs w:val="20"/>
              </w:rPr>
            </w:pPr>
            <w:r w:rsidRPr="00DD72AC">
              <w:rPr>
                <w:bCs w:val="0"/>
                <w:szCs w:val="20"/>
              </w:rPr>
              <w:t>61</w:t>
            </w:r>
          </w:p>
        </w:tc>
        <w:tc>
          <w:tcPr>
            <w:tcW w:w="865" w:type="pct"/>
          </w:tcPr>
          <w:p w14:paraId="33534798" w14:textId="74044A67" w:rsidR="00FB63A6" w:rsidRPr="00DD72AC" w:rsidRDefault="00FB63A6" w:rsidP="005A7AE9">
            <w:pPr>
              <w:pStyle w:val="TableText0"/>
              <w:jc w:val="center"/>
              <w:rPr>
                <w:bCs w:val="0"/>
                <w:szCs w:val="20"/>
              </w:rPr>
            </w:pPr>
            <w:r w:rsidRPr="00DD72AC">
              <w:rPr>
                <w:bCs w:val="0"/>
                <w:szCs w:val="20"/>
              </w:rPr>
              <w:t>-0.12 (1.74)</w:t>
            </w:r>
          </w:p>
        </w:tc>
        <w:tc>
          <w:tcPr>
            <w:tcW w:w="964" w:type="pct"/>
          </w:tcPr>
          <w:p w14:paraId="1CEE610C" w14:textId="77777777" w:rsidR="00FB63A6" w:rsidRPr="00DD72AC" w:rsidRDefault="00FB63A6" w:rsidP="005A7AE9">
            <w:pPr>
              <w:pStyle w:val="TableText0"/>
              <w:jc w:val="center"/>
              <w:rPr>
                <w:bCs w:val="0"/>
                <w:szCs w:val="20"/>
              </w:rPr>
            </w:pPr>
            <w:r w:rsidRPr="00DD72AC">
              <w:rPr>
                <w:bCs w:val="0"/>
                <w:szCs w:val="20"/>
              </w:rPr>
              <w:t>0.13 (-0.18, 0.45)</w:t>
            </w:r>
          </w:p>
        </w:tc>
        <w:tc>
          <w:tcPr>
            <w:tcW w:w="815" w:type="pct"/>
            <w:vMerge/>
          </w:tcPr>
          <w:p w14:paraId="000DC023" w14:textId="77777777" w:rsidR="00FB63A6" w:rsidRPr="00DD72AC" w:rsidRDefault="00FB63A6" w:rsidP="005A7AE9">
            <w:pPr>
              <w:pStyle w:val="TableText0"/>
              <w:jc w:val="center"/>
              <w:rPr>
                <w:b/>
                <w:szCs w:val="20"/>
              </w:rPr>
            </w:pPr>
          </w:p>
        </w:tc>
      </w:tr>
      <w:tr w:rsidR="00FB1453" w:rsidRPr="00DD72AC" w14:paraId="7B889C41" w14:textId="77777777" w:rsidTr="009F39C7">
        <w:tc>
          <w:tcPr>
            <w:tcW w:w="548" w:type="pct"/>
            <w:vMerge w:val="restart"/>
          </w:tcPr>
          <w:p w14:paraId="692E8DC4" w14:textId="10F5F140" w:rsidR="00FB1453" w:rsidRPr="00DD72AC" w:rsidRDefault="00FB1453" w:rsidP="005A7AE9">
            <w:pPr>
              <w:pStyle w:val="TableText0"/>
              <w:rPr>
                <w:bCs w:val="0"/>
                <w:szCs w:val="20"/>
              </w:rPr>
            </w:pPr>
            <w:r w:rsidRPr="00DD72AC">
              <w:rPr>
                <w:bCs w:val="0"/>
                <w:szCs w:val="20"/>
              </w:rPr>
              <w:t xml:space="preserve">111-206 </w:t>
            </w:r>
            <w:r w:rsidRPr="00DD72AC">
              <w:rPr>
                <w:bCs w:val="0"/>
                <w:szCs w:val="20"/>
              </w:rPr>
              <w:br/>
              <w:t>(0 to &lt;5 years)</w:t>
            </w:r>
          </w:p>
        </w:tc>
        <w:tc>
          <w:tcPr>
            <w:tcW w:w="471" w:type="pct"/>
          </w:tcPr>
          <w:p w14:paraId="3A018C6B" w14:textId="131A61D7" w:rsidR="00FB1453" w:rsidRPr="00DD72AC" w:rsidRDefault="00FB1453" w:rsidP="005A7AE9">
            <w:pPr>
              <w:pStyle w:val="TableText0"/>
              <w:jc w:val="center"/>
              <w:rPr>
                <w:bCs w:val="0"/>
                <w:szCs w:val="20"/>
              </w:rPr>
            </w:pPr>
            <w:r w:rsidRPr="00DD72AC">
              <w:rPr>
                <w:bCs w:val="0"/>
                <w:szCs w:val="20"/>
              </w:rPr>
              <w:t>Week 52</w:t>
            </w:r>
          </w:p>
        </w:tc>
        <w:tc>
          <w:tcPr>
            <w:tcW w:w="944" w:type="pct"/>
          </w:tcPr>
          <w:p w14:paraId="671F21C6" w14:textId="185C4445" w:rsidR="00FB1453" w:rsidRPr="00DD72AC" w:rsidRDefault="00FB1453" w:rsidP="00F47693">
            <w:pPr>
              <w:pStyle w:val="TableText0"/>
              <w:jc w:val="center"/>
              <w:rPr>
                <w:bCs w:val="0"/>
                <w:szCs w:val="20"/>
              </w:rPr>
            </w:pPr>
            <w:r w:rsidRPr="00DD72AC">
              <w:rPr>
                <w:bCs w:val="0"/>
                <w:szCs w:val="20"/>
              </w:rPr>
              <w:t xml:space="preserve">Cohort 1 (sentinel) </w:t>
            </w:r>
          </w:p>
          <w:p w14:paraId="6874B425" w14:textId="232B2A6D" w:rsidR="00FB1453" w:rsidRPr="00DD72AC" w:rsidRDefault="00FB1453" w:rsidP="00C1069F">
            <w:pPr>
              <w:pStyle w:val="TableText0"/>
              <w:jc w:val="center"/>
              <w:rPr>
                <w:bCs w:val="0"/>
                <w:szCs w:val="20"/>
              </w:rPr>
            </w:pPr>
            <w:r w:rsidRPr="00DD72AC">
              <w:rPr>
                <w:bCs w:val="0"/>
                <w:szCs w:val="20"/>
              </w:rPr>
              <w:t>24 to &lt; 60 months</w:t>
            </w:r>
          </w:p>
        </w:tc>
        <w:tc>
          <w:tcPr>
            <w:tcW w:w="393" w:type="pct"/>
          </w:tcPr>
          <w:p w14:paraId="1779D445" w14:textId="3B787C50" w:rsidR="00FB1453" w:rsidRPr="00DD72AC" w:rsidRDefault="00FB1453" w:rsidP="005A7AE9">
            <w:pPr>
              <w:pStyle w:val="TableText0"/>
              <w:jc w:val="center"/>
              <w:rPr>
                <w:bCs w:val="0"/>
                <w:szCs w:val="20"/>
              </w:rPr>
            </w:pPr>
            <w:r w:rsidRPr="00DD72AC">
              <w:rPr>
                <w:bCs w:val="0"/>
                <w:szCs w:val="20"/>
              </w:rPr>
              <w:t>4</w:t>
            </w:r>
          </w:p>
        </w:tc>
        <w:tc>
          <w:tcPr>
            <w:tcW w:w="865" w:type="pct"/>
          </w:tcPr>
          <w:p w14:paraId="602FD006" w14:textId="2F93DC4A" w:rsidR="00FB1453" w:rsidRPr="00DD72AC" w:rsidRDefault="00FB1453" w:rsidP="005A7AE9">
            <w:pPr>
              <w:pStyle w:val="TableText0"/>
              <w:jc w:val="center"/>
              <w:rPr>
                <w:bCs w:val="0"/>
                <w:szCs w:val="20"/>
              </w:rPr>
            </w:pPr>
            <w:r w:rsidRPr="00DD72AC">
              <w:rPr>
                <w:bCs w:val="0"/>
                <w:szCs w:val="20"/>
              </w:rPr>
              <w:t>0.57 (0.91)</w:t>
            </w:r>
          </w:p>
        </w:tc>
        <w:tc>
          <w:tcPr>
            <w:tcW w:w="964" w:type="pct"/>
          </w:tcPr>
          <w:p w14:paraId="254C5531" w14:textId="63D6F2A7" w:rsidR="00FB1453" w:rsidRPr="00DD72AC" w:rsidRDefault="00FB1453" w:rsidP="005A7AE9">
            <w:pPr>
              <w:pStyle w:val="TableText0"/>
              <w:jc w:val="center"/>
              <w:rPr>
                <w:bCs w:val="0"/>
                <w:szCs w:val="20"/>
              </w:rPr>
            </w:pPr>
            <w:r w:rsidRPr="00DD72AC">
              <w:rPr>
                <w:bCs w:val="0"/>
                <w:szCs w:val="20"/>
              </w:rPr>
              <w:t>NA</w:t>
            </w:r>
          </w:p>
        </w:tc>
        <w:tc>
          <w:tcPr>
            <w:tcW w:w="815" w:type="pct"/>
          </w:tcPr>
          <w:p w14:paraId="7C6CF890" w14:textId="7EE966F1" w:rsidR="00FB1453" w:rsidRPr="00DD72AC" w:rsidRDefault="00FB1453" w:rsidP="005A7AE9">
            <w:pPr>
              <w:pStyle w:val="TableText0"/>
              <w:jc w:val="center"/>
              <w:rPr>
                <w:bCs w:val="0"/>
                <w:szCs w:val="20"/>
              </w:rPr>
            </w:pPr>
            <w:r w:rsidRPr="00DD72AC">
              <w:rPr>
                <w:bCs w:val="0"/>
                <w:szCs w:val="20"/>
              </w:rPr>
              <w:t>NA</w:t>
            </w:r>
          </w:p>
        </w:tc>
      </w:tr>
      <w:tr w:rsidR="00FB1453" w:rsidRPr="00DD72AC" w14:paraId="22C8120B" w14:textId="77777777" w:rsidTr="009F39C7">
        <w:tc>
          <w:tcPr>
            <w:tcW w:w="548" w:type="pct"/>
            <w:vMerge/>
          </w:tcPr>
          <w:p w14:paraId="4D096D74" w14:textId="77777777" w:rsidR="00FB1453" w:rsidRPr="00DD72AC" w:rsidRDefault="00FB1453" w:rsidP="005A7AE9">
            <w:pPr>
              <w:pStyle w:val="TableText0"/>
              <w:rPr>
                <w:b/>
                <w:szCs w:val="20"/>
              </w:rPr>
            </w:pPr>
          </w:p>
        </w:tc>
        <w:tc>
          <w:tcPr>
            <w:tcW w:w="471" w:type="pct"/>
          </w:tcPr>
          <w:p w14:paraId="7DB8D8CD" w14:textId="4D348581" w:rsidR="00FB1453" w:rsidRPr="00DD72AC" w:rsidRDefault="00FB1453" w:rsidP="005A7AE9">
            <w:pPr>
              <w:pStyle w:val="TableText0"/>
              <w:jc w:val="center"/>
              <w:rPr>
                <w:szCs w:val="20"/>
                <w:vertAlign w:val="superscript"/>
              </w:rPr>
            </w:pPr>
            <w:r w:rsidRPr="00DD72AC">
              <w:rPr>
                <w:bCs w:val="0"/>
                <w:szCs w:val="20"/>
              </w:rPr>
              <w:t>Week 26</w:t>
            </w:r>
            <w:r w:rsidRPr="00DD72AC">
              <w:rPr>
                <w:bCs w:val="0"/>
                <w:szCs w:val="20"/>
                <w:vertAlign w:val="superscript"/>
              </w:rPr>
              <w:t>a</w:t>
            </w:r>
          </w:p>
        </w:tc>
        <w:tc>
          <w:tcPr>
            <w:tcW w:w="944" w:type="pct"/>
          </w:tcPr>
          <w:p w14:paraId="7C1C6902" w14:textId="7F0B836B" w:rsidR="00FB1453" w:rsidRPr="00DD72AC" w:rsidRDefault="00FB1453" w:rsidP="00C1069F">
            <w:pPr>
              <w:pStyle w:val="TableText0"/>
              <w:jc w:val="center"/>
              <w:rPr>
                <w:bCs w:val="0"/>
                <w:szCs w:val="20"/>
              </w:rPr>
            </w:pPr>
            <w:r w:rsidRPr="00DD72AC">
              <w:rPr>
                <w:bCs w:val="0"/>
                <w:szCs w:val="20"/>
              </w:rPr>
              <w:t>Cohort 2 (sentinel)</w:t>
            </w:r>
          </w:p>
          <w:p w14:paraId="37621AA6" w14:textId="1D8495F4" w:rsidR="00FB1453" w:rsidRPr="00DD72AC" w:rsidRDefault="00FB1453" w:rsidP="00C1069F">
            <w:pPr>
              <w:pStyle w:val="TableText0"/>
              <w:jc w:val="center"/>
              <w:rPr>
                <w:bCs w:val="0"/>
                <w:szCs w:val="20"/>
              </w:rPr>
            </w:pPr>
            <w:r w:rsidRPr="00DD72AC">
              <w:rPr>
                <w:bCs w:val="0"/>
                <w:szCs w:val="20"/>
              </w:rPr>
              <w:t>6 to &lt; 24 months</w:t>
            </w:r>
          </w:p>
        </w:tc>
        <w:tc>
          <w:tcPr>
            <w:tcW w:w="393" w:type="pct"/>
          </w:tcPr>
          <w:p w14:paraId="49A5149E" w14:textId="5F03E0EF" w:rsidR="00FB1453" w:rsidRPr="00DD72AC" w:rsidRDefault="00FB1453" w:rsidP="005A7AE9">
            <w:pPr>
              <w:pStyle w:val="TableText0"/>
              <w:jc w:val="center"/>
              <w:rPr>
                <w:bCs w:val="0"/>
                <w:szCs w:val="20"/>
              </w:rPr>
            </w:pPr>
            <w:r w:rsidRPr="00DD72AC">
              <w:rPr>
                <w:bCs w:val="0"/>
                <w:szCs w:val="20"/>
              </w:rPr>
              <w:t>4</w:t>
            </w:r>
          </w:p>
        </w:tc>
        <w:tc>
          <w:tcPr>
            <w:tcW w:w="865" w:type="pct"/>
          </w:tcPr>
          <w:p w14:paraId="5D14C1B8" w14:textId="3E0B19AD" w:rsidR="00FB1453" w:rsidRPr="00DD72AC" w:rsidRDefault="00FB1453" w:rsidP="005A7AE9">
            <w:pPr>
              <w:pStyle w:val="TableText0"/>
              <w:jc w:val="center"/>
              <w:rPr>
                <w:bCs w:val="0"/>
                <w:szCs w:val="20"/>
              </w:rPr>
            </w:pPr>
            <w:r w:rsidRPr="00DD72AC">
              <w:rPr>
                <w:bCs w:val="0"/>
                <w:szCs w:val="20"/>
              </w:rPr>
              <w:t>-0.26 (0.89)</w:t>
            </w:r>
          </w:p>
        </w:tc>
        <w:tc>
          <w:tcPr>
            <w:tcW w:w="964" w:type="pct"/>
          </w:tcPr>
          <w:p w14:paraId="0058A543" w14:textId="4A93E247" w:rsidR="00FB1453" w:rsidRPr="00DD72AC" w:rsidRDefault="00FB1453" w:rsidP="005A7AE9">
            <w:pPr>
              <w:pStyle w:val="TableText0"/>
              <w:jc w:val="center"/>
              <w:rPr>
                <w:bCs w:val="0"/>
                <w:szCs w:val="20"/>
              </w:rPr>
            </w:pPr>
            <w:r w:rsidRPr="00DD72AC">
              <w:rPr>
                <w:bCs w:val="0"/>
                <w:szCs w:val="20"/>
              </w:rPr>
              <w:t>NA</w:t>
            </w:r>
          </w:p>
        </w:tc>
        <w:tc>
          <w:tcPr>
            <w:tcW w:w="815" w:type="pct"/>
          </w:tcPr>
          <w:p w14:paraId="63C8A0A7" w14:textId="266BFF16" w:rsidR="00FB1453" w:rsidRPr="00DD72AC" w:rsidRDefault="00FB1453" w:rsidP="005A7AE9">
            <w:pPr>
              <w:pStyle w:val="TableText0"/>
              <w:jc w:val="center"/>
              <w:rPr>
                <w:bCs w:val="0"/>
                <w:szCs w:val="20"/>
              </w:rPr>
            </w:pPr>
            <w:r w:rsidRPr="00DD72AC">
              <w:rPr>
                <w:bCs w:val="0"/>
                <w:szCs w:val="20"/>
              </w:rPr>
              <w:t>NA</w:t>
            </w:r>
          </w:p>
        </w:tc>
      </w:tr>
      <w:tr w:rsidR="00FB1453" w:rsidRPr="00DD72AC" w14:paraId="7FA74148" w14:textId="77777777" w:rsidTr="009F39C7">
        <w:tc>
          <w:tcPr>
            <w:tcW w:w="548" w:type="pct"/>
            <w:vMerge/>
          </w:tcPr>
          <w:p w14:paraId="6F1CFB7F" w14:textId="647B5DED" w:rsidR="00FB1453" w:rsidRPr="00DD72AC" w:rsidRDefault="00FB1453" w:rsidP="005A7AE9">
            <w:pPr>
              <w:pStyle w:val="TableText0"/>
              <w:rPr>
                <w:b/>
                <w:szCs w:val="20"/>
              </w:rPr>
            </w:pPr>
          </w:p>
        </w:tc>
        <w:tc>
          <w:tcPr>
            <w:tcW w:w="471" w:type="pct"/>
            <w:vMerge w:val="restart"/>
          </w:tcPr>
          <w:p w14:paraId="45E92728" w14:textId="7E264B60" w:rsidR="00FB1453" w:rsidRPr="00DD72AC" w:rsidRDefault="00FB1453" w:rsidP="005A7AE9">
            <w:pPr>
              <w:pStyle w:val="TableText0"/>
              <w:jc w:val="center"/>
              <w:rPr>
                <w:bCs w:val="0"/>
                <w:szCs w:val="20"/>
                <w:vertAlign w:val="superscript"/>
              </w:rPr>
            </w:pPr>
            <w:r w:rsidRPr="00DD72AC">
              <w:rPr>
                <w:bCs w:val="0"/>
                <w:szCs w:val="20"/>
              </w:rPr>
              <w:t>Week 52</w:t>
            </w:r>
            <w:r w:rsidRPr="00DD72AC">
              <w:rPr>
                <w:bCs w:val="0"/>
                <w:szCs w:val="20"/>
                <w:vertAlign w:val="superscript"/>
              </w:rPr>
              <w:t>b</w:t>
            </w:r>
          </w:p>
        </w:tc>
        <w:tc>
          <w:tcPr>
            <w:tcW w:w="944" w:type="pct"/>
          </w:tcPr>
          <w:p w14:paraId="1C8FF24A" w14:textId="3E5912E4" w:rsidR="00FB1453" w:rsidRPr="00DD72AC" w:rsidRDefault="00FB1453" w:rsidP="00C1069F">
            <w:pPr>
              <w:pStyle w:val="TableText0"/>
              <w:jc w:val="center"/>
              <w:rPr>
                <w:bCs w:val="0"/>
                <w:szCs w:val="20"/>
              </w:rPr>
            </w:pPr>
            <w:r w:rsidRPr="00DD72AC">
              <w:rPr>
                <w:bCs w:val="0"/>
                <w:szCs w:val="20"/>
              </w:rPr>
              <w:t>VOS</w:t>
            </w:r>
          </w:p>
        </w:tc>
        <w:tc>
          <w:tcPr>
            <w:tcW w:w="393" w:type="pct"/>
          </w:tcPr>
          <w:p w14:paraId="594EC2AB" w14:textId="60CFB5B5" w:rsidR="00FB1453" w:rsidRPr="00DD72AC" w:rsidRDefault="00FB1453" w:rsidP="005A7AE9">
            <w:pPr>
              <w:pStyle w:val="TableText0"/>
              <w:jc w:val="center"/>
              <w:rPr>
                <w:bCs w:val="0"/>
                <w:szCs w:val="20"/>
              </w:rPr>
            </w:pPr>
            <w:r w:rsidRPr="00DD72AC">
              <w:rPr>
                <w:bCs w:val="0"/>
                <w:szCs w:val="20"/>
              </w:rPr>
              <w:t>43</w:t>
            </w:r>
          </w:p>
        </w:tc>
        <w:tc>
          <w:tcPr>
            <w:tcW w:w="865" w:type="pct"/>
          </w:tcPr>
          <w:p w14:paraId="3D8F0665" w14:textId="2EACD15F" w:rsidR="00FB1453" w:rsidRPr="00DD72AC" w:rsidRDefault="00FB1453" w:rsidP="005A7AE9">
            <w:pPr>
              <w:pStyle w:val="TableText0"/>
              <w:jc w:val="center"/>
              <w:rPr>
                <w:bCs w:val="0"/>
                <w:szCs w:val="20"/>
              </w:rPr>
            </w:pPr>
            <w:r w:rsidRPr="00DD72AC">
              <w:rPr>
                <w:bCs w:val="0"/>
                <w:szCs w:val="20"/>
              </w:rPr>
              <w:t>-3.20 (0.94)</w:t>
            </w:r>
          </w:p>
        </w:tc>
        <w:tc>
          <w:tcPr>
            <w:tcW w:w="964" w:type="pct"/>
          </w:tcPr>
          <w:p w14:paraId="32F5163A" w14:textId="5EAD2914" w:rsidR="00FB1453" w:rsidRPr="00DD72AC" w:rsidRDefault="00FB1453" w:rsidP="005A7AE9">
            <w:pPr>
              <w:pStyle w:val="TableText0"/>
              <w:jc w:val="center"/>
              <w:rPr>
                <w:bCs w:val="0"/>
                <w:szCs w:val="20"/>
              </w:rPr>
            </w:pPr>
            <w:r w:rsidRPr="00DD72AC">
              <w:rPr>
                <w:bCs w:val="0"/>
                <w:szCs w:val="20"/>
              </w:rPr>
              <w:t>-2.41 (-2.88, -1.94)</w:t>
            </w:r>
          </w:p>
        </w:tc>
        <w:tc>
          <w:tcPr>
            <w:tcW w:w="815" w:type="pct"/>
            <w:vMerge w:val="restart"/>
          </w:tcPr>
          <w:p w14:paraId="7F62781F" w14:textId="6BF2DBF8" w:rsidR="00FB1453" w:rsidRPr="00DD72AC" w:rsidRDefault="00FB1453" w:rsidP="005A7AE9">
            <w:pPr>
              <w:pStyle w:val="TableText0"/>
              <w:jc w:val="center"/>
              <w:rPr>
                <w:bCs w:val="0"/>
                <w:szCs w:val="20"/>
              </w:rPr>
            </w:pPr>
            <w:r w:rsidRPr="00DD72AC">
              <w:rPr>
                <w:bCs w:val="0"/>
                <w:szCs w:val="20"/>
              </w:rPr>
              <w:t>0.92 (0.24, 1.59; p = 0.0075)</w:t>
            </w:r>
          </w:p>
        </w:tc>
      </w:tr>
      <w:tr w:rsidR="00FB1453" w:rsidRPr="00DD72AC" w14:paraId="046E85EE" w14:textId="77777777" w:rsidTr="009F39C7">
        <w:tc>
          <w:tcPr>
            <w:tcW w:w="548" w:type="pct"/>
            <w:vMerge/>
          </w:tcPr>
          <w:p w14:paraId="15490C20" w14:textId="77777777" w:rsidR="00FB1453" w:rsidRPr="00DD72AC" w:rsidRDefault="00FB1453" w:rsidP="005A7AE9">
            <w:pPr>
              <w:pStyle w:val="TableText0"/>
              <w:rPr>
                <w:b/>
                <w:szCs w:val="20"/>
              </w:rPr>
            </w:pPr>
          </w:p>
        </w:tc>
        <w:tc>
          <w:tcPr>
            <w:tcW w:w="471" w:type="pct"/>
            <w:vMerge/>
          </w:tcPr>
          <w:p w14:paraId="2E62F0C2" w14:textId="77777777" w:rsidR="00FB1453" w:rsidRPr="00DD72AC" w:rsidRDefault="00FB1453" w:rsidP="005A7AE9">
            <w:pPr>
              <w:pStyle w:val="TableText0"/>
              <w:jc w:val="center"/>
              <w:rPr>
                <w:bCs w:val="0"/>
                <w:szCs w:val="20"/>
              </w:rPr>
            </w:pPr>
          </w:p>
        </w:tc>
        <w:tc>
          <w:tcPr>
            <w:tcW w:w="944" w:type="pct"/>
          </w:tcPr>
          <w:p w14:paraId="24BB00BE" w14:textId="276D0EFB" w:rsidR="00FB1453" w:rsidRPr="00DD72AC" w:rsidRDefault="00FB1453" w:rsidP="00C1069F">
            <w:pPr>
              <w:pStyle w:val="TableText0"/>
              <w:jc w:val="center"/>
              <w:rPr>
                <w:bCs w:val="0"/>
                <w:szCs w:val="20"/>
              </w:rPr>
            </w:pPr>
            <w:r w:rsidRPr="00DD72AC">
              <w:rPr>
                <w:bCs w:val="0"/>
                <w:szCs w:val="20"/>
              </w:rPr>
              <w:t>PBO</w:t>
            </w:r>
          </w:p>
        </w:tc>
        <w:tc>
          <w:tcPr>
            <w:tcW w:w="393" w:type="pct"/>
          </w:tcPr>
          <w:p w14:paraId="351850B1" w14:textId="51CD62EE" w:rsidR="00FB1453" w:rsidRPr="00DD72AC" w:rsidRDefault="00FB1453" w:rsidP="005A7AE9">
            <w:pPr>
              <w:pStyle w:val="TableText0"/>
              <w:jc w:val="center"/>
              <w:rPr>
                <w:bCs w:val="0"/>
                <w:szCs w:val="20"/>
              </w:rPr>
            </w:pPr>
            <w:r w:rsidRPr="00DD72AC">
              <w:rPr>
                <w:bCs w:val="0"/>
                <w:szCs w:val="20"/>
              </w:rPr>
              <w:t>32</w:t>
            </w:r>
          </w:p>
        </w:tc>
        <w:tc>
          <w:tcPr>
            <w:tcW w:w="865" w:type="pct"/>
          </w:tcPr>
          <w:p w14:paraId="00DC5DB6" w14:textId="14C95E76" w:rsidR="00FB1453" w:rsidRPr="00DD72AC" w:rsidRDefault="00FB1453" w:rsidP="005A7AE9">
            <w:pPr>
              <w:pStyle w:val="TableText0"/>
              <w:jc w:val="center"/>
              <w:rPr>
                <w:bCs w:val="0"/>
                <w:szCs w:val="20"/>
              </w:rPr>
            </w:pPr>
            <w:r w:rsidRPr="00DD72AC">
              <w:rPr>
                <w:bCs w:val="0"/>
                <w:szCs w:val="20"/>
              </w:rPr>
              <w:t>-2.26 (1.12)</w:t>
            </w:r>
          </w:p>
        </w:tc>
        <w:tc>
          <w:tcPr>
            <w:tcW w:w="964" w:type="pct"/>
          </w:tcPr>
          <w:p w14:paraId="2103C691" w14:textId="0C05D388" w:rsidR="00FB1453" w:rsidRPr="00DD72AC" w:rsidRDefault="00FB1453" w:rsidP="005A7AE9">
            <w:pPr>
              <w:pStyle w:val="TableText0"/>
              <w:jc w:val="center"/>
              <w:rPr>
                <w:bCs w:val="0"/>
                <w:szCs w:val="20"/>
              </w:rPr>
            </w:pPr>
            <w:r w:rsidRPr="00DD72AC">
              <w:rPr>
                <w:bCs w:val="0"/>
                <w:szCs w:val="20"/>
              </w:rPr>
              <w:t>-3.32 (-3.81, -2.84)</w:t>
            </w:r>
          </w:p>
        </w:tc>
        <w:tc>
          <w:tcPr>
            <w:tcW w:w="815" w:type="pct"/>
            <w:vMerge/>
          </w:tcPr>
          <w:p w14:paraId="28E56C0A" w14:textId="77777777" w:rsidR="00FB1453" w:rsidRPr="00DD72AC" w:rsidRDefault="00FB1453" w:rsidP="005A7AE9">
            <w:pPr>
              <w:pStyle w:val="TableText0"/>
              <w:jc w:val="center"/>
              <w:rPr>
                <w:bCs w:val="0"/>
                <w:i/>
                <w:iCs/>
                <w:szCs w:val="20"/>
              </w:rPr>
            </w:pPr>
          </w:p>
        </w:tc>
      </w:tr>
      <w:tr w:rsidR="00C32CB5" w:rsidRPr="00DD72AC" w14:paraId="4F78F256" w14:textId="77777777" w:rsidTr="00C32CB5">
        <w:tc>
          <w:tcPr>
            <w:tcW w:w="5000" w:type="pct"/>
            <w:gridSpan w:val="7"/>
          </w:tcPr>
          <w:p w14:paraId="0ACC0217" w14:textId="7F156F5D" w:rsidR="00C32CB5" w:rsidRPr="00DD72AC" w:rsidRDefault="00C32CB5" w:rsidP="005A7AE9">
            <w:pPr>
              <w:pStyle w:val="TableText0"/>
              <w:rPr>
                <w:b/>
                <w:szCs w:val="20"/>
              </w:rPr>
            </w:pPr>
            <w:r w:rsidRPr="00DD72AC">
              <w:rPr>
                <w:b/>
                <w:szCs w:val="20"/>
              </w:rPr>
              <w:t>Change from baseline in height Z-score</w:t>
            </w:r>
          </w:p>
        </w:tc>
      </w:tr>
      <w:tr w:rsidR="00FB63A6" w:rsidRPr="00DD72AC" w14:paraId="7C19F0AA" w14:textId="77777777" w:rsidTr="009F39C7">
        <w:tc>
          <w:tcPr>
            <w:tcW w:w="548" w:type="pct"/>
            <w:vMerge w:val="restart"/>
          </w:tcPr>
          <w:p w14:paraId="6DF5C01B" w14:textId="77777777" w:rsidR="00FB63A6" w:rsidRPr="00DD72AC" w:rsidRDefault="00FB63A6" w:rsidP="005A7AE9">
            <w:pPr>
              <w:pStyle w:val="TableText0"/>
              <w:rPr>
                <w:bCs w:val="0"/>
                <w:szCs w:val="20"/>
              </w:rPr>
            </w:pPr>
            <w:r w:rsidRPr="00DD72AC">
              <w:rPr>
                <w:bCs w:val="0"/>
                <w:szCs w:val="20"/>
              </w:rPr>
              <w:t xml:space="preserve">111-301 </w:t>
            </w:r>
            <w:r w:rsidRPr="00DD72AC">
              <w:rPr>
                <w:bCs w:val="0"/>
                <w:szCs w:val="20"/>
              </w:rPr>
              <w:br/>
              <w:t>(5 to &lt;18 years)</w:t>
            </w:r>
          </w:p>
        </w:tc>
        <w:tc>
          <w:tcPr>
            <w:tcW w:w="471" w:type="pct"/>
            <w:vMerge w:val="restart"/>
          </w:tcPr>
          <w:p w14:paraId="07D7B71C" w14:textId="77777777" w:rsidR="00FB63A6" w:rsidRPr="00DD72AC" w:rsidRDefault="00FB63A6" w:rsidP="005A7AE9">
            <w:pPr>
              <w:pStyle w:val="TableText0"/>
              <w:jc w:val="center"/>
              <w:rPr>
                <w:bCs w:val="0"/>
                <w:szCs w:val="20"/>
              </w:rPr>
            </w:pPr>
            <w:r w:rsidRPr="00DD72AC">
              <w:rPr>
                <w:bCs w:val="0"/>
                <w:szCs w:val="20"/>
              </w:rPr>
              <w:t>Week 52</w:t>
            </w:r>
          </w:p>
        </w:tc>
        <w:tc>
          <w:tcPr>
            <w:tcW w:w="944" w:type="pct"/>
          </w:tcPr>
          <w:p w14:paraId="799864D7" w14:textId="77777777" w:rsidR="00FB63A6" w:rsidRPr="00DD72AC" w:rsidRDefault="00FB63A6" w:rsidP="005A7AE9">
            <w:pPr>
              <w:pStyle w:val="TableText0"/>
              <w:jc w:val="center"/>
              <w:rPr>
                <w:bCs w:val="0"/>
                <w:szCs w:val="20"/>
              </w:rPr>
            </w:pPr>
            <w:r w:rsidRPr="00DD72AC">
              <w:rPr>
                <w:bCs w:val="0"/>
                <w:szCs w:val="20"/>
              </w:rPr>
              <w:t>VOS</w:t>
            </w:r>
          </w:p>
        </w:tc>
        <w:tc>
          <w:tcPr>
            <w:tcW w:w="393" w:type="pct"/>
          </w:tcPr>
          <w:p w14:paraId="083D0A35" w14:textId="4449BCC2" w:rsidR="00FB63A6" w:rsidRPr="00DD72AC" w:rsidRDefault="004967F5" w:rsidP="005A7AE9">
            <w:pPr>
              <w:pStyle w:val="TableText0"/>
              <w:jc w:val="center"/>
              <w:rPr>
                <w:bCs w:val="0"/>
                <w:szCs w:val="20"/>
              </w:rPr>
            </w:pPr>
            <w:r w:rsidRPr="00DD72AC">
              <w:rPr>
                <w:bCs w:val="0"/>
                <w:szCs w:val="20"/>
              </w:rPr>
              <w:t>-</w:t>
            </w:r>
          </w:p>
        </w:tc>
        <w:tc>
          <w:tcPr>
            <w:tcW w:w="865" w:type="pct"/>
          </w:tcPr>
          <w:p w14:paraId="66618ABB" w14:textId="7B47B022" w:rsidR="00FB63A6" w:rsidRPr="00DD72AC" w:rsidRDefault="00FB63A6" w:rsidP="005A7AE9">
            <w:pPr>
              <w:pStyle w:val="TableText0"/>
              <w:jc w:val="center"/>
              <w:rPr>
                <w:bCs w:val="0"/>
                <w:szCs w:val="20"/>
              </w:rPr>
            </w:pPr>
            <w:r w:rsidRPr="00DD72AC">
              <w:rPr>
                <w:bCs w:val="0"/>
                <w:szCs w:val="20"/>
              </w:rPr>
              <w:t>0.24 (0.32)</w:t>
            </w:r>
          </w:p>
        </w:tc>
        <w:tc>
          <w:tcPr>
            <w:tcW w:w="964" w:type="pct"/>
          </w:tcPr>
          <w:p w14:paraId="4714273D" w14:textId="77777777" w:rsidR="00FB63A6" w:rsidRPr="00DD72AC" w:rsidRDefault="00FB63A6" w:rsidP="005A7AE9">
            <w:pPr>
              <w:pStyle w:val="TableText0"/>
              <w:jc w:val="center"/>
              <w:rPr>
                <w:bCs w:val="0"/>
                <w:szCs w:val="20"/>
              </w:rPr>
            </w:pPr>
            <w:r w:rsidRPr="00DD72AC">
              <w:rPr>
                <w:bCs w:val="0"/>
                <w:szCs w:val="20"/>
              </w:rPr>
              <w:t>0.27 (0.18, 0.36)</w:t>
            </w:r>
          </w:p>
        </w:tc>
        <w:tc>
          <w:tcPr>
            <w:tcW w:w="815" w:type="pct"/>
            <w:vMerge w:val="restart"/>
          </w:tcPr>
          <w:p w14:paraId="6B3219F0" w14:textId="77777777" w:rsidR="00FB63A6" w:rsidRPr="00DD72AC" w:rsidRDefault="00FB63A6" w:rsidP="005A7AE9">
            <w:pPr>
              <w:pStyle w:val="TableText0"/>
              <w:jc w:val="center"/>
              <w:rPr>
                <w:bCs w:val="0"/>
                <w:szCs w:val="20"/>
              </w:rPr>
            </w:pPr>
            <w:r w:rsidRPr="00DD72AC">
              <w:rPr>
                <w:bCs w:val="0"/>
                <w:szCs w:val="20"/>
              </w:rPr>
              <w:t>0.28 (0.17, 0.39; p&lt;0.0001)</w:t>
            </w:r>
          </w:p>
        </w:tc>
      </w:tr>
      <w:tr w:rsidR="00FB63A6" w:rsidRPr="00DD72AC" w14:paraId="0EB92320" w14:textId="77777777" w:rsidTr="009F39C7">
        <w:tc>
          <w:tcPr>
            <w:tcW w:w="548" w:type="pct"/>
            <w:vMerge/>
          </w:tcPr>
          <w:p w14:paraId="0A3299EE" w14:textId="77777777" w:rsidR="00FB63A6" w:rsidRPr="00DD72AC" w:rsidRDefault="00FB63A6" w:rsidP="00BF5EC8">
            <w:pPr>
              <w:pStyle w:val="TableText0"/>
              <w:rPr>
                <w:b/>
                <w:szCs w:val="20"/>
              </w:rPr>
            </w:pPr>
          </w:p>
        </w:tc>
        <w:tc>
          <w:tcPr>
            <w:tcW w:w="471" w:type="pct"/>
            <w:vMerge/>
          </w:tcPr>
          <w:p w14:paraId="5247EFCA" w14:textId="77777777" w:rsidR="00FB63A6" w:rsidRPr="00DD72AC" w:rsidRDefault="00FB63A6" w:rsidP="00BF5EC8">
            <w:pPr>
              <w:pStyle w:val="TableText0"/>
              <w:rPr>
                <w:b/>
                <w:szCs w:val="20"/>
              </w:rPr>
            </w:pPr>
          </w:p>
        </w:tc>
        <w:tc>
          <w:tcPr>
            <w:tcW w:w="944" w:type="pct"/>
          </w:tcPr>
          <w:p w14:paraId="2CC6F84B" w14:textId="77777777" w:rsidR="00FB63A6" w:rsidRPr="00DD72AC" w:rsidRDefault="00FB63A6" w:rsidP="005A7AE9">
            <w:pPr>
              <w:pStyle w:val="TableText0"/>
              <w:jc w:val="center"/>
              <w:rPr>
                <w:bCs w:val="0"/>
                <w:szCs w:val="20"/>
              </w:rPr>
            </w:pPr>
            <w:r w:rsidRPr="00DD72AC">
              <w:rPr>
                <w:bCs w:val="0"/>
                <w:szCs w:val="20"/>
              </w:rPr>
              <w:t>PBO</w:t>
            </w:r>
          </w:p>
        </w:tc>
        <w:tc>
          <w:tcPr>
            <w:tcW w:w="393" w:type="pct"/>
          </w:tcPr>
          <w:p w14:paraId="26783F06" w14:textId="5BDB3A56" w:rsidR="00FB63A6" w:rsidRPr="00DD72AC" w:rsidRDefault="004967F5" w:rsidP="005A7AE9">
            <w:pPr>
              <w:pStyle w:val="TableText0"/>
              <w:jc w:val="center"/>
              <w:rPr>
                <w:bCs w:val="0"/>
                <w:szCs w:val="20"/>
              </w:rPr>
            </w:pPr>
            <w:r w:rsidRPr="00DD72AC">
              <w:rPr>
                <w:bCs w:val="0"/>
                <w:szCs w:val="20"/>
              </w:rPr>
              <w:t>-</w:t>
            </w:r>
          </w:p>
        </w:tc>
        <w:tc>
          <w:tcPr>
            <w:tcW w:w="865" w:type="pct"/>
          </w:tcPr>
          <w:p w14:paraId="68301BE7" w14:textId="19ECA4BA" w:rsidR="00FB63A6" w:rsidRPr="00DD72AC" w:rsidRDefault="00FB63A6" w:rsidP="005A7AE9">
            <w:pPr>
              <w:pStyle w:val="TableText0"/>
              <w:jc w:val="center"/>
              <w:rPr>
                <w:bCs w:val="0"/>
                <w:szCs w:val="20"/>
              </w:rPr>
            </w:pPr>
            <w:r w:rsidRPr="00DD72AC">
              <w:rPr>
                <w:bCs w:val="0"/>
                <w:szCs w:val="20"/>
              </w:rPr>
              <w:t>0 (0.28)</w:t>
            </w:r>
          </w:p>
        </w:tc>
        <w:tc>
          <w:tcPr>
            <w:tcW w:w="964" w:type="pct"/>
          </w:tcPr>
          <w:p w14:paraId="18AB51C6" w14:textId="77777777" w:rsidR="00FB63A6" w:rsidRPr="00DD72AC" w:rsidRDefault="00FB63A6" w:rsidP="005A7AE9">
            <w:pPr>
              <w:pStyle w:val="TableText0"/>
              <w:jc w:val="center"/>
              <w:rPr>
                <w:bCs w:val="0"/>
                <w:szCs w:val="20"/>
              </w:rPr>
            </w:pPr>
            <w:r w:rsidRPr="00DD72AC">
              <w:rPr>
                <w:bCs w:val="0"/>
                <w:szCs w:val="20"/>
              </w:rPr>
              <w:t>-0.01 (-0.1, 0.09)</w:t>
            </w:r>
          </w:p>
        </w:tc>
        <w:tc>
          <w:tcPr>
            <w:tcW w:w="815" w:type="pct"/>
            <w:vMerge/>
          </w:tcPr>
          <w:p w14:paraId="7F6CDF22" w14:textId="77777777" w:rsidR="00FB63A6" w:rsidRPr="00DD72AC" w:rsidRDefault="00FB63A6" w:rsidP="005A7AE9">
            <w:pPr>
              <w:pStyle w:val="TableText0"/>
              <w:jc w:val="center"/>
              <w:rPr>
                <w:b/>
                <w:szCs w:val="20"/>
              </w:rPr>
            </w:pPr>
          </w:p>
        </w:tc>
      </w:tr>
      <w:tr w:rsidR="00FB1453" w:rsidRPr="00DD72AC" w14:paraId="678EF8A8" w14:textId="77777777" w:rsidTr="009F39C7">
        <w:tc>
          <w:tcPr>
            <w:tcW w:w="548" w:type="pct"/>
            <w:vMerge w:val="restart"/>
          </w:tcPr>
          <w:p w14:paraId="6E294789" w14:textId="55CF0826" w:rsidR="00FB1453" w:rsidRPr="00DD72AC" w:rsidRDefault="00FB1453" w:rsidP="00ED1405">
            <w:pPr>
              <w:pStyle w:val="TableText0"/>
              <w:rPr>
                <w:b/>
                <w:szCs w:val="20"/>
              </w:rPr>
            </w:pPr>
            <w:r w:rsidRPr="00DD72AC">
              <w:rPr>
                <w:bCs w:val="0"/>
                <w:szCs w:val="20"/>
              </w:rPr>
              <w:t>111-206 (0 to &lt;5 years)</w:t>
            </w:r>
          </w:p>
        </w:tc>
        <w:tc>
          <w:tcPr>
            <w:tcW w:w="471" w:type="pct"/>
          </w:tcPr>
          <w:p w14:paraId="40AA3407" w14:textId="02788F25" w:rsidR="00FB1453" w:rsidRPr="00DD72AC" w:rsidRDefault="00FB1453" w:rsidP="00ED1405">
            <w:pPr>
              <w:pStyle w:val="TableText0"/>
              <w:rPr>
                <w:b/>
                <w:szCs w:val="20"/>
              </w:rPr>
            </w:pPr>
            <w:r w:rsidRPr="00DD72AC">
              <w:rPr>
                <w:bCs w:val="0"/>
                <w:szCs w:val="20"/>
              </w:rPr>
              <w:t>Week 52</w:t>
            </w:r>
          </w:p>
        </w:tc>
        <w:tc>
          <w:tcPr>
            <w:tcW w:w="944" w:type="pct"/>
          </w:tcPr>
          <w:p w14:paraId="66184326" w14:textId="77777777" w:rsidR="00FB1453" w:rsidRPr="00DD72AC" w:rsidRDefault="00FB1453" w:rsidP="00ED1405">
            <w:pPr>
              <w:pStyle w:val="TableText0"/>
              <w:jc w:val="center"/>
              <w:rPr>
                <w:bCs w:val="0"/>
                <w:szCs w:val="20"/>
              </w:rPr>
            </w:pPr>
            <w:r w:rsidRPr="00DD72AC">
              <w:rPr>
                <w:bCs w:val="0"/>
                <w:szCs w:val="20"/>
              </w:rPr>
              <w:t xml:space="preserve">Cohort 1 (sentinel) </w:t>
            </w:r>
          </w:p>
          <w:p w14:paraId="5C9AC1B0" w14:textId="4BD4F84D" w:rsidR="00FB1453" w:rsidRPr="00DD72AC" w:rsidRDefault="00FB1453" w:rsidP="00ED1405">
            <w:pPr>
              <w:pStyle w:val="TableText0"/>
              <w:jc w:val="center"/>
              <w:rPr>
                <w:bCs w:val="0"/>
                <w:szCs w:val="20"/>
              </w:rPr>
            </w:pPr>
            <w:r w:rsidRPr="00DD72AC">
              <w:rPr>
                <w:bCs w:val="0"/>
                <w:szCs w:val="20"/>
              </w:rPr>
              <w:t xml:space="preserve"> 24 to &lt; 60 months</w:t>
            </w:r>
          </w:p>
        </w:tc>
        <w:tc>
          <w:tcPr>
            <w:tcW w:w="393" w:type="pct"/>
          </w:tcPr>
          <w:p w14:paraId="38057247" w14:textId="4446773E" w:rsidR="00FB1453" w:rsidRPr="00DD72AC" w:rsidRDefault="00FB1453" w:rsidP="00ED1405">
            <w:pPr>
              <w:pStyle w:val="TableText0"/>
              <w:jc w:val="center"/>
              <w:rPr>
                <w:bCs w:val="0"/>
                <w:szCs w:val="20"/>
              </w:rPr>
            </w:pPr>
            <w:r w:rsidRPr="00DD72AC">
              <w:rPr>
                <w:bCs w:val="0"/>
                <w:szCs w:val="20"/>
              </w:rPr>
              <w:t>4</w:t>
            </w:r>
          </w:p>
        </w:tc>
        <w:tc>
          <w:tcPr>
            <w:tcW w:w="865" w:type="pct"/>
          </w:tcPr>
          <w:p w14:paraId="43FDD281" w14:textId="4B89E1CE" w:rsidR="00FB1453" w:rsidRPr="00DD72AC" w:rsidRDefault="00FB1453" w:rsidP="00ED1405">
            <w:pPr>
              <w:pStyle w:val="TableText0"/>
              <w:jc w:val="center"/>
              <w:rPr>
                <w:bCs w:val="0"/>
                <w:szCs w:val="20"/>
              </w:rPr>
            </w:pPr>
            <w:r w:rsidRPr="00DD72AC">
              <w:rPr>
                <w:bCs w:val="0"/>
                <w:szCs w:val="20"/>
              </w:rPr>
              <w:t>0.34 (0.27)</w:t>
            </w:r>
          </w:p>
        </w:tc>
        <w:tc>
          <w:tcPr>
            <w:tcW w:w="964" w:type="pct"/>
          </w:tcPr>
          <w:p w14:paraId="7B8167FD" w14:textId="1F797BC3" w:rsidR="00FB1453" w:rsidRPr="00DD72AC" w:rsidRDefault="00FB1453" w:rsidP="00ED1405">
            <w:pPr>
              <w:pStyle w:val="TableText0"/>
              <w:jc w:val="center"/>
              <w:rPr>
                <w:bCs w:val="0"/>
                <w:szCs w:val="20"/>
              </w:rPr>
            </w:pPr>
            <w:r w:rsidRPr="00DD72AC">
              <w:t>NA</w:t>
            </w:r>
          </w:p>
        </w:tc>
        <w:tc>
          <w:tcPr>
            <w:tcW w:w="815" w:type="pct"/>
          </w:tcPr>
          <w:p w14:paraId="2E7F5FE7" w14:textId="128DB0F9" w:rsidR="00FB1453" w:rsidRPr="00DD72AC" w:rsidRDefault="00FB1453" w:rsidP="00ED1405">
            <w:pPr>
              <w:pStyle w:val="TableText0"/>
              <w:jc w:val="center"/>
              <w:rPr>
                <w:b/>
                <w:szCs w:val="20"/>
              </w:rPr>
            </w:pPr>
            <w:r w:rsidRPr="00DD72AC">
              <w:t>NA</w:t>
            </w:r>
          </w:p>
        </w:tc>
      </w:tr>
      <w:tr w:rsidR="00FB1453" w:rsidRPr="00DD72AC" w14:paraId="5FAAEF57" w14:textId="77777777" w:rsidTr="009F39C7">
        <w:tc>
          <w:tcPr>
            <w:tcW w:w="548" w:type="pct"/>
            <w:vMerge/>
          </w:tcPr>
          <w:p w14:paraId="28F760CA" w14:textId="77777777" w:rsidR="00FB1453" w:rsidRPr="00DD72AC" w:rsidRDefault="00FB1453" w:rsidP="00ED1405">
            <w:pPr>
              <w:pStyle w:val="TableText0"/>
              <w:rPr>
                <w:b/>
                <w:szCs w:val="20"/>
              </w:rPr>
            </w:pPr>
          </w:p>
        </w:tc>
        <w:tc>
          <w:tcPr>
            <w:tcW w:w="471" w:type="pct"/>
          </w:tcPr>
          <w:p w14:paraId="3548F4CF" w14:textId="551FDAE4" w:rsidR="00FB1453" w:rsidRPr="00DD72AC" w:rsidRDefault="00FB1453" w:rsidP="00ED1405">
            <w:pPr>
              <w:pStyle w:val="TableText0"/>
              <w:rPr>
                <w:b/>
                <w:szCs w:val="20"/>
                <w:vertAlign w:val="superscript"/>
              </w:rPr>
            </w:pPr>
            <w:r w:rsidRPr="00DD72AC">
              <w:rPr>
                <w:bCs w:val="0"/>
                <w:szCs w:val="20"/>
              </w:rPr>
              <w:t>Week 26</w:t>
            </w:r>
            <w:r w:rsidRPr="00DD72AC">
              <w:rPr>
                <w:bCs w:val="0"/>
                <w:szCs w:val="20"/>
                <w:vertAlign w:val="superscript"/>
              </w:rPr>
              <w:t>a</w:t>
            </w:r>
          </w:p>
        </w:tc>
        <w:tc>
          <w:tcPr>
            <w:tcW w:w="944" w:type="pct"/>
          </w:tcPr>
          <w:p w14:paraId="23FD17DC" w14:textId="77777777" w:rsidR="00FB1453" w:rsidRPr="00DD72AC" w:rsidRDefault="00FB1453" w:rsidP="00ED1405">
            <w:pPr>
              <w:pStyle w:val="TableText0"/>
              <w:jc w:val="center"/>
              <w:rPr>
                <w:bCs w:val="0"/>
                <w:szCs w:val="20"/>
              </w:rPr>
            </w:pPr>
            <w:r w:rsidRPr="00DD72AC">
              <w:rPr>
                <w:bCs w:val="0"/>
                <w:szCs w:val="20"/>
              </w:rPr>
              <w:t>Cohort 2 (sentinel)</w:t>
            </w:r>
          </w:p>
          <w:p w14:paraId="4AE4715B" w14:textId="3F890A4B" w:rsidR="00FB1453" w:rsidRPr="00DD72AC" w:rsidRDefault="00FB1453" w:rsidP="00ED1405">
            <w:pPr>
              <w:pStyle w:val="TableText0"/>
              <w:jc w:val="center"/>
              <w:rPr>
                <w:bCs w:val="0"/>
                <w:szCs w:val="20"/>
              </w:rPr>
            </w:pPr>
            <w:r w:rsidRPr="00DD72AC">
              <w:rPr>
                <w:bCs w:val="0"/>
                <w:szCs w:val="20"/>
              </w:rPr>
              <w:t>6 to &lt; 24 months</w:t>
            </w:r>
          </w:p>
        </w:tc>
        <w:tc>
          <w:tcPr>
            <w:tcW w:w="393" w:type="pct"/>
          </w:tcPr>
          <w:p w14:paraId="38DD86D4" w14:textId="075CC201" w:rsidR="00FB1453" w:rsidRPr="00DD72AC" w:rsidRDefault="00FB1453" w:rsidP="00ED1405">
            <w:pPr>
              <w:pStyle w:val="TableText0"/>
              <w:jc w:val="center"/>
              <w:rPr>
                <w:bCs w:val="0"/>
                <w:szCs w:val="20"/>
              </w:rPr>
            </w:pPr>
            <w:r w:rsidRPr="00DD72AC">
              <w:rPr>
                <w:bCs w:val="0"/>
                <w:szCs w:val="20"/>
              </w:rPr>
              <w:t>4</w:t>
            </w:r>
          </w:p>
        </w:tc>
        <w:tc>
          <w:tcPr>
            <w:tcW w:w="865" w:type="pct"/>
          </w:tcPr>
          <w:p w14:paraId="258A3388" w14:textId="434B0FA0" w:rsidR="00FB1453" w:rsidRPr="00DD72AC" w:rsidRDefault="00FB1453" w:rsidP="00ED1405">
            <w:pPr>
              <w:pStyle w:val="TableText0"/>
              <w:jc w:val="center"/>
              <w:rPr>
                <w:bCs w:val="0"/>
                <w:szCs w:val="20"/>
              </w:rPr>
            </w:pPr>
            <w:r w:rsidRPr="00DD72AC">
              <w:rPr>
                <w:bCs w:val="0"/>
                <w:szCs w:val="20"/>
              </w:rPr>
              <w:t>0.76 (0.81)</w:t>
            </w:r>
          </w:p>
        </w:tc>
        <w:tc>
          <w:tcPr>
            <w:tcW w:w="964" w:type="pct"/>
          </w:tcPr>
          <w:p w14:paraId="41E7AAF1" w14:textId="60CAFEB9" w:rsidR="00FB1453" w:rsidRPr="00DD72AC" w:rsidRDefault="00FB1453" w:rsidP="00ED1405">
            <w:pPr>
              <w:pStyle w:val="TableText0"/>
              <w:jc w:val="center"/>
              <w:rPr>
                <w:bCs w:val="0"/>
                <w:szCs w:val="20"/>
              </w:rPr>
            </w:pPr>
            <w:r w:rsidRPr="00DD72AC">
              <w:t>NA</w:t>
            </w:r>
          </w:p>
        </w:tc>
        <w:tc>
          <w:tcPr>
            <w:tcW w:w="815" w:type="pct"/>
          </w:tcPr>
          <w:p w14:paraId="6F95C4C7" w14:textId="669AD6DF" w:rsidR="00FB1453" w:rsidRPr="00DD72AC" w:rsidRDefault="00FB1453" w:rsidP="00ED1405">
            <w:pPr>
              <w:pStyle w:val="TableText0"/>
              <w:jc w:val="center"/>
              <w:rPr>
                <w:b/>
                <w:szCs w:val="20"/>
              </w:rPr>
            </w:pPr>
            <w:r w:rsidRPr="00DD72AC">
              <w:t>NA</w:t>
            </w:r>
          </w:p>
        </w:tc>
      </w:tr>
      <w:tr w:rsidR="006F6D1D" w:rsidRPr="00DD72AC" w14:paraId="3EEFB39E" w14:textId="77777777" w:rsidTr="009F39C7">
        <w:tc>
          <w:tcPr>
            <w:tcW w:w="548" w:type="pct"/>
            <w:vMerge/>
          </w:tcPr>
          <w:p w14:paraId="6E8456CB" w14:textId="77777777" w:rsidR="006F6D1D" w:rsidRPr="00DD72AC" w:rsidRDefault="006F6D1D" w:rsidP="00FB1453">
            <w:pPr>
              <w:pStyle w:val="TableText0"/>
              <w:rPr>
                <w:b/>
                <w:szCs w:val="20"/>
              </w:rPr>
            </w:pPr>
          </w:p>
        </w:tc>
        <w:tc>
          <w:tcPr>
            <w:tcW w:w="471" w:type="pct"/>
            <w:vMerge w:val="restart"/>
          </w:tcPr>
          <w:p w14:paraId="6602908C" w14:textId="55064DA8" w:rsidR="006F6D1D" w:rsidRPr="00DD72AC" w:rsidRDefault="006F6D1D" w:rsidP="00FB1453">
            <w:pPr>
              <w:pStyle w:val="TableText0"/>
              <w:rPr>
                <w:bCs w:val="0"/>
                <w:szCs w:val="20"/>
              </w:rPr>
            </w:pPr>
            <w:r w:rsidRPr="00DD72AC">
              <w:rPr>
                <w:bCs w:val="0"/>
                <w:szCs w:val="20"/>
              </w:rPr>
              <w:t>Week 52</w:t>
            </w:r>
            <w:r w:rsidRPr="00DD72AC">
              <w:rPr>
                <w:bCs w:val="0"/>
                <w:szCs w:val="20"/>
                <w:vertAlign w:val="superscript"/>
              </w:rPr>
              <w:t>b</w:t>
            </w:r>
          </w:p>
        </w:tc>
        <w:tc>
          <w:tcPr>
            <w:tcW w:w="944" w:type="pct"/>
          </w:tcPr>
          <w:p w14:paraId="0B702CCB" w14:textId="34D617E6" w:rsidR="006F6D1D" w:rsidRPr="00DD72AC" w:rsidRDefault="006F6D1D" w:rsidP="00FB1453">
            <w:pPr>
              <w:pStyle w:val="TableText0"/>
              <w:jc w:val="center"/>
              <w:rPr>
                <w:bCs w:val="0"/>
                <w:szCs w:val="20"/>
              </w:rPr>
            </w:pPr>
            <w:r w:rsidRPr="00DD72AC">
              <w:t>VOS</w:t>
            </w:r>
          </w:p>
        </w:tc>
        <w:tc>
          <w:tcPr>
            <w:tcW w:w="393" w:type="pct"/>
          </w:tcPr>
          <w:p w14:paraId="69732ABB" w14:textId="145F9C70" w:rsidR="006F6D1D" w:rsidRPr="00DD72AC" w:rsidRDefault="006F6D1D" w:rsidP="00FB1453">
            <w:pPr>
              <w:pStyle w:val="TableText0"/>
              <w:jc w:val="center"/>
              <w:rPr>
                <w:bCs w:val="0"/>
                <w:szCs w:val="20"/>
              </w:rPr>
            </w:pPr>
            <w:r w:rsidRPr="00DD72AC">
              <w:t>43</w:t>
            </w:r>
          </w:p>
        </w:tc>
        <w:tc>
          <w:tcPr>
            <w:tcW w:w="865" w:type="pct"/>
          </w:tcPr>
          <w:p w14:paraId="023B309D" w14:textId="0FF8B780" w:rsidR="006F6D1D" w:rsidRPr="00DD72AC" w:rsidRDefault="006F6D1D" w:rsidP="00FB1453">
            <w:pPr>
              <w:pStyle w:val="TableText0"/>
              <w:jc w:val="center"/>
              <w:rPr>
                <w:bCs w:val="0"/>
                <w:szCs w:val="20"/>
              </w:rPr>
            </w:pPr>
            <w:r w:rsidRPr="00DD72AC">
              <w:rPr>
                <w:bCs w:val="0"/>
                <w:szCs w:val="20"/>
              </w:rPr>
              <w:t>-0.03 (0.11)</w:t>
            </w:r>
          </w:p>
        </w:tc>
        <w:tc>
          <w:tcPr>
            <w:tcW w:w="964" w:type="pct"/>
          </w:tcPr>
          <w:p w14:paraId="33C4A0FF" w14:textId="79AE36AB" w:rsidR="006F6D1D" w:rsidRPr="00DD72AC" w:rsidRDefault="006F6D1D" w:rsidP="00FB1453">
            <w:pPr>
              <w:pStyle w:val="TableText0"/>
              <w:jc w:val="center"/>
            </w:pPr>
            <w:r w:rsidRPr="00DD72AC">
              <w:t>0.01 (-0.15, 0.17)</w:t>
            </w:r>
          </w:p>
        </w:tc>
        <w:tc>
          <w:tcPr>
            <w:tcW w:w="815" w:type="pct"/>
            <w:vMerge w:val="restart"/>
          </w:tcPr>
          <w:p w14:paraId="196125B1" w14:textId="7FD0DF86" w:rsidR="006F6D1D" w:rsidRPr="00DD72AC" w:rsidRDefault="006F6D1D" w:rsidP="00FB1453">
            <w:pPr>
              <w:pStyle w:val="TableText0"/>
              <w:jc w:val="center"/>
            </w:pPr>
            <w:r w:rsidRPr="00DD72AC">
              <w:t>0.30 (0.07, 0.54; p = 0.0110)</w:t>
            </w:r>
          </w:p>
        </w:tc>
      </w:tr>
      <w:tr w:rsidR="006F6D1D" w:rsidRPr="00DD72AC" w14:paraId="5FFA2334" w14:textId="77777777" w:rsidTr="009F39C7">
        <w:tc>
          <w:tcPr>
            <w:tcW w:w="548" w:type="pct"/>
            <w:vMerge/>
          </w:tcPr>
          <w:p w14:paraId="761D7939" w14:textId="77777777" w:rsidR="006F6D1D" w:rsidRPr="00DD72AC" w:rsidRDefault="006F6D1D" w:rsidP="00FB1453">
            <w:pPr>
              <w:pStyle w:val="TableText0"/>
              <w:rPr>
                <w:b/>
                <w:szCs w:val="20"/>
              </w:rPr>
            </w:pPr>
          </w:p>
        </w:tc>
        <w:tc>
          <w:tcPr>
            <w:tcW w:w="471" w:type="pct"/>
            <w:vMerge/>
          </w:tcPr>
          <w:p w14:paraId="63C065FB" w14:textId="77777777" w:rsidR="006F6D1D" w:rsidRPr="00DD72AC" w:rsidRDefault="006F6D1D" w:rsidP="00FB1453">
            <w:pPr>
              <w:pStyle w:val="TableText0"/>
              <w:rPr>
                <w:bCs w:val="0"/>
                <w:szCs w:val="20"/>
              </w:rPr>
            </w:pPr>
          </w:p>
        </w:tc>
        <w:tc>
          <w:tcPr>
            <w:tcW w:w="944" w:type="pct"/>
          </w:tcPr>
          <w:p w14:paraId="67154C23" w14:textId="33012BE9" w:rsidR="006F6D1D" w:rsidRPr="00DD72AC" w:rsidRDefault="006F6D1D" w:rsidP="00FB1453">
            <w:pPr>
              <w:pStyle w:val="TableText0"/>
              <w:jc w:val="center"/>
              <w:rPr>
                <w:bCs w:val="0"/>
                <w:szCs w:val="20"/>
              </w:rPr>
            </w:pPr>
            <w:r w:rsidRPr="00DD72AC">
              <w:t>PBO</w:t>
            </w:r>
          </w:p>
        </w:tc>
        <w:tc>
          <w:tcPr>
            <w:tcW w:w="393" w:type="pct"/>
          </w:tcPr>
          <w:p w14:paraId="3716C184" w14:textId="4EFE5E76" w:rsidR="006F6D1D" w:rsidRPr="00DD72AC" w:rsidRDefault="006F6D1D" w:rsidP="00FB1453">
            <w:pPr>
              <w:pStyle w:val="TableText0"/>
              <w:jc w:val="center"/>
              <w:rPr>
                <w:bCs w:val="0"/>
                <w:szCs w:val="20"/>
              </w:rPr>
            </w:pPr>
            <w:r w:rsidRPr="00DD72AC">
              <w:t>32</w:t>
            </w:r>
          </w:p>
        </w:tc>
        <w:tc>
          <w:tcPr>
            <w:tcW w:w="865" w:type="pct"/>
          </w:tcPr>
          <w:p w14:paraId="7F0AC6E2" w14:textId="0BFBDB93" w:rsidR="006F6D1D" w:rsidRPr="00DD72AC" w:rsidRDefault="006F6D1D" w:rsidP="00FB1453">
            <w:pPr>
              <w:pStyle w:val="TableText0"/>
              <w:jc w:val="center"/>
              <w:rPr>
                <w:bCs w:val="0"/>
                <w:szCs w:val="20"/>
              </w:rPr>
            </w:pPr>
            <w:r w:rsidRPr="00DD72AC">
              <w:rPr>
                <w:bCs w:val="0"/>
                <w:szCs w:val="20"/>
              </w:rPr>
              <w:t>-0.24 (0.11)</w:t>
            </w:r>
          </w:p>
        </w:tc>
        <w:tc>
          <w:tcPr>
            <w:tcW w:w="964" w:type="pct"/>
          </w:tcPr>
          <w:p w14:paraId="5B7CB573" w14:textId="2DC15205" w:rsidR="006F6D1D" w:rsidRPr="00DD72AC" w:rsidRDefault="006F6D1D" w:rsidP="00FB1453">
            <w:pPr>
              <w:pStyle w:val="TableText0"/>
              <w:jc w:val="center"/>
            </w:pPr>
            <w:r w:rsidRPr="00DD72AC">
              <w:t>-0.30 (-0.47, -0.13)</w:t>
            </w:r>
          </w:p>
        </w:tc>
        <w:tc>
          <w:tcPr>
            <w:tcW w:w="815" w:type="pct"/>
            <w:vMerge/>
          </w:tcPr>
          <w:p w14:paraId="5A49E59A" w14:textId="77777777" w:rsidR="006F6D1D" w:rsidRPr="00DD72AC" w:rsidRDefault="006F6D1D" w:rsidP="00FB1453">
            <w:pPr>
              <w:pStyle w:val="TableText0"/>
              <w:jc w:val="center"/>
            </w:pPr>
          </w:p>
        </w:tc>
      </w:tr>
    </w:tbl>
    <w:p w14:paraId="0A9A76D7" w14:textId="360D7B9B" w:rsidR="00AB2BBE" w:rsidRPr="00DD72AC" w:rsidRDefault="00AB2BBE" w:rsidP="00AB2BBE">
      <w:pPr>
        <w:pStyle w:val="PBACTblFignote"/>
        <w:keepNext w:val="0"/>
        <w:keepLines w:val="0"/>
        <w:widowControl w:val="0"/>
      </w:pPr>
      <w:r w:rsidRPr="00DD72AC">
        <w:t>Source: Table</w:t>
      </w:r>
      <w:r w:rsidR="00304310" w:rsidRPr="00DD72AC">
        <w:t xml:space="preserve"> 38, </w:t>
      </w:r>
      <w:r w:rsidR="00441FED" w:rsidRPr="00DD72AC">
        <w:t>41, pp</w:t>
      </w:r>
      <w:r w:rsidR="00304310" w:rsidRPr="00DD72AC">
        <w:t xml:space="preserve">87,91 of the submission. Compiled duration evaluation. </w:t>
      </w:r>
    </w:p>
    <w:p w14:paraId="7BC5EA97" w14:textId="45A75EDA" w:rsidR="00F05A54" w:rsidRPr="00DD72AC" w:rsidRDefault="00AB2BBE" w:rsidP="00AB2BBE">
      <w:pPr>
        <w:pStyle w:val="PBACTblFignote"/>
        <w:keepNext w:val="0"/>
        <w:keepLines w:val="0"/>
        <w:widowControl w:val="0"/>
      </w:pPr>
      <w:r w:rsidRPr="00DD72AC">
        <w:t xml:space="preserve">AGV, annual growth velocity; CI, confidence interval; LS, least square; NA, not applicable; NR, not reported; PBO, placebo; SD, standard deviation; VOS, vosoritide. </w:t>
      </w:r>
    </w:p>
    <w:p w14:paraId="4CEE4006" w14:textId="0B1C0C46" w:rsidR="00721259" w:rsidRPr="00DD72AC" w:rsidRDefault="00721259" w:rsidP="00AB2BBE">
      <w:pPr>
        <w:pStyle w:val="PBACTblFignote"/>
        <w:keepNext w:val="0"/>
        <w:keepLines w:val="0"/>
        <w:widowControl w:val="0"/>
      </w:pPr>
      <w:proofErr w:type="spellStart"/>
      <w:r w:rsidRPr="00DD72AC">
        <w:rPr>
          <w:vertAlign w:val="superscript"/>
        </w:rPr>
        <w:t>a</w:t>
      </w:r>
      <w:r w:rsidRPr="00DD72AC">
        <w:t>At</w:t>
      </w:r>
      <w:proofErr w:type="spellEnd"/>
      <w:r w:rsidRPr="00DD72AC">
        <w:t xml:space="preserve"> the time of interim report, the cohort 2 only had 26 weeks follow up.</w:t>
      </w:r>
    </w:p>
    <w:p w14:paraId="4E0F7ED2" w14:textId="1B643B53" w:rsidR="006F6D1D" w:rsidRPr="00DD72AC" w:rsidRDefault="006F6D1D" w:rsidP="00AB2BBE">
      <w:pPr>
        <w:pStyle w:val="PBACTblFignote"/>
        <w:keepNext w:val="0"/>
        <w:keepLines w:val="0"/>
        <w:widowControl w:val="0"/>
      </w:pPr>
      <w:proofErr w:type="spellStart"/>
      <w:r w:rsidRPr="00DD72AC">
        <w:rPr>
          <w:vertAlign w:val="superscript"/>
        </w:rPr>
        <w:t>b</w:t>
      </w:r>
      <w:r w:rsidRPr="00DD72AC">
        <w:t>Provided</w:t>
      </w:r>
      <w:proofErr w:type="spellEnd"/>
      <w:r w:rsidRPr="00DD72AC">
        <w:t xml:space="preserve"> in attachment to PSCR titled VOXZOGO 206 Study top line results 21/3/22. </w:t>
      </w:r>
    </w:p>
    <w:p w14:paraId="5DFCCC40" w14:textId="74865AE0" w:rsidR="00D461C2" w:rsidRPr="00DD72AC" w:rsidRDefault="00D461C2" w:rsidP="00D461C2">
      <w:pPr>
        <w:pStyle w:val="TableFigureHeading"/>
        <w:rPr>
          <w:rFonts w:eastAsia="SimSun"/>
          <w:sz w:val="18"/>
          <w:szCs w:val="18"/>
        </w:rPr>
      </w:pPr>
      <w:bookmarkStart w:id="27" w:name="_Ref101265543"/>
      <w:r w:rsidRPr="00DD72AC">
        <w:lastRenderedPageBreak/>
        <w:t xml:space="preserve">Figure </w:t>
      </w:r>
      <w:r w:rsidR="00FA023D">
        <w:fldChar w:fldCharType="begin" w:fldLock="1"/>
      </w:r>
      <w:r w:rsidR="00FA023D">
        <w:instrText xml:space="preserve"> SEQ Figure \* ARABIC </w:instrText>
      </w:r>
      <w:r w:rsidR="00FA023D">
        <w:fldChar w:fldCharType="separate"/>
      </w:r>
      <w:r w:rsidR="003136E6" w:rsidRPr="00DD72AC">
        <w:t>1</w:t>
      </w:r>
      <w:r w:rsidR="00FA023D">
        <w:fldChar w:fldCharType="end"/>
      </w:r>
      <w:bookmarkEnd w:id="27"/>
      <w:r w:rsidRPr="00DD72AC">
        <w:t>: AGV over time in 6-month intervals starting in the baseline observation study (111-901) and continuing through the randomised placebo-controlled study for 52 weeks and then into the extension study for a total of 104 weeks (study 111-301/302)</w:t>
      </w:r>
    </w:p>
    <w:p w14:paraId="704E42EE" w14:textId="79E27D10" w:rsidR="00F61574" w:rsidRPr="00DD72AC" w:rsidRDefault="00516430" w:rsidP="00D86231">
      <w:pPr>
        <w:pStyle w:val="TableFigureFooter"/>
        <w:rPr>
          <w:rFonts w:eastAsia="Calibri"/>
        </w:rPr>
      </w:pPr>
      <w:r w:rsidRPr="00DD72AC">
        <w:rPr>
          <w:noProof/>
        </w:rPr>
        <w:drawing>
          <wp:inline distT="0" distB="0" distL="0" distR="0" wp14:anchorId="00E4B89E" wp14:editId="7969242E">
            <wp:extent cx="5732145" cy="3324990"/>
            <wp:effectExtent l="0" t="0" r="1905" b="8890"/>
            <wp:docPr id="11"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line chart&#10;&#10;Description automatically generated"/>
                    <pic:cNvPicPr/>
                  </pic:nvPicPr>
                  <pic:blipFill>
                    <a:blip r:embed="rId8"/>
                    <a:stretch>
                      <a:fillRect/>
                    </a:stretch>
                  </pic:blipFill>
                  <pic:spPr>
                    <a:xfrm>
                      <a:off x="0" y="0"/>
                      <a:ext cx="5732145" cy="3324990"/>
                    </a:xfrm>
                    <a:prstGeom prst="rect">
                      <a:avLst/>
                    </a:prstGeom>
                  </pic:spPr>
                </pic:pic>
              </a:graphicData>
            </a:graphic>
          </wp:inline>
        </w:drawing>
      </w:r>
    </w:p>
    <w:p w14:paraId="68023681" w14:textId="77777777" w:rsidR="00F61574" w:rsidRPr="00DD72AC" w:rsidRDefault="00F61574" w:rsidP="00D86231">
      <w:pPr>
        <w:pStyle w:val="TableFigureFooter"/>
        <w:rPr>
          <w:rFonts w:eastAsia="Calibri"/>
        </w:rPr>
      </w:pPr>
    </w:p>
    <w:p w14:paraId="7BF0F3A4" w14:textId="596C1B04" w:rsidR="00AD3380" w:rsidRPr="00DD72AC" w:rsidRDefault="00AD3380" w:rsidP="00AD3380">
      <w:pPr>
        <w:pStyle w:val="TableFigureFooter"/>
        <w:rPr>
          <w:rFonts w:eastAsia="Calibri"/>
        </w:rPr>
      </w:pPr>
      <w:r w:rsidRPr="00DD72AC">
        <w:rPr>
          <w:rFonts w:eastAsia="Calibri"/>
        </w:rPr>
        <w:t xml:space="preserve">Note: Values are displayed as means and SD. Source: </w:t>
      </w:r>
      <w:proofErr w:type="spellStart"/>
      <w:r w:rsidRPr="00DD72AC">
        <w:rPr>
          <w:rFonts w:eastAsia="Calibri"/>
        </w:rPr>
        <w:t>Savarirayan</w:t>
      </w:r>
      <w:proofErr w:type="spellEnd"/>
      <w:r w:rsidRPr="00DD72AC">
        <w:rPr>
          <w:rFonts w:eastAsia="Calibri"/>
        </w:rPr>
        <w:t xml:space="preserve"> (2021) </w:t>
      </w:r>
    </w:p>
    <w:p w14:paraId="5596E0E9" w14:textId="031FBBD0" w:rsidR="00F61574" w:rsidRPr="00DD72AC" w:rsidRDefault="00F61574" w:rsidP="00D86231">
      <w:pPr>
        <w:pStyle w:val="TableFigureFooter"/>
        <w:rPr>
          <w:rFonts w:eastAsia="Calibri"/>
        </w:rPr>
      </w:pPr>
    </w:p>
    <w:p w14:paraId="7374D860" w14:textId="35F6C1F2" w:rsidR="00EC0CFA" w:rsidRPr="00DD72AC" w:rsidRDefault="00EC0CFA" w:rsidP="00EC0CFA">
      <w:pPr>
        <w:pStyle w:val="Caption"/>
        <w:rPr>
          <w:rFonts w:ascii="Arial Narrow" w:eastAsiaTheme="majorEastAsia" w:hAnsi="Arial Narrow" w:cstheme="majorBidi"/>
          <w:b/>
          <w:bCs/>
          <w:i w:val="0"/>
          <w:iCs w:val="0"/>
          <w:color w:val="auto"/>
          <w:sz w:val="20"/>
          <w:szCs w:val="24"/>
        </w:rPr>
      </w:pPr>
      <w:bookmarkStart w:id="28" w:name="_Ref109052552"/>
      <w:r w:rsidRPr="00DD72AC">
        <w:rPr>
          <w:rFonts w:ascii="Arial Narrow" w:eastAsiaTheme="majorEastAsia" w:hAnsi="Arial Narrow" w:cstheme="majorBidi"/>
          <w:b/>
          <w:bCs/>
          <w:i w:val="0"/>
          <w:iCs w:val="0"/>
          <w:color w:val="auto"/>
          <w:sz w:val="20"/>
          <w:szCs w:val="24"/>
        </w:rPr>
        <w:t xml:space="preserve">Figure </w:t>
      </w:r>
      <w:r w:rsidRPr="00DD72AC">
        <w:rPr>
          <w:rFonts w:ascii="Arial Narrow" w:eastAsiaTheme="majorEastAsia" w:hAnsi="Arial Narrow" w:cstheme="majorBidi"/>
          <w:b/>
          <w:bCs/>
          <w:i w:val="0"/>
          <w:iCs w:val="0"/>
          <w:color w:val="auto"/>
          <w:sz w:val="20"/>
          <w:szCs w:val="24"/>
        </w:rPr>
        <w:fldChar w:fldCharType="begin" w:fldLock="1"/>
      </w:r>
      <w:r w:rsidRPr="00DD72AC">
        <w:rPr>
          <w:rFonts w:ascii="Arial Narrow" w:eastAsiaTheme="majorEastAsia" w:hAnsi="Arial Narrow" w:cstheme="majorBidi"/>
          <w:b/>
          <w:bCs/>
          <w:i w:val="0"/>
          <w:iCs w:val="0"/>
          <w:color w:val="auto"/>
          <w:sz w:val="20"/>
          <w:szCs w:val="24"/>
        </w:rPr>
        <w:instrText xml:space="preserve"> SEQ Figure \* ARABIC </w:instrText>
      </w:r>
      <w:r w:rsidRPr="00DD72AC">
        <w:rPr>
          <w:rFonts w:ascii="Arial Narrow" w:eastAsiaTheme="majorEastAsia" w:hAnsi="Arial Narrow" w:cstheme="majorBidi"/>
          <w:b/>
          <w:bCs/>
          <w:i w:val="0"/>
          <w:iCs w:val="0"/>
          <w:color w:val="auto"/>
          <w:sz w:val="20"/>
          <w:szCs w:val="24"/>
        </w:rPr>
        <w:fldChar w:fldCharType="separate"/>
      </w:r>
      <w:r w:rsidR="003136E6" w:rsidRPr="00DD72AC">
        <w:rPr>
          <w:rFonts w:ascii="Arial Narrow" w:eastAsiaTheme="majorEastAsia" w:hAnsi="Arial Narrow" w:cstheme="majorBidi"/>
          <w:b/>
          <w:bCs/>
          <w:i w:val="0"/>
          <w:iCs w:val="0"/>
          <w:color w:val="auto"/>
          <w:sz w:val="20"/>
          <w:szCs w:val="24"/>
        </w:rPr>
        <w:t>2</w:t>
      </w:r>
      <w:r w:rsidRPr="00DD72AC">
        <w:rPr>
          <w:rFonts w:ascii="Arial Narrow" w:eastAsiaTheme="majorEastAsia" w:hAnsi="Arial Narrow" w:cstheme="majorBidi"/>
          <w:b/>
          <w:bCs/>
          <w:i w:val="0"/>
          <w:iCs w:val="0"/>
          <w:color w:val="auto"/>
          <w:sz w:val="20"/>
          <w:szCs w:val="24"/>
        </w:rPr>
        <w:fldChar w:fldCharType="end"/>
      </w:r>
      <w:bookmarkEnd w:id="28"/>
      <w:r w:rsidR="00B66A4F" w:rsidRPr="00DD72AC">
        <w:rPr>
          <w:rFonts w:ascii="Arial Narrow" w:eastAsiaTheme="majorEastAsia" w:hAnsi="Arial Narrow" w:cstheme="majorBidi"/>
          <w:b/>
          <w:bCs/>
          <w:i w:val="0"/>
          <w:iCs w:val="0"/>
          <w:color w:val="auto"/>
          <w:sz w:val="20"/>
          <w:szCs w:val="24"/>
        </w:rPr>
        <w:t>:</w:t>
      </w:r>
      <w:r w:rsidRPr="00DD72AC">
        <w:rPr>
          <w:rFonts w:ascii="Arial Narrow" w:eastAsiaTheme="majorEastAsia" w:hAnsi="Arial Narrow" w:cstheme="majorBidi"/>
          <w:b/>
          <w:bCs/>
          <w:i w:val="0"/>
          <w:iCs w:val="0"/>
          <w:color w:val="auto"/>
          <w:sz w:val="20"/>
          <w:szCs w:val="24"/>
        </w:rPr>
        <w:t xml:space="preserve"> </w:t>
      </w:r>
      <w:r w:rsidR="00B66A4F" w:rsidRPr="00DD72AC">
        <w:rPr>
          <w:rFonts w:ascii="Arial Narrow" w:eastAsiaTheme="majorEastAsia" w:hAnsi="Arial Narrow" w:cstheme="majorBidi"/>
          <w:b/>
          <w:bCs/>
          <w:i w:val="0"/>
          <w:iCs w:val="0"/>
          <w:color w:val="auto"/>
          <w:sz w:val="20"/>
          <w:szCs w:val="24"/>
        </w:rPr>
        <w:t xml:space="preserve">Change in height z-score in Study </w:t>
      </w:r>
      <w:r w:rsidR="00B66A4F" w:rsidRPr="00DD72AC" w:rsidDel="006C2058">
        <w:rPr>
          <w:rFonts w:ascii="Arial Narrow" w:eastAsiaTheme="majorEastAsia" w:hAnsi="Arial Narrow" w:cstheme="majorBidi"/>
          <w:b/>
          <w:bCs/>
          <w:i w:val="0"/>
          <w:iCs w:val="0"/>
          <w:color w:val="auto"/>
          <w:sz w:val="20"/>
          <w:szCs w:val="24"/>
        </w:rPr>
        <w:t>111-206</w:t>
      </w:r>
      <w:r w:rsidR="00B66A4F" w:rsidRPr="00DD72AC">
        <w:rPr>
          <w:rFonts w:ascii="Arial Narrow" w:eastAsiaTheme="majorEastAsia" w:hAnsi="Arial Narrow" w:cstheme="majorBidi"/>
          <w:b/>
          <w:bCs/>
          <w:i w:val="0"/>
          <w:iCs w:val="0"/>
          <w:color w:val="auto"/>
          <w:sz w:val="20"/>
          <w:szCs w:val="24"/>
        </w:rPr>
        <w:t xml:space="preserve"> by cohort</w:t>
      </w:r>
    </w:p>
    <w:p w14:paraId="69148D71" w14:textId="1DC53389" w:rsidR="00EC0CFA" w:rsidRPr="00DD72AC" w:rsidRDefault="00B66A4F" w:rsidP="00EC0CFA">
      <w:r w:rsidRPr="00DD72AC">
        <w:rPr>
          <w:noProof/>
        </w:rPr>
        <w:drawing>
          <wp:inline distT="0" distB="0" distL="0" distR="0" wp14:anchorId="3156DBDF" wp14:editId="764C9342">
            <wp:extent cx="5336931" cy="1949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5378749" cy="1965015"/>
                    </a:xfrm>
                    <a:prstGeom prst="rect">
                      <a:avLst/>
                    </a:prstGeom>
                  </pic:spPr>
                </pic:pic>
              </a:graphicData>
            </a:graphic>
          </wp:inline>
        </w:drawing>
      </w:r>
    </w:p>
    <w:p w14:paraId="518C0AFE" w14:textId="258D4601" w:rsidR="00B66A4F" w:rsidRPr="00DD72AC" w:rsidRDefault="00B66A4F" w:rsidP="00D86231">
      <w:pPr>
        <w:pStyle w:val="TableFigureFooter"/>
        <w:rPr>
          <w:rFonts w:eastAsia="Calibri"/>
        </w:rPr>
      </w:pPr>
      <w:r w:rsidRPr="00DD72AC">
        <w:rPr>
          <w:rFonts w:eastAsia="Calibri"/>
        </w:rPr>
        <w:t>Source: Figure 1 pre-PBAC response (p1)</w:t>
      </w:r>
    </w:p>
    <w:p w14:paraId="1612E0B8" w14:textId="2C6F0FA1" w:rsidR="00EC0CFA" w:rsidRPr="00DD72AC" w:rsidRDefault="00B66A4F" w:rsidP="00D86231">
      <w:pPr>
        <w:pStyle w:val="TableFigureFooter"/>
        <w:rPr>
          <w:rFonts w:eastAsia="Calibri"/>
        </w:rPr>
      </w:pPr>
      <w:r w:rsidRPr="00DD72AC">
        <w:t>Cohort 1= Ages 24 to &lt;60 months; n=35, 4 sentinels 31 randomised; Cohort 2 = Ages 6 to &lt;24 months; n =20, 4 sentinels 16 randomised; Cohort 3 = Ages 0 to &lt;6 months; n = 20, 3 sentinels 17 randomised</w:t>
      </w:r>
      <w:r w:rsidR="008771C8" w:rsidRPr="00DD72AC">
        <w:t>.</w:t>
      </w:r>
    </w:p>
    <w:p w14:paraId="7BE94562" w14:textId="77777777" w:rsidR="006C2058" w:rsidRPr="00DD72AC" w:rsidRDefault="006C2058" w:rsidP="00D86231">
      <w:pPr>
        <w:pStyle w:val="TableFigureFooter"/>
        <w:rPr>
          <w:rFonts w:eastAsia="Calibri"/>
        </w:rPr>
      </w:pPr>
    </w:p>
    <w:p w14:paraId="1452C351" w14:textId="0D19F1B0" w:rsidR="00B60939" w:rsidRPr="00DD72AC" w:rsidRDefault="00B60939" w:rsidP="00D86231">
      <w:pPr>
        <w:pStyle w:val="4-SubsectionHeading"/>
      </w:pPr>
      <w:bookmarkStart w:id="29" w:name="_Toc22897642"/>
      <w:bookmarkStart w:id="30" w:name="_Toc103776182"/>
      <w:r w:rsidRPr="00DD72AC">
        <w:t>Comparative harms</w:t>
      </w:r>
      <w:bookmarkEnd w:id="29"/>
      <w:bookmarkEnd w:id="30"/>
    </w:p>
    <w:p w14:paraId="4BCB0C11" w14:textId="60DFC51C" w:rsidR="00190C7A" w:rsidRPr="00DD72AC" w:rsidRDefault="0079692B" w:rsidP="00F07296">
      <w:pPr>
        <w:pStyle w:val="3-BodyText"/>
      </w:pPr>
      <w:r w:rsidRPr="00DD72AC">
        <w:t>Comparative s</w:t>
      </w:r>
      <w:r w:rsidR="00C95061" w:rsidRPr="00DD72AC">
        <w:t xml:space="preserve">afety data </w:t>
      </w:r>
      <w:r w:rsidR="00866EF6" w:rsidRPr="00DD72AC">
        <w:t xml:space="preserve">are </w:t>
      </w:r>
      <w:r w:rsidRPr="00DD72AC">
        <w:t xml:space="preserve">only available </w:t>
      </w:r>
      <w:r w:rsidR="00A05D42" w:rsidRPr="00DD72AC">
        <w:t xml:space="preserve">in </w:t>
      </w:r>
      <w:r w:rsidR="00881B08" w:rsidRPr="00DD72AC">
        <w:t>Study</w:t>
      </w:r>
      <w:r w:rsidRPr="00DD72AC">
        <w:t xml:space="preserve"> </w:t>
      </w:r>
      <w:r w:rsidR="004423FC" w:rsidRPr="00DD72AC">
        <w:t xml:space="preserve">111-301 </w:t>
      </w:r>
      <w:r w:rsidRPr="00DD72AC">
        <w:t xml:space="preserve">and </w:t>
      </w:r>
      <w:r w:rsidR="00161F3E" w:rsidRPr="00DD72AC">
        <w:t xml:space="preserve">are </w:t>
      </w:r>
      <w:r w:rsidR="004423FC" w:rsidRPr="00DD72AC">
        <w:t>summarised in</w:t>
      </w:r>
      <w:r w:rsidR="004B48C3" w:rsidRPr="00DD72AC">
        <w:t xml:space="preserve"> </w:t>
      </w:r>
      <w:r w:rsidR="004B48C3" w:rsidRPr="00DD72AC">
        <w:fldChar w:fldCharType="begin" w:fldLock="1"/>
      </w:r>
      <w:r w:rsidR="004B48C3" w:rsidRPr="00DD72AC">
        <w:instrText xml:space="preserve"> REF _Ref101265589 \h </w:instrText>
      </w:r>
      <w:r w:rsidR="004B48C3" w:rsidRPr="00DD72AC">
        <w:fldChar w:fldCharType="separate"/>
      </w:r>
      <w:r w:rsidR="0080776A" w:rsidRPr="00DD72AC">
        <w:t>Table 5</w:t>
      </w:r>
      <w:r w:rsidR="004B48C3" w:rsidRPr="00DD72AC">
        <w:fldChar w:fldCharType="end"/>
      </w:r>
      <w:r w:rsidR="00F63B2D" w:rsidRPr="00DD72AC">
        <w:t xml:space="preserve">. </w:t>
      </w:r>
      <w:r w:rsidR="000F1344" w:rsidRPr="00DD72AC">
        <w:t xml:space="preserve">The majority of AEs reported in study </w:t>
      </w:r>
      <w:r w:rsidR="00161F3E" w:rsidRPr="00DD72AC">
        <w:t>111-301</w:t>
      </w:r>
      <w:r w:rsidR="00881B08" w:rsidRPr="00DD72AC">
        <w:t xml:space="preserve"> </w:t>
      </w:r>
      <w:r w:rsidR="000F1344" w:rsidRPr="00DD72AC">
        <w:t xml:space="preserve">were Grade 1 (mild) or Grade 2 in both groups (96.7% and 39.3% in the placebo group, respectively, </w:t>
      </w:r>
      <w:r w:rsidR="000F1344" w:rsidRPr="00DD72AC">
        <w:lastRenderedPageBreak/>
        <w:t>96.7% and 31.7% in the vosoritide group, respectively). Grade 3 AEs were reported less frequently, with 4.92% and 5% of subjects in the placebo and vosoritide groups, respectively. No Grade 4 AEs or deaths were reported.</w:t>
      </w:r>
    </w:p>
    <w:p w14:paraId="254F4F63" w14:textId="7C339463" w:rsidR="00870440" w:rsidRPr="00DD72AC" w:rsidRDefault="001E2E19" w:rsidP="00D86231">
      <w:pPr>
        <w:pStyle w:val="3-BodyText"/>
      </w:pPr>
      <w:r w:rsidRPr="00DD72AC">
        <w:t>The most common AEs (&gt;20% in either treatment group) were injection site reaction (73.33% for vosoritide versus 47.54% for placebo), injection site erythema (68.33% versus 65.57%), and injection site swelling (38.33% versus 9.84%), nasopharyngitis (26.67% versus 29.51%), vomiting (26.67% versus 19.67%), headache (23.33% versus 26.23%), and pyrexia (16.67% versus 21.31%). Based on post hoc analyses of the odds ratio (OR), relative risk (RR) and risk difference (RD) and a p-value of less than 0.05 in each case, statistically significantly more patients in the vosoritide group than in the placebo arm reported: injection site reaction (73.33% vs</w:t>
      </w:r>
      <w:r w:rsidR="00A2459D" w:rsidRPr="00DD72AC">
        <w:t>.</w:t>
      </w:r>
      <w:r w:rsidRPr="00DD72AC">
        <w:t xml:space="preserve"> 47.54%; OR=3.03 [95% CI: 1.42, 6.5]); and injection site swelling (38.33% vs</w:t>
      </w:r>
      <w:r w:rsidR="00A2459D" w:rsidRPr="00DD72AC">
        <w:t>.</w:t>
      </w:r>
      <w:r w:rsidRPr="00DD72AC">
        <w:t xml:space="preserve"> 9.84%; OR=5.7 [95% CI: 2.12, 15.34]). </w:t>
      </w:r>
      <w:r w:rsidR="00A2459D" w:rsidRPr="00DD72AC">
        <w:t>B</w:t>
      </w:r>
      <w:r w:rsidRPr="00DD72AC">
        <w:t xml:space="preserve">oth study groups received daily SC injections so there is a lack of ability to determine magnitude of impact of injection related AEs compared to the absence of daily injections (as would be seen with BSC). </w:t>
      </w:r>
      <w:r w:rsidR="00F37251" w:rsidRPr="00DD72AC">
        <w:t xml:space="preserve">The PSCR argued that all of these injection site events were transient, non-serious and the majority of events resolved without intervention and that no subjects discontinued from treatment due to injection site-related events. </w:t>
      </w:r>
      <w:r w:rsidR="00D45E9D" w:rsidRPr="00DD72AC">
        <w:t xml:space="preserve">The ESC considered additional information on the impact of vosoritide on other complications that may impact on </w:t>
      </w:r>
      <w:r w:rsidR="00414578" w:rsidRPr="00DD72AC">
        <w:t>QoL</w:t>
      </w:r>
      <w:r w:rsidR="00D45E9D" w:rsidRPr="00DD72AC">
        <w:t xml:space="preserve"> such as pain, otitis media and sleep apnoea may be informative. </w:t>
      </w:r>
    </w:p>
    <w:p w14:paraId="0F377102" w14:textId="6B36927D" w:rsidR="00901EB2" w:rsidRPr="00DD72AC" w:rsidRDefault="009B0FB0" w:rsidP="00901EB2">
      <w:pPr>
        <w:pStyle w:val="3-BodyText"/>
      </w:pPr>
      <w:r w:rsidRPr="00DD72AC">
        <w:t>T</w:t>
      </w:r>
      <w:r w:rsidR="00901EB2" w:rsidRPr="00DD72AC">
        <w:t xml:space="preserve">here were no </w:t>
      </w:r>
      <w:r w:rsidR="00C32F96" w:rsidRPr="00DD72AC">
        <w:t xml:space="preserve">drug-related </w:t>
      </w:r>
      <w:r w:rsidR="00901EB2" w:rsidRPr="00DD72AC">
        <w:t xml:space="preserve">SAEs or Grade 3 or higher drug-related AEs for 5-18 years old according to study 111-301 and 111-302. For 0 to &lt;5 years old, no drug-related SAEs or death were reported for subjects in </w:t>
      </w:r>
      <w:r w:rsidR="004029E4" w:rsidRPr="00DD72AC">
        <w:t xml:space="preserve">treatment </w:t>
      </w:r>
      <w:r w:rsidR="00901EB2" w:rsidRPr="00DD72AC">
        <w:t>Cohorts 1 and 2</w:t>
      </w:r>
      <w:r w:rsidR="004029E4" w:rsidRPr="00DD72AC">
        <w:t xml:space="preserve"> (study </w:t>
      </w:r>
      <w:r w:rsidR="00C77ABD" w:rsidRPr="00DD72AC">
        <w:t>111-206)</w:t>
      </w:r>
      <w:r w:rsidR="00901EB2" w:rsidRPr="00DD72AC">
        <w:t xml:space="preserve">. </w:t>
      </w:r>
    </w:p>
    <w:p w14:paraId="035E222A" w14:textId="77A4C983" w:rsidR="00E31059" w:rsidRPr="00DD72AC" w:rsidRDefault="00173565" w:rsidP="00510736">
      <w:pPr>
        <w:pStyle w:val="TableFigureHeading"/>
      </w:pPr>
      <w:bookmarkStart w:id="31" w:name="_Ref101265589"/>
      <w:bookmarkStart w:id="32" w:name="_Ref101265585"/>
      <w:r w:rsidRPr="00DD72AC">
        <w:lastRenderedPageBreak/>
        <w:t xml:space="preserve">Table </w:t>
      </w:r>
      <w:r w:rsidRPr="00DD72AC">
        <w:fldChar w:fldCharType="begin" w:fldLock="1"/>
      </w:r>
      <w:r w:rsidRPr="00DD72AC">
        <w:instrText>SEQ Table \* ARABIC</w:instrText>
      </w:r>
      <w:r w:rsidRPr="00DD72AC">
        <w:fldChar w:fldCharType="separate"/>
      </w:r>
      <w:r w:rsidR="003136E6" w:rsidRPr="00DD72AC">
        <w:t>5</w:t>
      </w:r>
      <w:r w:rsidRPr="00DD72AC">
        <w:fldChar w:fldCharType="end"/>
      </w:r>
      <w:bookmarkEnd w:id="31"/>
      <w:r w:rsidR="005D26B4" w:rsidRPr="00DD72AC">
        <w:rPr>
          <w:rStyle w:val="CommentReference"/>
          <w:b/>
          <w:szCs w:val="24"/>
        </w:rPr>
        <w:t>:</w:t>
      </w:r>
      <w:r w:rsidR="00BC591F" w:rsidRPr="00DD72AC">
        <w:rPr>
          <w:rStyle w:val="CommentReference"/>
          <w:b/>
          <w:szCs w:val="24"/>
        </w:rPr>
        <w:t xml:space="preserve"> </w:t>
      </w:r>
      <w:r w:rsidR="00834B34" w:rsidRPr="00DD72AC">
        <w:rPr>
          <w:rStyle w:val="CommentReference"/>
          <w:b/>
          <w:szCs w:val="24"/>
        </w:rPr>
        <w:t xml:space="preserve">Summary of key adverse events in the </w:t>
      </w:r>
      <w:r w:rsidR="00881B08" w:rsidRPr="00DD72AC">
        <w:rPr>
          <w:rStyle w:val="CommentReference"/>
          <w:b/>
          <w:szCs w:val="24"/>
        </w:rPr>
        <w:t>Study</w:t>
      </w:r>
      <w:r w:rsidR="00834B34" w:rsidRPr="00DD72AC">
        <w:rPr>
          <w:rStyle w:val="CommentReference"/>
          <w:b/>
          <w:szCs w:val="24"/>
        </w:rPr>
        <w:t xml:space="preserve"> 111-301</w:t>
      </w:r>
      <w:bookmarkEnd w:id="32"/>
    </w:p>
    <w:tbl>
      <w:tblPr>
        <w:tblW w:w="5000" w:type="pct"/>
        <w:tblLook w:val="04A0" w:firstRow="1" w:lastRow="0" w:firstColumn="1" w:lastColumn="0" w:noHBand="0" w:noVBand="1"/>
        <w:tblCaption w:val="Table 5: Summary of key adverse events in the Study 111-301"/>
      </w:tblPr>
      <w:tblGrid>
        <w:gridCol w:w="1701"/>
        <w:gridCol w:w="1417"/>
        <w:gridCol w:w="1419"/>
        <w:gridCol w:w="1495"/>
        <w:gridCol w:w="1495"/>
        <w:gridCol w:w="1489"/>
      </w:tblGrid>
      <w:tr w:rsidR="00F312AF" w:rsidRPr="00DD72AC" w14:paraId="2342AE02" w14:textId="77777777" w:rsidTr="00CE4505">
        <w:trPr>
          <w:trHeight w:val="255"/>
        </w:trPr>
        <w:tc>
          <w:tcPr>
            <w:tcW w:w="94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FBA7180"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TEAEs</w:t>
            </w:r>
          </w:p>
        </w:tc>
        <w:tc>
          <w:tcPr>
            <w:tcW w:w="786" w:type="pct"/>
            <w:tcBorders>
              <w:top w:val="single" w:sz="4" w:space="0" w:color="auto"/>
              <w:left w:val="nil"/>
              <w:bottom w:val="single" w:sz="4" w:space="0" w:color="auto"/>
              <w:right w:val="nil"/>
            </w:tcBorders>
            <w:shd w:val="clear" w:color="auto" w:fill="auto"/>
            <w:hideMark/>
          </w:tcPr>
          <w:p w14:paraId="6EA10B85"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VOS (N=60)</w:t>
            </w:r>
          </w:p>
        </w:tc>
        <w:tc>
          <w:tcPr>
            <w:tcW w:w="787" w:type="pct"/>
            <w:tcBorders>
              <w:top w:val="single" w:sz="4" w:space="0" w:color="auto"/>
              <w:left w:val="single" w:sz="4" w:space="0" w:color="auto"/>
              <w:bottom w:val="single" w:sz="4" w:space="0" w:color="auto"/>
              <w:right w:val="nil"/>
            </w:tcBorders>
            <w:shd w:val="clear" w:color="auto" w:fill="auto"/>
            <w:hideMark/>
          </w:tcPr>
          <w:p w14:paraId="3343ED38"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Placebo (N=61)</w:t>
            </w:r>
          </w:p>
        </w:tc>
        <w:tc>
          <w:tcPr>
            <w:tcW w:w="829" w:type="pct"/>
            <w:tcBorders>
              <w:top w:val="single" w:sz="4" w:space="0" w:color="auto"/>
              <w:left w:val="single" w:sz="4" w:space="0" w:color="auto"/>
              <w:bottom w:val="single" w:sz="4" w:space="0" w:color="000000"/>
              <w:right w:val="single" w:sz="4" w:space="0" w:color="auto"/>
            </w:tcBorders>
            <w:shd w:val="clear" w:color="auto" w:fill="auto"/>
            <w:hideMark/>
          </w:tcPr>
          <w:p w14:paraId="4FF05994"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OR [95% CI]</w:t>
            </w:r>
          </w:p>
        </w:tc>
        <w:tc>
          <w:tcPr>
            <w:tcW w:w="829" w:type="pct"/>
            <w:tcBorders>
              <w:top w:val="single" w:sz="4" w:space="0" w:color="auto"/>
              <w:left w:val="single" w:sz="4" w:space="0" w:color="auto"/>
              <w:bottom w:val="single" w:sz="4" w:space="0" w:color="000000"/>
              <w:right w:val="single" w:sz="4" w:space="0" w:color="auto"/>
            </w:tcBorders>
            <w:shd w:val="clear" w:color="auto" w:fill="auto"/>
            <w:hideMark/>
          </w:tcPr>
          <w:p w14:paraId="52A9739B"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RR [95% CI]</w:t>
            </w:r>
          </w:p>
        </w:tc>
        <w:tc>
          <w:tcPr>
            <w:tcW w:w="826" w:type="pct"/>
            <w:tcBorders>
              <w:top w:val="single" w:sz="4" w:space="0" w:color="auto"/>
              <w:left w:val="single" w:sz="4" w:space="0" w:color="auto"/>
              <w:bottom w:val="single" w:sz="4" w:space="0" w:color="000000"/>
              <w:right w:val="single" w:sz="4" w:space="0" w:color="auto"/>
            </w:tcBorders>
            <w:shd w:val="clear" w:color="auto" w:fill="auto"/>
          </w:tcPr>
          <w:p w14:paraId="49C4F047"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RD [95% CI]</w:t>
            </w:r>
          </w:p>
        </w:tc>
      </w:tr>
      <w:tr w:rsidR="00F312AF" w:rsidRPr="00DD72AC" w14:paraId="7EFB5DD6" w14:textId="77777777" w:rsidTr="00CE4505">
        <w:trPr>
          <w:trHeight w:val="300"/>
        </w:trPr>
        <w:tc>
          <w:tcPr>
            <w:tcW w:w="94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01A50E0" w14:textId="77777777" w:rsidR="00F312AF" w:rsidRPr="00DD72AC" w:rsidRDefault="00F312AF" w:rsidP="00CE4505">
            <w:pPr>
              <w:keepNext/>
              <w:keepLines/>
              <w:suppressLineNumbers/>
              <w:spacing w:after="40"/>
              <w:jc w:val="left"/>
              <w:textboxTightWrap w:val="allLines"/>
              <w:rPr>
                <w:rFonts w:ascii="Arial Narrow" w:hAnsi="Arial Narrow"/>
                <w:b/>
                <w:bCs/>
                <w:sz w:val="20"/>
              </w:rPr>
            </w:pPr>
          </w:p>
        </w:tc>
        <w:tc>
          <w:tcPr>
            <w:tcW w:w="786" w:type="pct"/>
            <w:tcBorders>
              <w:top w:val="single" w:sz="4" w:space="0" w:color="auto"/>
              <w:left w:val="nil"/>
              <w:bottom w:val="single" w:sz="4" w:space="0" w:color="auto"/>
              <w:right w:val="single" w:sz="4" w:space="0" w:color="auto"/>
            </w:tcBorders>
            <w:shd w:val="clear" w:color="auto" w:fill="auto"/>
            <w:hideMark/>
          </w:tcPr>
          <w:p w14:paraId="1C9D8C86" w14:textId="25D0E296"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 xml:space="preserve">n </w:t>
            </w:r>
            <w:r w:rsidR="00DA00D6" w:rsidRPr="00DD72AC">
              <w:rPr>
                <w:rFonts w:ascii="Arial Narrow" w:hAnsi="Arial Narrow"/>
                <w:b/>
                <w:bCs/>
                <w:sz w:val="20"/>
              </w:rPr>
              <w:t xml:space="preserve">with event/N </w:t>
            </w:r>
            <w:r w:rsidRPr="00DD72AC">
              <w:rPr>
                <w:rFonts w:ascii="Arial Narrow" w:hAnsi="Arial Narrow"/>
                <w:b/>
                <w:bCs/>
                <w:sz w:val="20"/>
              </w:rPr>
              <w:t>(%)</w:t>
            </w:r>
          </w:p>
        </w:tc>
        <w:tc>
          <w:tcPr>
            <w:tcW w:w="787" w:type="pct"/>
            <w:tcBorders>
              <w:top w:val="single" w:sz="4" w:space="0" w:color="auto"/>
              <w:left w:val="nil"/>
              <w:bottom w:val="single" w:sz="4" w:space="0" w:color="auto"/>
              <w:right w:val="single" w:sz="4" w:space="0" w:color="auto"/>
            </w:tcBorders>
            <w:shd w:val="clear" w:color="auto" w:fill="auto"/>
            <w:hideMark/>
          </w:tcPr>
          <w:p w14:paraId="6324C0C7" w14:textId="2D6B9472"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 xml:space="preserve">n </w:t>
            </w:r>
            <w:r w:rsidR="00DA00D6" w:rsidRPr="00DD72AC">
              <w:rPr>
                <w:rFonts w:ascii="Arial Narrow" w:hAnsi="Arial Narrow"/>
                <w:b/>
                <w:bCs/>
                <w:sz w:val="20"/>
              </w:rPr>
              <w:t>with event/</w:t>
            </w:r>
            <w:r w:rsidR="00913778" w:rsidRPr="00DD72AC">
              <w:rPr>
                <w:rFonts w:ascii="Arial Narrow" w:hAnsi="Arial Narrow"/>
                <w:b/>
                <w:bCs/>
                <w:sz w:val="20"/>
              </w:rPr>
              <w:t xml:space="preserve">N </w:t>
            </w:r>
            <w:r w:rsidRPr="00DD72AC">
              <w:rPr>
                <w:rFonts w:ascii="Arial Narrow" w:hAnsi="Arial Narrow"/>
                <w:b/>
                <w:bCs/>
                <w:sz w:val="20"/>
              </w:rPr>
              <w:t>(%)</w:t>
            </w:r>
          </w:p>
        </w:tc>
        <w:tc>
          <w:tcPr>
            <w:tcW w:w="1658" w:type="pct"/>
            <w:gridSpan w:val="2"/>
            <w:tcBorders>
              <w:top w:val="single" w:sz="4" w:space="0" w:color="auto"/>
              <w:left w:val="single" w:sz="4" w:space="0" w:color="auto"/>
              <w:bottom w:val="single" w:sz="4" w:space="0" w:color="000000"/>
              <w:right w:val="single" w:sz="4" w:space="0" w:color="auto"/>
            </w:tcBorders>
            <w:shd w:val="clear" w:color="auto" w:fill="auto"/>
          </w:tcPr>
          <w:p w14:paraId="140472CE"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OR / RR &lt; 1 favours VOS</w:t>
            </w:r>
          </w:p>
        </w:tc>
        <w:tc>
          <w:tcPr>
            <w:tcW w:w="826" w:type="pct"/>
            <w:tcBorders>
              <w:top w:val="single" w:sz="4" w:space="0" w:color="auto"/>
              <w:left w:val="single" w:sz="4" w:space="0" w:color="auto"/>
              <w:bottom w:val="single" w:sz="4" w:space="0" w:color="000000"/>
              <w:right w:val="single" w:sz="4" w:space="0" w:color="auto"/>
            </w:tcBorders>
            <w:shd w:val="clear" w:color="auto" w:fill="auto"/>
          </w:tcPr>
          <w:p w14:paraId="09B4FA84"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RD &lt; 1 favours VOS</w:t>
            </w:r>
          </w:p>
        </w:tc>
      </w:tr>
      <w:tr w:rsidR="00F312AF" w:rsidRPr="00DD72AC" w14:paraId="529D245F" w14:textId="77777777" w:rsidTr="00CE4505">
        <w:trPr>
          <w:trHeight w:val="145"/>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0C4BCA50"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All cause TEAEs</w:t>
            </w:r>
          </w:p>
        </w:tc>
      </w:tr>
      <w:tr w:rsidR="00F312AF" w:rsidRPr="00DD72AC" w14:paraId="244E9773" w14:textId="77777777" w:rsidTr="00CE4505">
        <w:trPr>
          <w:trHeight w:val="300"/>
        </w:trPr>
        <w:tc>
          <w:tcPr>
            <w:tcW w:w="943" w:type="pct"/>
            <w:tcBorders>
              <w:top w:val="nil"/>
              <w:left w:val="single" w:sz="4" w:space="0" w:color="auto"/>
              <w:bottom w:val="single" w:sz="4" w:space="0" w:color="auto"/>
              <w:right w:val="single" w:sz="4" w:space="0" w:color="auto"/>
            </w:tcBorders>
            <w:shd w:val="clear" w:color="auto" w:fill="auto"/>
            <w:hideMark/>
          </w:tcPr>
          <w:p w14:paraId="71892B0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Any TEAE</w:t>
            </w:r>
          </w:p>
        </w:tc>
        <w:tc>
          <w:tcPr>
            <w:tcW w:w="786" w:type="pct"/>
            <w:tcBorders>
              <w:top w:val="nil"/>
              <w:left w:val="nil"/>
              <w:bottom w:val="single" w:sz="4" w:space="0" w:color="auto"/>
              <w:right w:val="single" w:sz="4" w:space="0" w:color="auto"/>
            </w:tcBorders>
            <w:shd w:val="clear" w:color="auto" w:fill="auto"/>
          </w:tcPr>
          <w:p w14:paraId="36446F34"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59/60 (98.33%)</w:t>
            </w:r>
          </w:p>
        </w:tc>
        <w:tc>
          <w:tcPr>
            <w:tcW w:w="787" w:type="pct"/>
            <w:tcBorders>
              <w:top w:val="nil"/>
              <w:left w:val="nil"/>
              <w:bottom w:val="single" w:sz="4" w:space="0" w:color="auto"/>
              <w:right w:val="single" w:sz="4" w:space="0" w:color="auto"/>
            </w:tcBorders>
            <w:shd w:val="clear" w:color="auto" w:fill="auto"/>
          </w:tcPr>
          <w:p w14:paraId="7A6AF8A0"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60/61 (98.36%)</w:t>
            </w:r>
          </w:p>
        </w:tc>
        <w:tc>
          <w:tcPr>
            <w:tcW w:w="829" w:type="pct"/>
            <w:tcBorders>
              <w:top w:val="nil"/>
              <w:left w:val="nil"/>
              <w:bottom w:val="single" w:sz="4" w:space="0" w:color="auto"/>
              <w:right w:val="single" w:sz="4" w:space="0" w:color="auto"/>
            </w:tcBorders>
            <w:shd w:val="clear" w:color="auto" w:fill="auto"/>
          </w:tcPr>
          <w:p w14:paraId="74D1110D"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0.98 [0.06, 16.09]</w:t>
            </w:r>
          </w:p>
        </w:tc>
        <w:tc>
          <w:tcPr>
            <w:tcW w:w="829" w:type="pct"/>
            <w:tcBorders>
              <w:top w:val="nil"/>
              <w:left w:val="nil"/>
              <w:bottom w:val="single" w:sz="4" w:space="0" w:color="auto"/>
              <w:right w:val="single" w:sz="4" w:space="0" w:color="auto"/>
            </w:tcBorders>
            <w:shd w:val="clear" w:color="auto" w:fill="auto"/>
          </w:tcPr>
          <w:p w14:paraId="1388148A"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1.00 [0.95, 1.05]</w:t>
            </w:r>
          </w:p>
        </w:tc>
        <w:tc>
          <w:tcPr>
            <w:tcW w:w="826" w:type="pct"/>
            <w:tcBorders>
              <w:top w:val="nil"/>
              <w:left w:val="nil"/>
              <w:bottom w:val="single" w:sz="4" w:space="0" w:color="auto"/>
              <w:right w:val="single" w:sz="4" w:space="0" w:color="auto"/>
            </w:tcBorders>
            <w:shd w:val="clear" w:color="auto" w:fill="auto"/>
          </w:tcPr>
          <w:p w14:paraId="6688AC80"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[-0.05, 0.05]</w:t>
            </w:r>
          </w:p>
        </w:tc>
      </w:tr>
      <w:tr w:rsidR="00F312AF" w:rsidRPr="00DD72AC" w14:paraId="6E5520EE" w14:textId="77777777" w:rsidTr="00CE4505">
        <w:trPr>
          <w:trHeight w:val="300"/>
        </w:trPr>
        <w:tc>
          <w:tcPr>
            <w:tcW w:w="943" w:type="pct"/>
            <w:tcBorders>
              <w:top w:val="nil"/>
              <w:left w:val="single" w:sz="4" w:space="0" w:color="auto"/>
              <w:bottom w:val="single" w:sz="4" w:space="0" w:color="auto"/>
              <w:right w:val="single" w:sz="4" w:space="0" w:color="auto"/>
            </w:tcBorders>
            <w:shd w:val="clear" w:color="auto" w:fill="auto"/>
            <w:hideMark/>
          </w:tcPr>
          <w:p w14:paraId="7614CE4C"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Any SAE</w:t>
            </w:r>
          </w:p>
        </w:tc>
        <w:tc>
          <w:tcPr>
            <w:tcW w:w="786" w:type="pct"/>
            <w:tcBorders>
              <w:top w:val="nil"/>
              <w:left w:val="nil"/>
              <w:bottom w:val="single" w:sz="4" w:space="0" w:color="auto"/>
              <w:right w:val="single" w:sz="4" w:space="0" w:color="auto"/>
            </w:tcBorders>
            <w:shd w:val="clear" w:color="auto" w:fill="auto"/>
          </w:tcPr>
          <w:p w14:paraId="173B2A4E"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3/60 (5.00%)</w:t>
            </w:r>
          </w:p>
        </w:tc>
        <w:tc>
          <w:tcPr>
            <w:tcW w:w="787" w:type="pct"/>
            <w:tcBorders>
              <w:top w:val="nil"/>
              <w:left w:val="nil"/>
              <w:bottom w:val="single" w:sz="4" w:space="0" w:color="auto"/>
              <w:right w:val="single" w:sz="4" w:space="0" w:color="auto"/>
            </w:tcBorders>
            <w:shd w:val="clear" w:color="auto" w:fill="auto"/>
          </w:tcPr>
          <w:p w14:paraId="53D2AD01"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4/61 (6.56%)</w:t>
            </w:r>
          </w:p>
        </w:tc>
        <w:tc>
          <w:tcPr>
            <w:tcW w:w="829" w:type="pct"/>
            <w:tcBorders>
              <w:top w:val="nil"/>
              <w:left w:val="nil"/>
              <w:bottom w:val="single" w:sz="4" w:space="0" w:color="auto"/>
              <w:right w:val="single" w:sz="4" w:space="0" w:color="auto"/>
            </w:tcBorders>
            <w:shd w:val="clear" w:color="auto" w:fill="auto"/>
          </w:tcPr>
          <w:p w14:paraId="5443E1D1"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0.75 [0.16, 3.50]</w:t>
            </w:r>
          </w:p>
        </w:tc>
        <w:tc>
          <w:tcPr>
            <w:tcW w:w="829" w:type="pct"/>
            <w:tcBorders>
              <w:top w:val="nil"/>
              <w:left w:val="nil"/>
              <w:bottom w:val="single" w:sz="4" w:space="0" w:color="auto"/>
              <w:right w:val="single" w:sz="4" w:space="0" w:color="auto"/>
            </w:tcBorders>
            <w:shd w:val="clear" w:color="auto" w:fill="auto"/>
          </w:tcPr>
          <w:p w14:paraId="4B3B02B1"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0.76 [0.18, 3.26]</w:t>
            </w:r>
          </w:p>
        </w:tc>
        <w:tc>
          <w:tcPr>
            <w:tcW w:w="826" w:type="pct"/>
            <w:tcBorders>
              <w:top w:val="nil"/>
              <w:left w:val="nil"/>
              <w:bottom w:val="single" w:sz="4" w:space="0" w:color="auto"/>
              <w:right w:val="single" w:sz="4" w:space="0" w:color="auto"/>
            </w:tcBorders>
            <w:shd w:val="clear" w:color="auto" w:fill="auto"/>
          </w:tcPr>
          <w:p w14:paraId="31E30C21"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-0.02 [-0.1, 0.07]</w:t>
            </w:r>
          </w:p>
        </w:tc>
      </w:tr>
      <w:tr w:rsidR="00F312AF" w:rsidRPr="00DD72AC" w14:paraId="23613EC3" w14:textId="77777777" w:rsidTr="00CE4505">
        <w:trPr>
          <w:trHeight w:val="300"/>
        </w:trPr>
        <w:tc>
          <w:tcPr>
            <w:tcW w:w="943" w:type="pct"/>
            <w:tcBorders>
              <w:top w:val="nil"/>
              <w:left w:val="single" w:sz="4" w:space="0" w:color="auto"/>
              <w:bottom w:val="single" w:sz="4" w:space="0" w:color="auto"/>
              <w:right w:val="single" w:sz="4" w:space="0" w:color="auto"/>
            </w:tcBorders>
            <w:shd w:val="clear" w:color="auto" w:fill="auto"/>
            <w:hideMark/>
          </w:tcPr>
          <w:p w14:paraId="52DD4D9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Grade 3 AE</w:t>
            </w:r>
          </w:p>
        </w:tc>
        <w:tc>
          <w:tcPr>
            <w:tcW w:w="786" w:type="pct"/>
            <w:tcBorders>
              <w:top w:val="nil"/>
              <w:left w:val="nil"/>
              <w:bottom w:val="single" w:sz="4" w:space="0" w:color="auto"/>
              <w:right w:val="single" w:sz="4" w:space="0" w:color="auto"/>
            </w:tcBorders>
            <w:shd w:val="clear" w:color="auto" w:fill="auto"/>
          </w:tcPr>
          <w:p w14:paraId="0EF6488A"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3/60 (5.00%)</w:t>
            </w:r>
          </w:p>
        </w:tc>
        <w:tc>
          <w:tcPr>
            <w:tcW w:w="787" w:type="pct"/>
            <w:tcBorders>
              <w:top w:val="nil"/>
              <w:left w:val="nil"/>
              <w:bottom w:val="single" w:sz="4" w:space="0" w:color="auto"/>
              <w:right w:val="single" w:sz="4" w:space="0" w:color="auto"/>
            </w:tcBorders>
            <w:shd w:val="clear" w:color="auto" w:fill="auto"/>
          </w:tcPr>
          <w:p w14:paraId="19498FD5"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3/61 (4.92%)</w:t>
            </w:r>
          </w:p>
        </w:tc>
        <w:tc>
          <w:tcPr>
            <w:tcW w:w="829" w:type="pct"/>
            <w:tcBorders>
              <w:top w:val="nil"/>
              <w:left w:val="nil"/>
              <w:bottom w:val="single" w:sz="4" w:space="0" w:color="auto"/>
              <w:right w:val="single" w:sz="4" w:space="0" w:color="auto"/>
            </w:tcBorders>
            <w:shd w:val="clear" w:color="auto" w:fill="auto"/>
          </w:tcPr>
          <w:p w14:paraId="361F8C9C"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1.02 [0.20, 5.25]</w:t>
            </w:r>
          </w:p>
        </w:tc>
        <w:tc>
          <w:tcPr>
            <w:tcW w:w="829" w:type="pct"/>
            <w:tcBorders>
              <w:top w:val="nil"/>
              <w:left w:val="nil"/>
              <w:bottom w:val="single" w:sz="4" w:space="0" w:color="auto"/>
              <w:right w:val="single" w:sz="4" w:space="0" w:color="auto"/>
            </w:tcBorders>
            <w:shd w:val="clear" w:color="auto" w:fill="auto"/>
          </w:tcPr>
          <w:p w14:paraId="73621948"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1.02 [0.21, 4.84]</w:t>
            </w:r>
          </w:p>
        </w:tc>
        <w:tc>
          <w:tcPr>
            <w:tcW w:w="826" w:type="pct"/>
            <w:tcBorders>
              <w:top w:val="nil"/>
              <w:left w:val="nil"/>
              <w:bottom w:val="single" w:sz="4" w:space="0" w:color="auto"/>
              <w:right w:val="single" w:sz="4" w:space="0" w:color="auto"/>
            </w:tcBorders>
            <w:shd w:val="clear" w:color="auto" w:fill="auto"/>
          </w:tcPr>
          <w:p w14:paraId="1570CC7B"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[-0.08, 0.08]</w:t>
            </w:r>
          </w:p>
        </w:tc>
      </w:tr>
      <w:tr w:rsidR="00F312AF" w:rsidRPr="00DD72AC" w14:paraId="4116553B" w14:textId="77777777" w:rsidTr="00CE4505">
        <w:trPr>
          <w:trHeight w:val="177"/>
        </w:trPr>
        <w:tc>
          <w:tcPr>
            <w:tcW w:w="943" w:type="pct"/>
            <w:tcBorders>
              <w:top w:val="nil"/>
              <w:left w:val="single" w:sz="4" w:space="0" w:color="auto"/>
              <w:bottom w:val="single" w:sz="4" w:space="0" w:color="auto"/>
              <w:right w:val="single" w:sz="4" w:space="0" w:color="auto"/>
            </w:tcBorders>
            <w:shd w:val="clear" w:color="auto" w:fill="auto"/>
            <w:hideMark/>
          </w:tcPr>
          <w:p w14:paraId="64B17B88"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Death</w:t>
            </w:r>
          </w:p>
        </w:tc>
        <w:tc>
          <w:tcPr>
            <w:tcW w:w="786" w:type="pct"/>
            <w:tcBorders>
              <w:top w:val="nil"/>
              <w:left w:val="nil"/>
              <w:bottom w:val="single" w:sz="4" w:space="0" w:color="auto"/>
              <w:right w:val="single" w:sz="4" w:space="0" w:color="auto"/>
            </w:tcBorders>
            <w:shd w:val="clear" w:color="auto" w:fill="auto"/>
          </w:tcPr>
          <w:p w14:paraId="07DCEF32"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0/60 (0.00%)</w:t>
            </w:r>
          </w:p>
        </w:tc>
        <w:tc>
          <w:tcPr>
            <w:tcW w:w="787" w:type="pct"/>
            <w:tcBorders>
              <w:top w:val="nil"/>
              <w:left w:val="nil"/>
              <w:bottom w:val="single" w:sz="4" w:space="0" w:color="auto"/>
              <w:right w:val="single" w:sz="4" w:space="0" w:color="auto"/>
            </w:tcBorders>
            <w:shd w:val="clear" w:color="auto" w:fill="auto"/>
          </w:tcPr>
          <w:p w14:paraId="41D0FC0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0/61 (0.00%)</w:t>
            </w:r>
          </w:p>
        </w:tc>
        <w:tc>
          <w:tcPr>
            <w:tcW w:w="829" w:type="pct"/>
            <w:tcBorders>
              <w:top w:val="nil"/>
              <w:left w:val="nil"/>
              <w:bottom w:val="single" w:sz="4" w:space="0" w:color="auto"/>
              <w:right w:val="single" w:sz="4" w:space="0" w:color="auto"/>
            </w:tcBorders>
            <w:shd w:val="clear" w:color="auto" w:fill="auto"/>
          </w:tcPr>
          <w:p w14:paraId="09614820"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 xml:space="preserve">Not estimable </w:t>
            </w:r>
          </w:p>
        </w:tc>
        <w:tc>
          <w:tcPr>
            <w:tcW w:w="829" w:type="pct"/>
            <w:tcBorders>
              <w:top w:val="nil"/>
              <w:left w:val="nil"/>
              <w:bottom w:val="single" w:sz="4" w:space="0" w:color="auto"/>
              <w:right w:val="single" w:sz="4" w:space="0" w:color="auto"/>
            </w:tcBorders>
            <w:shd w:val="clear" w:color="auto" w:fill="auto"/>
          </w:tcPr>
          <w:p w14:paraId="7418B43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6" w:type="pct"/>
            <w:tcBorders>
              <w:top w:val="nil"/>
              <w:left w:val="nil"/>
              <w:bottom w:val="single" w:sz="4" w:space="0" w:color="auto"/>
              <w:right w:val="single" w:sz="4" w:space="0" w:color="auto"/>
            </w:tcBorders>
            <w:shd w:val="clear" w:color="auto" w:fill="auto"/>
          </w:tcPr>
          <w:p w14:paraId="72C66B7B"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[0.00, 0.00]</w:t>
            </w:r>
          </w:p>
        </w:tc>
      </w:tr>
      <w:tr w:rsidR="00F312AF" w:rsidRPr="00DD72AC" w14:paraId="166290A6" w14:textId="77777777" w:rsidTr="00CE4505">
        <w:trPr>
          <w:trHeight w:val="300"/>
        </w:trPr>
        <w:tc>
          <w:tcPr>
            <w:tcW w:w="943" w:type="pct"/>
            <w:tcBorders>
              <w:top w:val="nil"/>
              <w:left w:val="single" w:sz="4" w:space="0" w:color="auto"/>
              <w:bottom w:val="single" w:sz="4" w:space="0" w:color="auto"/>
              <w:right w:val="single" w:sz="4" w:space="0" w:color="auto"/>
            </w:tcBorders>
            <w:shd w:val="clear" w:color="auto" w:fill="auto"/>
            <w:hideMark/>
          </w:tcPr>
          <w:p w14:paraId="10D0828A"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AEs leading to dose reduction</w:t>
            </w:r>
          </w:p>
        </w:tc>
        <w:tc>
          <w:tcPr>
            <w:tcW w:w="786" w:type="pct"/>
            <w:tcBorders>
              <w:top w:val="nil"/>
              <w:left w:val="nil"/>
              <w:bottom w:val="single" w:sz="4" w:space="0" w:color="auto"/>
              <w:right w:val="single" w:sz="4" w:space="0" w:color="auto"/>
            </w:tcBorders>
            <w:shd w:val="clear" w:color="auto" w:fill="auto"/>
          </w:tcPr>
          <w:p w14:paraId="2A2CB443"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0/60 (0.00%)</w:t>
            </w:r>
          </w:p>
        </w:tc>
        <w:tc>
          <w:tcPr>
            <w:tcW w:w="787" w:type="pct"/>
            <w:tcBorders>
              <w:top w:val="nil"/>
              <w:left w:val="nil"/>
              <w:bottom w:val="single" w:sz="4" w:space="0" w:color="auto"/>
              <w:right w:val="single" w:sz="4" w:space="0" w:color="auto"/>
            </w:tcBorders>
            <w:shd w:val="clear" w:color="auto" w:fill="auto"/>
          </w:tcPr>
          <w:p w14:paraId="100C36CC"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0/61 (0.00%)</w:t>
            </w:r>
          </w:p>
        </w:tc>
        <w:tc>
          <w:tcPr>
            <w:tcW w:w="829" w:type="pct"/>
            <w:tcBorders>
              <w:top w:val="nil"/>
              <w:left w:val="nil"/>
              <w:bottom w:val="single" w:sz="4" w:space="0" w:color="auto"/>
              <w:right w:val="single" w:sz="4" w:space="0" w:color="auto"/>
            </w:tcBorders>
            <w:shd w:val="clear" w:color="auto" w:fill="auto"/>
          </w:tcPr>
          <w:p w14:paraId="3F9EFC63"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9" w:type="pct"/>
            <w:tcBorders>
              <w:top w:val="nil"/>
              <w:left w:val="nil"/>
              <w:bottom w:val="single" w:sz="4" w:space="0" w:color="auto"/>
              <w:right w:val="single" w:sz="4" w:space="0" w:color="auto"/>
            </w:tcBorders>
            <w:shd w:val="clear" w:color="auto" w:fill="auto"/>
          </w:tcPr>
          <w:p w14:paraId="5145385B"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6" w:type="pct"/>
            <w:tcBorders>
              <w:top w:val="nil"/>
              <w:left w:val="nil"/>
              <w:bottom w:val="single" w:sz="4" w:space="0" w:color="auto"/>
              <w:right w:val="single" w:sz="4" w:space="0" w:color="auto"/>
            </w:tcBorders>
            <w:shd w:val="clear" w:color="auto" w:fill="auto"/>
          </w:tcPr>
          <w:p w14:paraId="678FE574"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[0.00, 0.00]</w:t>
            </w:r>
          </w:p>
        </w:tc>
      </w:tr>
      <w:tr w:rsidR="00F312AF" w:rsidRPr="00DD72AC" w14:paraId="514FDA22" w14:textId="77777777" w:rsidTr="00CE4505">
        <w:trPr>
          <w:trHeight w:val="510"/>
        </w:trPr>
        <w:tc>
          <w:tcPr>
            <w:tcW w:w="943" w:type="pct"/>
            <w:tcBorders>
              <w:top w:val="nil"/>
              <w:left w:val="single" w:sz="4" w:space="0" w:color="auto"/>
              <w:bottom w:val="single" w:sz="4" w:space="0" w:color="auto"/>
              <w:right w:val="single" w:sz="4" w:space="0" w:color="auto"/>
            </w:tcBorders>
            <w:shd w:val="clear" w:color="auto" w:fill="auto"/>
            <w:hideMark/>
          </w:tcPr>
          <w:p w14:paraId="5E53ED4B"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AEs leading to dose interruption</w:t>
            </w:r>
          </w:p>
        </w:tc>
        <w:tc>
          <w:tcPr>
            <w:tcW w:w="786" w:type="pct"/>
            <w:tcBorders>
              <w:top w:val="nil"/>
              <w:left w:val="nil"/>
              <w:bottom w:val="single" w:sz="4" w:space="0" w:color="auto"/>
              <w:right w:val="single" w:sz="4" w:space="0" w:color="auto"/>
            </w:tcBorders>
            <w:shd w:val="clear" w:color="auto" w:fill="auto"/>
          </w:tcPr>
          <w:p w14:paraId="54C350E7"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10/60 (16.67%)</w:t>
            </w:r>
          </w:p>
        </w:tc>
        <w:tc>
          <w:tcPr>
            <w:tcW w:w="787" w:type="pct"/>
            <w:tcBorders>
              <w:top w:val="nil"/>
              <w:left w:val="nil"/>
              <w:bottom w:val="single" w:sz="4" w:space="0" w:color="auto"/>
              <w:right w:val="single" w:sz="4" w:space="0" w:color="auto"/>
            </w:tcBorders>
            <w:shd w:val="clear" w:color="auto" w:fill="auto"/>
          </w:tcPr>
          <w:p w14:paraId="64039504"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10/61 (16.39%)</w:t>
            </w:r>
          </w:p>
        </w:tc>
        <w:tc>
          <w:tcPr>
            <w:tcW w:w="829" w:type="pct"/>
            <w:tcBorders>
              <w:top w:val="nil"/>
              <w:left w:val="nil"/>
              <w:bottom w:val="single" w:sz="4" w:space="0" w:color="auto"/>
              <w:right w:val="single" w:sz="4" w:space="0" w:color="auto"/>
            </w:tcBorders>
            <w:shd w:val="clear" w:color="auto" w:fill="auto"/>
          </w:tcPr>
          <w:p w14:paraId="7878B841"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1.02 [0.39, 2.66]</w:t>
            </w:r>
          </w:p>
        </w:tc>
        <w:tc>
          <w:tcPr>
            <w:tcW w:w="829" w:type="pct"/>
            <w:tcBorders>
              <w:top w:val="nil"/>
              <w:left w:val="nil"/>
              <w:bottom w:val="single" w:sz="4" w:space="0" w:color="auto"/>
              <w:right w:val="single" w:sz="4" w:space="0" w:color="auto"/>
            </w:tcBorders>
            <w:shd w:val="clear" w:color="auto" w:fill="auto"/>
          </w:tcPr>
          <w:p w14:paraId="4A4194D7"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1.02 [0.46, 2.26]</w:t>
            </w:r>
          </w:p>
        </w:tc>
        <w:tc>
          <w:tcPr>
            <w:tcW w:w="826" w:type="pct"/>
            <w:tcBorders>
              <w:top w:val="nil"/>
              <w:left w:val="nil"/>
              <w:bottom w:val="single" w:sz="4" w:space="0" w:color="auto"/>
              <w:right w:val="single" w:sz="4" w:space="0" w:color="auto"/>
            </w:tcBorders>
            <w:shd w:val="clear" w:color="auto" w:fill="auto"/>
          </w:tcPr>
          <w:p w14:paraId="50F7E66E"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[-0.13, 0.14]</w:t>
            </w:r>
          </w:p>
        </w:tc>
      </w:tr>
      <w:tr w:rsidR="00F312AF" w:rsidRPr="00DD72AC" w14:paraId="1563FD25" w14:textId="77777777" w:rsidTr="00CE4505">
        <w:trPr>
          <w:trHeight w:val="510"/>
        </w:trPr>
        <w:tc>
          <w:tcPr>
            <w:tcW w:w="943" w:type="pct"/>
            <w:tcBorders>
              <w:top w:val="nil"/>
              <w:left w:val="single" w:sz="4" w:space="0" w:color="auto"/>
              <w:bottom w:val="single" w:sz="4" w:space="0" w:color="auto"/>
              <w:right w:val="single" w:sz="4" w:space="0" w:color="auto"/>
            </w:tcBorders>
            <w:shd w:val="clear" w:color="auto" w:fill="auto"/>
          </w:tcPr>
          <w:p w14:paraId="7F7031D3"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AEs leading to study drug or study discontinuation</w:t>
            </w:r>
          </w:p>
        </w:tc>
        <w:tc>
          <w:tcPr>
            <w:tcW w:w="786" w:type="pct"/>
            <w:tcBorders>
              <w:top w:val="nil"/>
              <w:left w:val="nil"/>
              <w:bottom w:val="single" w:sz="4" w:space="0" w:color="auto"/>
              <w:right w:val="single" w:sz="4" w:space="0" w:color="auto"/>
            </w:tcBorders>
            <w:shd w:val="clear" w:color="auto" w:fill="auto"/>
          </w:tcPr>
          <w:p w14:paraId="0E3465F0"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1/60 (1.67%)</w:t>
            </w:r>
          </w:p>
        </w:tc>
        <w:tc>
          <w:tcPr>
            <w:tcW w:w="787" w:type="pct"/>
            <w:tcBorders>
              <w:top w:val="nil"/>
              <w:left w:val="nil"/>
              <w:bottom w:val="single" w:sz="4" w:space="0" w:color="auto"/>
              <w:right w:val="single" w:sz="4" w:space="0" w:color="auto"/>
            </w:tcBorders>
            <w:shd w:val="clear" w:color="auto" w:fill="auto"/>
          </w:tcPr>
          <w:p w14:paraId="0B376C73"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0/61 (0.00%)</w:t>
            </w:r>
          </w:p>
        </w:tc>
        <w:tc>
          <w:tcPr>
            <w:tcW w:w="829" w:type="pct"/>
            <w:tcBorders>
              <w:top w:val="nil"/>
              <w:left w:val="nil"/>
              <w:bottom w:val="single" w:sz="4" w:space="0" w:color="auto"/>
              <w:right w:val="single" w:sz="4" w:space="0" w:color="auto"/>
            </w:tcBorders>
            <w:shd w:val="clear" w:color="auto" w:fill="auto"/>
          </w:tcPr>
          <w:p w14:paraId="68483D75"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9" w:type="pct"/>
            <w:tcBorders>
              <w:top w:val="nil"/>
              <w:left w:val="nil"/>
              <w:bottom w:val="single" w:sz="4" w:space="0" w:color="auto"/>
              <w:right w:val="single" w:sz="4" w:space="0" w:color="auto"/>
            </w:tcBorders>
            <w:shd w:val="clear" w:color="auto" w:fill="auto"/>
          </w:tcPr>
          <w:p w14:paraId="366AAEDC"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6" w:type="pct"/>
            <w:tcBorders>
              <w:top w:val="nil"/>
              <w:left w:val="nil"/>
              <w:bottom w:val="single" w:sz="4" w:space="0" w:color="auto"/>
              <w:right w:val="single" w:sz="4" w:space="0" w:color="auto"/>
            </w:tcBorders>
            <w:shd w:val="clear" w:color="auto" w:fill="auto"/>
          </w:tcPr>
          <w:p w14:paraId="35C30357"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0.02 [-0.02, 0.05]</w:t>
            </w:r>
          </w:p>
        </w:tc>
      </w:tr>
      <w:tr w:rsidR="00F312AF" w:rsidRPr="00DD72AC" w14:paraId="7EA6F7CD" w14:textId="77777777" w:rsidTr="00CE4505">
        <w:trPr>
          <w:trHeight w:val="510"/>
        </w:trPr>
        <w:tc>
          <w:tcPr>
            <w:tcW w:w="943" w:type="pct"/>
            <w:tcBorders>
              <w:top w:val="nil"/>
              <w:left w:val="single" w:sz="4" w:space="0" w:color="auto"/>
              <w:bottom w:val="single" w:sz="4" w:space="0" w:color="auto"/>
              <w:right w:val="single" w:sz="4" w:space="0" w:color="auto"/>
            </w:tcBorders>
            <w:shd w:val="clear" w:color="auto" w:fill="auto"/>
          </w:tcPr>
          <w:p w14:paraId="37F3346E"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SAEs leading to dose reduction</w:t>
            </w:r>
          </w:p>
        </w:tc>
        <w:tc>
          <w:tcPr>
            <w:tcW w:w="786" w:type="pct"/>
            <w:tcBorders>
              <w:top w:val="nil"/>
              <w:left w:val="nil"/>
              <w:bottom w:val="single" w:sz="4" w:space="0" w:color="auto"/>
              <w:right w:val="single" w:sz="4" w:space="0" w:color="auto"/>
            </w:tcBorders>
            <w:shd w:val="clear" w:color="auto" w:fill="auto"/>
          </w:tcPr>
          <w:p w14:paraId="082F3E73"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0/60 (0.00%)</w:t>
            </w:r>
          </w:p>
        </w:tc>
        <w:tc>
          <w:tcPr>
            <w:tcW w:w="787" w:type="pct"/>
            <w:tcBorders>
              <w:top w:val="nil"/>
              <w:left w:val="nil"/>
              <w:bottom w:val="single" w:sz="4" w:space="0" w:color="auto"/>
              <w:right w:val="single" w:sz="4" w:space="0" w:color="auto"/>
            </w:tcBorders>
            <w:shd w:val="clear" w:color="auto" w:fill="auto"/>
          </w:tcPr>
          <w:p w14:paraId="177B7721"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0/61 (0.00%)</w:t>
            </w:r>
          </w:p>
        </w:tc>
        <w:tc>
          <w:tcPr>
            <w:tcW w:w="829" w:type="pct"/>
            <w:tcBorders>
              <w:top w:val="nil"/>
              <w:left w:val="nil"/>
              <w:bottom w:val="single" w:sz="4" w:space="0" w:color="auto"/>
              <w:right w:val="single" w:sz="4" w:space="0" w:color="auto"/>
            </w:tcBorders>
            <w:shd w:val="clear" w:color="auto" w:fill="auto"/>
          </w:tcPr>
          <w:p w14:paraId="7695ED0D"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9" w:type="pct"/>
            <w:tcBorders>
              <w:top w:val="nil"/>
              <w:left w:val="nil"/>
              <w:bottom w:val="single" w:sz="4" w:space="0" w:color="auto"/>
              <w:right w:val="single" w:sz="4" w:space="0" w:color="auto"/>
            </w:tcBorders>
            <w:shd w:val="clear" w:color="auto" w:fill="auto"/>
          </w:tcPr>
          <w:p w14:paraId="70B3F12C"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6" w:type="pct"/>
            <w:tcBorders>
              <w:top w:val="nil"/>
              <w:left w:val="nil"/>
              <w:bottom w:val="single" w:sz="4" w:space="0" w:color="auto"/>
              <w:right w:val="single" w:sz="4" w:space="0" w:color="auto"/>
            </w:tcBorders>
            <w:shd w:val="clear" w:color="auto" w:fill="auto"/>
          </w:tcPr>
          <w:p w14:paraId="42382317"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[0.00, 0.00]</w:t>
            </w:r>
          </w:p>
        </w:tc>
      </w:tr>
      <w:tr w:rsidR="00F312AF" w:rsidRPr="00DD72AC" w14:paraId="68B65869" w14:textId="77777777" w:rsidTr="00CE4505">
        <w:trPr>
          <w:trHeight w:val="510"/>
        </w:trPr>
        <w:tc>
          <w:tcPr>
            <w:tcW w:w="943" w:type="pct"/>
            <w:tcBorders>
              <w:top w:val="nil"/>
              <w:left w:val="single" w:sz="4" w:space="0" w:color="auto"/>
              <w:bottom w:val="single" w:sz="4" w:space="0" w:color="auto"/>
              <w:right w:val="single" w:sz="4" w:space="0" w:color="auto"/>
            </w:tcBorders>
            <w:shd w:val="clear" w:color="auto" w:fill="auto"/>
          </w:tcPr>
          <w:p w14:paraId="667D7A7E"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SAEs leading to dose interruption</w:t>
            </w:r>
          </w:p>
        </w:tc>
        <w:tc>
          <w:tcPr>
            <w:tcW w:w="786" w:type="pct"/>
            <w:tcBorders>
              <w:top w:val="nil"/>
              <w:left w:val="nil"/>
              <w:bottom w:val="single" w:sz="4" w:space="0" w:color="auto"/>
              <w:right w:val="single" w:sz="4" w:space="0" w:color="auto"/>
            </w:tcBorders>
            <w:shd w:val="clear" w:color="auto" w:fill="auto"/>
          </w:tcPr>
          <w:p w14:paraId="76D119E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2/60 (3.33%)</w:t>
            </w:r>
          </w:p>
        </w:tc>
        <w:tc>
          <w:tcPr>
            <w:tcW w:w="787" w:type="pct"/>
            <w:tcBorders>
              <w:top w:val="nil"/>
              <w:left w:val="nil"/>
              <w:bottom w:val="single" w:sz="4" w:space="0" w:color="auto"/>
              <w:right w:val="single" w:sz="4" w:space="0" w:color="auto"/>
            </w:tcBorders>
            <w:shd w:val="clear" w:color="auto" w:fill="auto"/>
          </w:tcPr>
          <w:p w14:paraId="4EDB7C7F"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2/61 (3.28%)</w:t>
            </w:r>
          </w:p>
        </w:tc>
        <w:tc>
          <w:tcPr>
            <w:tcW w:w="829" w:type="pct"/>
            <w:tcBorders>
              <w:top w:val="nil"/>
              <w:left w:val="nil"/>
              <w:bottom w:val="single" w:sz="4" w:space="0" w:color="auto"/>
              <w:right w:val="single" w:sz="4" w:space="0" w:color="auto"/>
            </w:tcBorders>
            <w:shd w:val="clear" w:color="auto" w:fill="auto"/>
          </w:tcPr>
          <w:p w14:paraId="5543FC5C"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1.02 [0.14, 7.47]</w:t>
            </w:r>
          </w:p>
        </w:tc>
        <w:tc>
          <w:tcPr>
            <w:tcW w:w="829" w:type="pct"/>
            <w:tcBorders>
              <w:top w:val="nil"/>
              <w:left w:val="nil"/>
              <w:bottom w:val="single" w:sz="4" w:space="0" w:color="auto"/>
              <w:right w:val="single" w:sz="4" w:space="0" w:color="auto"/>
            </w:tcBorders>
            <w:shd w:val="clear" w:color="auto" w:fill="auto"/>
          </w:tcPr>
          <w:p w14:paraId="2C3548AA"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1.02 [0.15, 6.99]</w:t>
            </w:r>
          </w:p>
        </w:tc>
        <w:tc>
          <w:tcPr>
            <w:tcW w:w="826" w:type="pct"/>
            <w:tcBorders>
              <w:top w:val="nil"/>
              <w:left w:val="nil"/>
              <w:bottom w:val="single" w:sz="4" w:space="0" w:color="auto"/>
              <w:right w:val="single" w:sz="4" w:space="0" w:color="auto"/>
            </w:tcBorders>
            <w:shd w:val="clear" w:color="auto" w:fill="auto"/>
          </w:tcPr>
          <w:p w14:paraId="1331632C"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[-0.06, 0.06]</w:t>
            </w:r>
          </w:p>
        </w:tc>
      </w:tr>
      <w:tr w:rsidR="00F312AF" w:rsidRPr="00DD72AC" w14:paraId="3956F58E" w14:textId="77777777" w:rsidTr="00CE4505">
        <w:trPr>
          <w:trHeight w:val="510"/>
        </w:trPr>
        <w:tc>
          <w:tcPr>
            <w:tcW w:w="943" w:type="pct"/>
            <w:tcBorders>
              <w:top w:val="nil"/>
              <w:left w:val="single" w:sz="4" w:space="0" w:color="auto"/>
              <w:bottom w:val="single" w:sz="4" w:space="0" w:color="auto"/>
              <w:right w:val="single" w:sz="4" w:space="0" w:color="auto"/>
            </w:tcBorders>
            <w:shd w:val="clear" w:color="auto" w:fill="auto"/>
          </w:tcPr>
          <w:p w14:paraId="366AB4A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SAEs leading to study drug or study discontinuation</w:t>
            </w:r>
          </w:p>
        </w:tc>
        <w:tc>
          <w:tcPr>
            <w:tcW w:w="786" w:type="pct"/>
            <w:tcBorders>
              <w:top w:val="nil"/>
              <w:left w:val="nil"/>
              <w:bottom w:val="single" w:sz="4" w:space="0" w:color="auto"/>
              <w:right w:val="single" w:sz="4" w:space="0" w:color="auto"/>
            </w:tcBorders>
            <w:shd w:val="clear" w:color="auto" w:fill="auto"/>
          </w:tcPr>
          <w:p w14:paraId="36A10B7D"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0/60 (0.00%)</w:t>
            </w:r>
          </w:p>
        </w:tc>
        <w:tc>
          <w:tcPr>
            <w:tcW w:w="787" w:type="pct"/>
            <w:tcBorders>
              <w:top w:val="nil"/>
              <w:left w:val="nil"/>
              <w:bottom w:val="single" w:sz="4" w:space="0" w:color="auto"/>
              <w:right w:val="single" w:sz="4" w:space="0" w:color="auto"/>
            </w:tcBorders>
            <w:shd w:val="clear" w:color="auto" w:fill="auto"/>
          </w:tcPr>
          <w:p w14:paraId="5B428350"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0/61 (0.00%)</w:t>
            </w:r>
          </w:p>
        </w:tc>
        <w:tc>
          <w:tcPr>
            <w:tcW w:w="829" w:type="pct"/>
            <w:tcBorders>
              <w:top w:val="nil"/>
              <w:left w:val="nil"/>
              <w:bottom w:val="single" w:sz="4" w:space="0" w:color="auto"/>
              <w:right w:val="single" w:sz="4" w:space="0" w:color="auto"/>
            </w:tcBorders>
            <w:shd w:val="clear" w:color="auto" w:fill="auto"/>
          </w:tcPr>
          <w:p w14:paraId="21B48A27"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9" w:type="pct"/>
            <w:tcBorders>
              <w:top w:val="nil"/>
              <w:left w:val="nil"/>
              <w:bottom w:val="single" w:sz="4" w:space="0" w:color="auto"/>
              <w:right w:val="single" w:sz="4" w:space="0" w:color="auto"/>
            </w:tcBorders>
            <w:shd w:val="clear" w:color="auto" w:fill="auto"/>
          </w:tcPr>
          <w:p w14:paraId="2624B7D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6" w:type="pct"/>
            <w:tcBorders>
              <w:top w:val="nil"/>
              <w:left w:val="nil"/>
              <w:bottom w:val="single" w:sz="4" w:space="0" w:color="auto"/>
              <w:right w:val="single" w:sz="4" w:space="0" w:color="auto"/>
            </w:tcBorders>
            <w:shd w:val="clear" w:color="auto" w:fill="auto"/>
          </w:tcPr>
          <w:p w14:paraId="69AD530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[0.00, 0.00]</w:t>
            </w:r>
          </w:p>
        </w:tc>
      </w:tr>
      <w:tr w:rsidR="00F312AF" w:rsidRPr="00DD72AC" w14:paraId="0AB5DF98" w14:textId="77777777" w:rsidTr="00CE4505">
        <w:trPr>
          <w:trHeight w:val="117"/>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58172366"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Drug-related TEAEs</w:t>
            </w:r>
          </w:p>
        </w:tc>
      </w:tr>
      <w:tr w:rsidR="00F312AF" w:rsidRPr="00DD72AC" w14:paraId="47E0E5DE" w14:textId="77777777" w:rsidTr="00CE4505">
        <w:trPr>
          <w:trHeight w:val="363"/>
        </w:trPr>
        <w:tc>
          <w:tcPr>
            <w:tcW w:w="943" w:type="pct"/>
            <w:tcBorders>
              <w:top w:val="nil"/>
              <w:left w:val="single" w:sz="4" w:space="0" w:color="auto"/>
              <w:bottom w:val="single" w:sz="4" w:space="0" w:color="auto"/>
              <w:right w:val="single" w:sz="4" w:space="0" w:color="auto"/>
            </w:tcBorders>
            <w:shd w:val="clear" w:color="auto" w:fill="auto"/>
            <w:hideMark/>
          </w:tcPr>
          <w:p w14:paraId="7E4F6E08"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Any drug-related TEAE</w:t>
            </w:r>
          </w:p>
        </w:tc>
        <w:tc>
          <w:tcPr>
            <w:tcW w:w="786" w:type="pct"/>
            <w:tcBorders>
              <w:top w:val="nil"/>
              <w:left w:val="nil"/>
              <w:bottom w:val="single" w:sz="4" w:space="0" w:color="auto"/>
              <w:right w:val="single" w:sz="4" w:space="0" w:color="auto"/>
            </w:tcBorders>
            <w:shd w:val="clear" w:color="auto" w:fill="auto"/>
          </w:tcPr>
          <w:p w14:paraId="483D225D"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53/60 (88.33%)</w:t>
            </w:r>
          </w:p>
        </w:tc>
        <w:tc>
          <w:tcPr>
            <w:tcW w:w="787" w:type="pct"/>
            <w:tcBorders>
              <w:top w:val="nil"/>
              <w:left w:val="nil"/>
              <w:bottom w:val="single" w:sz="4" w:space="0" w:color="auto"/>
              <w:right w:val="single" w:sz="4" w:space="0" w:color="auto"/>
            </w:tcBorders>
            <w:shd w:val="clear" w:color="auto" w:fill="auto"/>
          </w:tcPr>
          <w:p w14:paraId="6C5C348E"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51/61 (83.61%)</w:t>
            </w:r>
          </w:p>
        </w:tc>
        <w:tc>
          <w:tcPr>
            <w:tcW w:w="829" w:type="pct"/>
            <w:tcBorders>
              <w:top w:val="nil"/>
              <w:left w:val="nil"/>
              <w:bottom w:val="single" w:sz="4" w:space="0" w:color="auto"/>
              <w:right w:val="single" w:sz="4" w:space="0" w:color="auto"/>
            </w:tcBorders>
            <w:shd w:val="clear" w:color="auto" w:fill="auto"/>
          </w:tcPr>
          <w:p w14:paraId="28592592"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1.48 [0.52, 4.20]</w:t>
            </w:r>
          </w:p>
        </w:tc>
        <w:tc>
          <w:tcPr>
            <w:tcW w:w="829" w:type="pct"/>
            <w:tcBorders>
              <w:top w:val="nil"/>
              <w:left w:val="nil"/>
              <w:bottom w:val="single" w:sz="4" w:space="0" w:color="auto"/>
              <w:right w:val="single" w:sz="4" w:space="0" w:color="auto"/>
            </w:tcBorders>
            <w:shd w:val="clear" w:color="auto" w:fill="auto"/>
          </w:tcPr>
          <w:p w14:paraId="7F0320C9"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1.06 [0.91, 1.22]</w:t>
            </w:r>
          </w:p>
        </w:tc>
        <w:tc>
          <w:tcPr>
            <w:tcW w:w="826" w:type="pct"/>
            <w:tcBorders>
              <w:top w:val="nil"/>
              <w:left w:val="nil"/>
              <w:bottom w:val="single" w:sz="4" w:space="0" w:color="auto"/>
              <w:right w:val="single" w:sz="4" w:space="0" w:color="auto"/>
            </w:tcBorders>
            <w:shd w:val="clear" w:color="auto" w:fill="auto"/>
          </w:tcPr>
          <w:p w14:paraId="360DBB8D"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0.05 [-0.08, 0.17]</w:t>
            </w:r>
          </w:p>
        </w:tc>
      </w:tr>
      <w:tr w:rsidR="00F312AF" w:rsidRPr="00DD72AC" w14:paraId="54307D06" w14:textId="77777777" w:rsidTr="00CE4505">
        <w:trPr>
          <w:trHeight w:val="441"/>
        </w:trPr>
        <w:tc>
          <w:tcPr>
            <w:tcW w:w="943" w:type="pct"/>
            <w:tcBorders>
              <w:top w:val="nil"/>
              <w:left w:val="single" w:sz="4" w:space="0" w:color="auto"/>
              <w:bottom w:val="single" w:sz="4" w:space="0" w:color="auto"/>
              <w:right w:val="single" w:sz="4" w:space="0" w:color="auto"/>
            </w:tcBorders>
            <w:shd w:val="clear" w:color="auto" w:fill="auto"/>
            <w:hideMark/>
          </w:tcPr>
          <w:p w14:paraId="19DF40BB"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Any drug-related SAE</w:t>
            </w:r>
          </w:p>
        </w:tc>
        <w:tc>
          <w:tcPr>
            <w:tcW w:w="786" w:type="pct"/>
            <w:tcBorders>
              <w:top w:val="nil"/>
              <w:left w:val="nil"/>
              <w:bottom w:val="single" w:sz="4" w:space="0" w:color="auto"/>
              <w:right w:val="single" w:sz="4" w:space="0" w:color="auto"/>
            </w:tcBorders>
            <w:shd w:val="clear" w:color="auto" w:fill="auto"/>
          </w:tcPr>
          <w:p w14:paraId="24C2F990"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0/60 (0.00%)</w:t>
            </w:r>
          </w:p>
        </w:tc>
        <w:tc>
          <w:tcPr>
            <w:tcW w:w="787" w:type="pct"/>
            <w:tcBorders>
              <w:top w:val="nil"/>
              <w:left w:val="nil"/>
              <w:bottom w:val="single" w:sz="4" w:space="0" w:color="auto"/>
              <w:right w:val="single" w:sz="4" w:space="0" w:color="auto"/>
            </w:tcBorders>
            <w:shd w:val="clear" w:color="auto" w:fill="auto"/>
          </w:tcPr>
          <w:p w14:paraId="66ECC28E"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0/61 (0.00%)</w:t>
            </w:r>
          </w:p>
        </w:tc>
        <w:tc>
          <w:tcPr>
            <w:tcW w:w="829" w:type="pct"/>
            <w:tcBorders>
              <w:top w:val="nil"/>
              <w:left w:val="nil"/>
              <w:bottom w:val="single" w:sz="4" w:space="0" w:color="auto"/>
              <w:right w:val="single" w:sz="4" w:space="0" w:color="auto"/>
            </w:tcBorders>
            <w:shd w:val="clear" w:color="auto" w:fill="auto"/>
          </w:tcPr>
          <w:p w14:paraId="23F0B919"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9" w:type="pct"/>
            <w:tcBorders>
              <w:top w:val="nil"/>
              <w:left w:val="nil"/>
              <w:bottom w:val="single" w:sz="4" w:space="0" w:color="auto"/>
              <w:right w:val="single" w:sz="4" w:space="0" w:color="auto"/>
            </w:tcBorders>
            <w:shd w:val="clear" w:color="auto" w:fill="auto"/>
          </w:tcPr>
          <w:p w14:paraId="64F9C30E"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6" w:type="pct"/>
            <w:tcBorders>
              <w:top w:val="nil"/>
              <w:left w:val="nil"/>
              <w:bottom w:val="single" w:sz="4" w:space="0" w:color="auto"/>
              <w:right w:val="single" w:sz="4" w:space="0" w:color="auto"/>
            </w:tcBorders>
            <w:shd w:val="clear" w:color="auto" w:fill="auto"/>
          </w:tcPr>
          <w:p w14:paraId="5CBCDB28"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[0.00, 0.00]</w:t>
            </w:r>
          </w:p>
        </w:tc>
      </w:tr>
      <w:tr w:rsidR="00F37251" w:rsidRPr="00DD72AC" w14:paraId="55013020" w14:textId="77777777" w:rsidTr="00F37251">
        <w:trPr>
          <w:trHeight w:val="2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3523D2A" w14:textId="2F472265" w:rsidR="00F37251" w:rsidRPr="00DD72AC" w:rsidRDefault="00F37251"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b/>
                <w:bCs/>
                <w:sz w:val="20"/>
              </w:rPr>
              <w:t>Subjects with any EOI</w:t>
            </w:r>
          </w:p>
        </w:tc>
      </w:tr>
      <w:tr w:rsidR="00F312AF" w:rsidRPr="00DD72AC" w14:paraId="7F271B36" w14:textId="77777777" w:rsidTr="00CE4505">
        <w:trPr>
          <w:trHeight w:val="441"/>
        </w:trPr>
        <w:tc>
          <w:tcPr>
            <w:tcW w:w="943" w:type="pct"/>
            <w:tcBorders>
              <w:top w:val="single" w:sz="4" w:space="0" w:color="auto"/>
              <w:left w:val="single" w:sz="4" w:space="0" w:color="auto"/>
              <w:bottom w:val="single" w:sz="4" w:space="0" w:color="auto"/>
              <w:right w:val="single" w:sz="4" w:space="0" w:color="auto"/>
            </w:tcBorders>
            <w:shd w:val="clear" w:color="auto" w:fill="auto"/>
          </w:tcPr>
          <w:p w14:paraId="29A01A7C"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Injection site reaction</w:t>
            </w:r>
          </w:p>
        </w:tc>
        <w:tc>
          <w:tcPr>
            <w:tcW w:w="786" w:type="pct"/>
            <w:tcBorders>
              <w:top w:val="single" w:sz="4" w:space="0" w:color="auto"/>
              <w:left w:val="nil"/>
              <w:bottom w:val="single" w:sz="4" w:space="0" w:color="auto"/>
              <w:right w:val="single" w:sz="4" w:space="0" w:color="auto"/>
            </w:tcBorders>
            <w:shd w:val="clear" w:color="auto" w:fill="auto"/>
          </w:tcPr>
          <w:p w14:paraId="7E24DF3C"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51/60 (85.00%)</w:t>
            </w:r>
          </w:p>
        </w:tc>
        <w:tc>
          <w:tcPr>
            <w:tcW w:w="787" w:type="pct"/>
            <w:tcBorders>
              <w:top w:val="single" w:sz="4" w:space="0" w:color="auto"/>
              <w:left w:val="nil"/>
              <w:bottom w:val="single" w:sz="4" w:space="0" w:color="auto"/>
              <w:right w:val="single" w:sz="4" w:space="0" w:color="auto"/>
            </w:tcBorders>
            <w:shd w:val="clear" w:color="auto" w:fill="auto"/>
          </w:tcPr>
          <w:p w14:paraId="6794F8FB"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50/61 (81.97%)</w:t>
            </w:r>
          </w:p>
        </w:tc>
        <w:tc>
          <w:tcPr>
            <w:tcW w:w="829" w:type="pct"/>
            <w:tcBorders>
              <w:top w:val="single" w:sz="4" w:space="0" w:color="auto"/>
              <w:left w:val="nil"/>
              <w:bottom w:val="single" w:sz="4" w:space="0" w:color="auto"/>
              <w:right w:val="single" w:sz="4" w:space="0" w:color="auto"/>
            </w:tcBorders>
            <w:shd w:val="clear" w:color="000000" w:fill="FFFFFF"/>
          </w:tcPr>
          <w:p w14:paraId="59209C82"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1.25 [0.48, 3.27]</w:t>
            </w:r>
          </w:p>
        </w:tc>
        <w:tc>
          <w:tcPr>
            <w:tcW w:w="829" w:type="pct"/>
            <w:tcBorders>
              <w:top w:val="single" w:sz="4" w:space="0" w:color="auto"/>
              <w:left w:val="nil"/>
              <w:bottom w:val="single" w:sz="4" w:space="0" w:color="auto"/>
              <w:right w:val="single" w:sz="4" w:space="0" w:color="auto"/>
            </w:tcBorders>
            <w:shd w:val="clear" w:color="000000" w:fill="FFFFFF"/>
          </w:tcPr>
          <w:p w14:paraId="53211392"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1.04 [0.88, 1.22]</w:t>
            </w:r>
          </w:p>
        </w:tc>
        <w:tc>
          <w:tcPr>
            <w:tcW w:w="826" w:type="pct"/>
            <w:tcBorders>
              <w:top w:val="single" w:sz="4" w:space="0" w:color="auto"/>
              <w:left w:val="nil"/>
              <w:bottom w:val="single" w:sz="4" w:space="0" w:color="auto"/>
              <w:right w:val="single" w:sz="4" w:space="0" w:color="auto"/>
            </w:tcBorders>
            <w:shd w:val="clear" w:color="000000" w:fill="FFFFFF"/>
          </w:tcPr>
          <w:p w14:paraId="36F8BAE8"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0.03 [-0.10, 0.16]</w:t>
            </w:r>
          </w:p>
        </w:tc>
      </w:tr>
      <w:tr w:rsidR="00F37251" w:rsidRPr="00DD72AC" w14:paraId="55B0889B" w14:textId="77777777" w:rsidTr="00F37251">
        <w:trPr>
          <w:trHeight w:val="1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16E0B33" w14:textId="518948C9" w:rsidR="00F37251" w:rsidRPr="00DD72AC" w:rsidRDefault="00F37251"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b/>
                <w:bCs/>
                <w:sz w:val="20"/>
              </w:rPr>
              <w:t>Most frequently reported TEAEs</w:t>
            </w:r>
          </w:p>
        </w:tc>
      </w:tr>
      <w:tr w:rsidR="00F312AF" w:rsidRPr="00DD72AC" w14:paraId="16EAA1F4" w14:textId="77777777" w:rsidTr="00CE4505">
        <w:trPr>
          <w:trHeight w:val="441"/>
        </w:trPr>
        <w:tc>
          <w:tcPr>
            <w:tcW w:w="943" w:type="pct"/>
            <w:tcBorders>
              <w:top w:val="single" w:sz="4" w:space="0" w:color="auto"/>
              <w:left w:val="single" w:sz="4" w:space="0" w:color="auto"/>
              <w:bottom w:val="single" w:sz="4" w:space="0" w:color="auto"/>
              <w:right w:val="single" w:sz="4" w:space="0" w:color="auto"/>
            </w:tcBorders>
          </w:tcPr>
          <w:p w14:paraId="70757D6B"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Injection site reaction</w:t>
            </w:r>
          </w:p>
        </w:tc>
        <w:tc>
          <w:tcPr>
            <w:tcW w:w="786" w:type="pct"/>
            <w:tcBorders>
              <w:top w:val="single" w:sz="4" w:space="0" w:color="auto"/>
              <w:left w:val="single" w:sz="4" w:space="0" w:color="auto"/>
              <w:bottom w:val="single" w:sz="4" w:space="0" w:color="auto"/>
              <w:right w:val="single" w:sz="4" w:space="0" w:color="auto"/>
            </w:tcBorders>
          </w:tcPr>
          <w:p w14:paraId="66596D47"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44/60 (73.33%)</w:t>
            </w:r>
          </w:p>
        </w:tc>
        <w:tc>
          <w:tcPr>
            <w:tcW w:w="787" w:type="pct"/>
            <w:tcBorders>
              <w:top w:val="single" w:sz="4" w:space="0" w:color="auto"/>
              <w:left w:val="single" w:sz="4" w:space="0" w:color="auto"/>
              <w:bottom w:val="single" w:sz="4" w:space="0" w:color="auto"/>
              <w:right w:val="single" w:sz="4" w:space="0" w:color="auto"/>
            </w:tcBorders>
          </w:tcPr>
          <w:p w14:paraId="0FC21CEE"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29/61 (47.54%)</w:t>
            </w:r>
          </w:p>
        </w:tc>
        <w:tc>
          <w:tcPr>
            <w:tcW w:w="829" w:type="pct"/>
            <w:tcBorders>
              <w:top w:val="single" w:sz="4" w:space="0" w:color="auto"/>
              <w:left w:val="single" w:sz="4" w:space="0" w:color="auto"/>
              <w:bottom w:val="single" w:sz="4" w:space="0" w:color="auto"/>
              <w:right w:val="single" w:sz="4" w:space="0" w:color="auto"/>
            </w:tcBorders>
          </w:tcPr>
          <w:p w14:paraId="24DC8BA9"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3.03 [1.42, 6.50]</w:t>
            </w:r>
          </w:p>
        </w:tc>
        <w:tc>
          <w:tcPr>
            <w:tcW w:w="829" w:type="pct"/>
            <w:tcBorders>
              <w:top w:val="single" w:sz="4" w:space="0" w:color="auto"/>
              <w:left w:val="single" w:sz="4" w:space="0" w:color="auto"/>
              <w:bottom w:val="single" w:sz="4" w:space="0" w:color="auto"/>
              <w:right w:val="single" w:sz="4" w:space="0" w:color="auto"/>
            </w:tcBorders>
          </w:tcPr>
          <w:p w14:paraId="3BE6AAE3"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1.54 [1.14, 2.09]</w:t>
            </w:r>
          </w:p>
        </w:tc>
        <w:tc>
          <w:tcPr>
            <w:tcW w:w="826" w:type="pct"/>
            <w:tcBorders>
              <w:top w:val="single" w:sz="4" w:space="0" w:color="auto"/>
              <w:left w:val="single" w:sz="4" w:space="0" w:color="auto"/>
              <w:bottom w:val="single" w:sz="4" w:space="0" w:color="auto"/>
              <w:right w:val="single" w:sz="4" w:space="0" w:color="auto"/>
            </w:tcBorders>
          </w:tcPr>
          <w:p w14:paraId="1B368DCD"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0.26 [0.08, 0.43]</w:t>
            </w:r>
          </w:p>
        </w:tc>
      </w:tr>
      <w:tr w:rsidR="00F312AF" w:rsidRPr="00DD72AC" w14:paraId="3C6A174E" w14:textId="77777777" w:rsidTr="00CE4505">
        <w:trPr>
          <w:trHeight w:val="441"/>
        </w:trPr>
        <w:tc>
          <w:tcPr>
            <w:tcW w:w="943" w:type="pct"/>
            <w:tcBorders>
              <w:top w:val="single" w:sz="4" w:space="0" w:color="auto"/>
              <w:left w:val="single" w:sz="4" w:space="0" w:color="auto"/>
              <w:bottom w:val="single" w:sz="4" w:space="0" w:color="auto"/>
              <w:right w:val="single" w:sz="4" w:space="0" w:color="auto"/>
            </w:tcBorders>
          </w:tcPr>
          <w:p w14:paraId="4253D51F"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Injection site erythema</w:t>
            </w:r>
          </w:p>
        </w:tc>
        <w:tc>
          <w:tcPr>
            <w:tcW w:w="786" w:type="pct"/>
            <w:tcBorders>
              <w:top w:val="single" w:sz="4" w:space="0" w:color="auto"/>
              <w:left w:val="single" w:sz="4" w:space="0" w:color="auto"/>
              <w:bottom w:val="single" w:sz="4" w:space="0" w:color="auto"/>
              <w:right w:val="single" w:sz="4" w:space="0" w:color="auto"/>
            </w:tcBorders>
          </w:tcPr>
          <w:p w14:paraId="2523EB0B"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41/60 (68.33%)</w:t>
            </w:r>
          </w:p>
        </w:tc>
        <w:tc>
          <w:tcPr>
            <w:tcW w:w="787" w:type="pct"/>
            <w:tcBorders>
              <w:top w:val="single" w:sz="4" w:space="0" w:color="auto"/>
              <w:left w:val="single" w:sz="4" w:space="0" w:color="auto"/>
              <w:bottom w:val="single" w:sz="4" w:space="0" w:color="auto"/>
              <w:right w:val="single" w:sz="4" w:space="0" w:color="auto"/>
            </w:tcBorders>
          </w:tcPr>
          <w:p w14:paraId="6DFCC43C"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40/61 (65.57%)</w:t>
            </w:r>
          </w:p>
        </w:tc>
        <w:tc>
          <w:tcPr>
            <w:tcW w:w="829" w:type="pct"/>
            <w:tcBorders>
              <w:top w:val="single" w:sz="4" w:space="0" w:color="auto"/>
              <w:left w:val="single" w:sz="4" w:space="0" w:color="auto"/>
              <w:bottom w:val="single" w:sz="4" w:space="0" w:color="auto"/>
              <w:right w:val="single" w:sz="4" w:space="0" w:color="auto"/>
            </w:tcBorders>
          </w:tcPr>
          <w:p w14:paraId="15011754"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1.13 [0.53, 2.42]</w:t>
            </w:r>
          </w:p>
        </w:tc>
        <w:tc>
          <w:tcPr>
            <w:tcW w:w="829" w:type="pct"/>
            <w:tcBorders>
              <w:top w:val="single" w:sz="4" w:space="0" w:color="auto"/>
              <w:left w:val="single" w:sz="4" w:space="0" w:color="auto"/>
              <w:bottom w:val="single" w:sz="4" w:space="0" w:color="auto"/>
              <w:right w:val="single" w:sz="4" w:space="0" w:color="auto"/>
            </w:tcBorders>
          </w:tcPr>
          <w:p w14:paraId="65E8A9C9"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1.04 [0.81, 1.34]</w:t>
            </w:r>
          </w:p>
        </w:tc>
        <w:tc>
          <w:tcPr>
            <w:tcW w:w="826" w:type="pct"/>
            <w:tcBorders>
              <w:top w:val="single" w:sz="4" w:space="0" w:color="auto"/>
              <w:left w:val="single" w:sz="4" w:space="0" w:color="auto"/>
              <w:bottom w:val="single" w:sz="4" w:space="0" w:color="auto"/>
              <w:right w:val="single" w:sz="4" w:space="0" w:color="auto"/>
            </w:tcBorders>
          </w:tcPr>
          <w:p w14:paraId="29C66DAC"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0.03 [-0.14, 0.20]</w:t>
            </w:r>
          </w:p>
        </w:tc>
      </w:tr>
      <w:tr w:rsidR="00F312AF" w:rsidRPr="00DD72AC" w14:paraId="6D0AD333" w14:textId="77777777" w:rsidTr="00CE4505">
        <w:trPr>
          <w:trHeight w:val="441"/>
        </w:trPr>
        <w:tc>
          <w:tcPr>
            <w:tcW w:w="943" w:type="pct"/>
            <w:tcBorders>
              <w:top w:val="single" w:sz="4" w:space="0" w:color="auto"/>
              <w:left w:val="single" w:sz="4" w:space="0" w:color="auto"/>
              <w:bottom w:val="single" w:sz="4" w:space="0" w:color="auto"/>
              <w:right w:val="single" w:sz="4" w:space="0" w:color="auto"/>
            </w:tcBorders>
          </w:tcPr>
          <w:p w14:paraId="4D0CF18A"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Injection site swelling</w:t>
            </w:r>
          </w:p>
        </w:tc>
        <w:tc>
          <w:tcPr>
            <w:tcW w:w="786" w:type="pct"/>
            <w:tcBorders>
              <w:top w:val="single" w:sz="4" w:space="0" w:color="auto"/>
              <w:left w:val="single" w:sz="4" w:space="0" w:color="auto"/>
              <w:bottom w:val="single" w:sz="4" w:space="0" w:color="auto"/>
              <w:right w:val="single" w:sz="4" w:space="0" w:color="auto"/>
            </w:tcBorders>
          </w:tcPr>
          <w:p w14:paraId="049B0BAF"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23/60 (38.33%)</w:t>
            </w:r>
          </w:p>
        </w:tc>
        <w:tc>
          <w:tcPr>
            <w:tcW w:w="787" w:type="pct"/>
            <w:tcBorders>
              <w:top w:val="single" w:sz="4" w:space="0" w:color="auto"/>
              <w:left w:val="single" w:sz="4" w:space="0" w:color="auto"/>
              <w:bottom w:val="single" w:sz="4" w:space="0" w:color="auto"/>
              <w:right w:val="single" w:sz="4" w:space="0" w:color="auto"/>
            </w:tcBorders>
          </w:tcPr>
          <w:p w14:paraId="4B1BF62A"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6/61 (9.84%)</w:t>
            </w:r>
          </w:p>
        </w:tc>
        <w:tc>
          <w:tcPr>
            <w:tcW w:w="829" w:type="pct"/>
            <w:tcBorders>
              <w:top w:val="single" w:sz="4" w:space="0" w:color="auto"/>
              <w:left w:val="single" w:sz="4" w:space="0" w:color="auto"/>
              <w:bottom w:val="single" w:sz="4" w:space="0" w:color="auto"/>
              <w:right w:val="single" w:sz="4" w:space="0" w:color="auto"/>
            </w:tcBorders>
          </w:tcPr>
          <w:p w14:paraId="0ABF8EF0"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5.70 [2.12, 15.34]</w:t>
            </w:r>
          </w:p>
        </w:tc>
        <w:tc>
          <w:tcPr>
            <w:tcW w:w="829" w:type="pct"/>
            <w:tcBorders>
              <w:top w:val="single" w:sz="4" w:space="0" w:color="auto"/>
              <w:left w:val="single" w:sz="4" w:space="0" w:color="auto"/>
              <w:bottom w:val="single" w:sz="4" w:space="0" w:color="auto"/>
              <w:right w:val="single" w:sz="4" w:space="0" w:color="auto"/>
            </w:tcBorders>
          </w:tcPr>
          <w:p w14:paraId="71DB5351"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3.90 [1.71, 8.89]</w:t>
            </w:r>
          </w:p>
        </w:tc>
        <w:tc>
          <w:tcPr>
            <w:tcW w:w="826" w:type="pct"/>
            <w:tcBorders>
              <w:top w:val="single" w:sz="4" w:space="0" w:color="auto"/>
              <w:left w:val="single" w:sz="4" w:space="0" w:color="auto"/>
              <w:bottom w:val="single" w:sz="4" w:space="0" w:color="auto"/>
              <w:right w:val="single" w:sz="4" w:space="0" w:color="auto"/>
            </w:tcBorders>
          </w:tcPr>
          <w:p w14:paraId="06184B3B"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0.28 [0.13, 0.44]</w:t>
            </w:r>
          </w:p>
        </w:tc>
      </w:tr>
    </w:tbl>
    <w:p w14:paraId="2211A523" w14:textId="327BA089" w:rsidR="006409D9" w:rsidRPr="00DD72AC" w:rsidRDefault="006409D9" w:rsidP="006409D9">
      <w:pPr>
        <w:keepNext/>
        <w:keepLines/>
        <w:spacing w:after="360"/>
        <w:contextualSpacing/>
        <w:jc w:val="left"/>
        <w:textboxTightWrap w:val="allLines"/>
        <w:rPr>
          <w:rFonts w:ascii="Arial Narrow" w:hAnsi="Arial Narrow"/>
          <w:sz w:val="18"/>
          <w:lang w:eastAsia="en-GB"/>
        </w:rPr>
      </w:pPr>
      <w:r w:rsidRPr="00DD72AC">
        <w:rPr>
          <w:rFonts w:ascii="Arial Narrow" w:hAnsi="Arial Narrow"/>
          <w:sz w:val="18"/>
          <w:lang w:eastAsia="en-GB"/>
        </w:rPr>
        <w:t xml:space="preserve">Source: Table 51 and Table 52, pp107, 110 of the submission, </w:t>
      </w:r>
      <w:r w:rsidR="003106F9" w:rsidRPr="00DD72AC">
        <w:rPr>
          <w:rFonts w:ascii="Arial Narrow" w:hAnsi="Arial Narrow"/>
          <w:sz w:val="18"/>
          <w:lang w:eastAsia="en-GB"/>
        </w:rPr>
        <w:t xml:space="preserve">and </w:t>
      </w:r>
      <w:r w:rsidRPr="00DD72AC">
        <w:rPr>
          <w:rFonts w:ascii="Arial Narrow" w:hAnsi="Arial Narrow"/>
          <w:i/>
          <w:iCs/>
          <w:sz w:val="18"/>
          <w:lang w:eastAsia="en-GB"/>
        </w:rPr>
        <w:t>amended during evaluation.</w:t>
      </w:r>
      <w:r w:rsidRPr="00DD72AC">
        <w:rPr>
          <w:rFonts w:ascii="Arial Narrow" w:hAnsi="Arial Narrow"/>
          <w:sz w:val="18"/>
          <w:lang w:eastAsia="en-GB"/>
        </w:rPr>
        <w:t xml:space="preserve"> </w:t>
      </w:r>
    </w:p>
    <w:p w14:paraId="19F90536" w14:textId="77777777" w:rsidR="006409D9" w:rsidRPr="00DD72AC" w:rsidRDefault="006409D9" w:rsidP="006409D9">
      <w:pPr>
        <w:keepNext/>
        <w:keepLines/>
        <w:spacing w:after="360"/>
        <w:contextualSpacing/>
        <w:jc w:val="left"/>
        <w:textboxTightWrap w:val="allLines"/>
        <w:rPr>
          <w:rFonts w:ascii="Arial Narrow" w:hAnsi="Arial Narrow"/>
          <w:sz w:val="18"/>
          <w:lang w:eastAsia="en-GB"/>
        </w:rPr>
      </w:pPr>
      <w:r w:rsidRPr="00DD72AC">
        <w:rPr>
          <w:rFonts w:ascii="Arial Narrow" w:hAnsi="Arial Narrow"/>
          <w:sz w:val="18"/>
          <w:lang w:eastAsia="en-GB"/>
        </w:rPr>
        <w:t xml:space="preserve">AE, adverse event; CI, confidence interval; EOI, event of interest; </w:t>
      </w:r>
      <w:proofErr w:type="gramStart"/>
      <w:r w:rsidRPr="00DD72AC">
        <w:rPr>
          <w:rFonts w:ascii="Arial Narrow" w:hAnsi="Arial Narrow"/>
          <w:sz w:val="18"/>
          <w:lang w:eastAsia="en-GB"/>
        </w:rPr>
        <w:t>OR,</w:t>
      </w:r>
      <w:proofErr w:type="gramEnd"/>
      <w:r w:rsidRPr="00DD72AC">
        <w:rPr>
          <w:rFonts w:ascii="Arial Narrow" w:hAnsi="Arial Narrow"/>
          <w:sz w:val="18"/>
          <w:lang w:eastAsia="en-GB"/>
        </w:rPr>
        <w:t xml:space="preserve"> odds ratio; RD, risk difference; RR, risk ratio; SAE, serious adverse event; TEAE, treatment emergent adverse event; VOS, vosoritide </w:t>
      </w:r>
    </w:p>
    <w:p w14:paraId="0149A5C3" w14:textId="407E2CC6" w:rsidR="006409D9" w:rsidRPr="00DD72AC" w:rsidRDefault="006409D9" w:rsidP="006409D9">
      <w:pPr>
        <w:keepNext/>
        <w:keepLines/>
        <w:spacing w:after="360"/>
        <w:contextualSpacing/>
        <w:jc w:val="left"/>
        <w:textboxTightWrap w:val="allLines"/>
        <w:rPr>
          <w:rFonts w:ascii="Arial Narrow" w:hAnsi="Arial Narrow"/>
          <w:sz w:val="18"/>
          <w:lang w:eastAsia="en-GB"/>
        </w:rPr>
      </w:pPr>
      <w:r w:rsidRPr="00DD72AC">
        <w:rPr>
          <w:rFonts w:ascii="Arial Narrow" w:hAnsi="Arial Narrow"/>
          <w:sz w:val="18"/>
          <w:lang w:eastAsia="en-GB"/>
        </w:rPr>
        <w:t xml:space="preserve">Note: The ratio of ‘Injection site reaction’ is different between table 52 (111-301 CSR table 11.2.1.1) and table 53 (111-301 CSR table 11.2.3.2.1). The original CSR also had different values. </w:t>
      </w:r>
      <w:r w:rsidR="00975686" w:rsidRPr="00DD72AC">
        <w:rPr>
          <w:rFonts w:ascii="Arial Narrow" w:hAnsi="Arial Narrow"/>
          <w:sz w:val="18"/>
          <w:lang w:eastAsia="en-GB"/>
        </w:rPr>
        <w:t xml:space="preserve"> </w:t>
      </w:r>
    </w:p>
    <w:p w14:paraId="43888105" w14:textId="37A18E81" w:rsidR="00FF39E3" w:rsidRPr="00DD72AC" w:rsidRDefault="00FF39E3" w:rsidP="00FF39E3">
      <w:pPr>
        <w:pStyle w:val="3-BodyText"/>
        <w:rPr>
          <w:i/>
          <w:iCs/>
        </w:rPr>
      </w:pPr>
      <w:r w:rsidRPr="00DD72AC">
        <w:t xml:space="preserve">Comparative safety data between treatment and placebo were not available for children aged 6 month to &lt; 5 years old. The PSCR provided an overview of the adverse events in Study 111-206, including children aged 0 to 5 years. The PSCR stated there </w:t>
      </w:r>
      <w:r w:rsidRPr="00DD72AC">
        <w:lastRenderedPageBreak/>
        <w:t xml:space="preserve">were no SAEs related to treatment and low incidence of discontinuation due to an AE (3.1% with vosoritide) over 52 weeks. One vosoritide subject died, due to respiratory arrest, however the PSCR stated this event was not considered related to study treatment (the patient had </w:t>
      </w:r>
      <w:r w:rsidR="009D5B72" w:rsidRPr="00DD72AC">
        <w:t xml:space="preserve">a </w:t>
      </w:r>
      <w:r w:rsidRPr="00DD72AC">
        <w:t xml:space="preserve">pre-existing respiratory condition). </w:t>
      </w:r>
      <w:bookmarkStart w:id="33" w:name="_Hlk105679523"/>
      <w:r w:rsidRPr="00DD72AC">
        <w:t xml:space="preserve">The ESC </w:t>
      </w:r>
      <w:r w:rsidR="00D45E9D" w:rsidRPr="00DD72AC">
        <w:t xml:space="preserve">considered </w:t>
      </w:r>
      <w:r w:rsidRPr="00DD72AC">
        <w:t xml:space="preserve">that </w:t>
      </w:r>
      <w:r w:rsidR="00D45E9D" w:rsidRPr="00DD72AC">
        <w:t xml:space="preserve">more detail on </w:t>
      </w:r>
      <w:r w:rsidRPr="00DD72AC">
        <w:t xml:space="preserve">the updated data from Study 111-206 </w:t>
      </w:r>
      <w:r w:rsidR="00D45E9D" w:rsidRPr="00DD72AC">
        <w:t xml:space="preserve">was required to allow it to be </w:t>
      </w:r>
      <w:r w:rsidRPr="00DD72AC">
        <w:t xml:space="preserve">evaluated. </w:t>
      </w:r>
      <w:r w:rsidR="00BE7DEE" w:rsidRPr="00DD72AC">
        <w:t>The pre-PBAC response noted the results from Study 111-206 had since been published in a poster (</w:t>
      </w:r>
      <w:proofErr w:type="spellStart"/>
      <w:r w:rsidR="00BE7DEE" w:rsidRPr="00DD72AC">
        <w:t>Savarirayan</w:t>
      </w:r>
      <w:proofErr w:type="spellEnd"/>
      <w:r w:rsidR="00BE7DEE" w:rsidRPr="00DD72AC">
        <w:t>, 2022).</w:t>
      </w:r>
    </w:p>
    <w:bookmarkEnd w:id="33"/>
    <w:p w14:paraId="64969C61" w14:textId="0F0A890E" w:rsidR="00DB3209" w:rsidRPr="00DD72AC" w:rsidRDefault="00DB3209" w:rsidP="00DB3209">
      <w:pPr>
        <w:pStyle w:val="3-BodyText"/>
        <w:rPr>
          <w:i/>
          <w:iCs/>
        </w:rPr>
      </w:pPr>
      <w:r w:rsidRPr="00DD72AC">
        <w:t>In addition, the small sample size might limit the ability to observe serious adverse events, especially for the under 5 years old age group.</w:t>
      </w:r>
    </w:p>
    <w:p w14:paraId="04908C7F" w14:textId="415B9B7D" w:rsidR="007F1017" w:rsidRPr="00DD72AC" w:rsidRDefault="007F1017" w:rsidP="00D86231">
      <w:pPr>
        <w:pStyle w:val="4-SubsectionHeading"/>
      </w:pPr>
      <w:bookmarkStart w:id="34" w:name="_Toc22897643"/>
      <w:bookmarkStart w:id="35" w:name="_Toc103776183"/>
      <w:r w:rsidRPr="00DD72AC">
        <w:t>Benefits/harms</w:t>
      </w:r>
      <w:bookmarkEnd w:id="34"/>
      <w:bookmarkEnd w:id="35"/>
    </w:p>
    <w:p w14:paraId="56C3FF0F" w14:textId="24BB60F9" w:rsidR="00A80376" w:rsidRPr="00DD72AC" w:rsidRDefault="009962E2" w:rsidP="00F37251">
      <w:pPr>
        <w:pStyle w:val="3-BodyText"/>
      </w:pPr>
      <w:r w:rsidRPr="00DD72AC">
        <w:t xml:space="preserve">A summary of the comparative benefits and harms for </w:t>
      </w:r>
      <w:r w:rsidR="001E2A02" w:rsidRPr="00DD72AC">
        <w:t xml:space="preserve">vosoritide </w:t>
      </w:r>
      <w:r w:rsidRPr="00DD72AC">
        <w:t xml:space="preserve">versus </w:t>
      </w:r>
      <w:r w:rsidR="001E2A02" w:rsidRPr="00DD72AC">
        <w:t>placebo</w:t>
      </w:r>
      <w:r w:rsidRPr="00DD72AC">
        <w:t xml:space="preserve"> is presented in</w:t>
      </w:r>
      <w:r w:rsidR="00A2459D" w:rsidRPr="00DD72AC">
        <w:t xml:space="preserve"> </w:t>
      </w:r>
      <w:r w:rsidR="00A2459D" w:rsidRPr="00DD72AC">
        <w:fldChar w:fldCharType="begin" w:fldLock="1"/>
      </w:r>
      <w:r w:rsidR="00A2459D" w:rsidRPr="00DD72AC">
        <w:instrText xml:space="preserve"> REF _Ref101267735 \h </w:instrText>
      </w:r>
      <w:r w:rsidR="00A2459D" w:rsidRPr="00DD72AC">
        <w:fldChar w:fldCharType="separate"/>
      </w:r>
      <w:r w:rsidR="0080776A" w:rsidRPr="00DD72AC">
        <w:t>Table 6</w:t>
      </w:r>
      <w:r w:rsidR="00A2459D" w:rsidRPr="00DD72AC">
        <w:fldChar w:fldCharType="end"/>
      </w:r>
      <w:r w:rsidRPr="00DD72AC">
        <w:t>.</w:t>
      </w:r>
    </w:p>
    <w:p w14:paraId="0DB0CA62" w14:textId="16B31C9B" w:rsidR="009962E2" w:rsidRPr="00DD72AC" w:rsidRDefault="009962E2" w:rsidP="009962E2">
      <w:pPr>
        <w:pStyle w:val="TableFigureHeading"/>
        <w:rPr>
          <w:rStyle w:val="CommentReference"/>
          <w:b/>
          <w:szCs w:val="24"/>
        </w:rPr>
      </w:pPr>
      <w:bookmarkStart w:id="36" w:name="_Ref101267735"/>
      <w:r w:rsidRPr="00DD72AC">
        <w:t xml:space="preserve">Table </w:t>
      </w:r>
      <w:r w:rsidRPr="00DD72AC">
        <w:fldChar w:fldCharType="begin" w:fldLock="1"/>
      </w:r>
      <w:r w:rsidRPr="00DD72AC">
        <w:instrText>SEQ Table \* ARABIC</w:instrText>
      </w:r>
      <w:r w:rsidRPr="00DD72AC">
        <w:fldChar w:fldCharType="separate"/>
      </w:r>
      <w:r w:rsidR="003136E6" w:rsidRPr="00DD72AC">
        <w:t>6</w:t>
      </w:r>
      <w:r w:rsidRPr="00DD72AC">
        <w:fldChar w:fldCharType="end"/>
      </w:r>
      <w:bookmarkEnd w:id="36"/>
      <w:r w:rsidRPr="00DD72AC">
        <w:rPr>
          <w:rStyle w:val="CommentReference"/>
          <w:b/>
          <w:szCs w:val="24"/>
        </w:rPr>
        <w:t xml:space="preserve">: Summary of comparative benefits and harms for </w:t>
      </w:r>
      <w:r w:rsidR="009849AC" w:rsidRPr="00DD72AC">
        <w:rPr>
          <w:rStyle w:val="CommentReference"/>
          <w:b/>
          <w:szCs w:val="24"/>
        </w:rPr>
        <w:t xml:space="preserve">vosoritide </w:t>
      </w:r>
      <w:r w:rsidRPr="00DD72AC">
        <w:rPr>
          <w:rStyle w:val="CommentReference"/>
          <w:b/>
          <w:szCs w:val="24"/>
        </w:rPr>
        <w:t xml:space="preserve">and </w:t>
      </w:r>
      <w:r w:rsidR="00F80259" w:rsidRPr="00DD72AC">
        <w:rPr>
          <w:rStyle w:val="CommentReference"/>
          <w:b/>
          <w:szCs w:val="24"/>
        </w:rPr>
        <w:t>PB</w:t>
      </w:r>
      <w:r w:rsidRPr="00DD72AC">
        <w:rPr>
          <w:rStyle w:val="CommentReference"/>
          <w:b/>
          <w:szCs w:val="24"/>
        </w:rPr>
        <w:t>O</w:t>
      </w:r>
    </w:p>
    <w:tbl>
      <w:tblPr>
        <w:tblW w:w="5000" w:type="pct"/>
        <w:tblLayout w:type="fixed"/>
        <w:tblCellMar>
          <w:left w:w="28" w:type="dxa"/>
          <w:right w:w="28" w:type="dxa"/>
        </w:tblCellMar>
        <w:tblLook w:val="04A0" w:firstRow="1" w:lastRow="0" w:firstColumn="1" w:lastColumn="0" w:noHBand="0" w:noVBand="1"/>
        <w:tblCaption w:val="Table 6: Summary of comparative benefits and harms for vosoritide and PBO"/>
      </w:tblPr>
      <w:tblGrid>
        <w:gridCol w:w="1142"/>
        <w:gridCol w:w="7"/>
        <w:gridCol w:w="7"/>
        <w:gridCol w:w="691"/>
        <w:gridCol w:w="438"/>
        <w:gridCol w:w="7"/>
        <w:gridCol w:w="545"/>
        <w:gridCol w:w="732"/>
        <w:gridCol w:w="272"/>
        <w:gridCol w:w="838"/>
        <w:gridCol w:w="444"/>
        <w:gridCol w:w="550"/>
        <w:gridCol w:w="582"/>
        <w:gridCol w:w="408"/>
        <w:gridCol w:w="954"/>
        <w:gridCol w:w="1399"/>
      </w:tblGrid>
      <w:tr w:rsidR="009962E2" w:rsidRPr="00DD72AC" w14:paraId="68A8EAD8" w14:textId="77777777" w:rsidTr="004967F5">
        <w:trPr>
          <w:cantSplit/>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9CD6BAF" w14:textId="2A2EEAE7" w:rsidR="009962E2" w:rsidRPr="00DD72AC" w:rsidRDefault="009962E2" w:rsidP="00CE4505">
            <w:pPr>
              <w:pStyle w:val="In-tableHeading"/>
              <w:rPr>
                <w:lang w:val="en-AU"/>
              </w:rPr>
            </w:pPr>
            <w:r w:rsidRPr="00DD72AC">
              <w:rPr>
                <w:lang w:val="en-AU"/>
              </w:rPr>
              <w:t xml:space="preserve">Continuous outcome I: change from baseline </w:t>
            </w:r>
            <w:r w:rsidR="000D5E18" w:rsidRPr="00DD72AC">
              <w:rPr>
                <w:lang w:val="en-AU"/>
              </w:rPr>
              <w:t>AGV</w:t>
            </w:r>
          </w:p>
        </w:tc>
      </w:tr>
      <w:tr w:rsidR="009962E2" w:rsidRPr="00DD72AC" w14:paraId="246B8CDF" w14:textId="77777777" w:rsidTr="000D639A">
        <w:trPr>
          <w:cantSplit/>
          <w:trHeight w:val="225"/>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464B3E" w14:textId="77777777" w:rsidR="009962E2" w:rsidRPr="00DD72AC" w:rsidRDefault="009962E2" w:rsidP="00CE4505">
            <w:pPr>
              <w:pStyle w:val="TableText0"/>
            </w:pPr>
          </w:p>
        </w:tc>
        <w:tc>
          <w:tcPr>
            <w:tcW w:w="1497" w:type="pct"/>
            <w:gridSpan w:val="8"/>
            <w:tcBorders>
              <w:top w:val="single" w:sz="4" w:space="0" w:color="auto"/>
              <w:left w:val="single" w:sz="4" w:space="0" w:color="auto"/>
              <w:bottom w:val="single" w:sz="4" w:space="0" w:color="auto"/>
              <w:right w:val="single" w:sz="4" w:space="0" w:color="auto"/>
            </w:tcBorders>
            <w:vAlign w:val="center"/>
          </w:tcPr>
          <w:p w14:paraId="2AC15D25" w14:textId="4839E562" w:rsidR="009962E2" w:rsidRPr="00DD72AC" w:rsidRDefault="00982CE6" w:rsidP="00CE4505">
            <w:pPr>
              <w:pStyle w:val="In-tableHeading"/>
              <w:jc w:val="center"/>
              <w:rPr>
                <w:lang w:val="en-AU"/>
              </w:rPr>
            </w:pPr>
            <w:r w:rsidRPr="00DD72AC">
              <w:rPr>
                <w:lang w:val="en-AU"/>
              </w:rPr>
              <w:t xml:space="preserve">Vosoritide </w:t>
            </w:r>
          </w:p>
        </w:tc>
        <w:tc>
          <w:tcPr>
            <w:tcW w:w="1565" w:type="pct"/>
            <w:gridSpan w:val="5"/>
            <w:tcBorders>
              <w:top w:val="single" w:sz="4" w:space="0" w:color="auto"/>
              <w:left w:val="single" w:sz="4" w:space="0" w:color="auto"/>
              <w:bottom w:val="single" w:sz="4" w:space="0" w:color="auto"/>
              <w:right w:val="single" w:sz="4" w:space="0" w:color="auto"/>
            </w:tcBorders>
            <w:vAlign w:val="center"/>
          </w:tcPr>
          <w:p w14:paraId="571F2331" w14:textId="2DC44609" w:rsidR="009962E2" w:rsidRPr="00DD72AC" w:rsidRDefault="009962E2" w:rsidP="00CE4505">
            <w:pPr>
              <w:pStyle w:val="In-tableHeading"/>
              <w:jc w:val="center"/>
              <w:rPr>
                <w:lang w:val="en-AU"/>
              </w:rPr>
            </w:pPr>
            <w:r w:rsidRPr="00DD72AC">
              <w:rPr>
                <w:lang w:val="en-AU"/>
              </w:rPr>
              <w:t>PBO</w:t>
            </w:r>
          </w:p>
        </w:tc>
        <w:tc>
          <w:tcPr>
            <w:tcW w:w="1305" w:type="pct"/>
            <w:gridSpan w:val="2"/>
            <w:vMerge w:val="restart"/>
            <w:tcBorders>
              <w:top w:val="single" w:sz="4" w:space="0" w:color="auto"/>
              <w:left w:val="single" w:sz="4" w:space="0" w:color="auto"/>
              <w:bottom w:val="single" w:sz="4" w:space="0" w:color="auto"/>
              <w:right w:val="single" w:sz="4" w:space="0" w:color="auto"/>
            </w:tcBorders>
            <w:vAlign w:val="center"/>
          </w:tcPr>
          <w:p w14:paraId="6095E4F7" w14:textId="2ED05CEF" w:rsidR="009962E2" w:rsidRPr="00DD72AC" w:rsidRDefault="00293501" w:rsidP="00CE4505">
            <w:pPr>
              <w:pStyle w:val="In-tableHeading"/>
              <w:jc w:val="center"/>
              <w:rPr>
                <w:lang w:val="en-AU"/>
              </w:rPr>
            </w:pPr>
            <w:r w:rsidRPr="00DD72AC">
              <w:rPr>
                <w:lang w:val="en-AU"/>
              </w:rPr>
              <w:t>D</w:t>
            </w:r>
            <w:r w:rsidR="009962E2" w:rsidRPr="00DD72AC">
              <w:rPr>
                <w:lang w:val="en-AU"/>
              </w:rPr>
              <w:t>ifference</w:t>
            </w:r>
            <w:r w:rsidRPr="00DD72AC">
              <w:rPr>
                <w:lang w:val="en-AU"/>
              </w:rPr>
              <w:t xml:space="preserve"> in LS mean</w:t>
            </w:r>
            <w:r w:rsidR="00D57F3F" w:rsidRPr="00DD72AC">
              <w:rPr>
                <w:lang w:val="en-AU"/>
              </w:rPr>
              <w:t xml:space="preserve"> change from baseline</w:t>
            </w:r>
            <w:r w:rsidR="009962E2" w:rsidRPr="00DD72AC">
              <w:rPr>
                <w:lang w:val="en-AU"/>
              </w:rPr>
              <w:t>:</w:t>
            </w:r>
          </w:p>
          <w:p w14:paraId="717DD396" w14:textId="43D9FC79" w:rsidR="009962E2" w:rsidRPr="00DD72AC" w:rsidRDefault="00CE087D" w:rsidP="00CE4505">
            <w:pPr>
              <w:pStyle w:val="In-tableHeading"/>
              <w:jc w:val="center"/>
              <w:rPr>
                <w:szCs w:val="18"/>
                <w:lang w:val="en-AU"/>
              </w:rPr>
            </w:pPr>
            <w:r w:rsidRPr="00DD72AC">
              <w:rPr>
                <w:szCs w:val="18"/>
                <w:lang w:val="en-AU"/>
              </w:rPr>
              <w:t xml:space="preserve">Vosoritide </w:t>
            </w:r>
            <w:r w:rsidR="009962E2" w:rsidRPr="00DD72AC">
              <w:rPr>
                <w:szCs w:val="18"/>
                <w:lang w:val="en-AU"/>
              </w:rPr>
              <w:t xml:space="preserve">vs. </w:t>
            </w:r>
            <w:r w:rsidRPr="00DD72AC">
              <w:rPr>
                <w:szCs w:val="18"/>
                <w:lang w:val="en-AU"/>
              </w:rPr>
              <w:t>PBO</w:t>
            </w:r>
          </w:p>
          <w:p w14:paraId="032B0500" w14:textId="77777777" w:rsidR="009962E2" w:rsidRPr="00DD72AC" w:rsidRDefault="009962E2" w:rsidP="00CE4505">
            <w:pPr>
              <w:pStyle w:val="In-tableHeading"/>
              <w:jc w:val="center"/>
              <w:rPr>
                <w:szCs w:val="18"/>
                <w:lang w:val="en-AU"/>
              </w:rPr>
            </w:pPr>
            <w:r w:rsidRPr="00DD72AC">
              <w:rPr>
                <w:szCs w:val="18"/>
                <w:lang w:val="en-AU"/>
              </w:rPr>
              <w:t>(95% CI)</w:t>
            </w:r>
          </w:p>
        </w:tc>
      </w:tr>
      <w:tr w:rsidR="009962E2" w:rsidRPr="00DD72AC" w14:paraId="3B46992A" w14:textId="77777777" w:rsidTr="000D639A">
        <w:trPr>
          <w:cantSplit/>
          <w:trHeight w:val="225"/>
        </w:trPr>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D07FF82" w14:textId="77777777" w:rsidR="009962E2" w:rsidRPr="00DD72AC" w:rsidRDefault="009962E2" w:rsidP="00CE4505">
            <w:pPr>
              <w:keepNext/>
              <w:keepLines/>
              <w:rPr>
                <w:rFonts w:ascii="Arial Narrow" w:hAnsi="Arial Narrow"/>
                <w:color w:val="000000"/>
                <w:sz w:val="20"/>
                <w:szCs w:val="18"/>
              </w:rPr>
            </w:pPr>
          </w:p>
        </w:tc>
        <w:tc>
          <w:tcPr>
            <w:tcW w:w="391" w:type="pct"/>
            <w:gridSpan w:val="3"/>
            <w:tcBorders>
              <w:top w:val="single" w:sz="4" w:space="0" w:color="auto"/>
              <w:left w:val="single" w:sz="4" w:space="0" w:color="auto"/>
              <w:bottom w:val="single" w:sz="4" w:space="0" w:color="auto"/>
              <w:right w:val="single" w:sz="4" w:space="0" w:color="auto"/>
            </w:tcBorders>
            <w:vAlign w:val="center"/>
          </w:tcPr>
          <w:p w14:paraId="46E20D6C" w14:textId="77777777" w:rsidR="009962E2" w:rsidRPr="00DD72AC" w:rsidRDefault="009962E2" w:rsidP="00CE4505">
            <w:pPr>
              <w:pStyle w:val="In-tableHeading"/>
              <w:jc w:val="center"/>
              <w:rPr>
                <w:lang w:val="en-AU"/>
              </w:rPr>
            </w:pPr>
            <w:r w:rsidRPr="00DD72AC">
              <w:rPr>
                <w:lang w:val="en-AU"/>
              </w:rPr>
              <w:t>N</w:t>
            </w:r>
          </w:p>
        </w:tc>
        <w:tc>
          <w:tcPr>
            <w:tcW w:w="549" w:type="pct"/>
            <w:gridSpan w:val="3"/>
            <w:tcBorders>
              <w:top w:val="single" w:sz="4" w:space="0" w:color="auto"/>
              <w:left w:val="single" w:sz="4" w:space="0" w:color="auto"/>
              <w:bottom w:val="single" w:sz="4" w:space="0" w:color="auto"/>
              <w:right w:val="single" w:sz="4" w:space="0" w:color="auto"/>
            </w:tcBorders>
            <w:vAlign w:val="center"/>
          </w:tcPr>
          <w:p w14:paraId="6929B0FD" w14:textId="663CB2ED" w:rsidR="009962E2" w:rsidRPr="00DD72AC" w:rsidRDefault="00C004EF" w:rsidP="00CE4505">
            <w:pPr>
              <w:pStyle w:val="In-tableHeading"/>
              <w:jc w:val="center"/>
              <w:rPr>
                <w:lang w:val="en-AU"/>
              </w:rPr>
            </w:pPr>
            <w:r w:rsidRPr="00DD72AC">
              <w:rPr>
                <w:lang w:val="en-AU"/>
              </w:rPr>
              <w:t>L</w:t>
            </w:r>
            <w:r w:rsidR="00293501" w:rsidRPr="00DD72AC">
              <w:rPr>
                <w:lang w:val="en-AU"/>
              </w:rPr>
              <w:t xml:space="preserve">S </w:t>
            </w:r>
            <w:r w:rsidR="009962E2" w:rsidRPr="00DD72AC">
              <w:rPr>
                <w:lang w:val="en-AU"/>
              </w:rPr>
              <w:t xml:space="preserve">Mean ∆ baseline </w:t>
            </w:r>
            <w:r w:rsidR="00652EB2" w:rsidRPr="00DD72AC">
              <w:rPr>
                <w:lang w:val="en-AU"/>
              </w:rPr>
              <w:t>AGV</w:t>
            </w:r>
          </w:p>
        </w:tc>
        <w:tc>
          <w:tcPr>
            <w:tcW w:w="557" w:type="pct"/>
            <w:gridSpan w:val="2"/>
            <w:tcBorders>
              <w:top w:val="single" w:sz="4" w:space="0" w:color="auto"/>
              <w:left w:val="single" w:sz="4" w:space="0" w:color="auto"/>
              <w:bottom w:val="single" w:sz="4" w:space="0" w:color="auto"/>
              <w:right w:val="single" w:sz="4" w:space="0" w:color="auto"/>
            </w:tcBorders>
            <w:vAlign w:val="center"/>
          </w:tcPr>
          <w:p w14:paraId="7F77C20F" w14:textId="67400E74" w:rsidR="009962E2" w:rsidRPr="00DD72AC" w:rsidRDefault="00291591" w:rsidP="00CE4505">
            <w:pPr>
              <w:pStyle w:val="In-tableHeading"/>
              <w:jc w:val="center"/>
              <w:rPr>
                <w:lang w:val="en-AU"/>
              </w:rPr>
            </w:pPr>
            <w:r w:rsidRPr="00DD72AC">
              <w:rPr>
                <w:lang w:val="en-AU"/>
              </w:rPr>
              <w:t>95%CI</w:t>
            </w:r>
          </w:p>
        </w:tc>
        <w:tc>
          <w:tcPr>
            <w:tcW w:w="465" w:type="pct"/>
            <w:tcBorders>
              <w:top w:val="single" w:sz="4" w:space="0" w:color="auto"/>
              <w:left w:val="single" w:sz="4" w:space="0" w:color="auto"/>
              <w:bottom w:val="single" w:sz="4" w:space="0" w:color="auto"/>
              <w:right w:val="single" w:sz="4" w:space="0" w:color="auto"/>
            </w:tcBorders>
            <w:vAlign w:val="center"/>
          </w:tcPr>
          <w:p w14:paraId="305CA5B9" w14:textId="77777777" w:rsidR="009962E2" w:rsidRPr="00DD72AC" w:rsidRDefault="009962E2" w:rsidP="00CE4505">
            <w:pPr>
              <w:pStyle w:val="In-tableHeading"/>
              <w:jc w:val="center"/>
              <w:rPr>
                <w:lang w:val="en-AU"/>
              </w:rPr>
            </w:pPr>
            <w:r w:rsidRPr="00DD72AC">
              <w:rPr>
                <w:lang w:val="en-AU"/>
              </w:rPr>
              <w:t>N</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6D4E6FD0" w14:textId="128A862D" w:rsidR="009962E2" w:rsidRPr="00DD72AC" w:rsidRDefault="00293501" w:rsidP="00CE4505">
            <w:pPr>
              <w:pStyle w:val="In-tableHeading"/>
              <w:jc w:val="center"/>
              <w:rPr>
                <w:lang w:val="en-AU"/>
              </w:rPr>
            </w:pPr>
            <w:r w:rsidRPr="00DD72AC">
              <w:rPr>
                <w:lang w:val="en-AU"/>
              </w:rPr>
              <w:t xml:space="preserve">LS </w:t>
            </w:r>
            <w:r w:rsidR="009962E2" w:rsidRPr="00DD72AC">
              <w:rPr>
                <w:lang w:val="en-AU"/>
              </w:rPr>
              <w:t>Mean ∆ baseline</w:t>
            </w:r>
            <w:r w:rsidR="00404AF5" w:rsidRPr="00DD72AC">
              <w:rPr>
                <w:lang w:val="en-AU"/>
              </w:rPr>
              <w:t xml:space="preserve"> AGV</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752474F2" w14:textId="64AA1A2A" w:rsidR="009962E2" w:rsidRPr="00DD72AC" w:rsidRDefault="00291591" w:rsidP="00CE4505">
            <w:pPr>
              <w:pStyle w:val="In-tableHeading"/>
              <w:jc w:val="center"/>
              <w:rPr>
                <w:lang w:val="en-AU"/>
              </w:rPr>
            </w:pPr>
            <w:r w:rsidRPr="00DD72AC">
              <w:rPr>
                <w:lang w:val="en-AU"/>
              </w:rPr>
              <w:t>95%CI</w:t>
            </w:r>
          </w:p>
        </w:tc>
        <w:tc>
          <w:tcPr>
            <w:tcW w:w="1305" w:type="pct"/>
            <w:gridSpan w:val="2"/>
            <w:vMerge/>
            <w:tcBorders>
              <w:top w:val="single" w:sz="4" w:space="0" w:color="auto"/>
              <w:left w:val="single" w:sz="4" w:space="0" w:color="auto"/>
              <w:bottom w:val="single" w:sz="4" w:space="0" w:color="auto"/>
              <w:right w:val="single" w:sz="4" w:space="0" w:color="auto"/>
            </w:tcBorders>
            <w:vAlign w:val="center"/>
          </w:tcPr>
          <w:p w14:paraId="12A767D2" w14:textId="77777777" w:rsidR="009962E2" w:rsidRPr="00DD72AC" w:rsidRDefault="009962E2" w:rsidP="00CE4505">
            <w:pPr>
              <w:keepNext/>
              <w:keepLines/>
              <w:jc w:val="center"/>
              <w:rPr>
                <w:rFonts w:ascii="Arial Narrow" w:hAnsi="Arial Narrow"/>
                <w:b/>
                <w:sz w:val="20"/>
                <w:szCs w:val="18"/>
              </w:rPr>
            </w:pPr>
          </w:p>
        </w:tc>
      </w:tr>
      <w:tr w:rsidR="009962E2" w:rsidRPr="00DD72AC" w14:paraId="2E9BD09E" w14:textId="77777777" w:rsidTr="000D639A">
        <w:trPr>
          <w:cantSplit/>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1E6EAABD" w14:textId="1F017D02" w:rsidR="009962E2" w:rsidRPr="00DD72AC" w:rsidRDefault="009962E2" w:rsidP="00CE4505">
            <w:pPr>
              <w:pStyle w:val="TableText0"/>
            </w:pPr>
            <w:r w:rsidRPr="00DD72AC">
              <w:t xml:space="preserve">Trial </w:t>
            </w:r>
            <w:r w:rsidR="00982CE6" w:rsidRPr="00DD72AC">
              <w:t>111-301</w:t>
            </w:r>
          </w:p>
        </w:tc>
        <w:tc>
          <w:tcPr>
            <w:tcW w:w="391" w:type="pct"/>
            <w:gridSpan w:val="3"/>
            <w:tcBorders>
              <w:top w:val="single" w:sz="4" w:space="0" w:color="auto"/>
              <w:left w:val="single" w:sz="4" w:space="0" w:color="auto"/>
              <w:bottom w:val="single" w:sz="4" w:space="0" w:color="auto"/>
              <w:right w:val="single" w:sz="4" w:space="0" w:color="auto"/>
            </w:tcBorders>
            <w:vAlign w:val="center"/>
          </w:tcPr>
          <w:p w14:paraId="1698DD45" w14:textId="42184050" w:rsidR="009962E2" w:rsidRPr="00DD72AC" w:rsidRDefault="00303421" w:rsidP="00CE4505">
            <w:pPr>
              <w:pStyle w:val="TableText0"/>
              <w:jc w:val="center"/>
            </w:pPr>
            <w:r w:rsidRPr="00DD72AC">
              <w:t>60</w:t>
            </w:r>
          </w:p>
        </w:tc>
        <w:tc>
          <w:tcPr>
            <w:tcW w:w="549" w:type="pct"/>
            <w:gridSpan w:val="3"/>
            <w:tcBorders>
              <w:top w:val="single" w:sz="4" w:space="0" w:color="auto"/>
              <w:left w:val="single" w:sz="4" w:space="0" w:color="auto"/>
              <w:bottom w:val="single" w:sz="4" w:space="0" w:color="auto"/>
              <w:right w:val="single" w:sz="4" w:space="0" w:color="auto"/>
            </w:tcBorders>
            <w:vAlign w:val="center"/>
          </w:tcPr>
          <w:p w14:paraId="016D53EC" w14:textId="369FD2D0" w:rsidR="009962E2" w:rsidRPr="00DD72AC" w:rsidRDefault="009E20BF" w:rsidP="00CE4505">
            <w:pPr>
              <w:pStyle w:val="TableText0"/>
              <w:jc w:val="center"/>
            </w:pPr>
            <w:r w:rsidRPr="00DD72AC">
              <w:t>1.</w:t>
            </w:r>
            <w:r w:rsidR="00C860D6" w:rsidRPr="00DD72AC">
              <w:t>71</w:t>
            </w:r>
          </w:p>
        </w:tc>
        <w:tc>
          <w:tcPr>
            <w:tcW w:w="557" w:type="pct"/>
            <w:gridSpan w:val="2"/>
            <w:tcBorders>
              <w:top w:val="single" w:sz="4" w:space="0" w:color="auto"/>
              <w:left w:val="single" w:sz="4" w:space="0" w:color="auto"/>
              <w:bottom w:val="single" w:sz="4" w:space="0" w:color="auto"/>
              <w:right w:val="single" w:sz="4" w:space="0" w:color="auto"/>
            </w:tcBorders>
            <w:vAlign w:val="center"/>
          </w:tcPr>
          <w:p w14:paraId="5A392C85" w14:textId="0EAF9FFE" w:rsidR="009962E2" w:rsidRPr="00DD72AC" w:rsidRDefault="00D65043" w:rsidP="00CE4505">
            <w:pPr>
              <w:pStyle w:val="TableText0"/>
              <w:jc w:val="center"/>
            </w:pPr>
            <w:r w:rsidRPr="00DD72AC">
              <w:t>(1.40, 2.01)</w:t>
            </w:r>
          </w:p>
        </w:tc>
        <w:tc>
          <w:tcPr>
            <w:tcW w:w="465" w:type="pct"/>
            <w:tcBorders>
              <w:top w:val="single" w:sz="4" w:space="0" w:color="auto"/>
              <w:left w:val="single" w:sz="4" w:space="0" w:color="auto"/>
              <w:bottom w:val="single" w:sz="4" w:space="0" w:color="auto"/>
              <w:right w:val="single" w:sz="4" w:space="0" w:color="auto"/>
            </w:tcBorders>
            <w:vAlign w:val="center"/>
          </w:tcPr>
          <w:p w14:paraId="5E6DD577" w14:textId="035B6BE7" w:rsidR="009962E2" w:rsidRPr="00DD72AC" w:rsidRDefault="009962E2" w:rsidP="00CE4505">
            <w:pPr>
              <w:pStyle w:val="TableText0"/>
              <w:jc w:val="center"/>
            </w:pPr>
            <w:r w:rsidRPr="00DD72AC">
              <w:t>6</w:t>
            </w:r>
            <w:r w:rsidR="00404AF5" w:rsidRPr="00DD72AC">
              <w:t>1</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36A311CB" w14:textId="17EDA99C" w:rsidR="009962E2" w:rsidRPr="00DD72AC" w:rsidRDefault="00D65043" w:rsidP="00CE4505">
            <w:pPr>
              <w:pStyle w:val="TableText0"/>
              <w:jc w:val="center"/>
            </w:pPr>
            <w:r w:rsidRPr="00DD72AC">
              <w:t>0.13</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28EE713D" w14:textId="4B8F130B" w:rsidR="009962E2" w:rsidRPr="00DD72AC" w:rsidRDefault="00F62CFE" w:rsidP="00CE4505">
            <w:pPr>
              <w:pStyle w:val="TableText0"/>
              <w:jc w:val="center"/>
            </w:pPr>
            <w:r w:rsidRPr="00DD72AC">
              <w:t xml:space="preserve">(-0.18, 0.45) </w:t>
            </w:r>
          </w:p>
        </w:tc>
        <w:tc>
          <w:tcPr>
            <w:tcW w:w="1305" w:type="pct"/>
            <w:gridSpan w:val="2"/>
            <w:tcBorders>
              <w:top w:val="single" w:sz="4" w:space="0" w:color="auto"/>
              <w:left w:val="single" w:sz="4" w:space="0" w:color="auto"/>
              <w:bottom w:val="single" w:sz="4" w:space="0" w:color="auto"/>
              <w:right w:val="single" w:sz="4" w:space="0" w:color="auto"/>
            </w:tcBorders>
            <w:vAlign w:val="center"/>
          </w:tcPr>
          <w:p w14:paraId="5E7AF87E" w14:textId="37369526" w:rsidR="009962E2" w:rsidRPr="00DD72AC" w:rsidRDefault="00CE087D" w:rsidP="00CE4505">
            <w:pPr>
              <w:pStyle w:val="TableText0"/>
              <w:jc w:val="center"/>
            </w:pPr>
            <w:r w:rsidRPr="00DD72AC">
              <w:t>1.57</w:t>
            </w:r>
            <w:r w:rsidR="008F15E6" w:rsidRPr="00DD72AC">
              <w:t xml:space="preserve"> (1.22, 1.93)</w:t>
            </w:r>
          </w:p>
        </w:tc>
      </w:tr>
      <w:tr w:rsidR="000D639A" w:rsidRPr="00DD72AC" w14:paraId="3A5DF5E8" w14:textId="77777777" w:rsidTr="000D639A">
        <w:trPr>
          <w:cantSplit/>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B6F5D60" w14:textId="5C943D83" w:rsidR="000D639A" w:rsidRPr="00DD72AC" w:rsidRDefault="000D639A" w:rsidP="000D639A">
            <w:pPr>
              <w:pStyle w:val="TableText0"/>
              <w:rPr>
                <w:b/>
                <w:bCs w:val="0"/>
              </w:rPr>
            </w:pPr>
            <w:r w:rsidRPr="00DD72AC">
              <w:rPr>
                <w:b/>
                <w:bCs w:val="0"/>
              </w:rPr>
              <w:t>Continuous outcome II: change from baseline height Z score</w:t>
            </w:r>
          </w:p>
        </w:tc>
      </w:tr>
      <w:tr w:rsidR="000D639A" w:rsidRPr="00DD72AC" w14:paraId="215F28E2" w14:textId="77777777" w:rsidTr="000D639A">
        <w:trPr>
          <w:cantSplit/>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056014D9" w14:textId="5DA03AF3" w:rsidR="000D639A" w:rsidRPr="00DD72AC" w:rsidRDefault="006226F8" w:rsidP="00CE4505">
            <w:pPr>
              <w:pStyle w:val="TableText0"/>
            </w:pPr>
            <w:r w:rsidRPr="00DD72AC">
              <w:t>Trial 111-301</w:t>
            </w:r>
          </w:p>
        </w:tc>
        <w:tc>
          <w:tcPr>
            <w:tcW w:w="391" w:type="pct"/>
            <w:gridSpan w:val="3"/>
            <w:tcBorders>
              <w:top w:val="single" w:sz="4" w:space="0" w:color="auto"/>
              <w:left w:val="single" w:sz="4" w:space="0" w:color="auto"/>
              <w:bottom w:val="single" w:sz="4" w:space="0" w:color="auto"/>
              <w:right w:val="single" w:sz="4" w:space="0" w:color="auto"/>
            </w:tcBorders>
            <w:vAlign w:val="center"/>
          </w:tcPr>
          <w:p w14:paraId="520C80CE" w14:textId="35487956" w:rsidR="000D639A" w:rsidRPr="00DD72AC" w:rsidRDefault="003545DF" w:rsidP="00CE4505">
            <w:pPr>
              <w:pStyle w:val="TableText0"/>
              <w:jc w:val="center"/>
            </w:pPr>
            <w:r w:rsidRPr="00DD72AC">
              <w:t>60</w:t>
            </w:r>
          </w:p>
        </w:tc>
        <w:tc>
          <w:tcPr>
            <w:tcW w:w="549" w:type="pct"/>
            <w:gridSpan w:val="3"/>
            <w:tcBorders>
              <w:top w:val="single" w:sz="4" w:space="0" w:color="auto"/>
              <w:left w:val="single" w:sz="4" w:space="0" w:color="auto"/>
              <w:bottom w:val="single" w:sz="4" w:space="0" w:color="auto"/>
              <w:right w:val="single" w:sz="4" w:space="0" w:color="auto"/>
            </w:tcBorders>
            <w:vAlign w:val="center"/>
          </w:tcPr>
          <w:p w14:paraId="44B6381C" w14:textId="46004C80" w:rsidR="000D639A" w:rsidRPr="00DD72AC" w:rsidRDefault="00DB6E6C" w:rsidP="00CE4505">
            <w:pPr>
              <w:pStyle w:val="TableText0"/>
              <w:jc w:val="center"/>
            </w:pPr>
            <w:r w:rsidRPr="00DD72AC">
              <w:t>0.2</w:t>
            </w:r>
            <w:r w:rsidR="00904194" w:rsidRPr="00DD72AC">
              <w:t>7</w:t>
            </w:r>
          </w:p>
        </w:tc>
        <w:tc>
          <w:tcPr>
            <w:tcW w:w="557" w:type="pct"/>
            <w:gridSpan w:val="2"/>
            <w:tcBorders>
              <w:top w:val="single" w:sz="4" w:space="0" w:color="auto"/>
              <w:left w:val="single" w:sz="4" w:space="0" w:color="auto"/>
              <w:bottom w:val="single" w:sz="4" w:space="0" w:color="auto"/>
              <w:right w:val="single" w:sz="4" w:space="0" w:color="auto"/>
            </w:tcBorders>
            <w:vAlign w:val="center"/>
          </w:tcPr>
          <w:p w14:paraId="1D935986" w14:textId="471E1F5B" w:rsidR="000D639A" w:rsidRPr="00DD72AC" w:rsidRDefault="00550052" w:rsidP="00CE4505">
            <w:pPr>
              <w:pStyle w:val="TableText0"/>
              <w:jc w:val="center"/>
            </w:pPr>
            <w:r w:rsidRPr="00DD72AC">
              <w:t>(0.18, 0.36)</w:t>
            </w:r>
          </w:p>
        </w:tc>
        <w:tc>
          <w:tcPr>
            <w:tcW w:w="465" w:type="pct"/>
            <w:tcBorders>
              <w:top w:val="single" w:sz="4" w:space="0" w:color="auto"/>
              <w:left w:val="single" w:sz="4" w:space="0" w:color="auto"/>
              <w:bottom w:val="single" w:sz="4" w:space="0" w:color="auto"/>
              <w:right w:val="single" w:sz="4" w:space="0" w:color="auto"/>
            </w:tcBorders>
            <w:vAlign w:val="center"/>
          </w:tcPr>
          <w:p w14:paraId="38DE2ADE" w14:textId="74E26E6D" w:rsidR="000D639A" w:rsidRPr="00DD72AC" w:rsidRDefault="00DB6E6C" w:rsidP="00CE4505">
            <w:pPr>
              <w:pStyle w:val="TableText0"/>
              <w:jc w:val="center"/>
            </w:pPr>
            <w:r w:rsidRPr="00DD72AC">
              <w:t>61</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3E1F6189" w14:textId="0F6307C4" w:rsidR="000D639A" w:rsidRPr="00DD72AC" w:rsidRDefault="00291591" w:rsidP="00CE4505">
            <w:pPr>
              <w:pStyle w:val="TableText0"/>
              <w:jc w:val="center"/>
            </w:pPr>
            <w:r w:rsidRPr="00DD72AC">
              <w:t>-0.01</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54EDAB45" w14:textId="7E3BC2EE" w:rsidR="000D639A" w:rsidRPr="00DD72AC" w:rsidRDefault="00121B92" w:rsidP="00CE4505">
            <w:pPr>
              <w:pStyle w:val="TableText0"/>
              <w:jc w:val="center"/>
            </w:pPr>
            <w:r w:rsidRPr="00DD72AC">
              <w:t>(-0.1, 0.09)</w:t>
            </w:r>
          </w:p>
        </w:tc>
        <w:tc>
          <w:tcPr>
            <w:tcW w:w="1305" w:type="pct"/>
            <w:gridSpan w:val="2"/>
            <w:tcBorders>
              <w:top w:val="single" w:sz="4" w:space="0" w:color="auto"/>
              <w:left w:val="single" w:sz="4" w:space="0" w:color="auto"/>
              <w:bottom w:val="single" w:sz="4" w:space="0" w:color="auto"/>
              <w:right w:val="single" w:sz="4" w:space="0" w:color="auto"/>
            </w:tcBorders>
            <w:vAlign w:val="center"/>
          </w:tcPr>
          <w:p w14:paraId="3CD0627D" w14:textId="3C257BB6" w:rsidR="000D639A" w:rsidRPr="00DD72AC" w:rsidRDefault="00A03C07" w:rsidP="00CE4505">
            <w:pPr>
              <w:pStyle w:val="TableText0"/>
              <w:jc w:val="center"/>
            </w:pPr>
            <w:r w:rsidRPr="00DD72AC">
              <w:t>0.28 (0.17, 0.39)</w:t>
            </w:r>
          </w:p>
        </w:tc>
      </w:tr>
      <w:tr w:rsidR="009962E2" w:rsidRPr="00DD72AC" w14:paraId="6DE91234" w14:textId="77777777" w:rsidTr="00CE4505">
        <w:tc>
          <w:tcPr>
            <w:tcW w:w="5000" w:type="pct"/>
            <w:gridSpan w:val="16"/>
            <w:tcBorders>
              <w:top w:val="double" w:sz="4" w:space="0" w:color="auto"/>
              <w:left w:val="single" w:sz="4" w:space="0" w:color="auto"/>
              <w:bottom w:val="single" w:sz="4" w:space="0" w:color="auto"/>
              <w:right w:val="single" w:sz="4" w:space="0" w:color="auto"/>
            </w:tcBorders>
            <w:shd w:val="clear" w:color="auto" w:fill="auto"/>
            <w:vAlign w:val="center"/>
          </w:tcPr>
          <w:p w14:paraId="0E4E5394" w14:textId="77777777" w:rsidR="009962E2" w:rsidRPr="00DD72AC" w:rsidRDefault="009962E2" w:rsidP="00CE4505">
            <w:pPr>
              <w:pStyle w:val="In-tableHeading"/>
              <w:rPr>
                <w:lang w:val="en-AU"/>
              </w:rPr>
            </w:pPr>
            <w:r w:rsidRPr="00DD72AC">
              <w:rPr>
                <w:lang w:val="en-AU"/>
              </w:rPr>
              <w:t xml:space="preserve">Harms </w:t>
            </w:r>
          </w:p>
        </w:tc>
      </w:tr>
      <w:tr w:rsidR="009962E2" w:rsidRPr="00DD72AC" w14:paraId="18EE6006" w14:textId="77777777" w:rsidTr="009F40B3">
        <w:trPr>
          <w:trHeight w:val="70"/>
        </w:trPr>
        <w:tc>
          <w:tcPr>
            <w:tcW w:w="63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6C52FF" w14:textId="77777777" w:rsidR="009962E2" w:rsidRPr="00DD72AC" w:rsidRDefault="009962E2" w:rsidP="00CE4505">
            <w:pPr>
              <w:pStyle w:val="In-tableHeading"/>
              <w:rPr>
                <w:lang w:val="en-AU"/>
              </w:rPr>
            </w:pPr>
          </w:p>
        </w:tc>
        <w:tc>
          <w:tcPr>
            <w:tcW w:w="630" w:type="pct"/>
            <w:gridSpan w:val="3"/>
            <w:vMerge w:val="restart"/>
            <w:tcBorders>
              <w:top w:val="single" w:sz="4" w:space="0" w:color="auto"/>
              <w:left w:val="single" w:sz="4" w:space="0" w:color="auto"/>
              <w:bottom w:val="single" w:sz="4" w:space="0" w:color="auto"/>
              <w:right w:val="single" w:sz="4" w:space="0" w:color="auto"/>
            </w:tcBorders>
            <w:vAlign w:val="center"/>
          </w:tcPr>
          <w:p w14:paraId="53B8CF16" w14:textId="1CFA13A9" w:rsidR="009962E2" w:rsidRPr="00DD72AC" w:rsidRDefault="003F6700" w:rsidP="00CE4505">
            <w:pPr>
              <w:pStyle w:val="In-tableHeading"/>
              <w:jc w:val="center"/>
              <w:rPr>
                <w:lang w:val="en-AU"/>
              </w:rPr>
            </w:pPr>
            <w:r w:rsidRPr="00DD72AC">
              <w:rPr>
                <w:lang w:val="en-AU"/>
              </w:rPr>
              <w:t>Vosoritide</w:t>
            </w:r>
          </w:p>
          <w:p w14:paraId="73ED5FA6" w14:textId="77777777" w:rsidR="009962E2" w:rsidRPr="00DD72AC" w:rsidRDefault="009962E2" w:rsidP="00CE4505">
            <w:pPr>
              <w:pStyle w:val="In-tableHeading"/>
              <w:jc w:val="center"/>
              <w:rPr>
                <w:lang w:val="en-AU"/>
              </w:rPr>
            </w:pPr>
            <w:r w:rsidRPr="00DD72AC">
              <w:rPr>
                <w:lang w:val="en-AU"/>
              </w:rPr>
              <w:t>n/N</w:t>
            </w:r>
          </w:p>
        </w:tc>
        <w:tc>
          <w:tcPr>
            <w:tcW w:w="712" w:type="pct"/>
            <w:gridSpan w:val="3"/>
            <w:vMerge w:val="restart"/>
            <w:tcBorders>
              <w:top w:val="single" w:sz="4" w:space="0" w:color="auto"/>
              <w:left w:val="single" w:sz="4" w:space="0" w:color="auto"/>
              <w:bottom w:val="single" w:sz="4" w:space="0" w:color="auto"/>
              <w:right w:val="single" w:sz="4" w:space="0" w:color="auto"/>
            </w:tcBorders>
            <w:vAlign w:val="center"/>
          </w:tcPr>
          <w:p w14:paraId="38B7313D" w14:textId="77777777" w:rsidR="009962E2" w:rsidRPr="00DD72AC" w:rsidRDefault="009962E2" w:rsidP="003F6700">
            <w:pPr>
              <w:pStyle w:val="In-tableHeading"/>
              <w:jc w:val="center"/>
              <w:rPr>
                <w:lang w:val="en-AU"/>
              </w:rPr>
            </w:pPr>
            <w:r w:rsidRPr="00DD72AC">
              <w:rPr>
                <w:lang w:val="en-AU"/>
              </w:rPr>
              <w:t>PBO</w:t>
            </w:r>
          </w:p>
          <w:p w14:paraId="66E8C228" w14:textId="77777777" w:rsidR="009962E2" w:rsidRPr="00DD72AC" w:rsidRDefault="009962E2" w:rsidP="00CE4505">
            <w:pPr>
              <w:pStyle w:val="In-tableHeading"/>
              <w:jc w:val="center"/>
              <w:rPr>
                <w:lang w:val="en-AU"/>
              </w:rPr>
            </w:pPr>
            <w:r w:rsidRPr="00DD72AC">
              <w:rPr>
                <w:lang w:val="en-AU"/>
              </w:rPr>
              <w:t>n/N</w:t>
            </w:r>
          </w:p>
        </w:tc>
        <w:tc>
          <w:tcPr>
            <w:tcW w:w="862" w:type="pct"/>
            <w:gridSpan w:val="3"/>
            <w:vMerge w:val="restart"/>
            <w:tcBorders>
              <w:top w:val="single" w:sz="4" w:space="0" w:color="auto"/>
              <w:left w:val="single" w:sz="4" w:space="0" w:color="auto"/>
              <w:bottom w:val="single" w:sz="4" w:space="0" w:color="auto"/>
              <w:right w:val="single" w:sz="4" w:space="0" w:color="auto"/>
            </w:tcBorders>
            <w:vAlign w:val="center"/>
          </w:tcPr>
          <w:p w14:paraId="0A6D5FF0" w14:textId="77777777" w:rsidR="009962E2" w:rsidRPr="00DD72AC" w:rsidRDefault="009962E2" w:rsidP="00CE4505">
            <w:pPr>
              <w:pStyle w:val="In-tableHeading"/>
              <w:jc w:val="center"/>
              <w:rPr>
                <w:lang w:val="en-AU"/>
              </w:rPr>
            </w:pPr>
            <w:r w:rsidRPr="00DD72AC">
              <w:rPr>
                <w:lang w:val="en-AU"/>
              </w:rPr>
              <w:t>RR</w:t>
            </w:r>
          </w:p>
          <w:p w14:paraId="210620C7" w14:textId="77777777" w:rsidR="009962E2" w:rsidRPr="00DD72AC" w:rsidRDefault="009962E2" w:rsidP="00CE4505">
            <w:pPr>
              <w:pStyle w:val="In-tableHeading"/>
              <w:jc w:val="center"/>
              <w:rPr>
                <w:lang w:val="en-AU"/>
              </w:rPr>
            </w:pPr>
            <w:r w:rsidRPr="00DD72AC">
              <w:rPr>
                <w:lang w:val="en-AU"/>
              </w:rPr>
              <w:t>(95% CI)</w:t>
            </w:r>
          </w:p>
        </w:tc>
        <w:tc>
          <w:tcPr>
            <w:tcW w:w="1383" w:type="pct"/>
            <w:gridSpan w:val="4"/>
            <w:tcBorders>
              <w:top w:val="single" w:sz="4" w:space="0" w:color="auto"/>
              <w:left w:val="single" w:sz="4" w:space="0" w:color="auto"/>
              <w:bottom w:val="single" w:sz="4" w:space="0" w:color="auto"/>
              <w:right w:val="single" w:sz="4" w:space="0" w:color="auto"/>
            </w:tcBorders>
            <w:vAlign w:val="center"/>
          </w:tcPr>
          <w:p w14:paraId="03243AAE" w14:textId="0A89FBEB" w:rsidR="009962E2" w:rsidRPr="00DD72AC" w:rsidRDefault="009962E2" w:rsidP="00CE4505">
            <w:pPr>
              <w:pStyle w:val="In-tableHeading"/>
              <w:jc w:val="center"/>
              <w:rPr>
                <w:lang w:val="en-AU"/>
              </w:rPr>
            </w:pPr>
            <w:r w:rsidRPr="00DD72AC">
              <w:rPr>
                <w:lang w:val="en-AU"/>
              </w:rPr>
              <w:t>Event rate/100 patients</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1FEBC429" w14:textId="77777777" w:rsidR="009962E2" w:rsidRPr="00DD72AC" w:rsidRDefault="009962E2" w:rsidP="00CE4505">
            <w:pPr>
              <w:pStyle w:val="In-tableHeading"/>
              <w:jc w:val="center"/>
              <w:rPr>
                <w:lang w:val="en-AU"/>
              </w:rPr>
            </w:pPr>
            <w:r w:rsidRPr="00DD72AC">
              <w:rPr>
                <w:lang w:val="en-AU"/>
              </w:rPr>
              <w:t>RD</w:t>
            </w:r>
          </w:p>
          <w:p w14:paraId="32D10D0C" w14:textId="77777777" w:rsidR="009962E2" w:rsidRPr="00DD72AC" w:rsidRDefault="009962E2" w:rsidP="00CE4505">
            <w:pPr>
              <w:pStyle w:val="In-tableHeading"/>
              <w:jc w:val="center"/>
              <w:rPr>
                <w:lang w:val="en-AU"/>
              </w:rPr>
            </w:pPr>
            <w:r w:rsidRPr="00DD72AC">
              <w:rPr>
                <w:lang w:val="en-AU"/>
              </w:rPr>
              <w:t>(95% CI)</w:t>
            </w:r>
          </w:p>
        </w:tc>
      </w:tr>
      <w:tr w:rsidR="009962E2" w:rsidRPr="00DD72AC" w14:paraId="49383216" w14:textId="77777777" w:rsidTr="009F40B3">
        <w:trPr>
          <w:trHeight w:val="390"/>
        </w:trPr>
        <w:tc>
          <w:tcPr>
            <w:tcW w:w="637"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BE697C8" w14:textId="77777777" w:rsidR="009962E2" w:rsidRPr="00DD72AC" w:rsidRDefault="009962E2" w:rsidP="00CE4505">
            <w:pPr>
              <w:pStyle w:val="In-tableHeading"/>
              <w:rPr>
                <w:lang w:val="en-AU"/>
              </w:rPr>
            </w:pPr>
          </w:p>
        </w:tc>
        <w:tc>
          <w:tcPr>
            <w:tcW w:w="630" w:type="pct"/>
            <w:gridSpan w:val="3"/>
            <w:vMerge/>
            <w:tcBorders>
              <w:top w:val="single" w:sz="4" w:space="0" w:color="auto"/>
              <w:left w:val="single" w:sz="4" w:space="0" w:color="auto"/>
              <w:bottom w:val="single" w:sz="4" w:space="0" w:color="auto"/>
              <w:right w:val="single" w:sz="4" w:space="0" w:color="auto"/>
            </w:tcBorders>
            <w:vAlign w:val="center"/>
          </w:tcPr>
          <w:p w14:paraId="28597FB7" w14:textId="77777777" w:rsidR="009962E2" w:rsidRPr="00DD72AC" w:rsidRDefault="009962E2" w:rsidP="00CE4505">
            <w:pPr>
              <w:pStyle w:val="In-tableHeading"/>
              <w:rPr>
                <w:lang w:val="en-AU"/>
              </w:rPr>
            </w:pPr>
          </w:p>
        </w:tc>
        <w:tc>
          <w:tcPr>
            <w:tcW w:w="712" w:type="pct"/>
            <w:gridSpan w:val="3"/>
            <w:vMerge/>
            <w:tcBorders>
              <w:top w:val="single" w:sz="4" w:space="0" w:color="auto"/>
              <w:left w:val="single" w:sz="4" w:space="0" w:color="auto"/>
              <w:bottom w:val="single" w:sz="4" w:space="0" w:color="auto"/>
              <w:right w:val="single" w:sz="4" w:space="0" w:color="auto"/>
            </w:tcBorders>
            <w:vAlign w:val="center"/>
          </w:tcPr>
          <w:p w14:paraId="0C8561D5" w14:textId="77777777" w:rsidR="009962E2" w:rsidRPr="00DD72AC" w:rsidRDefault="009962E2" w:rsidP="00CE4505">
            <w:pPr>
              <w:pStyle w:val="In-tableHeading"/>
              <w:rPr>
                <w:lang w:val="en-AU"/>
              </w:rPr>
            </w:pPr>
          </w:p>
        </w:tc>
        <w:tc>
          <w:tcPr>
            <w:tcW w:w="862" w:type="pct"/>
            <w:gridSpan w:val="3"/>
            <w:vMerge/>
            <w:tcBorders>
              <w:top w:val="single" w:sz="4" w:space="0" w:color="auto"/>
              <w:left w:val="single" w:sz="4" w:space="0" w:color="auto"/>
              <w:bottom w:val="single" w:sz="4" w:space="0" w:color="auto"/>
              <w:right w:val="single" w:sz="4" w:space="0" w:color="auto"/>
            </w:tcBorders>
            <w:vAlign w:val="center"/>
          </w:tcPr>
          <w:p w14:paraId="7406CD64" w14:textId="77777777" w:rsidR="009962E2" w:rsidRPr="00DD72AC" w:rsidRDefault="009962E2" w:rsidP="00CE4505">
            <w:pPr>
              <w:pStyle w:val="In-tableHeading"/>
              <w:rPr>
                <w:lang w:val="en-AU"/>
              </w:rPr>
            </w:pP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44026B31" w14:textId="78A429FE" w:rsidR="009962E2" w:rsidRPr="00DD72AC" w:rsidRDefault="00C93EB4" w:rsidP="00CE4505">
            <w:pPr>
              <w:pStyle w:val="In-tableHeading"/>
              <w:jc w:val="center"/>
              <w:rPr>
                <w:lang w:val="en-AU"/>
              </w:rPr>
            </w:pPr>
            <w:r w:rsidRPr="00DD72AC">
              <w:rPr>
                <w:lang w:val="en-AU"/>
              </w:rPr>
              <w:t>Vosoritide</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730E079D" w14:textId="77777777" w:rsidR="009962E2" w:rsidRPr="00DD72AC" w:rsidRDefault="009962E2" w:rsidP="00CE4505">
            <w:pPr>
              <w:pStyle w:val="In-tableHeading"/>
              <w:jc w:val="center"/>
              <w:rPr>
                <w:lang w:val="en-AU"/>
              </w:rPr>
            </w:pPr>
            <w:r w:rsidRPr="00DD72AC">
              <w:rPr>
                <w:lang w:val="en-AU"/>
              </w:rPr>
              <w:t>PBO</w:t>
            </w:r>
          </w:p>
        </w:tc>
        <w:tc>
          <w:tcPr>
            <w:tcW w:w="776" w:type="pct"/>
            <w:vMerge/>
            <w:tcBorders>
              <w:top w:val="single" w:sz="4" w:space="0" w:color="auto"/>
              <w:left w:val="single" w:sz="4" w:space="0" w:color="auto"/>
              <w:bottom w:val="single" w:sz="4" w:space="0" w:color="auto"/>
              <w:right w:val="single" w:sz="4" w:space="0" w:color="auto"/>
            </w:tcBorders>
            <w:vAlign w:val="center"/>
          </w:tcPr>
          <w:p w14:paraId="7C46F529" w14:textId="77777777" w:rsidR="009962E2" w:rsidRPr="00DD72AC" w:rsidRDefault="009962E2" w:rsidP="00CE4505">
            <w:pPr>
              <w:pStyle w:val="In-tableHeading"/>
              <w:rPr>
                <w:lang w:val="en-AU"/>
              </w:rPr>
            </w:pPr>
          </w:p>
        </w:tc>
      </w:tr>
      <w:tr w:rsidR="009962E2" w:rsidRPr="00DD72AC" w14:paraId="1CB6F9E2" w14:textId="77777777" w:rsidTr="00CE4505">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BE64A24" w14:textId="3D8AC41E" w:rsidR="009962E2" w:rsidRPr="00DD72AC" w:rsidRDefault="009962E2" w:rsidP="00CE4505">
            <w:pPr>
              <w:pStyle w:val="In-tableHeading"/>
              <w:jc w:val="both"/>
              <w:rPr>
                <w:b w:val="0"/>
                <w:bCs/>
                <w:lang w:val="en-AU"/>
              </w:rPr>
            </w:pPr>
            <w:r w:rsidRPr="00DD72AC">
              <w:rPr>
                <w:b w:val="0"/>
                <w:bCs/>
                <w:lang w:val="en-AU"/>
              </w:rPr>
              <w:t>Adverse event I</w:t>
            </w:r>
            <w:r w:rsidR="00347A4A" w:rsidRPr="00DD72AC">
              <w:rPr>
                <w:b w:val="0"/>
                <w:bCs/>
                <w:lang w:val="en-AU"/>
              </w:rPr>
              <w:t>: Injection site reaction</w:t>
            </w:r>
          </w:p>
        </w:tc>
      </w:tr>
      <w:tr w:rsidR="009962E2" w:rsidRPr="00DD72AC" w14:paraId="3906B806" w14:textId="77777777" w:rsidTr="009F40B3">
        <w:tc>
          <w:tcPr>
            <w:tcW w:w="6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9D0C6C" w14:textId="5A87A70C" w:rsidR="009962E2" w:rsidRPr="00DD72AC" w:rsidRDefault="009962E2" w:rsidP="00CE4505">
            <w:pPr>
              <w:pStyle w:val="TableText0"/>
            </w:pPr>
            <w:r w:rsidRPr="00DD72AC">
              <w:t xml:space="preserve">Trial </w:t>
            </w:r>
            <w:r w:rsidR="00B90C79" w:rsidRPr="00DD72AC">
              <w:t>111-301</w:t>
            </w:r>
          </w:p>
        </w:tc>
        <w:tc>
          <w:tcPr>
            <w:tcW w:w="630" w:type="pct"/>
            <w:gridSpan w:val="3"/>
            <w:tcBorders>
              <w:top w:val="single" w:sz="4" w:space="0" w:color="auto"/>
              <w:left w:val="single" w:sz="4" w:space="0" w:color="auto"/>
              <w:bottom w:val="single" w:sz="4" w:space="0" w:color="auto"/>
              <w:right w:val="single" w:sz="4" w:space="0" w:color="auto"/>
            </w:tcBorders>
            <w:vAlign w:val="center"/>
          </w:tcPr>
          <w:p w14:paraId="4DF26359" w14:textId="614F1BCC" w:rsidR="009962E2" w:rsidRPr="00DD72AC" w:rsidRDefault="008D55B0" w:rsidP="00CE4505">
            <w:pPr>
              <w:pStyle w:val="TableText0"/>
              <w:jc w:val="center"/>
            </w:pPr>
            <w:r w:rsidRPr="00DD72AC">
              <w:t>44</w:t>
            </w:r>
            <w:r w:rsidR="009962E2" w:rsidRPr="00DD72AC">
              <w:t>/</w:t>
            </w:r>
            <w:r w:rsidRPr="00DD72AC">
              <w:t>60</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66DA3E8C" w14:textId="326771B2" w:rsidR="009962E2" w:rsidRPr="00DD72AC" w:rsidRDefault="006C6627" w:rsidP="00CE4505">
            <w:pPr>
              <w:pStyle w:val="TableText0"/>
              <w:jc w:val="center"/>
            </w:pPr>
            <w:r w:rsidRPr="00DD72AC">
              <w:t>29</w:t>
            </w:r>
            <w:r w:rsidR="009962E2" w:rsidRPr="00DD72AC">
              <w:t>/</w:t>
            </w:r>
            <w:r w:rsidRPr="00DD72AC">
              <w:t>61</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21ADD84F" w14:textId="3D5F5720" w:rsidR="009962E2" w:rsidRPr="00DD72AC" w:rsidRDefault="000F6643" w:rsidP="00891158">
            <w:pPr>
              <w:pStyle w:val="TableText0"/>
              <w:jc w:val="center"/>
            </w:pPr>
            <w:r w:rsidRPr="00DD72AC">
              <w:t>1.54 (1.14, 2.09)</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25501EB9" w14:textId="47E4BF59" w:rsidR="009962E2" w:rsidRPr="00DD72AC" w:rsidRDefault="00040CFC" w:rsidP="00CE4505">
            <w:pPr>
              <w:pStyle w:val="TableText0"/>
              <w:jc w:val="center"/>
            </w:pPr>
            <w:r w:rsidRPr="00DD72AC">
              <w:t>73</w:t>
            </w:r>
            <w:r w:rsidR="00DF3840" w:rsidRPr="00DD72AC">
              <w:t>.3</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0DB778C0" w14:textId="5CA9E55E" w:rsidR="009962E2" w:rsidRPr="00DD72AC" w:rsidRDefault="0031654A" w:rsidP="00CE4505">
            <w:pPr>
              <w:pStyle w:val="TableText0"/>
              <w:jc w:val="center"/>
            </w:pPr>
            <w:r w:rsidRPr="00DD72AC">
              <w:t>47.5</w:t>
            </w:r>
          </w:p>
        </w:tc>
        <w:tc>
          <w:tcPr>
            <w:tcW w:w="776" w:type="pct"/>
            <w:tcBorders>
              <w:top w:val="single" w:sz="4" w:space="0" w:color="auto"/>
              <w:left w:val="single" w:sz="4" w:space="0" w:color="auto"/>
              <w:bottom w:val="single" w:sz="4" w:space="0" w:color="auto"/>
              <w:right w:val="single" w:sz="4" w:space="0" w:color="auto"/>
            </w:tcBorders>
            <w:vAlign w:val="center"/>
          </w:tcPr>
          <w:p w14:paraId="621ACBBB" w14:textId="0975A320" w:rsidR="009962E2" w:rsidRPr="00DD72AC" w:rsidRDefault="00ED1BB1" w:rsidP="00CE4505">
            <w:pPr>
              <w:pStyle w:val="TableText0"/>
              <w:jc w:val="center"/>
            </w:pPr>
            <w:r w:rsidRPr="00DD72AC">
              <w:t>0.26 (0.08, 0.43)</w:t>
            </w:r>
          </w:p>
        </w:tc>
      </w:tr>
      <w:tr w:rsidR="009962E2" w:rsidRPr="00DD72AC" w14:paraId="7DAAC97C" w14:textId="77777777" w:rsidTr="00CE4505">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51CE9805" w14:textId="22F43949" w:rsidR="009962E2" w:rsidRPr="00DD72AC" w:rsidRDefault="009962E2" w:rsidP="00CE4505">
            <w:pPr>
              <w:pStyle w:val="In-tableHeading"/>
              <w:rPr>
                <w:b w:val="0"/>
                <w:bCs/>
                <w:lang w:val="en-AU"/>
              </w:rPr>
            </w:pPr>
            <w:r w:rsidRPr="00DD72AC">
              <w:rPr>
                <w:b w:val="0"/>
                <w:bCs/>
                <w:lang w:val="en-AU"/>
              </w:rPr>
              <w:t>Adverse event II</w:t>
            </w:r>
            <w:r w:rsidR="00347A4A" w:rsidRPr="00DD72AC">
              <w:rPr>
                <w:b w:val="0"/>
                <w:bCs/>
                <w:lang w:val="en-AU"/>
              </w:rPr>
              <w:t xml:space="preserve">: </w:t>
            </w:r>
            <w:r w:rsidR="000F7D3E" w:rsidRPr="00DD72AC">
              <w:rPr>
                <w:b w:val="0"/>
                <w:bCs/>
                <w:lang w:val="en-AU"/>
              </w:rPr>
              <w:t>Injection site swelling</w:t>
            </w:r>
          </w:p>
        </w:tc>
      </w:tr>
      <w:tr w:rsidR="009962E2" w:rsidRPr="00DD72AC" w14:paraId="0B421127" w14:textId="77777777" w:rsidTr="009F40B3">
        <w:tc>
          <w:tcPr>
            <w:tcW w:w="6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0099CD" w14:textId="18C3ED20" w:rsidR="009962E2" w:rsidRPr="00DD72AC" w:rsidRDefault="009962E2" w:rsidP="00CE4505">
            <w:pPr>
              <w:pStyle w:val="TableText0"/>
            </w:pPr>
            <w:r w:rsidRPr="00DD72AC">
              <w:t xml:space="preserve">Trial </w:t>
            </w:r>
            <w:r w:rsidR="009C0296" w:rsidRPr="00DD72AC">
              <w:t>111-301</w:t>
            </w:r>
          </w:p>
        </w:tc>
        <w:tc>
          <w:tcPr>
            <w:tcW w:w="630" w:type="pct"/>
            <w:gridSpan w:val="3"/>
            <w:tcBorders>
              <w:top w:val="single" w:sz="4" w:space="0" w:color="auto"/>
              <w:left w:val="single" w:sz="4" w:space="0" w:color="auto"/>
              <w:bottom w:val="single" w:sz="4" w:space="0" w:color="auto"/>
              <w:right w:val="single" w:sz="4" w:space="0" w:color="auto"/>
            </w:tcBorders>
            <w:vAlign w:val="center"/>
          </w:tcPr>
          <w:p w14:paraId="5E191BC5" w14:textId="6C1E1067" w:rsidR="009962E2" w:rsidRPr="00DD72AC" w:rsidRDefault="009962E2" w:rsidP="00CE4505">
            <w:pPr>
              <w:pStyle w:val="TableText0"/>
              <w:jc w:val="center"/>
            </w:pPr>
            <w:r w:rsidRPr="00DD72AC">
              <w:t>2</w:t>
            </w:r>
            <w:r w:rsidR="00970AD9" w:rsidRPr="00DD72AC">
              <w:t>3</w:t>
            </w:r>
            <w:r w:rsidRPr="00DD72AC">
              <w:t>/</w:t>
            </w:r>
            <w:r w:rsidR="00842395" w:rsidRPr="00DD72AC">
              <w:t>60</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044B4DA8" w14:textId="0C00D719" w:rsidR="009962E2" w:rsidRPr="00DD72AC" w:rsidRDefault="00DE6498" w:rsidP="00CE4505">
            <w:pPr>
              <w:pStyle w:val="TableText0"/>
              <w:jc w:val="center"/>
            </w:pPr>
            <w:r w:rsidRPr="00DD72AC">
              <w:t>6</w:t>
            </w:r>
            <w:r w:rsidR="009962E2" w:rsidRPr="00DD72AC">
              <w:t>/</w:t>
            </w:r>
            <w:r w:rsidRPr="00DD72AC">
              <w:t>61</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7E6940EF" w14:textId="30A4BB96" w:rsidR="009962E2" w:rsidRPr="00DD72AC" w:rsidRDefault="001E605F" w:rsidP="00CE4505">
            <w:pPr>
              <w:pStyle w:val="TableText0"/>
              <w:jc w:val="center"/>
            </w:pPr>
            <w:r w:rsidRPr="00DD72AC">
              <w:t xml:space="preserve">3.90 (1.71, 8.89) </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26ED0830" w14:textId="159258A8" w:rsidR="009962E2" w:rsidRPr="00DD72AC" w:rsidRDefault="00E04736" w:rsidP="00CE4505">
            <w:pPr>
              <w:pStyle w:val="TableText0"/>
              <w:jc w:val="center"/>
            </w:pPr>
            <w:r w:rsidRPr="00DD72AC">
              <w:t>38.3</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6E5FDA8C" w14:textId="69726B00" w:rsidR="009962E2" w:rsidRPr="00DD72AC" w:rsidRDefault="000E01EA" w:rsidP="00CE4505">
            <w:pPr>
              <w:pStyle w:val="TableText0"/>
              <w:jc w:val="center"/>
            </w:pPr>
            <w:r w:rsidRPr="00DD72AC">
              <w:t>9.8</w:t>
            </w:r>
          </w:p>
        </w:tc>
        <w:tc>
          <w:tcPr>
            <w:tcW w:w="776" w:type="pct"/>
            <w:tcBorders>
              <w:top w:val="single" w:sz="4" w:space="0" w:color="auto"/>
              <w:left w:val="single" w:sz="4" w:space="0" w:color="auto"/>
              <w:bottom w:val="single" w:sz="4" w:space="0" w:color="auto"/>
              <w:right w:val="single" w:sz="4" w:space="0" w:color="auto"/>
            </w:tcBorders>
            <w:vAlign w:val="center"/>
          </w:tcPr>
          <w:p w14:paraId="13FA7AB4" w14:textId="72CB928F" w:rsidR="009962E2" w:rsidRPr="00DD72AC" w:rsidRDefault="00201C40" w:rsidP="00CE4505">
            <w:pPr>
              <w:pStyle w:val="TableText0"/>
              <w:jc w:val="center"/>
            </w:pPr>
            <w:r w:rsidRPr="00DD72AC">
              <w:t>0.28 (0.13, 0.44)</w:t>
            </w:r>
          </w:p>
        </w:tc>
      </w:tr>
      <w:tr w:rsidR="009962E2" w:rsidRPr="00DD72AC" w14:paraId="7E8E7C7F" w14:textId="77777777" w:rsidTr="00CE4505">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098BCC5" w14:textId="18FEDD61" w:rsidR="009962E2" w:rsidRPr="00DD72AC" w:rsidRDefault="009962E2" w:rsidP="00CE4505">
            <w:pPr>
              <w:pStyle w:val="In-tableHeading"/>
              <w:rPr>
                <w:b w:val="0"/>
                <w:bCs/>
                <w:lang w:val="en-AU"/>
              </w:rPr>
            </w:pPr>
            <w:r w:rsidRPr="00DD72AC">
              <w:rPr>
                <w:b w:val="0"/>
                <w:bCs/>
                <w:lang w:val="en-AU"/>
              </w:rPr>
              <w:t>Adverse event III</w:t>
            </w:r>
            <w:r w:rsidR="003A58E3" w:rsidRPr="00DD72AC">
              <w:rPr>
                <w:b w:val="0"/>
                <w:bCs/>
                <w:lang w:val="en-AU"/>
              </w:rPr>
              <w:t xml:space="preserve">: </w:t>
            </w:r>
            <w:r w:rsidR="004E6499" w:rsidRPr="00DD72AC">
              <w:rPr>
                <w:b w:val="0"/>
                <w:bCs/>
                <w:lang w:val="en-AU"/>
              </w:rPr>
              <w:t>Injection site erythema</w:t>
            </w:r>
          </w:p>
        </w:tc>
      </w:tr>
      <w:tr w:rsidR="009962E2" w:rsidRPr="00DD72AC" w14:paraId="1BEDE784" w14:textId="77777777" w:rsidTr="009F40B3">
        <w:tc>
          <w:tcPr>
            <w:tcW w:w="6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B176A" w14:textId="7895CAD5" w:rsidR="009962E2" w:rsidRPr="00DD72AC" w:rsidRDefault="009962E2" w:rsidP="00CE4505">
            <w:pPr>
              <w:pStyle w:val="TableText0"/>
            </w:pPr>
            <w:r w:rsidRPr="00DD72AC">
              <w:t>Trial</w:t>
            </w:r>
            <w:r w:rsidR="004E6499" w:rsidRPr="00DD72AC">
              <w:t xml:space="preserve"> 111-301</w:t>
            </w:r>
          </w:p>
        </w:tc>
        <w:tc>
          <w:tcPr>
            <w:tcW w:w="634" w:type="pct"/>
            <w:gridSpan w:val="4"/>
            <w:tcBorders>
              <w:top w:val="single" w:sz="4" w:space="0" w:color="auto"/>
              <w:left w:val="single" w:sz="4" w:space="0" w:color="auto"/>
              <w:bottom w:val="single" w:sz="4" w:space="0" w:color="auto"/>
              <w:right w:val="single" w:sz="4" w:space="0" w:color="auto"/>
            </w:tcBorders>
            <w:vAlign w:val="center"/>
          </w:tcPr>
          <w:p w14:paraId="4ACE0583" w14:textId="3D2F6336" w:rsidR="009962E2" w:rsidRPr="00DD72AC" w:rsidRDefault="00102B50" w:rsidP="00CE4505">
            <w:pPr>
              <w:pStyle w:val="TableText0"/>
              <w:jc w:val="center"/>
            </w:pPr>
            <w:r w:rsidRPr="00DD72AC">
              <w:t>41</w:t>
            </w:r>
            <w:r w:rsidR="009962E2" w:rsidRPr="00DD72AC">
              <w:t>/</w:t>
            </w:r>
            <w:r w:rsidR="008901CB" w:rsidRPr="00DD72AC">
              <w:t>60</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5CB661C8" w14:textId="42780DDE" w:rsidR="009962E2" w:rsidRPr="00DD72AC" w:rsidRDefault="006E6D27" w:rsidP="00CE4505">
            <w:pPr>
              <w:pStyle w:val="TableText0"/>
              <w:jc w:val="center"/>
            </w:pPr>
            <w:r w:rsidRPr="00DD72AC">
              <w:t>40</w:t>
            </w:r>
            <w:r w:rsidR="009962E2" w:rsidRPr="00DD72AC">
              <w:t>/</w:t>
            </w:r>
            <w:r w:rsidR="00102B50" w:rsidRPr="00DD72AC">
              <w:t>61</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27D9A815" w14:textId="46A15522" w:rsidR="009962E2" w:rsidRPr="00DD72AC" w:rsidRDefault="00022298" w:rsidP="00CE4505">
            <w:pPr>
              <w:pStyle w:val="TableText0"/>
              <w:jc w:val="center"/>
            </w:pPr>
            <w:r w:rsidRPr="00DD72AC">
              <w:t>1.04 (0.81, 1.34)</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6411F389" w14:textId="2ACE6D30" w:rsidR="009962E2" w:rsidRPr="00DD72AC" w:rsidRDefault="00803DBC" w:rsidP="00CE4505">
            <w:pPr>
              <w:pStyle w:val="TableText0"/>
              <w:jc w:val="center"/>
            </w:pPr>
            <w:r w:rsidRPr="00DD72AC">
              <w:t>68.3</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1FB8BAAB" w14:textId="0A4A0D6F" w:rsidR="009962E2" w:rsidRPr="00DD72AC" w:rsidRDefault="00803DBC" w:rsidP="00CE4505">
            <w:pPr>
              <w:pStyle w:val="TableText0"/>
              <w:jc w:val="center"/>
            </w:pPr>
            <w:r w:rsidRPr="00DD72AC">
              <w:t>65.6</w:t>
            </w:r>
          </w:p>
        </w:tc>
        <w:tc>
          <w:tcPr>
            <w:tcW w:w="776" w:type="pct"/>
            <w:tcBorders>
              <w:top w:val="single" w:sz="4" w:space="0" w:color="auto"/>
              <w:left w:val="single" w:sz="4" w:space="0" w:color="auto"/>
              <w:bottom w:val="single" w:sz="4" w:space="0" w:color="auto"/>
              <w:right w:val="single" w:sz="4" w:space="0" w:color="auto"/>
            </w:tcBorders>
            <w:vAlign w:val="center"/>
          </w:tcPr>
          <w:p w14:paraId="3AF9CB02" w14:textId="568D5018" w:rsidR="009962E2" w:rsidRPr="00DD72AC" w:rsidRDefault="002609C1" w:rsidP="00CE4505">
            <w:pPr>
              <w:pStyle w:val="TableText0"/>
              <w:jc w:val="center"/>
            </w:pPr>
            <w:r w:rsidRPr="00DD72AC">
              <w:t>0.03 (-0.14, 0.20)</w:t>
            </w:r>
          </w:p>
        </w:tc>
      </w:tr>
      <w:tr w:rsidR="003A04C3" w:rsidRPr="00DD72AC" w14:paraId="2A39493C" w14:textId="77777777" w:rsidTr="003A04C3">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250A0E5" w14:textId="053AEDEA" w:rsidR="003A04C3" w:rsidRPr="00DD72AC" w:rsidRDefault="003A04C3" w:rsidP="003A04C3">
            <w:pPr>
              <w:pStyle w:val="TableText0"/>
            </w:pPr>
            <w:r w:rsidRPr="00DD72AC">
              <w:t>Adverse event I</w:t>
            </w:r>
            <w:r w:rsidR="00D85CCA" w:rsidRPr="00DD72AC">
              <w:t>V</w:t>
            </w:r>
            <w:r w:rsidRPr="00DD72AC">
              <w:t>: Nasopharyngitis</w:t>
            </w:r>
          </w:p>
        </w:tc>
      </w:tr>
      <w:tr w:rsidR="00DC1E42" w:rsidRPr="00DD72AC" w14:paraId="60DA6C36" w14:textId="77777777" w:rsidTr="009F40B3">
        <w:tc>
          <w:tcPr>
            <w:tcW w:w="6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B46AE" w14:textId="22139903" w:rsidR="00DC1E42" w:rsidRPr="00DD72AC" w:rsidRDefault="00F94A5A" w:rsidP="00CE4505">
            <w:pPr>
              <w:pStyle w:val="TableText0"/>
            </w:pPr>
            <w:r w:rsidRPr="00DD72AC">
              <w:t>Trial 111-301</w:t>
            </w:r>
          </w:p>
        </w:tc>
        <w:tc>
          <w:tcPr>
            <w:tcW w:w="634" w:type="pct"/>
            <w:gridSpan w:val="4"/>
            <w:tcBorders>
              <w:top w:val="single" w:sz="4" w:space="0" w:color="auto"/>
              <w:left w:val="single" w:sz="4" w:space="0" w:color="auto"/>
              <w:bottom w:val="single" w:sz="4" w:space="0" w:color="auto"/>
              <w:right w:val="single" w:sz="4" w:space="0" w:color="auto"/>
            </w:tcBorders>
            <w:vAlign w:val="center"/>
          </w:tcPr>
          <w:p w14:paraId="159370C8" w14:textId="3825758E" w:rsidR="00DC1E42" w:rsidRPr="00DD72AC" w:rsidRDefault="00684A62" w:rsidP="00CE4505">
            <w:pPr>
              <w:pStyle w:val="TableText0"/>
              <w:jc w:val="center"/>
            </w:pPr>
            <w:r w:rsidRPr="00DD72AC">
              <w:t>16/60</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545A6DF7" w14:textId="434F42D8" w:rsidR="00DC1E42" w:rsidRPr="00DD72AC" w:rsidRDefault="00E1028A" w:rsidP="00CE4505">
            <w:pPr>
              <w:pStyle w:val="TableText0"/>
              <w:jc w:val="center"/>
            </w:pPr>
            <w:r w:rsidRPr="00DD72AC">
              <w:t>18/61</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2C39773F" w14:textId="7971E026" w:rsidR="00DC1E42" w:rsidRPr="00DD72AC" w:rsidRDefault="0070312C" w:rsidP="00CE4505">
            <w:pPr>
              <w:pStyle w:val="TableText0"/>
              <w:jc w:val="center"/>
            </w:pPr>
            <w:r w:rsidRPr="00DD72AC">
              <w:t xml:space="preserve">0.90 </w:t>
            </w:r>
            <w:r w:rsidR="00331A42" w:rsidRPr="00DD72AC">
              <w:t>(</w:t>
            </w:r>
            <w:r w:rsidRPr="00DD72AC">
              <w:t>0.51, 1.60</w:t>
            </w:r>
            <w:r w:rsidR="00331A42" w:rsidRPr="00DD72AC">
              <w:t>)</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33A06F8C" w14:textId="0BE5D169" w:rsidR="00DC1E42" w:rsidRPr="00DD72AC" w:rsidRDefault="00E5591C" w:rsidP="00CE4505">
            <w:pPr>
              <w:pStyle w:val="TableText0"/>
              <w:jc w:val="center"/>
            </w:pPr>
            <w:r w:rsidRPr="00DD72AC">
              <w:t>26.7</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2CE42886" w14:textId="4D11B8D9" w:rsidR="00DC1E42" w:rsidRPr="00DD72AC" w:rsidRDefault="00C56A75" w:rsidP="00CE4505">
            <w:pPr>
              <w:pStyle w:val="TableText0"/>
              <w:jc w:val="center"/>
            </w:pPr>
            <w:r w:rsidRPr="00DD72AC">
              <w:t>29.5</w:t>
            </w:r>
          </w:p>
        </w:tc>
        <w:tc>
          <w:tcPr>
            <w:tcW w:w="776" w:type="pct"/>
            <w:tcBorders>
              <w:top w:val="single" w:sz="4" w:space="0" w:color="auto"/>
              <w:left w:val="single" w:sz="4" w:space="0" w:color="auto"/>
              <w:bottom w:val="single" w:sz="4" w:space="0" w:color="auto"/>
              <w:right w:val="single" w:sz="4" w:space="0" w:color="auto"/>
            </w:tcBorders>
            <w:vAlign w:val="center"/>
          </w:tcPr>
          <w:p w14:paraId="47F36E47" w14:textId="76AFF318" w:rsidR="00DC1E42" w:rsidRPr="00DD72AC" w:rsidRDefault="00591B75" w:rsidP="00CE4505">
            <w:pPr>
              <w:pStyle w:val="TableText0"/>
              <w:jc w:val="center"/>
            </w:pPr>
            <w:r w:rsidRPr="00DD72AC">
              <w:t xml:space="preserve">-0.03 </w:t>
            </w:r>
            <w:r w:rsidR="00331A42" w:rsidRPr="00DD72AC">
              <w:t>(</w:t>
            </w:r>
            <w:r w:rsidRPr="00DD72AC">
              <w:t>-0.19, 0.13</w:t>
            </w:r>
            <w:r w:rsidR="00331A42" w:rsidRPr="00DD72AC">
              <w:t>)</w:t>
            </w:r>
          </w:p>
        </w:tc>
      </w:tr>
      <w:tr w:rsidR="0003644A" w:rsidRPr="00DD72AC" w14:paraId="56D342A8" w14:textId="77777777" w:rsidTr="0003644A">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FCA16A4" w14:textId="40C5D4A4" w:rsidR="0003644A" w:rsidRPr="00DD72AC" w:rsidRDefault="0003644A" w:rsidP="0003644A">
            <w:pPr>
              <w:pStyle w:val="TableText0"/>
            </w:pPr>
            <w:r w:rsidRPr="00DD72AC">
              <w:t xml:space="preserve">Adverse event </w:t>
            </w:r>
            <w:r w:rsidR="00D85CCA" w:rsidRPr="00DD72AC">
              <w:t>V</w:t>
            </w:r>
            <w:r w:rsidRPr="00DD72AC">
              <w:t>: Vomiting</w:t>
            </w:r>
          </w:p>
        </w:tc>
      </w:tr>
      <w:tr w:rsidR="00DC1E42" w:rsidRPr="00DD72AC" w14:paraId="6CF16659" w14:textId="77777777" w:rsidTr="009F40B3">
        <w:tc>
          <w:tcPr>
            <w:tcW w:w="6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0FFE6" w14:textId="5FE53048" w:rsidR="00DC1E42" w:rsidRPr="00DD72AC" w:rsidRDefault="00F94A5A" w:rsidP="00CE4505">
            <w:pPr>
              <w:pStyle w:val="TableText0"/>
            </w:pPr>
            <w:r w:rsidRPr="00DD72AC">
              <w:t>Trial 111-301</w:t>
            </w:r>
          </w:p>
        </w:tc>
        <w:tc>
          <w:tcPr>
            <w:tcW w:w="634" w:type="pct"/>
            <w:gridSpan w:val="4"/>
            <w:tcBorders>
              <w:top w:val="single" w:sz="4" w:space="0" w:color="auto"/>
              <w:left w:val="single" w:sz="4" w:space="0" w:color="auto"/>
              <w:bottom w:val="single" w:sz="4" w:space="0" w:color="auto"/>
              <w:right w:val="single" w:sz="4" w:space="0" w:color="auto"/>
            </w:tcBorders>
            <w:vAlign w:val="center"/>
          </w:tcPr>
          <w:p w14:paraId="7E55DE5C" w14:textId="4C5F46AB" w:rsidR="00DC1E42" w:rsidRPr="00DD72AC" w:rsidRDefault="0016543B" w:rsidP="00CE4505">
            <w:pPr>
              <w:pStyle w:val="TableText0"/>
              <w:jc w:val="center"/>
            </w:pPr>
            <w:r w:rsidRPr="00DD72AC">
              <w:t>16/60</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3F407E63" w14:textId="5F0A23FE" w:rsidR="00DC1E42" w:rsidRPr="00DD72AC" w:rsidRDefault="00C46F21" w:rsidP="00CE4505">
            <w:pPr>
              <w:pStyle w:val="TableText0"/>
              <w:jc w:val="center"/>
            </w:pPr>
            <w:r w:rsidRPr="00DD72AC">
              <w:t>12/61</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283D7C66" w14:textId="4D300914" w:rsidR="00DC1E42" w:rsidRPr="00DD72AC" w:rsidRDefault="001A44BE" w:rsidP="00CE4505">
            <w:pPr>
              <w:pStyle w:val="TableText0"/>
              <w:jc w:val="center"/>
            </w:pPr>
            <w:r w:rsidRPr="00DD72AC">
              <w:t xml:space="preserve">1.36 </w:t>
            </w:r>
            <w:r w:rsidR="00331A42" w:rsidRPr="00DD72AC">
              <w:t>(</w:t>
            </w:r>
            <w:r w:rsidRPr="00DD72AC">
              <w:t>0.70, 2.62</w:t>
            </w:r>
            <w:r w:rsidR="00331A42" w:rsidRPr="00DD72AC">
              <w:t>)</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59DA2620" w14:textId="3A584DD3" w:rsidR="00DC1E42" w:rsidRPr="00DD72AC" w:rsidRDefault="000F5EE4" w:rsidP="00CE4505">
            <w:pPr>
              <w:pStyle w:val="TableText0"/>
              <w:jc w:val="center"/>
            </w:pPr>
            <w:r w:rsidRPr="00DD72AC">
              <w:t>26.7</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20F587FF" w14:textId="32243418" w:rsidR="00DC1E42" w:rsidRPr="00DD72AC" w:rsidRDefault="000F5EE4" w:rsidP="00CE4505">
            <w:pPr>
              <w:pStyle w:val="TableText0"/>
              <w:jc w:val="center"/>
            </w:pPr>
            <w:r w:rsidRPr="00DD72AC">
              <w:t>19.7</w:t>
            </w:r>
          </w:p>
        </w:tc>
        <w:tc>
          <w:tcPr>
            <w:tcW w:w="776" w:type="pct"/>
            <w:tcBorders>
              <w:top w:val="single" w:sz="4" w:space="0" w:color="auto"/>
              <w:left w:val="single" w:sz="4" w:space="0" w:color="auto"/>
              <w:bottom w:val="single" w:sz="4" w:space="0" w:color="auto"/>
              <w:right w:val="single" w:sz="4" w:space="0" w:color="auto"/>
            </w:tcBorders>
            <w:vAlign w:val="center"/>
          </w:tcPr>
          <w:p w14:paraId="066F0A79" w14:textId="2ACECE59" w:rsidR="00DC1E42" w:rsidRPr="00DD72AC" w:rsidRDefault="004527A8" w:rsidP="00CE4505">
            <w:pPr>
              <w:pStyle w:val="TableText0"/>
              <w:jc w:val="center"/>
            </w:pPr>
            <w:r w:rsidRPr="00DD72AC">
              <w:t xml:space="preserve">0.07 </w:t>
            </w:r>
            <w:r w:rsidR="002D1CB3" w:rsidRPr="00DD72AC">
              <w:t>(</w:t>
            </w:r>
            <w:r w:rsidRPr="00DD72AC">
              <w:t>-0.08, 0.22</w:t>
            </w:r>
            <w:r w:rsidR="002D1CB3" w:rsidRPr="00DD72AC">
              <w:t>)</w:t>
            </w:r>
          </w:p>
        </w:tc>
      </w:tr>
      <w:tr w:rsidR="00B0677B" w:rsidRPr="00DD72AC" w14:paraId="553C1647" w14:textId="77777777" w:rsidTr="00B0677B">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AF6482E" w14:textId="007B7EFC" w:rsidR="00B0677B" w:rsidRPr="00DD72AC" w:rsidRDefault="00B0677B" w:rsidP="00B0677B">
            <w:pPr>
              <w:pStyle w:val="TableText0"/>
            </w:pPr>
            <w:r w:rsidRPr="00DD72AC">
              <w:t xml:space="preserve">Adverse event </w:t>
            </w:r>
            <w:r w:rsidR="00592D56" w:rsidRPr="00DD72AC">
              <w:t>V</w:t>
            </w:r>
            <w:r w:rsidRPr="00DD72AC">
              <w:t>I: Headache</w:t>
            </w:r>
          </w:p>
        </w:tc>
      </w:tr>
      <w:tr w:rsidR="00FC3E98" w:rsidRPr="00DD72AC" w14:paraId="7D370E20" w14:textId="77777777" w:rsidTr="009F40B3">
        <w:tc>
          <w:tcPr>
            <w:tcW w:w="6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F8E83" w14:textId="2D195962" w:rsidR="00FC3E98" w:rsidRPr="00DD72AC" w:rsidRDefault="00F94A5A" w:rsidP="00CE4505">
            <w:pPr>
              <w:pStyle w:val="TableText0"/>
            </w:pPr>
            <w:r w:rsidRPr="00DD72AC">
              <w:t>Trial 111-301</w:t>
            </w:r>
          </w:p>
        </w:tc>
        <w:tc>
          <w:tcPr>
            <w:tcW w:w="634" w:type="pct"/>
            <w:gridSpan w:val="4"/>
            <w:tcBorders>
              <w:top w:val="single" w:sz="4" w:space="0" w:color="auto"/>
              <w:left w:val="single" w:sz="4" w:space="0" w:color="auto"/>
              <w:bottom w:val="single" w:sz="4" w:space="0" w:color="auto"/>
              <w:right w:val="single" w:sz="4" w:space="0" w:color="auto"/>
            </w:tcBorders>
            <w:vAlign w:val="center"/>
          </w:tcPr>
          <w:p w14:paraId="247B26EF" w14:textId="10B95279" w:rsidR="00FC3E98" w:rsidRPr="00DD72AC" w:rsidRDefault="001360E0" w:rsidP="00CE4505">
            <w:pPr>
              <w:pStyle w:val="TableText0"/>
              <w:jc w:val="center"/>
            </w:pPr>
            <w:r w:rsidRPr="00DD72AC">
              <w:t>14/60</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239175AB" w14:textId="7415C0C5" w:rsidR="00FC3E98" w:rsidRPr="00DD72AC" w:rsidRDefault="005A55C6" w:rsidP="00CE4505">
            <w:pPr>
              <w:pStyle w:val="TableText0"/>
              <w:jc w:val="center"/>
            </w:pPr>
            <w:r w:rsidRPr="00DD72AC">
              <w:t>16/61</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1E5BE89B" w14:textId="701D723C" w:rsidR="00FC3E98" w:rsidRPr="00DD72AC" w:rsidRDefault="006E2CDF" w:rsidP="00CE4505">
            <w:pPr>
              <w:pStyle w:val="TableText0"/>
              <w:jc w:val="center"/>
            </w:pPr>
            <w:r w:rsidRPr="00DD72AC">
              <w:t xml:space="preserve">0.89 </w:t>
            </w:r>
            <w:r w:rsidR="00331A42" w:rsidRPr="00DD72AC">
              <w:t>(</w:t>
            </w:r>
            <w:r w:rsidRPr="00DD72AC">
              <w:t>0.48, 1.66</w:t>
            </w:r>
            <w:r w:rsidR="00331A42" w:rsidRPr="00DD72AC">
              <w:t>)</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46F740B9" w14:textId="66D640D4" w:rsidR="00FC3E98" w:rsidRPr="00DD72AC" w:rsidRDefault="000813F9" w:rsidP="00CE4505">
            <w:pPr>
              <w:pStyle w:val="TableText0"/>
              <w:jc w:val="center"/>
            </w:pPr>
            <w:r w:rsidRPr="00DD72AC">
              <w:t>23.3</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167ADED0" w14:textId="51C59211" w:rsidR="00FC3E98" w:rsidRPr="00DD72AC" w:rsidRDefault="006B08C9" w:rsidP="00CE4505">
            <w:pPr>
              <w:pStyle w:val="TableText0"/>
              <w:jc w:val="center"/>
            </w:pPr>
            <w:r w:rsidRPr="00DD72AC">
              <w:t>26.2</w:t>
            </w:r>
          </w:p>
        </w:tc>
        <w:tc>
          <w:tcPr>
            <w:tcW w:w="776" w:type="pct"/>
            <w:tcBorders>
              <w:top w:val="single" w:sz="4" w:space="0" w:color="auto"/>
              <w:left w:val="single" w:sz="4" w:space="0" w:color="auto"/>
              <w:bottom w:val="single" w:sz="4" w:space="0" w:color="auto"/>
              <w:right w:val="single" w:sz="4" w:space="0" w:color="auto"/>
            </w:tcBorders>
            <w:vAlign w:val="center"/>
          </w:tcPr>
          <w:p w14:paraId="02C290BB" w14:textId="567A8836" w:rsidR="00FC3E98" w:rsidRPr="00DD72AC" w:rsidRDefault="000345FA" w:rsidP="00CE4505">
            <w:pPr>
              <w:pStyle w:val="TableText0"/>
              <w:jc w:val="center"/>
            </w:pPr>
            <w:r w:rsidRPr="00DD72AC">
              <w:t xml:space="preserve">-0.03 </w:t>
            </w:r>
            <w:r w:rsidR="002D1CB3" w:rsidRPr="00DD72AC">
              <w:t>(</w:t>
            </w:r>
            <w:r w:rsidRPr="00DD72AC">
              <w:t>-0.18, 0.12</w:t>
            </w:r>
            <w:r w:rsidR="002D1CB3" w:rsidRPr="00DD72AC">
              <w:t>)</w:t>
            </w:r>
          </w:p>
        </w:tc>
      </w:tr>
      <w:tr w:rsidR="009317A4" w:rsidRPr="00DD72AC" w14:paraId="4019F2E1" w14:textId="77777777" w:rsidTr="009317A4">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2F1C4DB" w14:textId="7F9B55E3" w:rsidR="009317A4" w:rsidRPr="00DD72AC" w:rsidRDefault="009317A4" w:rsidP="009317A4">
            <w:pPr>
              <w:pStyle w:val="TableText0"/>
            </w:pPr>
            <w:r w:rsidRPr="00DD72AC">
              <w:t xml:space="preserve">Adverse event </w:t>
            </w:r>
            <w:r w:rsidR="00592D56" w:rsidRPr="00DD72AC">
              <w:t>V</w:t>
            </w:r>
            <w:r w:rsidRPr="00DD72AC">
              <w:t>II: Pyrexia</w:t>
            </w:r>
          </w:p>
        </w:tc>
      </w:tr>
      <w:tr w:rsidR="00FC3E98" w:rsidRPr="00DD72AC" w14:paraId="2A9A9700" w14:textId="77777777" w:rsidTr="009F40B3">
        <w:tc>
          <w:tcPr>
            <w:tcW w:w="6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77C2D" w14:textId="24A05BD1" w:rsidR="00FC3E98" w:rsidRPr="00DD72AC" w:rsidRDefault="00005D31" w:rsidP="00CE4505">
            <w:pPr>
              <w:pStyle w:val="TableText0"/>
            </w:pPr>
            <w:r w:rsidRPr="00DD72AC">
              <w:t>Trial 111-301</w:t>
            </w:r>
          </w:p>
        </w:tc>
        <w:tc>
          <w:tcPr>
            <w:tcW w:w="634" w:type="pct"/>
            <w:gridSpan w:val="4"/>
            <w:tcBorders>
              <w:top w:val="single" w:sz="4" w:space="0" w:color="auto"/>
              <w:left w:val="single" w:sz="4" w:space="0" w:color="auto"/>
              <w:bottom w:val="single" w:sz="4" w:space="0" w:color="auto"/>
              <w:right w:val="single" w:sz="4" w:space="0" w:color="auto"/>
            </w:tcBorders>
            <w:vAlign w:val="center"/>
          </w:tcPr>
          <w:p w14:paraId="6EB3AD66" w14:textId="36EF2F3A" w:rsidR="00FC3E98" w:rsidRPr="00DD72AC" w:rsidRDefault="00486338" w:rsidP="00CE4505">
            <w:pPr>
              <w:pStyle w:val="TableText0"/>
              <w:jc w:val="center"/>
            </w:pPr>
            <w:r w:rsidRPr="00DD72AC">
              <w:t>10/60</w:t>
            </w:r>
            <w:r w:rsidR="00005D31" w:rsidRPr="00DD72AC">
              <w:t xml:space="preserve"> </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7E102733" w14:textId="276FDF0E" w:rsidR="00FC3E98" w:rsidRPr="00DD72AC" w:rsidRDefault="00CD1A48" w:rsidP="00CE4505">
            <w:pPr>
              <w:pStyle w:val="TableText0"/>
              <w:jc w:val="center"/>
            </w:pPr>
            <w:r w:rsidRPr="00DD72AC">
              <w:t>13/61</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4CBCC730" w14:textId="33436970" w:rsidR="00FC3E98" w:rsidRPr="00DD72AC" w:rsidRDefault="00001053" w:rsidP="00CE4505">
            <w:pPr>
              <w:pStyle w:val="TableText0"/>
              <w:jc w:val="center"/>
            </w:pPr>
            <w:r w:rsidRPr="00DD72AC">
              <w:t xml:space="preserve">0.78 </w:t>
            </w:r>
            <w:r w:rsidR="00331A42" w:rsidRPr="00DD72AC">
              <w:t>(</w:t>
            </w:r>
            <w:r w:rsidRPr="00DD72AC">
              <w:t>0.37, 1.64</w:t>
            </w:r>
            <w:r w:rsidR="00331A42" w:rsidRPr="00DD72AC">
              <w:t>)</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0132596D" w14:textId="382D26B2" w:rsidR="00FC3E98" w:rsidRPr="00DD72AC" w:rsidRDefault="00D1212A" w:rsidP="00CE4505">
            <w:pPr>
              <w:pStyle w:val="TableText0"/>
              <w:jc w:val="center"/>
            </w:pPr>
            <w:r w:rsidRPr="00DD72AC">
              <w:t>16.7</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039D6E0A" w14:textId="2F4C5C29" w:rsidR="00FC3E98" w:rsidRPr="00DD72AC" w:rsidRDefault="005857FD" w:rsidP="00CE4505">
            <w:pPr>
              <w:pStyle w:val="TableText0"/>
              <w:jc w:val="center"/>
            </w:pPr>
            <w:r w:rsidRPr="00DD72AC">
              <w:t>21.3</w:t>
            </w:r>
          </w:p>
        </w:tc>
        <w:tc>
          <w:tcPr>
            <w:tcW w:w="776" w:type="pct"/>
            <w:tcBorders>
              <w:top w:val="single" w:sz="4" w:space="0" w:color="auto"/>
              <w:left w:val="single" w:sz="4" w:space="0" w:color="auto"/>
              <w:bottom w:val="single" w:sz="4" w:space="0" w:color="auto"/>
              <w:right w:val="single" w:sz="4" w:space="0" w:color="auto"/>
            </w:tcBorders>
            <w:vAlign w:val="center"/>
          </w:tcPr>
          <w:p w14:paraId="49931507" w14:textId="6E5077EF" w:rsidR="00FC3E98" w:rsidRPr="00DD72AC" w:rsidRDefault="00005D31" w:rsidP="00CE4505">
            <w:pPr>
              <w:pStyle w:val="TableText0"/>
              <w:jc w:val="center"/>
            </w:pPr>
            <w:r w:rsidRPr="00DD72AC">
              <w:t xml:space="preserve">-0.05 </w:t>
            </w:r>
            <w:r w:rsidR="002D1CB3" w:rsidRPr="00DD72AC">
              <w:t>(</w:t>
            </w:r>
            <w:r w:rsidRPr="00DD72AC">
              <w:t>-0.19, 0.09</w:t>
            </w:r>
            <w:r w:rsidR="002D1CB3" w:rsidRPr="00DD72AC">
              <w:t>)</w:t>
            </w:r>
          </w:p>
        </w:tc>
      </w:tr>
    </w:tbl>
    <w:p w14:paraId="7F3FDDA2" w14:textId="213EDF3A" w:rsidR="00D16982" w:rsidRPr="00DD72AC" w:rsidRDefault="00D16982" w:rsidP="00D16982">
      <w:pPr>
        <w:keepNext/>
        <w:keepLines/>
        <w:widowControl w:val="0"/>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 xml:space="preserve">Source: Table </w:t>
      </w:r>
      <w:r w:rsidR="00357219" w:rsidRPr="00DD72AC">
        <w:rPr>
          <w:rFonts w:ascii="Arial Narrow" w:eastAsia="Times New Roman" w:hAnsi="Arial Narrow"/>
          <w:sz w:val="18"/>
          <w:lang w:eastAsia="en-GB"/>
        </w:rPr>
        <w:t xml:space="preserve">38, </w:t>
      </w:r>
      <w:r w:rsidRPr="00DD72AC">
        <w:rPr>
          <w:rFonts w:ascii="Arial Narrow" w:eastAsia="Times New Roman" w:hAnsi="Arial Narrow"/>
          <w:sz w:val="18"/>
          <w:lang w:eastAsia="en-GB"/>
        </w:rPr>
        <w:t>41,</w:t>
      </w:r>
      <w:r w:rsidR="00E02EF5" w:rsidRPr="00DD72AC">
        <w:rPr>
          <w:rFonts w:ascii="Arial Narrow" w:eastAsia="Times New Roman" w:hAnsi="Arial Narrow"/>
          <w:sz w:val="18"/>
          <w:lang w:eastAsia="en-GB"/>
        </w:rPr>
        <w:t>52;</w:t>
      </w:r>
      <w:r w:rsidRPr="00DD72AC">
        <w:rPr>
          <w:rFonts w:ascii="Arial Narrow" w:eastAsia="Times New Roman" w:hAnsi="Arial Narrow"/>
          <w:sz w:val="18"/>
          <w:lang w:eastAsia="en-GB"/>
        </w:rPr>
        <w:t xml:space="preserve"> </w:t>
      </w:r>
      <w:r w:rsidR="007A1EF1" w:rsidRPr="00DD72AC">
        <w:rPr>
          <w:rFonts w:ascii="Arial Narrow" w:eastAsia="Times New Roman" w:hAnsi="Arial Narrow"/>
          <w:sz w:val="18"/>
          <w:lang w:eastAsia="en-GB"/>
        </w:rPr>
        <w:t>pp87,</w:t>
      </w:r>
      <w:r w:rsidRPr="00DD72AC">
        <w:rPr>
          <w:rFonts w:ascii="Arial Narrow" w:eastAsia="Times New Roman" w:hAnsi="Arial Narrow"/>
          <w:sz w:val="18"/>
          <w:lang w:eastAsia="en-GB"/>
        </w:rPr>
        <w:t>91</w:t>
      </w:r>
      <w:r w:rsidR="00E02EF5" w:rsidRPr="00DD72AC">
        <w:rPr>
          <w:rFonts w:ascii="Arial Narrow" w:eastAsia="Times New Roman" w:hAnsi="Arial Narrow"/>
          <w:sz w:val="18"/>
          <w:lang w:eastAsia="en-GB"/>
        </w:rPr>
        <w:t>, 110</w:t>
      </w:r>
      <w:r w:rsidRPr="00DD72AC">
        <w:rPr>
          <w:rFonts w:ascii="Arial Narrow" w:eastAsia="Times New Roman" w:hAnsi="Arial Narrow"/>
          <w:sz w:val="18"/>
          <w:lang w:eastAsia="en-GB"/>
        </w:rPr>
        <w:t xml:space="preserve"> of the submission</w:t>
      </w:r>
      <w:r w:rsidR="00E02EF5" w:rsidRPr="00DD72AC">
        <w:rPr>
          <w:rFonts w:ascii="Arial Narrow" w:eastAsia="Times New Roman" w:hAnsi="Arial Narrow"/>
          <w:sz w:val="18"/>
          <w:lang w:eastAsia="en-GB"/>
        </w:rPr>
        <w:t>.</w:t>
      </w:r>
    </w:p>
    <w:p w14:paraId="50269BAB" w14:textId="190F4221" w:rsidR="00D16982" w:rsidRPr="00DD72AC" w:rsidRDefault="00D16982" w:rsidP="00D16982">
      <w:pPr>
        <w:keepNext/>
        <w:keepLines/>
        <w:widowControl w:val="0"/>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CI = confidence interval; LS = least square = SD = standard deviation; VOS = vosoritide</w:t>
      </w:r>
      <w:r w:rsidR="00256FD8" w:rsidRPr="00DD72AC">
        <w:rPr>
          <w:rFonts w:ascii="Arial Narrow" w:eastAsia="Times New Roman" w:hAnsi="Arial Narrow"/>
          <w:sz w:val="18"/>
          <w:lang w:eastAsia="en-GB"/>
        </w:rPr>
        <w:t xml:space="preserve">; </w:t>
      </w:r>
      <w:r w:rsidR="00642C57" w:rsidRPr="00DD72AC">
        <w:rPr>
          <w:rFonts w:ascii="Arial Narrow" w:eastAsia="Times New Roman" w:hAnsi="Arial Narrow"/>
          <w:sz w:val="18"/>
          <w:lang w:eastAsia="en-GB"/>
        </w:rPr>
        <w:t>PBO = placebo; RD = risk difference; RR = risk ratio</w:t>
      </w:r>
      <w:r w:rsidR="002F62D9" w:rsidRPr="00DD72AC">
        <w:rPr>
          <w:rFonts w:ascii="Arial Narrow" w:eastAsia="Times New Roman" w:hAnsi="Arial Narrow"/>
          <w:sz w:val="18"/>
          <w:lang w:eastAsia="en-GB"/>
        </w:rPr>
        <w:t xml:space="preserve">. </w:t>
      </w:r>
    </w:p>
    <w:p w14:paraId="06A80A24" w14:textId="6C7CFD6B" w:rsidR="00CC1E59" w:rsidRPr="00DD72AC" w:rsidRDefault="00CC1E59" w:rsidP="00D16982">
      <w:pPr>
        <w:keepNext/>
        <w:keepLines/>
        <w:widowControl w:val="0"/>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 xml:space="preserve">Duration of </w:t>
      </w:r>
      <w:r w:rsidR="00F13165" w:rsidRPr="00DD72AC">
        <w:rPr>
          <w:rFonts w:ascii="Arial Narrow" w:eastAsia="Times New Roman" w:hAnsi="Arial Narrow"/>
          <w:sz w:val="18"/>
          <w:lang w:eastAsia="en-GB"/>
        </w:rPr>
        <w:t xml:space="preserve">follow up: trial 111-301 = 52 weeks. </w:t>
      </w:r>
    </w:p>
    <w:p w14:paraId="78758795" w14:textId="6DC6386A" w:rsidR="00931C6E" w:rsidRPr="00DD72AC" w:rsidRDefault="00931C6E" w:rsidP="00D2155B">
      <w:pPr>
        <w:pStyle w:val="3-BodyText"/>
      </w:pPr>
      <w:r w:rsidRPr="00DD72AC">
        <w:t>On the basis of direct evidence presented by the submission:</w:t>
      </w:r>
    </w:p>
    <w:p w14:paraId="194C6B4A" w14:textId="170E5A46" w:rsidR="009962E2" w:rsidRPr="00DD72AC" w:rsidRDefault="009962E2" w:rsidP="00D9504F">
      <w:pPr>
        <w:pStyle w:val="3-BodyText"/>
        <w:numPr>
          <w:ilvl w:val="0"/>
          <w:numId w:val="7"/>
        </w:numPr>
        <w:ind w:left="1134" w:hanging="425"/>
      </w:pPr>
      <w:r w:rsidRPr="00DD72AC">
        <w:lastRenderedPageBreak/>
        <w:t>An average</w:t>
      </w:r>
      <w:r w:rsidR="00931C6E" w:rsidRPr="00DD72AC">
        <w:t xml:space="preserve"> 1.57</w:t>
      </w:r>
      <w:r w:rsidR="00A714A4" w:rsidRPr="00DD72AC">
        <w:t xml:space="preserve"> </w:t>
      </w:r>
      <w:r w:rsidR="00931C6E" w:rsidRPr="00DD72AC">
        <w:t>cm increase in Annual Growth Velocity (AGV) from baseline to 52 weeks follow-up was achieved for vosoritide compared to placebo</w:t>
      </w:r>
      <w:r w:rsidR="00F37251" w:rsidRPr="00DD72AC">
        <w:t xml:space="preserve"> for children aged 5-17 (inclusive)</w:t>
      </w:r>
      <w:r w:rsidR="00931C6E" w:rsidRPr="00DD72AC">
        <w:t xml:space="preserve">. </w:t>
      </w:r>
      <w:r w:rsidR="005C7580" w:rsidRPr="00DD72AC">
        <w:t>T</w:t>
      </w:r>
      <w:r w:rsidR="00931C6E" w:rsidRPr="00DD72AC">
        <w:t xml:space="preserve">he submission did not indicate what difference in </w:t>
      </w:r>
      <w:r w:rsidR="005C7580" w:rsidRPr="00DD72AC">
        <w:t>AGV</w:t>
      </w:r>
      <w:r w:rsidR="00931C6E" w:rsidRPr="00DD72AC">
        <w:t xml:space="preserve"> was considered clinically meaningful</w:t>
      </w:r>
      <w:r w:rsidR="00214558" w:rsidRPr="00DD72AC">
        <w:t xml:space="preserve"> including across different ages when AGV are expected to differ</w:t>
      </w:r>
      <w:r w:rsidR="00931C6E" w:rsidRPr="00DD72AC">
        <w:t>. </w:t>
      </w:r>
    </w:p>
    <w:p w14:paraId="7200E8C0" w14:textId="17D0A540" w:rsidR="00931C6E" w:rsidRPr="00DD72AC" w:rsidRDefault="008F550A" w:rsidP="00BD1660">
      <w:pPr>
        <w:pStyle w:val="3-BodyText"/>
      </w:pPr>
      <w:r w:rsidRPr="00DD72AC">
        <w:t xml:space="preserve">On the basis of the direct evidence </w:t>
      </w:r>
      <w:r w:rsidR="00931C6E" w:rsidRPr="00DD72AC">
        <w:t>presented</w:t>
      </w:r>
      <w:r w:rsidRPr="00DD72AC">
        <w:t xml:space="preserve"> by the submission for the main clinical trial (study 111-302), for every 100 patients treated with vosoritide in comparison with </w:t>
      </w:r>
      <w:r w:rsidR="009962E2" w:rsidRPr="00DD72AC">
        <w:t>placebo (also daily SC injections)</w:t>
      </w:r>
      <w:r w:rsidRPr="00DD72AC">
        <w:t>:</w:t>
      </w:r>
    </w:p>
    <w:p w14:paraId="0B4D916F" w14:textId="77777777" w:rsidR="009F39C7" w:rsidRPr="00DD72AC" w:rsidRDefault="009F39C7" w:rsidP="00D9504F">
      <w:pPr>
        <w:pStyle w:val="3-BodyText"/>
        <w:numPr>
          <w:ilvl w:val="0"/>
          <w:numId w:val="7"/>
        </w:numPr>
        <w:ind w:left="1134" w:hanging="425"/>
      </w:pPr>
      <w:r w:rsidRPr="00DD72AC">
        <w:t xml:space="preserve">Approximately 26 additional patients will have an injection site reaction </w:t>
      </w:r>
    </w:p>
    <w:p w14:paraId="5CE06A0A" w14:textId="510BED22" w:rsidR="009F39C7" w:rsidRPr="00DD72AC" w:rsidRDefault="00931C6E" w:rsidP="00D9504F">
      <w:pPr>
        <w:pStyle w:val="3-BodyText"/>
        <w:numPr>
          <w:ilvl w:val="0"/>
          <w:numId w:val="7"/>
        </w:numPr>
        <w:ind w:left="1134" w:hanging="425"/>
      </w:pPr>
      <w:r w:rsidRPr="00DD72AC">
        <w:t xml:space="preserve">Approximately </w:t>
      </w:r>
      <w:r w:rsidR="00126929" w:rsidRPr="00DD72AC">
        <w:t>29</w:t>
      </w:r>
      <w:r w:rsidRPr="00DD72AC">
        <w:t xml:space="preserve"> additional patients will have an injection site </w:t>
      </w:r>
      <w:r w:rsidR="009962E2" w:rsidRPr="00DD72AC">
        <w:t>swelling</w:t>
      </w:r>
    </w:p>
    <w:p w14:paraId="7A1772B6" w14:textId="23BB3145" w:rsidR="00B60939" w:rsidRPr="00DD72AC" w:rsidRDefault="00B60939" w:rsidP="009F39C7">
      <w:pPr>
        <w:pStyle w:val="4-SubsectionHeading"/>
        <w:spacing w:before="240"/>
      </w:pPr>
      <w:bookmarkStart w:id="37" w:name="_Toc22897644"/>
      <w:bookmarkStart w:id="38" w:name="_Toc103776184"/>
      <w:r w:rsidRPr="00DD72AC">
        <w:t>Clinical claim</w:t>
      </w:r>
      <w:bookmarkEnd w:id="37"/>
      <w:bookmarkEnd w:id="38"/>
    </w:p>
    <w:p w14:paraId="54D3A82D" w14:textId="132014E9" w:rsidR="005F7588" w:rsidRPr="00DD72AC" w:rsidRDefault="003B4E7A" w:rsidP="001E2A02">
      <w:pPr>
        <w:pStyle w:val="3-BodyText"/>
        <w:rPr>
          <w:rFonts w:eastAsia="Calibri"/>
        </w:rPr>
      </w:pPr>
      <w:bookmarkStart w:id="39" w:name="_Ref105679655"/>
      <w:r w:rsidRPr="00DD72AC">
        <w:t>The submission described vosoritide as superior in terms of effectiveness compared with placebo.</w:t>
      </w:r>
      <w:r w:rsidR="00C5131F" w:rsidRPr="00DD72AC">
        <w:t xml:space="preserve"> </w:t>
      </w:r>
      <w:r w:rsidR="00366947" w:rsidRPr="00DD72AC">
        <w:rPr>
          <w:rFonts w:eastAsia="Calibri"/>
        </w:rPr>
        <w:t>The claim is appropriate and well-supported in 5 to &lt;</w:t>
      </w:r>
      <w:r w:rsidR="00287B47">
        <w:rPr>
          <w:rFonts w:eastAsia="Calibri"/>
        </w:rPr>
        <w:t> </w:t>
      </w:r>
      <w:r w:rsidR="00366947" w:rsidRPr="00DD72AC">
        <w:rPr>
          <w:rFonts w:eastAsia="Calibri"/>
        </w:rPr>
        <w:t>18 year old children</w:t>
      </w:r>
      <w:r w:rsidR="0098350F" w:rsidRPr="00DD72AC">
        <w:rPr>
          <w:rFonts w:eastAsia="Calibri"/>
        </w:rPr>
        <w:t xml:space="preserve">, but not </w:t>
      </w:r>
      <w:r w:rsidR="005F7135" w:rsidRPr="00DD72AC">
        <w:rPr>
          <w:rFonts w:eastAsia="Calibri"/>
        </w:rPr>
        <w:t>well-supported in children under 5 years old</w:t>
      </w:r>
      <w:r w:rsidR="00366947" w:rsidRPr="00DD72AC">
        <w:rPr>
          <w:rFonts w:eastAsia="Calibri"/>
        </w:rPr>
        <w:t xml:space="preserve">. </w:t>
      </w:r>
      <w:r w:rsidR="007C70FF" w:rsidRPr="00DD72AC">
        <w:rPr>
          <w:rFonts w:eastAsia="Calibri"/>
        </w:rPr>
        <w:t xml:space="preserve">The key </w:t>
      </w:r>
      <w:r w:rsidR="007D069A" w:rsidRPr="00DD72AC">
        <w:rPr>
          <w:rFonts w:eastAsia="Calibri"/>
        </w:rPr>
        <w:t>issues were</w:t>
      </w:r>
      <w:r w:rsidR="007C70FF" w:rsidRPr="00DD72AC">
        <w:rPr>
          <w:rFonts w:eastAsia="Calibri"/>
        </w:rPr>
        <w:t>:</w:t>
      </w:r>
      <w:bookmarkEnd w:id="39"/>
      <w:r w:rsidR="007C70FF" w:rsidRPr="00DD72AC">
        <w:rPr>
          <w:rFonts w:eastAsia="Calibri"/>
        </w:rPr>
        <w:t xml:space="preserve"> </w:t>
      </w:r>
    </w:p>
    <w:p w14:paraId="452EF5AA" w14:textId="21D11C46" w:rsidR="00290CFF" w:rsidRPr="00DD72AC" w:rsidRDefault="0075783D" w:rsidP="00290CFF">
      <w:pPr>
        <w:pStyle w:val="3-BodyText"/>
        <w:numPr>
          <w:ilvl w:val="1"/>
          <w:numId w:val="8"/>
        </w:numPr>
        <w:ind w:left="1134" w:hanging="425"/>
        <w:rPr>
          <w:rFonts w:eastAsia="Calibri"/>
        </w:rPr>
      </w:pPr>
      <w:r w:rsidRPr="00DD72AC">
        <w:rPr>
          <w:rFonts w:eastAsia="Calibri"/>
        </w:rPr>
        <w:t>Data from the one trial to provide data on children under 5 years of age (</w:t>
      </w:r>
      <w:r w:rsidR="00871019" w:rsidRPr="00DD72AC">
        <w:rPr>
          <w:rFonts w:eastAsia="Calibri"/>
        </w:rPr>
        <w:t>Study 111-206</w:t>
      </w:r>
      <w:r w:rsidRPr="00DD72AC">
        <w:rPr>
          <w:rFonts w:eastAsia="Calibri"/>
        </w:rPr>
        <w:t>)</w:t>
      </w:r>
      <w:r w:rsidR="00871019" w:rsidRPr="00DD72AC">
        <w:rPr>
          <w:rFonts w:eastAsia="Calibri"/>
        </w:rPr>
        <w:t xml:space="preserve"> include</w:t>
      </w:r>
      <w:r w:rsidRPr="00DD72AC">
        <w:rPr>
          <w:rFonts w:eastAsia="Calibri"/>
        </w:rPr>
        <w:t>d only</w:t>
      </w:r>
      <w:r w:rsidR="00871019" w:rsidRPr="00DD72AC">
        <w:rPr>
          <w:rFonts w:eastAsia="Calibri"/>
        </w:rPr>
        <w:t xml:space="preserve"> </w:t>
      </w:r>
      <w:r w:rsidR="00C43657" w:rsidRPr="00DD72AC">
        <w:rPr>
          <w:rFonts w:eastAsia="Calibri"/>
        </w:rPr>
        <w:t xml:space="preserve">eight </w:t>
      </w:r>
      <w:r w:rsidR="00871019" w:rsidRPr="00DD72AC">
        <w:rPr>
          <w:rFonts w:eastAsia="Calibri"/>
        </w:rPr>
        <w:t>sentinel intervention patients with no controlled comparison</w:t>
      </w:r>
      <w:r w:rsidR="001E2A02" w:rsidRPr="00DD72AC">
        <w:rPr>
          <w:rFonts w:eastAsia="Calibri"/>
        </w:rPr>
        <w:t>.</w:t>
      </w:r>
      <w:r w:rsidR="00290CFF" w:rsidRPr="00DD72AC">
        <w:rPr>
          <w:rFonts w:eastAsia="Calibri"/>
        </w:rPr>
        <w:t xml:space="preserve"> The PSCR provided additional data from the randomised treatment arms for children 0-5 years from Study 111-206 (see paragraph </w:t>
      </w:r>
      <w:r w:rsidR="00290CFF" w:rsidRPr="00DD72AC">
        <w:rPr>
          <w:rFonts w:eastAsia="Calibri"/>
        </w:rPr>
        <w:fldChar w:fldCharType="begin" w:fldLock="1"/>
      </w:r>
      <w:r w:rsidR="00290CFF" w:rsidRPr="00DD72AC">
        <w:rPr>
          <w:rFonts w:eastAsia="Calibri"/>
        </w:rPr>
        <w:instrText xml:space="preserve"> REF _Ref105677720 \r \h </w:instrText>
      </w:r>
      <w:r w:rsidR="00E745AD" w:rsidRPr="00DD72AC">
        <w:rPr>
          <w:rFonts w:eastAsia="Calibri"/>
        </w:rPr>
        <w:instrText xml:space="preserve"> \* MERGEFORMAT </w:instrText>
      </w:r>
      <w:r w:rsidR="00290CFF" w:rsidRPr="00DD72AC">
        <w:rPr>
          <w:rFonts w:eastAsia="Calibri"/>
        </w:rPr>
      </w:r>
      <w:r w:rsidR="00290CFF" w:rsidRPr="00DD72AC">
        <w:rPr>
          <w:rFonts w:eastAsia="Calibri"/>
        </w:rPr>
        <w:fldChar w:fldCharType="separate"/>
      </w:r>
      <w:r w:rsidR="000F61A3" w:rsidRPr="00DD72AC">
        <w:rPr>
          <w:rFonts w:eastAsia="Calibri"/>
        </w:rPr>
        <w:t>6.15</w:t>
      </w:r>
      <w:r w:rsidR="00290CFF" w:rsidRPr="00DD72AC">
        <w:rPr>
          <w:rFonts w:eastAsia="Calibri"/>
        </w:rPr>
        <w:fldChar w:fldCharType="end"/>
      </w:r>
      <w:r w:rsidR="00290CFF" w:rsidRPr="00DD72AC">
        <w:rPr>
          <w:rFonts w:eastAsia="Calibri"/>
        </w:rPr>
        <w:t xml:space="preserve">). The ESC considered that evidence for use in patients less than 5 years was minimal with more detail about the updated data from Study 111-206 required to allow it to be evaluated. </w:t>
      </w:r>
      <w:r w:rsidR="00D90FF5" w:rsidRPr="00DD72AC">
        <w:rPr>
          <w:rFonts w:eastAsia="Calibri"/>
        </w:rPr>
        <w:t xml:space="preserve">The </w:t>
      </w:r>
      <w:r w:rsidR="00D90FF5" w:rsidRPr="00DD72AC">
        <w:t>pre-PBAC response noted the results from Study 111-206 had since been published in a poster (</w:t>
      </w:r>
      <w:proofErr w:type="spellStart"/>
      <w:r w:rsidR="00D90FF5" w:rsidRPr="00DD72AC">
        <w:t>Savarirayan</w:t>
      </w:r>
      <w:proofErr w:type="spellEnd"/>
      <w:r w:rsidR="00D90FF5" w:rsidRPr="00DD72AC">
        <w:t>, 2022).</w:t>
      </w:r>
    </w:p>
    <w:p w14:paraId="4F1FF8A4" w14:textId="3D3BF023" w:rsidR="002C7181" w:rsidRPr="00DD72AC" w:rsidRDefault="00B074DF" w:rsidP="00B074DF">
      <w:pPr>
        <w:pStyle w:val="3-BodyText"/>
        <w:numPr>
          <w:ilvl w:val="1"/>
          <w:numId w:val="8"/>
        </w:numPr>
        <w:ind w:left="1134" w:hanging="425"/>
        <w:rPr>
          <w:rFonts w:eastAsia="Calibri"/>
        </w:rPr>
      </w:pPr>
      <w:r w:rsidRPr="00DD72AC">
        <w:rPr>
          <w:rFonts w:eastAsia="Calibri"/>
        </w:rPr>
        <w:t>The ESC acknowledged the statistically significant improvement in AGV reported for patients receiving vosoritide</w:t>
      </w:r>
      <w:r w:rsidR="006C03A1" w:rsidRPr="00DD72AC">
        <w:rPr>
          <w:rFonts w:eastAsia="Calibri"/>
        </w:rPr>
        <w:t xml:space="preserve"> compared with placebo</w:t>
      </w:r>
      <w:r w:rsidRPr="00DD72AC">
        <w:rPr>
          <w:rFonts w:eastAsia="Calibri"/>
        </w:rPr>
        <w:t>. However, the ESC considered the clinical significance of the magnitude of change in this outcome was not well supported, nor it’s translation into other health benefits</w:t>
      </w:r>
      <w:r w:rsidR="00290CFF" w:rsidRPr="00DD72AC">
        <w:rPr>
          <w:snapToGrid/>
        </w:rPr>
        <w:t>.</w:t>
      </w:r>
    </w:p>
    <w:p w14:paraId="7F613CD1" w14:textId="0010814E" w:rsidR="005F7588" w:rsidRPr="00DD72AC" w:rsidRDefault="005F7588" w:rsidP="001E2A02">
      <w:pPr>
        <w:pStyle w:val="3-BodyText"/>
        <w:rPr>
          <w:rFonts w:eastAsia="Calibri"/>
        </w:rPr>
      </w:pPr>
      <w:r w:rsidRPr="00DD72AC">
        <w:rPr>
          <w:rFonts w:eastAsia="Calibri"/>
        </w:rPr>
        <w:t xml:space="preserve">The submission described </w:t>
      </w:r>
      <w:r w:rsidR="00F32D27" w:rsidRPr="00DD72AC">
        <w:rPr>
          <w:rFonts w:eastAsia="Calibri"/>
        </w:rPr>
        <w:t xml:space="preserve">vosoritide </w:t>
      </w:r>
      <w:r w:rsidRPr="00DD72AC">
        <w:rPr>
          <w:rFonts w:eastAsia="Calibri"/>
        </w:rPr>
        <w:t>as</w:t>
      </w:r>
      <w:r w:rsidR="00F32D27" w:rsidRPr="00DD72AC">
        <w:rPr>
          <w:rFonts w:eastAsia="Calibri"/>
        </w:rPr>
        <w:t xml:space="preserve"> </w:t>
      </w:r>
      <w:r w:rsidRPr="00DD72AC">
        <w:rPr>
          <w:rFonts w:eastAsia="Calibri"/>
        </w:rPr>
        <w:t>non-inferior in term</w:t>
      </w:r>
      <w:r w:rsidR="00156F8F" w:rsidRPr="00DD72AC">
        <w:rPr>
          <w:rFonts w:eastAsia="Calibri"/>
        </w:rPr>
        <w:t>s</w:t>
      </w:r>
      <w:r w:rsidRPr="00DD72AC">
        <w:rPr>
          <w:rFonts w:eastAsia="Calibri"/>
        </w:rPr>
        <w:t xml:space="preserve"> of safety compared to </w:t>
      </w:r>
      <w:r w:rsidR="00881B08" w:rsidRPr="00DD72AC">
        <w:rPr>
          <w:rFonts w:eastAsia="Calibri"/>
        </w:rPr>
        <w:t>BSC</w:t>
      </w:r>
      <w:r w:rsidRPr="00DD72AC">
        <w:rPr>
          <w:rFonts w:eastAsia="Calibri"/>
        </w:rPr>
        <w:t xml:space="preserve">. This claim </w:t>
      </w:r>
      <w:r w:rsidR="001E2A02" w:rsidRPr="00DD72AC">
        <w:rPr>
          <w:rFonts w:eastAsia="Calibri"/>
        </w:rPr>
        <w:t>is not</w:t>
      </w:r>
      <w:r w:rsidRPr="00DD72AC">
        <w:rPr>
          <w:rFonts w:eastAsia="Calibri"/>
        </w:rPr>
        <w:t xml:space="preserve"> supported</w:t>
      </w:r>
      <w:r w:rsidR="007C70FF" w:rsidRPr="00DD72AC">
        <w:rPr>
          <w:rFonts w:eastAsia="Calibri"/>
        </w:rPr>
        <w:t xml:space="preserve">. </w:t>
      </w:r>
      <w:r w:rsidR="0024149E" w:rsidRPr="00DD72AC">
        <w:rPr>
          <w:rFonts w:eastAsia="Calibri"/>
        </w:rPr>
        <w:t xml:space="preserve">The key </w:t>
      </w:r>
      <w:r w:rsidR="007D069A" w:rsidRPr="00DD72AC">
        <w:rPr>
          <w:rFonts w:eastAsia="Calibri"/>
        </w:rPr>
        <w:t xml:space="preserve">issues </w:t>
      </w:r>
      <w:r w:rsidR="0024149E" w:rsidRPr="00DD72AC">
        <w:rPr>
          <w:rFonts w:eastAsia="Calibri"/>
        </w:rPr>
        <w:t xml:space="preserve">were: </w:t>
      </w:r>
    </w:p>
    <w:p w14:paraId="604E96C9" w14:textId="6E367FBF" w:rsidR="0075783D" w:rsidRPr="00DD72AC" w:rsidRDefault="001E2A02" w:rsidP="00214558">
      <w:pPr>
        <w:pStyle w:val="3-BodyText"/>
        <w:numPr>
          <w:ilvl w:val="1"/>
          <w:numId w:val="9"/>
        </w:numPr>
        <w:ind w:left="1134" w:hanging="425"/>
      </w:pPr>
      <w:r w:rsidRPr="00DD72AC">
        <w:rPr>
          <w:rFonts w:eastAsia="Calibri"/>
        </w:rPr>
        <w:t>Both study groups in Study 11</w:t>
      </w:r>
      <w:r w:rsidR="008951FE" w:rsidRPr="00DD72AC">
        <w:rPr>
          <w:rFonts w:eastAsia="Calibri"/>
        </w:rPr>
        <w:t>1</w:t>
      </w:r>
      <w:r w:rsidRPr="00DD72AC">
        <w:rPr>
          <w:rFonts w:eastAsia="Calibri"/>
        </w:rPr>
        <w:t>-30</w:t>
      </w:r>
      <w:r w:rsidR="00F1394D" w:rsidRPr="00DD72AC">
        <w:rPr>
          <w:rFonts w:eastAsia="Calibri"/>
        </w:rPr>
        <w:t>1</w:t>
      </w:r>
      <w:r w:rsidRPr="00DD72AC">
        <w:rPr>
          <w:rFonts w:eastAsia="Calibri"/>
        </w:rPr>
        <w:t xml:space="preserve"> received </w:t>
      </w:r>
      <w:r w:rsidRPr="00DD72AC">
        <w:t xml:space="preserve">daily SC injections so there is a lack of ability to determine magnitude of impact of injection related AEs compared to the absence of daily injections (as would be seen with BSC). </w:t>
      </w:r>
      <w:r w:rsidR="0075783D" w:rsidRPr="00DD72AC">
        <w:rPr>
          <w:rFonts w:eastAsia="Calibri"/>
        </w:rPr>
        <w:t xml:space="preserve">Even compared with daily injection of placebo, statistically significantly more patients in the vosoritide group than in the placebo arm reported: injection site reaction (OR=3.03 [95% CI: 1.42, 6.5]); and injection site swelling (OR=5.7 [95% CI: 2.12, 15.34]). </w:t>
      </w:r>
      <w:r w:rsidR="00DB3209" w:rsidRPr="00DD72AC">
        <w:t>The PSCR argued that all of these injection site events were transient and non-serious with no subjects discontinuing treatment due to injection site-related events. The ESC agreed with the evaluation that a claim of non-</w:t>
      </w:r>
      <w:r w:rsidR="00573DD7" w:rsidRPr="00DD72AC">
        <w:t xml:space="preserve">inferior </w:t>
      </w:r>
      <w:r w:rsidR="00DB3209" w:rsidRPr="00DD72AC">
        <w:t xml:space="preserve">safety was not supported </w:t>
      </w:r>
      <w:r w:rsidR="00DB3209" w:rsidRPr="00DD72AC">
        <w:lastRenderedPageBreak/>
        <w:t xml:space="preserve">given injection site reactions were higher with vosoritide compared to placebo injection. </w:t>
      </w:r>
    </w:p>
    <w:p w14:paraId="6F02F9E1" w14:textId="28191E44" w:rsidR="00DB3209" w:rsidRPr="00DD72AC" w:rsidRDefault="00BB6E7D" w:rsidP="00DB3209">
      <w:pPr>
        <w:pStyle w:val="3-BodyText"/>
        <w:numPr>
          <w:ilvl w:val="1"/>
          <w:numId w:val="9"/>
        </w:numPr>
        <w:ind w:left="1134" w:hanging="425"/>
        <w:rPr>
          <w:rFonts w:eastAsia="Calibri"/>
        </w:rPr>
      </w:pPr>
      <w:r w:rsidRPr="00DD72AC">
        <w:rPr>
          <w:rFonts w:eastAsia="Calibri"/>
        </w:rPr>
        <w:t xml:space="preserve">The safety comparative data between treatment and placebo were not available for children aged 6 month to &lt; 5 years old. </w:t>
      </w:r>
      <w:r w:rsidR="00DB3209" w:rsidRPr="00DD72AC">
        <w:t xml:space="preserve">The PSCR provided an overview of the adverse events in Study 111-206, including children aged 0 to 5 years. As outlined in paragraph </w:t>
      </w:r>
      <w:r w:rsidR="00DB3209" w:rsidRPr="00DD72AC">
        <w:fldChar w:fldCharType="begin" w:fldLock="1"/>
      </w:r>
      <w:r w:rsidR="00DB3209" w:rsidRPr="00DD72AC">
        <w:instrText xml:space="preserve"> REF _Ref105679655 \r \h </w:instrText>
      </w:r>
      <w:r w:rsidR="00E745AD" w:rsidRPr="00DD72AC">
        <w:instrText xml:space="preserve"> \* MERGEFORMAT </w:instrText>
      </w:r>
      <w:r w:rsidR="00DB3209" w:rsidRPr="00DD72AC">
        <w:fldChar w:fldCharType="separate"/>
      </w:r>
      <w:r w:rsidR="000F61A3" w:rsidRPr="00DD72AC">
        <w:t>6.24</w:t>
      </w:r>
      <w:r w:rsidR="00DB3209" w:rsidRPr="00DD72AC">
        <w:fldChar w:fldCharType="end"/>
      </w:r>
      <w:r w:rsidR="00DB3209" w:rsidRPr="00DD72AC">
        <w:t xml:space="preserve">, the ESC considered that more detail </w:t>
      </w:r>
      <w:r w:rsidR="00D45E9D" w:rsidRPr="00DD72AC">
        <w:t xml:space="preserve">about the </w:t>
      </w:r>
      <w:r w:rsidR="00DB3209" w:rsidRPr="00DD72AC">
        <w:t xml:space="preserve">updated data from Study 111-206 </w:t>
      </w:r>
      <w:r w:rsidR="00D45E9D" w:rsidRPr="00DD72AC">
        <w:t>was required to allow it to be evaluated</w:t>
      </w:r>
      <w:r w:rsidR="00DB3209" w:rsidRPr="00DD72AC">
        <w:t xml:space="preserve">. </w:t>
      </w:r>
      <w:r w:rsidR="009E2471" w:rsidRPr="00DD72AC">
        <w:rPr>
          <w:rFonts w:eastAsia="Calibri"/>
        </w:rPr>
        <w:t xml:space="preserve">The </w:t>
      </w:r>
      <w:r w:rsidR="009E2471" w:rsidRPr="00DD72AC">
        <w:t>pre-PBAC response noted the results from Study 111-206 had since been published in a poster (</w:t>
      </w:r>
      <w:proofErr w:type="spellStart"/>
      <w:r w:rsidR="009E2471" w:rsidRPr="00DD72AC">
        <w:t>Savarirayan</w:t>
      </w:r>
      <w:proofErr w:type="spellEnd"/>
      <w:r w:rsidR="009E2471" w:rsidRPr="00DD72AC">
        <w:t>, 2022).</w:t>
      </w:r>
    </w:p>
    <w:p w14:paraId="6B7E7653" w14:textId="669FD531" w:rsidR="00BB6E7D" w:rsidRPr="00DD72AC" w:rsidRDefault="00BB6E7D" w:rsidP="00214558">
      <w:pPr>
        <w:pStyle w:val="3-BodyText"/>
        <w:numPr>
          <w:ilvl w:val="1"/>
          <w:numId w:val="9"/>
        </w:numPr>
        <w:ind w:left="1134" w:hanging="425"/>
        <w:rPr>
          <w:rFonts w:eastAsia="Calibri"/>
        </w:rPr>
      </w:pPr>
      <w:r w:rsidRPr="00DD72AC">
        <w:rPr>
          <w:rFonts w:eastAsia="Calibri"/>
        </w:rPr>
        <w:t>The small sample size might limit the ability to observe serious adverse events, especially for children under 5 years old</w:t>
      </w:r>
      <w:r w:rsidR="0075783D" w:rsidRPr="00DD72AC">
        <w:rPr>
          <w:rFonts w:eastAsia="Calibri"/>
        </w:rPr>
        <w:t>.</w:t>
      </w:r>
      <w:r w:rsidRPr="00DD72AC">
        <w:rPr>
          <w:rFonts w:eastAsia="Calibri"/>
        </w:rPr>
        <w:t xml:space="preserve"> </w:t>
      </w:r>
    </w:p>
    <w:p w14:paraId="2E3C8B92" w14:textId="10FF356F" w:rsidR="00485FE1" w:rsidRPr="00DD72AC" w:rsidRDefault="00485FE1" w:rsidP="00485FE1">
      <w:pPr>
        <w:pStyle w:val="3-BodyText"/>
        <w:rPr>
          <w:rFonts w:eastAsia="Calibri"/>
        </w:rPr>
      </w:pPr>
      <w:bookmarkStart w:id="40" w:name="_Hlk76376200"/>
      <w:r w:rsidRPr="00DD72AC">
        <w:rPr>
          <w:rFonts w:eastAsia="Calibri"/>
        </w:rPr>
        <w:t xml:space="preserve">The PBAC considered that </w:t>
      </w:r>
      <w:r w:rsidR="00B47397" w:rsidRPr="00DD72AC">
        <w:rPr>
          <w:rFonts w:eastAsia="Calibri"/>
        </w:rPr>
        <w:t xml:space="preserve">on the basis of improved height outcomes </w:t>
      </w:r>
      <w:r w:rsidRPr="00DD72AC">
        <w:rPr>
          <w:rFonts w:eastAsia="Calibri"/>
        </w:rPr>
        <w:t>the claim of superior comparative effectiveness was reasonable</w:t>
      </w:r>
      <w:r w:rsidR="009E2471" w:rsidRPr="00DD72AC">
        <w:rPr>
          <w:rFonts w:eastAsia="Calibri"/>
        </w:rPr>
        <w:t xml:space="preserve"> in 5 to &lt;</w:t>
      </w:r>
      <w:r w:rsidR="00287B47">
        <w:rPr>
          <w:rFonts w:eastAsia="Calibri"/>
        </w:rPr>
        <w:t> </w:t>
      </w:r>
      <w:r w:rsidR="009E2471" w:rsidRPr="00DD72AC">
        <w:rPr>
          <w:rFonts w:eastAsia="Calibri"/>
        </w:rPr>
        <w:t>18 year old children</w:t>
      </w:r>
      <w:r w:rsidR="00505FA8" w:rsidRPr="00DD72AC">
        <w:rPr>
          <w:rFonts w:eastAsia="Calibri"/>
        </w:rPr>
        <w:t xml:space="preserve"> and uncertain but likely reasonable </w:t>
      </w:r>
      <w:r w:rsidR="009E2471" w:rsidRPr="00DD72AC">
        <w:rPr>
          <w:rFonts w:eastAsia="Calibri"/>
        </w:rPr>
        <w:t>in children under 5 years old</w:t>
      </w:r>
      <w:r w:rsidR="00505FA8" w:rsidRPr="00DD72AC">
        <w:rPr>
          <w:rFonts w:eastAsia="Calibri"/>
        </w:rPr>
        <w:t xml:space="preserve">. </w:t>
      </w:r>
    </w:p>
    <w:p w14:paraId="1CC2A560" w14:textId="258F8014" w:rsidR="00485FE1" w:rsidRPr="00DD72AC" w:rsidRDefault="00485FE1" w:rsidP="00485FE1">
      <w:pPr>
        <w:pStyle w:val="3-BodyText"/>
        <w:rPr>
          <w:rFonts w:eastAsia="Calibri"/>
        </w:rPr>
      </w:pPr>
      <w:r w:rsidRPr="00DD72AC">
        <w:rPr>
          <w:rFonts w:eastAsia="Calibri"/>
        </w:rPr>
        <w:t>The PBAC considered that the claim of non-inferior comparative safety</w:t>
      </w:r>
      <w:r w:rsidR="00D90FF5" w:rsidRPr="00DD72AC">
        <w:rPr>
          <w:rFonts w:eastAsia="Calibri"/>
        </w:rPr>
        <w:t xml:space="preserve"> </w:t>
      </w:r>
      <w:r w:rsidRPr="00DD72AC">
        <w:rPr>
          <w:rFonts w:eastAsia="Calibri"/>
        </w:rPr>
        <w:t>was not adequately supported by the data.</w:t>
      </w:r>
      <w:bookmarkEnd w:id="40"/>
      <w:r w:rsidR="00505FA8" w:rsidRPr="00DD72AC">
        <w:rPr>
          <w:rFonts w:eastAsia="Calibri"/>
        </w:rPr>
        <w:t xml:space="preserve"> </w:t>
      </w:r>
    </w:p>
    <w:p w14:paraId="7B461F35" w14:textId="77777777" w:rsidR="00BD42E3" w:rsidRPr="00DD72AC" w:rsidRDefault="00BD42E3" w:rsidP="00FC2E66">
      <w:pPr>
        <w:pStyle w:val="4-SubsectionHeading"/>
      </w:pPr>
      <w:bookmarkStart w:id="41" w:name="_Toc22897645"/>
      <w:bookmarkStart w:id="42" w:name="_Toc103776185"/>
      <w:r w:rsidRPr="00DD72AC">
        <w:t>Economic analysis</w:t>
      </w:r>
      <w:bookmarkEnd w:id="41"/>
      <w:bookmarkEnd w:id="42"/>
      <w:r w:rsidRPr="00DD72AC">
        <w:t xml:space="preserve"> </w:t>
      </w:r>
    </w:p>
    <w:p w14:paraId="4C282BB0" w14:textId="1C937A50"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submission presented a stepped economic evaluation including a modelled cost-utility analysis (CUA) comparing vosoritide with BSC based on a direct randomised trial (study 111-301). This is appropriate given the claim of superior efficacy of vosoritide against placebo. </w:t>
      </w:r>
    </w:p>
    <w:p w14:paraId="3C20ED75" w14:textId="48C35386"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submission presented a cohort simulation model that included two health states (alive and dead) capturing patient mortality and complications via risks applied each cycle. Health-related </w:t>
      </w:r>
      <w:r w:rsidR="00414578" w:rsidRPr="00DD72AC">
        <w:rPr>
          <w:rFonts w:asciiTheme="minorHAnsi" w:eastAsia="Times New Roman" w:hAnsiTheme="minorHAnsi"/>
          <w:snapToGrid w:val="0"/>
        </w:rPr>
        <w:t>QoL</w:t>
      </w:r>
      <w:r w:rsidRPr="00DD72AC">
        <w:rPr>
          <w:rFonts w:asciiTheme="minorHAnsi" w:eastAsia="Times New Roman" w:hAnsiTheme="minorHAnsi"/>
          <w:snapToGrid w:val="0"/>
        </w:rPr>
        <w:t xml:space="preserve"> was incorporated in the model via the application of continuous health specific utility values (based on patient’s height relative to the age- and sex-matched general population) to patients remaining alive each cycle and utility decrements to patients experiencing complication events. The </w:t>
      </w:r>
      <w:r w:rsidR="00414578" w:rsidRPr="00DD72AC">
        <w:rPr>
          <w:rFonts w:asciiTheme="minorHAnsi" w:eastAsia="Times New Roman" w:hAnsiTheme="minorHAnsi"/>
          <w:snapToGrid w:val="0"/>
        </w:rPr>
        <w:t xml:space="preserve">ESC considered the </w:t>
      </w:r>
      <w:r w:rsidRPr="00DD72AC">
        <w:rPr>
          <w:rFonts w:asciiTheme="minorHAnsi" w:eastAsia="Times New Roman" w:hAnsiTheme="minorHAnsi"/>
          <w:snapToGrid w:val="0"/>
        </w:rPr>
        <w:t xml:space="preserve">model structure is appropriate, however, there are uncertainties with the extrapolation of </w:t>
      </w:r>
      <w:r w:rsidR="00414578" w:rsidRPr="00DD72AC">
        <w:rPr>
          <w:rFonts w:asciiTheme="minorHAnsi" w:eastAsia="Times New Roman" w:hAnsiTheme="minorHAnsi"/>
          <w:snapToGrid w:val="0"/>
        </w:rPr>
        <w:t xml:space="preserve">relative </w:t>
      </w:r>
      <w:r w:rsidRPr="00DD72AC">
        <w:rPr>
          <w:rFonts w:asciiTheme="minorHAnsi" w:eastAsia="Times New Roman" w:hAnsiTheme="minorHAnsi"/>
          <w:snapToGrid w:val="0"/>
        </w:rPr>
        <w:t>height</w:t>
      </w:r>
      <w:r w:rsidR="00414578" w:rsidRPr="00DD72AC">
        <w:rPr>
          <w:rFonts w:asciiTheme="minorHAnsi" w:eastAsia="Times New Roman" w:hAnsiTheme="minorHAnsi"/>
          <w:snapToGrid w:val="0"/>
        </w:rPr>
        <w:t xml:space="preserve"> (z-scores)</w:t>
      </w:r>
      <w:r w:rsidRPr="00DD72AC">
        <w:rPr>
          <w:rFonts w:asciiTheme="minorHAnsi" w:eastAsia="Times New Roman" w:hAnsiTheme="minorHAnsi"/>
          <w:snapToGrid w:val="0"/>
        </w:rPr>
        <w:t xml:space="preserve">, translation of </w:t>
      </w:r>
      <w:r w:rsidR="00414578" w:rsidRPr="00DD72AC">
        <w:rPr>
          <w:rFonts w:asciiTheme="minorHAnsi" w:eastAsia="Times New Roman" w:hAnsiTheme="minorHAnsi"/>
          <w:snapToGrid w:val="0"/>
        </w:rPr>
        <w:t xml:space="preserve">relative </w:t>
      </w:r>
      <w:r w:rsidRPr="00DD72AC">
        <w:rPr>
          <w:rFonts w:asciiTheme="minorHAnsi" w:eastAsia="Times New Roman" w:hAnsiTheme="minorHAnsi"/>
          <w:snapToGrid w:val="0"/>
        </w:rPr>
        <w:t>height into QoL, mortality and complications.</w:t>
      </w:r>
    </w:p>
    <w:p w14:paraId="56427845" w14:textId="05E08DBC"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key components of the economic evaluation are described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_Ref100570044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80776A" w:rsidRPr="00DD72AC">
        <w:rPr>
          <w:rFonts w:asciiTheme="minorHAnsi" w:eastAsia="Times New Roman" w:hAnsiTheme="minorHAnsi"/>
          <w:snapToGrid w:val="0"/>
        </w:rPr>
        <w:t>Table 7</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w:t>
      </w:r>
    </w:p>
    <w:p w14:paraId="4F0CD5F1" w14:textId="6FFB4043" w:rsidR="00BD42E3" w:rsidRPr="00DD72AC" w:rsidRDefault="00BD42E3" w:rsidP="00977CAD">
      <w:pPr>
        <w:keepNext/>
        <w:jc w:val="left"/>
        <w:rPr>
          <w:rFonts w:ascii="Arial Narrow" w:eastAsiaTheme="majorEastAsia" w:hAnsi="Arial Narrow" w:cstheme="majorBidi"/>
          <w:b/>
          <w:sz w:val="20"/>
        </w:rPr>
      </w:pPr>
      <w:bookmarkStart w:id="43" w:name="_Ref100570044"/>
      <w:r w:rsidRPr="00DD72AC">
        <w:rPr>
          <w:rFonts w:ascii="Arial Narrow" w:eastAsiaTheme="majorEastAsia" w:hAnsi="Arial Narrow" w:cstheme="majorBidi"/>
          <w:b/>
          <w:sz w:val="20"/>
        </w:rPr>
        <w:lastRenderedPageBreak/>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7</w:t>
      </w:r>
      <w:r w:rsidRPr="00DD72AC">
        <w:rPr>
          <w:rFonts w:ascii="Arial Narrow" w:eastAsiaTheme="majorEastAsia" w:hAnsi="Arial Narrow" w:cstheme="majorBidi"/>
          <w:b/>
          <w:sz w:val="20"/>
        </w:rPr>
        <w:fldChar w:fldCharType="end"/>
      </w:r>
      <w:bookmarkEnd w:id="43"/>
      <w:r w:rsidRPr="00DD72AC">
        <w:rPr>
          <w:rFonts w:ascii="Arial Narrow" w:eastAsiaTheme="majorEastAsia" w:hAnsi="Arial Narrow" w:cstheme="majorBidi"/>
          <w:b/>
          <w:sz w:val="20"/>
        </w:rPr>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7: Key components of the economic evaluation"/>
      </w:tblPr>
      <w:tblGrid>
        <w:gridCol w:w="1951"/>
        <w:gridCol w:w="7065"/>
      </w:tblGrid>
      <w:tr w:rsidR="00BD42E3" w:rsidRPr="00DD72AC" w14:paraId="1378EB6A" w14:textId="77777777" w:rsidTr="0013639B">
        <w:tc>
          <w:tcPr>
            <w:tcW w:w="1082" w:type="pct"/>
            <w:vAlign w:val="center"/>
          </w:tcPr>
          <w:p w14:paraId="3A786773"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Component</w:t>
            </w:r>
          </w:p>
        </w:tc>
        <w:tc>
          <w:tcPr>
            <w:tcW w:w="3918" w:type="pct"/>
          </w:tcPr>
          <w:p w14:paraId="38258C02"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Description</w:t>
            </w:r>
          </w:p>
        </w:tc>
      </w:tr>
      <w:tr w:rsidR="00BD42E3" w:rsidRPr="00DD72AC" w14:paraId="2FF1C1C7" w14:textId="77777777" w:rsidTr="0013639B">
        <w:tc>
          <w:tcPr>
            <w:tcW w:w="1082" w:type="pct"/>
            <w:vAlign w:val="center"/>
          </w:tcPr>
          <w:p w14:paraId="20EC0E50"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Type of analysis</w:t>
            </w:r>
          </w:p>
        </w:tc>
        <w:tc>
          <w:tcPr>
            <w:tcW w:w="3918" w:type="pct"/>
            <w:vAlign w:val="center"/>
          </w:tcPr>
          <w:p w14:paraId="1AEDCD82"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Cost-utility analysis (CUA)</w:t>
            </w:r>
          </w:p>
        </w:tc>
      </w:tr>
      <w:tr w:rsidR="00BD42E3" w:rsidRPr="00DD72AC" w14:paraId="360328AE" w14:textId="77777777" w:rsidTr="0013639B">
        <w:tc>
          <w:tcPr>
            <w:tcW w:w="1082" w:type="pct"/>
            <w:vAlign w:val="center"/>
          </w:tcPr>
          <w:p w14:paraId="68A3C90E"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Outcomes</w:t>
            </w:r>
          </w:p>
        </w:tc>
        <w:tc>
          <w:tcPr>
            <w:tcW w:w="3918" w:type="pct"/>
            <w:vAlign w:val="center"/>
          </w:tcPr>
          <w:p w14:paraId="6E650F26" w14:textId="08681A51"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QALYs and LYs gained </w:t>
            </w:r>
          </w:p>
        </w:tc>
      </w:tr>
      <w:tr w:rsidR="00BD42E3" w:rsidRPr="00DD72AC" w14:paraId="1367DE94" w14:textId="77777777" w:rsidTr="0013639B">
        <w:tc>
          <w:tcPr>
            <w:tcW w:w="1082" w:type="pct"/>
            <w:vAlign w:val="center"/>
          </w:tcPr>
          <w:p w14:paraId="323C6910"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Time horizon</w:t>
            </w:r>
          </w:p>
        </w:tc>
        <w:tc>
          <w:tcPr>
            <w:tcW w:w="3918" w:type="pct"/>
            <w:vAlign w:val="center"/>
          </w:tcPr>
          <w:p w14:paraId="52975A16"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Lifetime (100 years)</w:t>
            </w:r>
          </w:p>
        </w:tc>
      </w:tr>
      <w:tr w:rsidR="00BD42E3" w:rsidRPr="00DD72AC" w14:paraId="61360D02" w14:textId="77777777" w:rsidTr="0013639B">
        <w:tc>
          <w:tcPr>
            <w:tcW w:w="1082" w:type="pct"/>
            <w:vAlign w:val="center"/>
          </w:tcPr>
          <w:p w14:paraId="12D28C6A"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Methods used to generate results</w:t>
            </w:r>
          </w:p>
        </w:tc>
        <w:tc>
          <w:tcPr>
            <w:tcW w:w="3918" w:type="pct"/>
            <w:vAlign w:val="center"/>
          </w:tcPr>
          <w:p w14:paraId="32617E46" w14:textId="1CC658B7" w:rsidR="00BD42E3" w:rsidRPr="00DD72AC" w:rsidRDefault="00BD42E3" w:rsidP="00977CAD">
            <w:pPr>
              <w:keepNext/>
              <w:keepLines/>
              <w:suppressLineNumbers/>
              <w:spacing w:after="40"/>
              <w:jc w:val="left"/>
              <w:textboxTightWrap w:val="allLines"/>
              <w:rPr>
                <w:rFonts w:ascii="Arial Narrow" w:eastAsia="Times New Roman" w:hAnsi="Arial Narrow"/>
                <w:sz w:val="20"/>
                <w:lang w:eastAsia="en-GB"/>
              </w:rPr>
            </w:pPr>
            <w:r w:rsidRPr="00DD72AC">
              <w:rPr>
                <w:rFonts w:ascii="Arial Narrow" w:eastAsia="Times New Roman" w:hAnsi="Arial Narrow"/>
                <w:sz w:val="20"/>
                <w:lang w:eastAsia="en-GB"/>
              </w:rPr>
              <w:t>Cohort simulation; where characteristics of the patient cohort are updated each cycle, from which QoL, mortality risks and complication risks are derived</w:t>
            </w:r>
          </w:p>
        </w:tc>
      </w:tr>
      <w:tr w:rsidR="00BD42E3" w:rsidRPr="00DD72AC" w14:paraId="1348B9F3" w14:textId="77777777" w:rsidTr="0013639B">
        <w:tc>
          <w:tcPr>
            <w:tcW w:w="1082" w:type="pct"/>
            <w:vAlign w:val="center"/>
          </w:tcPr>
          <w:p w14:paraId="719DEDCD"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Health states</w:t>
            </w:r>
          </w:p>
        </w:tc>
        <w:tc>
          <w:tcPr>
            <w:tcW w:w="3918" w:type="pct"/>
            <w:vAlign w:val="center"/>
          </w:tcPr>
          <w:p w14:paraId="52B8B6C6"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Two health states (alive and dead) </w:t>
            </w:r>
          </w:p>
        </w:tc>
      </w:tr>
      <w:tr w:rsidR="00BD42E3" w:rsidRPr="00DD72AC" w14:paraId="7E261277" w14:textId="77777777" w:rsidTr="0013639B">
        <w:tc>
          <w:tcPr>
            <w:tcW w:w="1082" w:type="pct"/>
            <w:vAlign w:val="center"/>
          </w:tcPr>
          <w:p w14:paraId="681267F5"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Cycle length</w:t>
            </w:r>
          </w:p>
        </w:tc>
        <w:tc>
          <w:tcPr>
            <w:tcW w:w="3918" w:type="pct"/>
            <w:vAlign w:val="center"/>
          </w:tcPr>
          <w:p w14:paraId="252B0330"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1 year</w:t>
            </w:r>
          </w:p>
        </w:tc>
      </w:tr>
      <w:tr w:rsidR="00BD42E3" w:rsidRPr="00DD72AC" w14:paraId="52E617B7" w14:textId="77777777" w:rsidTr="0013639B">
        <w:tc>
          <w:tcPr>
            <w:tcW w:w="1082" w:type="pct"/>
            <w:vAlign w:val="center"/>
          </w:tcPr>
          <w:p w14:paraId="159F4AC1"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Transition probabilities</w:t>
            </w:r>
          </w:p>
        </w:tc>
        <w:tc>
          <w:tcPr>
            <w:tcW w:w="3918" w:type="pct"/>
            <w:vAlign w:val="center"/>
          </w:tcPr>
          <w:p w14:paraId="1B039AC4"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Mortality risks applied in the BSC arm are derived via the application of achondroplasia standardised mortality ratios (Hetch 1987; Wynn 2007; Hashmi 2018; Simmons 2014) to Australian lifetables. Mortality risks applied in the vosoritide arm are derived via the application of a treatment effect based on relative patient height.</w:t>
            </w:r>
          </w:p>
          <w:p w14:paraId="74552412"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 </w:t>
            </w:r>
          </w:p>
          <w:p w14:paraId="0155C2B3"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Complication risks applied in the BSC arm are derived from the LIAISE study. Complication risks applied in the vosoritide arm are derived via the application of a treatment effect based on relative patient height.</w:t>
            </w:r>
          </w:p>
          <w:p w14:paraId="521AFFC1" w14:textId="77777777" w:rsidR="00BD42E3" w:rsidRPr="00DD72AC" w:rsidRDefault="00BD42E3" w:rsidP="00977CAD">
            <w:pPr>
              <w:keepNext/>
              <w:jc w:val="left"/>
              <w:rPr>
                <w:rFonts w:ascii="Arial Narrow" w:eastAsiaTheme="majorEastAsia" w:hAnsi="Arial Narrow" w:cstheme="majorBidi"/>
                <w:bCs/>
                <w:sz w:val="20"/>
              </w:rPr>
            </w:pPr>
          </w:p>
          <w:p w14:paraId="70D267D4" w14:textId="77777777" w:rsidR="00BD42E3" w:rsidRPr="00DD72AC" w:rsidRDefault="00BD42E3" w:rsidP="00977CAD">
            <w:pPr>
              <w:keepNext/>
              <w:jc w:val="left"/>
              <w:rPr>
                <w:rFonts w:ascii="Arial Narrow" w:eastAsiaTheme="majorEastAsia" w:hAnsi="Arial Narrow" w:cstheme="majorBidi"/>
                <w:bCs/>
                <w:sz w:val="20"/>
              </w:rPr>
            </w:pPr>
            <w:proofErr w:type="spellStart"/>
            <w:r w:rsidRPr="00DD72AC">
              <w:rPr>
                <w:rFonts w:ascii="Arial Narrow" w:eastAsiaTheme="majorEastAsia" w:hAnsi="Arial Narrow" w:cstheme="majorBidi"/>
                <w:bCs/>
                <w:sz w:val="20"/>
              </w:rPr>
              <w:t>HRQoL</w:t>
            </w:r>
            <w:proofErr w:type="spellEnd"/>
            <w:r w:rsidRPr="00DD72AC">
              <w:rPr>
                <w:rFonts w:ascii="Arial Narrow" w:eastAsiaTheme="majorEastAsia" w:hAnsi="Arial Narrow" w:cstheme="majorBidi"/>
                <w:bCs/>
                <w:sz w:val="20"/>
              </w:rPr>
              <w:t xml:space="preserve"> is incorporated in the model via the application of a utility value to patients remaining alive each cycle. Rather than being attached to specific health states, utility values are applied as a continuous variable in the model, based on patient’s height relative to the age- and sex-matched general population (i.e., Z-score).</w:t>
            </w:r>
          </w:p>
        </w:tc>
      </w:tr>
      <w:tr w:rsidR="00BD42E3" w:rsidRPr="00DD72AC" w14:paraId="72057A63" w14:textId="77777777" w:rsidTr="0013639B">
        <w:tc>
          <w:tcPr>
            <w:tcW w:w="1082" w:type="pct"/>
            <w:vAlign w:val="center"/>
          </w:tcPr>
          <w:p w14:paraId="6028B04E"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Software package</w:t>
            </w:r>
          </w:p>
        </w:tc>
        <w:tc>
          <w:tcPr>
            <w:tcW w:w="3918" w:type="pct"/>
            <w:vAlign w:val="center"/>
          </w:tcPr>
          <w:p w14:paraId="14007E99"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Microsoft Excel</w:t>
            </w:r>
          </w:p>
        </w:tc>
      </w:tr>
    </w:tbl>
    <w:p w14:paraId="57351AC1"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62, p154 of the submission.</w:t>
      </w:r>
    </w:p>
    <w:p w14:paraId="2B504272" w14:textId="0D6B60A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Abbreviations: BSC = best supportive care; </w:t>
      </w:r>
      <w:proofErr w:type="spellStart"/>
      <w:r w:rsidRPr="00DD72AC">
        <w:rPr>
          <w:rFonts w:ascii="Arial Narrow" w:eastAsia="Times New Roman" w:hAnsi="Arial Narrow"/>
          <w:snapToGrid w:val="0"/>
          <w:sz w:val="18"/>
          <w:szCs w:val="22"/>
        </w:rPr>
        <w:t>HRQoL</w:t>
      </w:r>
      <w:proofErr w:type="spellEnd"/>
      <w:r w:rsidRPr="00DD72AC">
        <w:rPr>
          <w:rFonts w:ascii="Arial Narrow" w:eastAsia="Times New Roman" w:hAnsi="Arial Narrow"/>
          <w:snapToGrid w:val="0"/>
          <w:sz w:val="18"/>
          <w:szCs w:val="22"/>
        </w:rPr>
        <w:t xml:space="preserve"> = health related quality of life; LIAISE = Lifetime Impact of Achondroplasia Study in Europe; LYs = Life years; QoL = quality of life; QALYs = Quality adjusted life years. </w:t>
      </w:r>
    </w:p>
    <w:p w14:paraId="6B678F34" w14:textId="77777777" w:rsidR="002B53B2" w:rsidRPr="00DD72AC" w:rsidRDefault="002B53B2" w:rsidP="00977CAD">
      <w:pPr>
        <w:spacing w:after="120"/>
        <w:contextualSpacing/>
        <w:rPr>
          <w:rFonts w:ascii="Arial Narrow" w:eastAsia="Times New Roman" w:hAnsi="Arial Narrow"/>
          <w:snapToGrid w:val="0"/>
          <w:sz w:val="18"/>
          <w:szCs w:val="22"/>
        </w:rPr>
      </w:pPr>
    </w:p>
    <w:p w14:paraId="4111CB35" w14:textId="171CC981"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The model utilised achondroplasia specific growth charts to estimate height in the BSC arm of the model, while general population growth charts were used for estimating height Z-scores in the model</w:t>
      </w:r>
      <w:r w:rsidR="00414578" w:rsidRPr="00DD72AC">
        <w:rPr>
          <w:rFonts w:asciiTheme="minorHAnsi" w:eastAsia="Times New Roman" w:hAnsiTheme="minorHAnsi"/>
          <w:snapToGrid w:val="0"/>
        </w:rPr>
        <w:t>.</w:t>
      </w:r>
      <w:r w:rsidRPr="00DD72AC">
        <w:rPr>
          <w:rFonts w:asciiTheme="minorHAnsi" w:eastAsia="Times New Roman" w:hAnsiTheme="minorHAnsi"/>
          <w:snapToGrid w:val="0"/>
        </w:rPr>
        <w:t xml:space="preserve"> </w:t>
      </w:r>
      <w:r w:rsidR="00414578" w:rsidRPr="00DD72AC">
        <w:rPr>
          <w:rFonts w:asciiTheme="minorHAnsi" w:eastAsia="Times New Roman" w:hAnsiTheme="minorHAnsi"/>
          <w:snapToGrid w:val="0"/>
        </w:rPr>
        <w:t>H</w:t>
      </w:r>
      <w:r w:rsidRPr="00DD72AC">
        <w:rPr>
          <w:rFonts w:asciiTheme="minorHAnsi" w:eastAsia="Times New Roman" w:hAnsiTheme="minorHAnsi"/>
          <w:snapToGrid w:val="0"/>
        </w:rPr>
        <w:t xml:space="preserve">eight Z-scores </w:t>
      </w:r>
      <w:r w:rsidR="00414578" w:rsidRPr="00DD72AC">
        <w:rPr>
          <w:rFonts w:asciiTheme="minorHAnsi" w:eastAsia="Times New Roman" w:hAnsiTheme="minorHAnsi"/>
          <w:snapToGrid w:val="0"/>
        </w:rPr>
        <w:t xml:space="preserve">were </w:t>
      </w:r>
      <w:r w:rsidRPr="00DD72AC">
        <w:rPr>
          <w:rFonts w:asciiTheme="minorHAnsi" w:eastAsia="Times New Roman" w:hAnsiTheme="minorHAnsi"/>
          <w:snapToGrid w:val="0"/>
        </w:rPr>
        <w:t>subsequently used for estimating the clinical benefits of vosoritide compared to BSC with respect to QoL, mortality and complications</w:t>
      </w:r>
      <w:r w:rsidRPr="00DD72AC">
        <w:rPr>
          <w:rFonts w:asciiTheme="minorHAnsi" w:eastAsia="Times New Roman" w:hAnsiTheme="minorHAnsi"/>
          <w:i/>
          <w:iCs/>
          <w:snapToGrid w:val="0"/>
        </w:rPr>
        <w:t xml:space="preserve">. </w:t>
      </w:r>
      <w:r w:rsidRPr="00DD72AC">
        <w:rPr>
          <w:rFonts w:asciiTheme="minorHAnsi" w:eastAsia="Times New Roman" w:hAnsiTheme="minorHAnsi"/>
          <w:snapToGrid w:val="0"/>
        </w:rPr>
        <w:t>The submission used the Sydney Children's Hospitals Network (SCHN) published growth charts for children with achondroplasia, and World Health Organisation (WHO) and Centre for Disease Control and Prevention (CDC) growth charts for general population. T</w:t>
      </w:r>
      <w:r w:rsidR="00857134" w:rsidRPr="00DD72AC">
        <w:rPr>
          <w:rFonts w:asciiTheme="minorHAnsi" w:eastAsia="Times New Roman" w:hAnsiTheme="minorHAnsi"/>
          <w:snapToGrid w:val="0"/>
        </w:rPr>
        <w:t>he evaluation considered t</w:t>
      </w:r>
      <w:r w:rsidRPr="00DD72AC">
        <w:rPr>
          <w:rFonts w:asciiTheme="minorHAnsi" w:eastAsia="Times New Roman" w:hAnsiTheme="minorHAnsi"/>
          <w:snapToGrid w:val="0"/>
        </w:rPr>
        <w:t xml:space="preserve">his </w:t>
      </w:r>
      <w:r w:rsidR="00377CD5" w:rsidRPr="00DD72AC">
        <w:rPr>
          <w:rFonts w:asciiTheme="minorHAnsi" w:eastAsia="Times New Roman" w:hAnsiTheme="minorHAnsi"/>
          <w:snapToGrid w:val="0"/>
        </w:rPr>
        <w:t>wa</w:t>
      </w:r>
      <w:r w:rsidRPr="00DD72AC">
        <w:rPr>
          <w:rFonts w:asciiTheme="minorHAnsi" w:eastAsia="Times New Roman" w:hAnsiTheme="minorHAnsi"/>
          <w:snapToGrid w:val="0"/>
        </w:rPr>
        <w:t>s appropriate.</w:t>
      </w:r>
    </w:p>
    <w:p w14:paraId="62AD8825" w14:textId="52678397" w:rsidR="00BD42E3" w:rsidRPr="00DD72AC" w:rsidRDefault="00BD42E3" w:rsidP="00EB6AD4">
      <w:pPr>
        <w:numPr>
          <w:ilvl w:val="1"/>
          <w:numId w:val="1"/>
        </w:numPr>
        <w:spacing w:after="120"/>
        <w:rPr>
          <w:rFonts w:asciiTheme="minorHAnsi" w:eastAsia="Times New Roman" w:hAnsiTheme="minorHAnsi"/>
          <w:snapToGrid w:val="0"/>
        </w:rPr>
      </w:pPr>
      <w:bookmarkStart w:id="44" w:name="_Ref103758855"/>
      <w:r w:rsidRPr="00DD72AC">
        <w:rPr>
          <w:rFonts w:asciiTheme="minorHAnsi" w:eastAsia="Times New Roman" w:hAnsiTheme="minorHAnsi"/>
          <w:snapToGrid w:val="0"/>
        </w:rPr>
        <w:t xml:space="preserve">Mortality risks in the BSC arm of the model were derived based on published natural history data in achondroplasia, while in the vosoritide arm of the model mortality risks were estimated relative to BSC risks based on a surrogate treatment effect estimated as a function of relative patient heights (Z-scores). Standardised mortality ratios (SMR’s) applied in the model base case </w:t>
      </w:r>
      <w:r w:rsidR="00C1069F" w:rsidRPr="00DD72AC">
        <w:rPr>
          <w:rFonts w:asciiTheme="minorHAnsi" w:eastAsia="Times New Roman" w:hAnsiTheme="minorHAnsi"/>
          <w:snapToGrid w:val="0"/>
        </w:rPr>
        <w:t>are</w:t>
      </w:r>
      <w:r w:rsidRPr="00DD72AC">
        <w:rPr>
          <w:rFonts w:asciiTheme="minorHAnsi" w:eastAsia="Times New Roman" w:hAnsiTheme="minorHAnsi"/>
          <w:snapToGrid w:val="0"/>
        </w:rPr>
        <w:t xml:space="preserve">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_Ref103035784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80776A" w:rsidRPr="00DD72AC">
        <w:rPr>
          <w:rFonts w:asciiTheme="minorHAnsi" w:eastAsia="Times New Roman" w:hAnsiTheme="minorHAnsi"/>
          <w:snapToGrid w:val="0"/>
        </w:rPr>
        <w:t>Table 8</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The </w:t>
      </w:r>
      <w:bookmarkStart w:id="45" w:name="_Hlk105701025"/>
      <w:r w:rsidR="00857134" w:rsidRPr="00DD72AC">
        <w:rPr>
          <w:rFonts w:asciiTheme="minorHAnsi" w:eastAsia="Times New Roman" w:hAnsiTheme="minorHAnsi"/>
          <w:snapToGrid w:val="0"/>
        </w:rPr>
        <w:t xml:space="preserve">ESC agreed with the evaluation that the </w:t>
      </w:r>
      <w:r w:rsidRPr="00DD72AC">
        <w:rPr>
          <w:rFonts w:asciiTheme="minorHAnsi" w:eastAsia="Times New Roman" w:hAnsiTheme="minorHAnsi"/>
          <w:snapToGrid w:val="0"/>
        </w:rPr>
        <w:t>use</w:t>
      </w:r>
      <w:bookmarkEnd w:id="45"/>
      <w:r w:rsidRPr="00DD72AC">
        <w:rPr>
          <w:rFonts w:asciiTheme="minorHAnsi" w:eastAsia="Times New Roman" w:hAnsiTheme="minorHAnsi"/>
          <w:snapToGrid w:val="0"/>
        </w:rPr>
        <w:t xml:space="preserve"> of height as a surrogate to estimate the impact of treatment with vosoritide on patient risk of mortality was not supported by the evidence presented in the submission. The pivotal trial (study 111-301) did not have </w:t>
      </w:r>
      <w:r w:rsidR="009C7869" w:rsidRPr="00DD72AC">
        <w:rPr>
          <w:rFonts w:asciiTheme="minorHAnsi" w:eastAsia="Times New Roman" w:hAnsiTheme="minorHAnsi"/>
          <w:snapToGrid w:val="0"/>
        </w:rPr>
        <w:t xml:space="preserve">an </w:t>
      </w:r>
      <w:r w:rsidRPr="00DD72AC">
        <w:rPr>
          <w:rFonts w:asciiTheme="minorHAnsi" w:eastAsia="Times New Roman" w:hAnsiTheme="minorHAnsi"/>
          <w:snapToGrid w:val="0"/>
        </w:rPr>
        <w:t>appropriate follow up period or study power to determine mortality risk. Further evidence to support the link between height and mortality was not provided.</w:t>
      </w:r>
      <w:bookmarkEnd w:id="44"/>
      <w:r w:rsidR="00724190" w:rsidRPr="00DD72AC">
        <w:rPr>
          <w:rFonts w:asciiTheme="minorHAnsi" w:eastAsia="Times New Roman" w:hAnsiTheme="minorHAnsi"/>
          <w:snapToGrid w:val="0"/>
        </w:rPr>
        <w:t xml:space="preserve"> </w:t>
      </w:r>
    </w:p>
    <w:p w14:paraId="364CCFC1" w14:textId="71710A66" w:rsidR="00BD42E3" w:rsidRPr="00DD72AC" w:rsidRDefault="00BD42E3" w:rsidP="008141FE">
      <w:pPr>
        <w:keepNext/>
        <w:jc w:val="left"/>
        <w:rPr>
          <w:rFonts w:ascii="Arial Narrow" w:eastAsiaTheme="majorEastAsia" w:hAnsi="Arial Narrow" w:cstheme="majorBidi"/>
          <w:b/>
          <w:bCs/>
          <w:sz w:val="20"/>
        </w:rPr>
      </w:pPr>
      <w:bookmarkStart w:id="46" w:name="_Ref103035784"/>
      <w:r w:rsidRPr="00DD72AC">
        <w:rPr>
          <w:rFonts w:ascii="Arial Narrow" w:eastAsiaTheme="majorEastAsia" w:hAnsi="Arial Narrow" w:cstheme="majorBidi"/>
          <w:b/>
          <w:bCs/>
          <w:sz w:val="20"/>
        </w:rPr>
        <w:lastRenderedPageBreak/>
        <w:t xml:space="preserve">Table </w:t>
      </w:r>
      <w:r w:rsidRPr="00DD72AC">
        <w:rPr>
          <w:rFonts w:ascii="Arial Narrow" w:eastAsiaTheme="majorEastAsia" w:hAnsi="Arial Narrow" w:cstheme="majorBidi"/>
          <w:b/>
          <w:bCs/>
          <w:sz w:val="20"/>
        </w:rPr>
        <w:fldChar w:fldCharType="begin" w:fldLock="1"/>
      </w:r>
      <w:r w:rsidRPr="00DD72AC">
        <w:rPr>
          <w:rFonts w:ascii="Arial Narrow" w:eastAsiaTheme="majorEastAsia" w:hAnsi="Arial Narrow" w:cstheme="majorBidi"/>
          <w:b/>
          <w:bCs/>
          <w:sz w:val="20"/>
        </w:rPr>
        <w:instrText xml:space="preserve"> SEQ Table \* ARABIC </w:instrText>
      </w:r>
      <w:r w:rsidRPr="00DD72AC">
        <w:rPr>
          <w:rFonts w:ascii="Arial Narrow" w:eastAsiaTheme="majorEastAsia" w:hAnsi="Arial Narrow" w:cstheme="majorBidi"/>
          <w:b/>
          <w:bCs/>
          <w:sz w:val="20"/>
        </w:rPr>
        <w:fldChar w:fldCharType="separate"/>
      </w:r>
      <w:r w:rsidR="003136E6" w:rsidRPr="00DD72AC">
        <w:rPr>
          <w:rFonts w:ascii="Arial Narrow" w:eastAsiaTheme="majorEastAsia" w:hAnsi="Arial Narrow" w:cstheme="majorBidi"/>
          <w:b/>
          <w:bCs/>
          <w:sz w:val="20"/>
        </w:rPr>
        <w:t>8</w:t>
      </w:r>
      <w:r w:rsidRPr="00DD72AC">
        <w:rPr>
          <w:rFonts w:ascii="Arial Narrow" w:eastAsiaTheme="majorEastAsia" w:hAnsi="Arial Narrow" w:cstheme="majorBidi"/>
          <w:b/>
          <w:bCs/>
          <w:sz w:val="20"/>
        </w:rPr>
        <w:fldChar w:fldCharType="end"/>
      </w:r>
      <w:bookmarkEnd w:id="46"/>
      <w:r w:rsidRPr="00DD72AC">
        <w:rPr>
          <w:rFonts w:ascii="Arial Narrow" w:eastAsiaTheme="majorEastAsia" w:hAnsi="Arial Narrow" w:cstheme="majorBidi"/>
          <w:b/>
          <w:bCs/>
          <w:sz w:val="20"/>
        </w:rPr>
        <w:t>: Standardised mortality ratios (SMR’s) applied in the model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Standardised mortality ratios (SMR’s) applied in the model base case"/>
      </w:tblPr>
      <w:tblGrid>
        <w:gridCol w:w="2654"/>
        <w:gridCol w:w="3183"/>
        <w:gridCol w:w="3179"/>
      </w:tblGrid>
      <w:tr w:rsidR="00BD42E3" w:rsidRPr="00DD72AC" w14:paraId="435BA1BB" w14:textId="77777777" w:rsidTr="00EB6AD4">
        <w:tc>
          <w:tcPr>
            <w:tcW w:w="1472" w:type="pct"/>
            <w:shd w:val="clear" w:color="auto" w:fill="auto"/>
          </w:tcPr>
          <w:p w14:paraId="3BCAF090" w14:textId="77777777" w:rsidR="00BD42E3" w:rsidRPr="00DD72AC" w:rsidRDefault="00BD42E3" w:rsidP="008141FE">
            <w:pPr>
              <w:keepNext/>
              <w:jc w:val="center"/>
              <w:rPr>
                <w:rFonts w:ascii="Arial Narrow" w:eastAsiaTheme="majorEastAsia" w:hAnsi="Arial Narrow" w:cstheme="majorBidi"/>
                <w:b/>
                <w:sz w:val="20"/>
              </w:rPr>
            </w:pPr>
            <w:r w:rsidRPr="00DD72AC">
              <w:rPr>
                <w:rFonts w:ascii="Arial Narrow" w:eastAsiaTheme="majorEastAsia" w:hAnsi="Arial Narrow" w:cstheme="majorBidi"/>
                <w:b/>
                <w:sz w:val="20"/>
              </w:rPr>
              <w:t>Age</w:t>
            </w:r>
          </w:p>
        </w:tc>
        <w:tc>
          <w:tcPr>
            <w:tcW w:w="1765" w:type="pct"/>
            <w:shd w:val="clear" w:color="auto" w:fill="auto"/>
          </w:tcPr>
          <w:p w14:paraId="737B88CB" w14:textId="77777777" w:rsidR="00BD42E3" w:rsidRPr="00DD72AC" w:rsidRDefault="00BD42E3" w:rsidP="008141FE">
            <w:pPr>
              <w:keepNext/>
              <w:jc w:val="center"/>
              <w:rPr>
                <w:rFonts w:ascii="Arial Narrow" w:eastAsiaTheme="majorEastAsia" w:hAnsi="Arial Narrow" w:cstheme="majorBidi"/>
                <w:b/>
                <w:sz w:val="20"/>
              </w:rPr>
            </w:pPr>
            <w:r w:rsidRPr="00DD72AC">
              <w:rPr>
                <w:rFonts w:ascii="Arial Narrow" w:eastAsiaTheme="majorEastAsia" w:hAnsi="Arial Narrow" w:cstheme="majorBidi"/>
                <w:b/>
                <w:sz w:val="20"/>
              </w:rPr>
              <w:t>Vosoritide arm</w:t>
            </w:r>
          </w:p>
        </w:tc>
        <w:tc>
          <w:tcPr>
            <w:tcW w:w="1763" w:type="pct"/>
            <w:shd w:val="clear" w:color="auto" w:fill="auto"/>
          </w:tcPr>
          <w:p w14:paraId="653BD4B2" w14:textId="77777777" w:rsidR="00BD42E3" w:rsidRPr="00DD72AC" w:rsidRDefault="00BD42E3" w:rsidP="008141FE">
            <w:pPr>
              <w:keepNext/>
              <w:jc w:val="center"/>
              <w:rPr>
                <w:rFonts w:ascii="Arial Narrow" w:eastAsiaTheme="majorEastAsia" w:hAnsi="Arial Narrow" w:cstheme="majorBidi"/>
                <w:b/>
                <w:sz w:val="20"/>
              </w:rPr>
            </w:pPr>
            <w:r w:rsidRPr="00DD72AC">
              <w:rPr>
                <w:rFonts w:ascii="Arial Narrow" w:eastAsiaTheme="majorEastAsia" w:hAnsi="Arial Narrow" w:cstheme="majorBidi"/>
                <w:b/>
                <w:sz w:val="20"/>
              </w:rPr>
              <w:t>BSC arm</w:t>
            </w:r>
          </w:p>
        </w:tc>
      </w:tr>
      <w:tr w:rsidR="00BD42E3" w:rsidRPr="00DD72AC" w14:paraId="222F1568" w14:textId="77777777" w:rsidTr="00EB6AD4">
        <w:tc>
          <w:tcPr>
            <w:tcW w:w="1472" w:type="pct"/>
            <w:shd w:val="clear" w:color="auto" w:fill="auto"/>
          </w:tcPr>
          <w:p w14:paraId="2D586072"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4</w:t>
            </w:r>
          </w:p>
        </w:tc>
        <w:tc>
          <w:tcPr>
            <w:tcW w:w="1765" w:type="pct"/>
            <w:shd w:val="clear" w:color="auto" w:fill="auto"/>
          </w:tcPr>
          <w:p w14:paraId="3278C344"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c>
          <w:tcPr>
            <w:tcW w:w="1763" w:type="pct"/>
            <w:shd w:val="clear" w:color="auto" w:fill="auto"/>
          </w:tcPr>
          <w:p w14:paraId="5DE7D6FA"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4DD113F5" w14:textId="77777777" w:rsidTr="00EB6AD4">
        <w:tc>
          <w:tcPr>
            <w:tcW w:w="1472" w:type="pct"/>
            <w:shd w:val="clear" w:color="auto" w:fill="auto"/>
          </w:tcPr>
          <w:p w14:paraId="0354EF6E"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5</w:t>
            </w:r>
          </w:p>
        </w:tc>
        <w:tc>
          <w:tcPr>
            <w:tcW w:w="1765" w:type="pct"/>
            <w:shd w:val="clear" w:color="auto" w:fill="auto"/>
          </w:tcPr>
          <w:p w14:paraId="6C720EB9"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1.851</w:t>
            </w:r>
          </w:p>
        </w:tc>
        <w:tc>
          <w:tcPr>
            <w:tcW w:w="1763" w:type="pct"/>
            <w:shd w:val="clear" w:color="auto" w:fill="auto"/>
          </w:tcPr>
          <w:p w14:paraId="6EABBF26"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3F3ACC71" w14:textId="77777777" w:rsidTr="00EB6AD4">
        <w:tc>
          <w:tcPr>
            <w:tcW w:w="1472" w:type="pct"/>
            <w:shd w:val="clear" w:color="auto" w:fill="auto"/>
          </w:tcPr>
          <w:p w14:paraId="68F78148"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6</w:t>
            </w:r>
          </w:p>
        </w:tc>
        <w:tc>
          <w:tcPr>
            <w:tcW w:w="1765" w:type="pct"/>
            <w:shd w:val="clear" w:color="auto" w:fill="auto"/>
          </w:tcPr>
          <w:p w14:paraId="7A279AD8"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1.757</w:t>
            </w:r>
          </w:p>
        </w:tc>
        <w:tc>
          <w:tcPr>
            <w:tcW w:w="1763" w:type="pct"/>
            <w:shd w:val="clear" w:color="auto" w:fill="auto"/>
          </w:tcPr>
          <w:p w14:paraId="5C6C3BB1"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50909DCE" w14:textId="77777777" w:rsidTr="00EB6AD4">
        <w:tc>
          <w:tcPr>
            <w:tcW w:w="1472" w:type="pct"/>
            <w:shd w:val="clear" w:color="auto" w:fill="auto"/>
          </w:tcPr>
          <w:p w14:paraId="4DC1EE68"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7</w:t>
            </w:r>
          </w:p>
        </w:tc>
        <w:tc>
          <w:tcPr>
            <w:tcW w:w="1765" w:type="pct"/>
            <w:shd w:val="clear" w:color="auto" w:fill="auto"/>
          </w:tcPr>
          <w:p w14:paraId="23E3E014"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1.685</w:t>
            </w:r>
          </w:p>
        </w:tc>
        <w:tc>
          <w:tcPr>
            <w:tcW w:w="1763" w:type="pct"/>
            <w:shd w:val="clear" w:color="auto" w:fill="auto"/>
          </w:tcPr>
          <w:p w14:paraId="78182000"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468D698C" w14:textId="77777777" w:rsidTr="00EB6AD4">
        <w:tc>
          <w:tcPr>
            <w:tcW w:w="1472" w:type="pct"/>
            <w:shd w:val="clear" w:color="auto" w:fill="auto"/>
          </w:tcPr>
          <w:p w14:paraId="5702C0C6"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8</w:t>
            </w:r>
          </w:p>
        </w:tc>
        <w:tc>
          <w:tcPr>
            <w:tcW w:w="1765" w:type="pct"/>
            <w:shd w:val="clear" w:color="auto" w:fill="auto"/>
          </w:tcPr>
          <w:p w14:paraId="1FAA5D13"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1.641</w:t>
            </w:r>
          </w:p>
        </w:tc>
        <w:tc>
          <w:tcPr>
            <w:tcW w:w="1763" w:type="pct"/>
            <w:shd w:val="clear" w:color="auto" w:fill="auto"/>
          </w:tcPr>
          <w:p w14:paraId="65C16004"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5DB25885" w14:textId="77777777" w:rsidTr="00EB6AD4">
        <w:tc>
          <w:tcPr>
            <w:tcW w:w="1472" w:type="pct"/>
            <w:shd w:val="clear" w:color="auto" w:fill="auto"/>
          </w:tcPr>
          <w:p w14:paraId="3A16EF82"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w:t>
            </w:r>
          </w:p>
        </w:tc>
        <w:tc>
          <w:tcPr>
            <w:tcW w:w="1765" w:type="pct"/>
            <w:shd w:val="clear" w:color="auto" w:fill="auto"/>
          </w:tcPr>
          <w:p w14:paraId="1CEF2B4A"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1.602</w:t>
            </w:r>
          </w:p>
        </w:tc>
        <w:tc>
          <w:tcPr>
            <w:tcW w:w="1763" w:type="pct"/>
            <w:shd w:val="clear" w:color="auto" w:fill="auto"/>
          </w:tcPr>
          <w:p w14:paraId="1E5C804A"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590D088C" w14:textId="77777777" w:rsidTr="00EB6AD4">
        <w:tc>
          <w:tcPr>
            <w:tcW w:w="1472" w:type="pct"/>
            <w:shd w:val="clear" w:color="auto" w:fill="auto"/>
          </w:tcPr>
          <w:p w14:paraId="1DFAC4A7"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10</w:t>
            </w:r>
          </w:p>
        </w:tc>
        <w:tc>
          <w:tcPr>
            <w:tcW w:w="1765" w:type="pct"/>
            <w:shd w:val="clear" w:color="auto" w:fill="auto"/>
          </w:tcPr>
          <w:p w14:paraId="38570872"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1.576</w:t>
            </w:r>
          </w:p>
        </w:tc>
        <w:tc>
          <w:tcPr>
            <w:tcW w:w="1763" w:type="pct"/>
            <w:shd w:val="clear" w:color="auto" w:fill="auto"/>
          </w:tcPr>
          <w:p w14:paraId="7DEBC5B7"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447AD026" w14:textId="77777777" w:rsidTr="00EB6AD4">
        <w:tc>
          <w:tcPr>
            <w:tcW w:w="1472" w:type="pct"/>
            <w:shd w:val="clear" w:color="auto" w:fill="auto"/>
          </w:tcPr>
          <w:p w14:paraId="640DC17E"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11</w:t>
            </w:r>
          </w:p>
        </w:tc>
        <w:tc>
          <w:tcPr>
            <w:tcW w:w="1765" w:type="pct"/>
            <w:shd w:val="clear" w:color="auto" w:fill="auto"/>
          </w:tcPr>
          <w:p w14:paraId="7EC4E86B"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1.544</w:t>
            </w:r>
          </w:p>
        </w:tc>
        <w:tc>
          <w:tcPr>
            <w:tcW w:w="1763" w:type="pct"/>
            <w:shd w:val="clear" w:color="auto" w:fill="auto"/>
          </w:tcPr>
          <w:p w14:paraId="6315556B"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1B57F78A" w14:textId="77777777" w:rsidTr="00EB6AD4">
        <w:tc>
          <w:tcPr>
            <w:tcW w:w="1472" w:type="pct"/>
            <w:shd w:val="clear" w:color="auto" w:fill="auto"/>
          </w:tcPr>
          <w:p w14:paraId="36901952"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12</w:t>
            </w:r>
          </w:p>
        </w:tc>
        <w:tc>
          <w:tcPr>
            <w:tcW w:w="1765" w:type="pct"/>
            <w:shd w:val="clear" w:color="auto" w:fill="auto"/>
          </w:tcPr>
          <w:p w14:paraId="51283E9F"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1.501</w:t>
            </w:r>
          </w:p>
        </w:tc>
        <w:tc>
          <w:tcPr>
            <w:tcW w:w="1763" w:type="pct"/>
            <w:shd w:val="clear" w:color="auto" w:fill="auto"/>
          </w:tcPr>
          <w:p w14:paraId="0FF73FD1"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74E46C52" w14:textId="77777777" w:rsidTr="00EB6AD4">
        <w:tc>
          <w:tcPr>
            <w:tcW w:w="1472" w:type="pct"/>
            <w:shd w:val="clear" w:color="auto" w:fill="auto"/>
          </w:tcPr>
          <w:p w14:paraId="18C02EF8"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13</w:t>
            </w:r>
          </w:p>
        </w:tc>
        <w:tc>
          <w:tcPr>
            <w:tcW w:w="1765" w:type="pct"/>
            <w:shd w:val="clear" w:color="auto" w:fill="auto"/>
          </w:tcPr>
          <w:p w14:paraId="1FD69EA9"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1.463</w:t>
            </w:r>
          </w:p>
        </w:tc>
        <w:tc>
          <w:tcPr>
            <w:tcW w:w="1763" w:type="pct"/>
            <w:shd w:val="clear" w:color="auto" w:fill="auto"/>
          </w:tcPr>
          <w:p w14:paraId="07918693"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4A8A083C" w14:textId="77777777" w:rsidTr="00EB6AD4">
        <w:tc>
          <w:tcPr>
            <w:tcW w:w="1472" w:type="pct"/>
            <w:shd w:val="clear" w:color="auto" w:fill="auto"/>
          </w:tcPr>
          <w:p w14:paraId="7A1C8B75"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w:t>
            </w:r>
          </w:p>
        </w:tc>
        <w:tc>
          <w:tcPr>
            <w:tcW w:w="1765" w:type="pct"/>
            <w:shd w:val="clear" w:color="auto" w:fill="auto"/>
          </w:tcPr>
          <w:p w14:paraId="341F0981"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1.437</w:t>
            </w:r>
          </w:p>
        </w:tc>
        <w:tc>
          <w:tcPr>
            <w:tcW w:w="1763" w:type="pct"/>
            <w:shd w:val="clear" w:color="auto" w:fill="auto"/>
          </w:tcPr>
          <w:p w14:paraId="25BC7966"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087F1F8A" w14:textId="77777777" w:rsidTr="00EB6AD4">
        <w:tc>
          <w:tcPr>
            <w:tcW w:w="1472" w:type="pct"/>
            <w:shd w:val="clear" w:color="auto" w:fill="auto"/>
          </w:tcPr>
          <w:p w14:paraId="2C6AB8E5"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15</w:t>
            </w:r>
          </w:p>
        </w:tc>
        <w:tc>
          <w:tcPr>
            <w:tcW w:w="1765" w:type="pct"/>
            <w:shd w:val="clear" w:color="auto" w:fill="auto"/>
          </w:tcPr>
          <w:p w14:paraId="1543ED87"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1.426</w:t>
            </w:r>
          </w:p>
        </w:tc>
        <w:tc>
          <w:tcPr>
            <w:tcW w:w="1763" w:type="pct"/>
            <w:shd w:val="clear" w:color="auto" w:fill="auto"/>
          </w:tcPr>
          <w:p w14:paraId="69FC20B1"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78D267B2" w14:textId="77777777" w:rsidTr="00EB6AD4">
        <w:tc>
          <w:tcPr>
            <w:tcW w:w="1472" w:type="pct"/>
            <w:shd w:val="clear" w:color="auto" w:fill="auto"/>
          </w:tcPr>
          <w:p w14:paraId="0FE9A091"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16</w:t>
            </w:r>
          </w:p>
        </w:tc>
        <w:tc>
          <w:tcPr>
            <w:tcW w:w="1765" w:type="pct"/>
            <w:shd w:val="clear" w:color="auto" w:fill="auto"/>
          </w:tcPr>
          <w:p w14:paraId="10C18D55"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1.430</w:t>
            </w:r>
          </w:p>
        </w:tc>
        <w:tc>
          <w:tcPr>
            <w:tcW w:w="1763" w:type="pct"/>
            <w:shd w:val="clear" w:color="auto" w:fill="auto"/>
          </w:tcPr>
          <w:p w14:paraId="6C57A143"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2B7762A7" w14:textId="77777777" w:rsidTr="00EB6AD4">
        <w:tc>
          <w:tcPr>
            <w:tcW w:w="1472" w:type="pct"/>
            <w:shd w:val="clear" w:color="auto" w:fill="auto"/>
          </w:tcPr>
          <w:p w14:paraId="3AE10848"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17</w:t>
            </w:r>
          </w:p>
        </w:tc>
        <w:tc>
          <w:tcPr>
            <w:tcW w:w="1765" w:type="pct"/>
            <w:shd w:val="clear" w:color="auto" w:fill="auto"/>
          </w:tcPr>
          <w:p w14:paraId="66078C4B"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1.439</w:t>
            </w:r>
          </w:p>
        </w:tc>
        <w:tc>
          <w:tcPr>
            <w:tcW w:w="1763" w:type="pct"/>
            <w:shd w:val="clear" w:color="auto" w:fill="auto"/>
          </w:tcPr>
          <w:p w14:paraId="4A9E06CA"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201CE4EB" w14:textId="77777777" w:rsidTr="00EB6AD4">
        <w:tc>
          <w:tcPr>
            <w:tcW w:w="1472" w:type="pct"/>
            <w:shd w:val="clear" w:color="auto" w:fill="auto"/>
          </w:tcPr>
          <w:p w14:paraId="1E107065"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18+</w:t>
            </w:r>
          </w:p>
        </w:tc>
        <w:tc>
          <w:tcPr>
            <w:tcW w:w="1765" w:type="pct"/>
            <w:shd w:val="clear" w:color="auto" w:fill="auto"/>
          </w:tcPr>
          <w:p w14:paraId="77B4905B"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1.423</w:t>
            </w:r>
          </w:p>
        </w:tc>
        <w:tc>
          <w:tcPr>
            <w:tcW w:w="1763" w:type="pct"/>
            <w:shd w:val="clear" w:color="auto" w:fill="auto"/>
          </w:tcPr>
          <w:p w14:paraId="6512DFB4"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bl>
    <w:p w14:paraId="0F86CDC3" w14:textId="77777777" w:rsidR="00BD42E3" w:rsidRPr="00DD72AC" w:rsidRDefault="00BD42E3" w:rsidP="00EB6AD4">
      <w:pPr>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88, p186 of the submission.</w:t>
      </w:r>
    </w:p>
    <w:p w14:paraId="419062C5" w14:textId="0C79BAE2" w:rsidR="00BD42E3" w:rsidRPr="00DD72AC" w:rsidRDefault="00BD42E3" w:rsidP="00EB6AD4">
      <w:pPr>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Abbreviations: BSC = best supportive care; SMR’s = standardised mortality ratios. </w:t>
      </w:r>
    </w:p>
    <w:p w14:paraId="350332B7" w14:textId="77777777" w:rsidR="002B53B2" w:rsidRPr="00DD72AC" w:rsidRDefault="002B53B2" w:rsidP="00EB6AD4">
      <w:pPr>
        <w:rPr>
          <w:rFonts w:ascii="Arial Narrow" w:eastAsia="Times New Roman" w:hAnsi="Arial Narrow"/>
          <w:snapToGrid w:val="0"/>
          <w:sz w:val="18"/>
          <w:szCs w:val="22"/>
        </w:rPr>
      </w:pPr>
    </w:p>
    <w:p w14:paraId="5B29EA7E" w14:textId="3770E5E3"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Complication risks in the BSC arm of the model were based on natural history data from the Lifetime Impact of Achondroplasia Study in Europe (LIAISE) study, and in the vosoritide arm of the model these are estimated relative to BSC risks (via the application of a treatment effect based on relative patient height observed in study 111-301). LIAISE is a retrospective observational study examining the clinical characteristics, clinical measures and QoL over the lifetime of patients with achondroplasia across six European countries. Cumulative risk of complications applied in the model base case is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_Ref103036064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80776A" w:rsidRPr="00DD72AC">
        <w:rPr>
          <w:rFonts w:asciiTheme="minorHAnsi" w:eastAsia="Times New Roman" w:hAnsiTheme="minorHAnsi"/>
          <w:snapToGrid w:val="0"/>
        </w:rPr>
        <w:t>Table 9</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The </w:t>
      </w:r>
      <w:r w:rsidR="003017DF" w:rsidRPr="00DD72AC">
        <w:rPr>
          <w:rFonts w:asciiTheme="minorHAnsi" w:eastAsia="Times New Roman" w:hAnsiTheme="minorHAnsi"/>
          <w:snapToGrid w:val="0"/>
        </w:rPr>
        <w:t xml:space="preserve">ESC agreed with the evaluation that the </w:t>
      </w:r>
      <w:r w:rsidRPr="00DD72AC">
        <w:rPr>
          <w:rFonts w:asciiTheme="minorHAnsi" w:eastAsia="Times New Roman" w:hAnsiTheme="minorHAnsi"/>
          <w:snapToGrid w:val="0"/>
        </w:rPr>
        <w:t xml:space="preserve">use of height as a surrogate to estimate the impact of treatment with vosoritide on patient risk of complications was not supported by the evidence presented in the submission. The pivotal trial (study 111-301) did not have </w:t>
      </w:r>
      <w:r w:rsidR="003017DF" w:rsidRPr="00DD72AC">
        <w:rPr>
          <w:rFonts w:asciiTheme="minorHAnsi" w:eastAsia="Times New Roman" w:hAnsiTheme="minorHAnsi"/>
          <w:snapToGrid w:val="0"/>
        </w:rPr>
        <w:t xml:space="preserve">an </w:t>
      </w:r>
      <w:r w:rsidRPr="00DD72AC">
        <w:rPr>
          <w:rFonts w:asciiTheme="minorHAnsi" w:eastAsia="Times New Roman" w:hAnsiTheme="minorHAnsi"/>
          <w:snapToGrid w:val="0"/>
        </w:rPr>
        <w:t>appropriate follow up period or study power to determine long-term complication risk. Further evidence to support the link between height and complications was not provided.</w:t>
      </w:r>
      <w:r w:rsidR="00724190" w:rsidRPr="00DD72AC">
        <w:rPr>
          <w:rFonts w:asciiTheme="minorHAnsi" w:eastAsia="Times New Roman" w:hAnsiTheme="minorHAnsi"/>
          <w:snapToGrid w:val="0"/>
        </w:rPr>
        <w:t xml:space="preserve"> </w:t>
      </w:r>
    </w:p>
    <w:p w14:paraId="7215D630" w14:textId="2EA63A21" w:rsidR="00BD42E3" w:rsidRPr="00DD72AC" w:rsidRDefault="00BD42E3" w:rsidP="00EB6AD4">
      <w:pPr>
        <w:rPr>
          <w:rFonts w:ascii="Arial Narrow" w:eastAsia="Times New Roman" w:hAnsi="Arial Narrow"/>
          <w:b/>
          <w:sz w:val="20"/>
        </w:rPr>
      </w:pPr>
      <w:bookmarkStart w:id="47" w:name="_Ref103036064"/>
      <w:r w:rsidRPr="00DD72AC">
        <w:rPr>
          <w:rFonts w:ascii="Arial Narrow" w:eastAsia="Times New Roman" w:hAnsi="Arial Narrow"/>
          <w:b/>
          <w:sz w:val="20"/>
        </w:rPr>
        <w:t xml:space="preserve">Table </w:t>
      </w:r>
      <w:r w:rsidRPr="00DD72AC">
        <w:rPr>
          <w:rFonts w:ascii="Arial Narrow" w:eastAsia="Times New Roman" w:hAnsi="Arial Narrow"/>
          <w:b/>
          <w:sz w:val="20"/>
        </w:rPr>
        <w:fldChar w:fldCharType="begin" w:fldLock="1"/>
      </w:r>
      <w:r w:rsidRPr="00DD72AC">
        <w:rPr>
          <w:rFonts w:ascii="Arial Narrow" w:eastAsia="Times New Roman" w:hAnsi="Arial Narrow"/>
          <w:b/>
          <w:sz w:val="20"/>
        </w:rPr>
        <w:instrText xml:space="preserve"> SEQ Table \* ARABIC </w:instrText>
      </w:r>
      <w:r w:rsidRPr="00DD72AC">
        <w:rPr>
          <w:rFonts w:ascii="Arial Narrow" w:eastAsia="Times New Roman" w:hAnsi="Arial Narrow"/>
          <w:b/>
          <w:sz w:val="20"/>
        </w:rPr>
        <w:fldChar w:fldCharType="separate"/>
      </w:r>
      <w:r w:rsidR="003136E6" w:rsidRPr="00DD72AC">
        <w:rPr>
          <w:rFonts w:ascii="Arial Narrow" w:eastAsia="Times New Roman" w:hAnsi="Arial Narrow"/>
          <w:b/>
          <w:sz w:val="20"/>
        </w:rPr>
        <w:t>9</w:t>
      </w:r>
      <w:r w:rsidRPr="00DD72AC">
        <w:rPr>
          <w:rFonts w:ascii="Arial Narrow" w:eastAsia="Times New Roman" w:hAnsi="Arial Narrow"/>
          <w:b/>
          <w:sz w:val="20"/>
        </w:rPr>
        <w:fldChar w:fldCharType="end"/>
      </w:r>
      <w:bookmarkEnd w:id="47"/>
      <w:r w:rsidRPr="00DD72AC">
        <w:rPr>
          <w:rFonts w:ascii="Arial Narrow" w:eastAsia="Times New Roman" w:hAnsi="Arial Narrow"/>
          <w:b/>
          <w:sz w:val="20"/>
        </w:rPr>
        <w:t>: Cumulative risk of complications in the model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Cumulative risk of complications in the model base case"/>
      </w:tblPr>
      <w:tblGrid>
        <w:gridCol w:w="2689"/>
        <w:gridCol w:w="1583"/>
        <w:gridCol w:w="1583"/>
        <w:gridCol w:w="1581"/>
        <w:gridCol w:w="1580"/>
      </w:tblGrid>
      <w:tr w:rsidR="00BD42E3" w:rsidRPr="00DD72AC" w14:paraId="586DDDD9" w14:textId="77777777" w:rsidTr="00EB6AD4">
        <w:tc>
          <w:tcPr>
            <w:tcW w:w="1491" w:type="pct"/>
            <w:shd w:val="clear" w:color="auto" w:fill="auto"/>
          </w:tcPr>
          <w:p w14:paraId="4AC6D74A" w14:textId="77777777" w:rsidR="00BD42E3" w:rsidRPr="00DD72AC" w:rsidRDefault="00BD42E3" w:rsidP="00EB6AD4">
            <w:pPr>
              <w:jc w:val="center"/>
              <w:rPr>
                <w:rFonts w:ascii="Arial Narrow" w:eastAsiaTheme="majorEastAsia" w:hAnsi="Arial Narrow" w:cstheme="majorBidi"/>
                <w:bCs/>
                <w:sz w:val="20"/>
              </w:rPr>
            </w:pPr>
          </w:p>
        </w:tc>
        <w:tc>
          <w:tcPr>
            <w:tcW w:w="878" w:type="pct"/>
            <w:shd w:val="clear" w:color="auto" w:fill="auto"/>
          </w:tcPr>
          <w:p w14:paraId="493E026E"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Vosoritide</w:t>
            </w:r>
          </w:p>
        </w:tc>
        <w:tc>
          <w:tcPr>
            <w:tcW w:w="878" w:type="pct"/>
            <w:shd w:val="clear" w:color="auto" w:fill="auto"/>
          </w:tcPr>
          <w:p w14:paraId="6AF019EA"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BSC</w:t>
            </w:r>
          </w:p>
        </w:tc>
        <w:tc>
          <w:tcPr>
            <w:tcW w:w="877" w:type="pct"/>
            <w:shd w:val="clear" w:color="auto" w:fill="auto"/>
          </w:tcPr>
          <w:p w14:paraId="181F0BB0"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Difference</w:t>
            </w:r>
          </w:p>
        </w:tc>
        <w:tc>
          <w:tcPr>
            <w:tcW w:w="876" w:type="pct"/>
            <w:shd w:val="clear" w:color="auto" w:fill="auto"/>
          </w:tcPr>
          <w:p w14:paraId="7A102524"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RR </w:t>
            </w:r>
            <w:r w:rsidRPr="00DD72AC">
              <w:rPr>
                <w:rFonts w:ascii="Arial Narrow" w:eastAsiaTheme="majorEastAsia" w:hAnsi="Arial Narrow" w:cstheme="majorBidi"/>
                <w:bCs/>
                <w:sz w:val="20"/>
                <w:vertAlign w:val="superscript"/>
              </w:rPr>
              <w:t>a</w:t>
            </w:r>
          </w:p>
        </w:tc>
      </w:tr>
      <w:tr w:rsidR="00BD42E3" w:rsidRPr="00DD72AC" w14:paraId="4F3F44E0" w14:textId="77777777" w:rsidTr="00EB6AD4">
        <w:tc>
          <w:tcPr>
            <w:tcW w:w="1491" w:type="pct"/>
            <w:shd w:val="clear" w:color="auto" w:fill="auto"/>
          </w:tcPr>
          <w:p w14:paraId="09E4ACC5"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Foramen magnum stenosis</w:t>
            </w:r>
          </w:p>
        </w:tc>
        <w:tc>
          <w:tcPr>
            <w:tcW w:w="878" w:type="pct"/>
            <w:shd w:val="clear" w:color="auto" w:fill="auto"/>
          </w:tcPr>
          <w:p w14:paraId="24C4BA5D"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9.4%</w:t>
            </w:r>
          </w:p>
        </w:tc>
        <w:tc>
          <w:tcPr>
            <w:tcW w:w="878" w:type="pct"/>
            <w:shd w:val="clear" w:color="auto" w:fill="auto"/>
          </w:tcPr>
          <w:p w14:paraId="2A2E4F7D"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11.6%</w:t>
            </w:r>
          </w:p>
        </w:tc>
        <w:tc>
          <w:tcPr>
            <w:tcW w:w="877" w:type="pct"/>
            <w:shd w:val="clear" w:color="auto" w:fill="auto"/>
          </w:tcPr>
          <w:p w14:paraId="4DAC2FBF"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-2.2%</w:t>
            </w:r>
          </w:p>
        </w:tc>
        <w:tc>
          <w:tcPr>
            <w:tcW w:w="876" w:type="pct"/>
            <w:shd w:val="clear" w:color="auto" w:fill="auto"/>
          </w:tcPr>
          <w:p w14:paraId="61B09B36"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0.810</w:t>
            </w:r>
          </w:p>
        </w:tc>
      </w:tr>
      <w:tr w:rsidR="00BD42E3" w:rsidRPr="00DD72AC" w14:paraId="63F0ACC8" w14:textId="77777777" w:rsidTr="00EB6AD4">
        <w:tc>
          <w:tcPr>
            <w:tcW w:w="1491" w:type="pct"/>
            <w:shd w:val="clear" w:color="auto" w:fill="auto"/>
          </w:tcPr>
          <w:p w14:paraId="4942328C"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Hydrocephalus </w:t>
            </w:r>
          </w:p>
        </w:tc>
        <w:tc>
          <w:tcPr>
            <w:tcW w:w="878" w:type="pct"/>
            <w:shd w:val="clear" w:color="auto" w:fill="auto"/>
          </w:tcPr>
          <w:p w14:paraId="0B99F14A"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2.8%</w:t>
            </w:r>
          </w:p>
        </w:tc>
        <w:tc>
          <w:tcPr>
            <w:tcW w:w="878" w:type="pct"/>
            <w:shd w:val="clear" w:color="auto" w:fill="auto"/>
          </w:tcPr>
          <w:p w14:paraId="2BCA61DA"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3.9%</w:t>
            </w:r>
          </w:p>
        </w:tc>
        <w:tc>
          <w:tcPr>
            <w:tcW w:w="877" w:type="pct"/>
            <w:shd w:val="clear" w:color="auto" w:fill="auto"/>
          </w:tcPr>
          <w:p w14:paraId="0E18A3FE"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-1.0%</w:t>
            </w:r>
          </w:p>
        </w:tc>
        <w:tc>
          <w:tcPr>
            <w:tcW w:w="876" w:type="pct"/>
            <w:shd w:val="clear" w:color="auto" w:fill="auto"/>
          </w:tcPr>
          <w:p w14:paraId="6257F8CD"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0.730</w:t>
            </w:r>
          </w:p>
        </w:tc>
      </w:tr>
      <w:tr w:rsidR="00BD42E3" w:rsidRPr="00DD72AC" w14:paraId="11F16F29" w14:textId="77777777" w:rsidTr="00EB6AD4">
        <w:tc>
          <w:tcPr>
            <w:tcW w:w="1491" w:type="pct"/>
            <w:shd w:val="clear" w:color="auto" w:fill="auto"/>
          </w:tcPr>
          <w:p w14:paraId="23216C78"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Sleep apnoea</w:t>
            </w:r>
          </w:p>
        </w:tc>
        <w:tc>
          <w:tcPr>
            <w:tcW w:w="878" w:type="pct"/>
            <w:shd w:val="clear" w:color="auto" w:fill="auto"/>
          </w:tcPr>
          <w:p w14:paraId="544AFC14"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17.6%</w:t>
            </w:r>
          </w:p>
        </w:tc>
        <w:tc>
          <w:tcPr>
            <w:tcW w:w="878" w:type="pct"/>
            <w:shd w:val="clear" w:color="auto" w:fill="auto"/>
          </w:tcPr>
          <w:p w14:paraId="5BB565DA"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22.5%</w:t>
            </w:r>
          </w:p>
        </w:tc>
        <w:tc>
          <w:tcPr>
            <w:tcW w:w="877" w:type="pct"/>
            <w:shd w:val="clear" w:color="auto" w:fill="auto"/>
          </w:tcPr>
          <w:p w14:paraId="59114D30"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-4.8%</w:t>
            </w:r>
          </w:p>
        </w:tc>
        <w:tc>
          <w:tcPr>
            <w:tcW w:w="876" w:type="pct"/>
            <w:shd w:val="clear" w:color="auto" w:fill="auto"/>
          </w:tcPr>
          <w:p w14:paraId="07CB00FC"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0.785</w:t>
            </w:r>
          </w:p>
        </w:tc>
      </w:tr>
      <w:tr w:rsidR="00BD42E3" w:rsidRPr="00DD72AC" w14:paraId="3FB7B79D" w14:textId="77777777" w:rsidTr="00EB6AD4">
        <w:tc>
          <w:tcPr>
            <w:tcW w:w="1491" w:type="pct"/>
            <w:shd w:val="clear" w:color="auto" w:fill="auto"/>
          </w:tcPr>
          <w:p w14:paraId="7642206E"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Spinal stenosis</w:t>
            </w:r>
          </w:p>
        </w:tc>
        <w:tc>
          <w:tcPr>
            <w:tcW w:w="878" w:type="pct"/>
            <w:shd w:val="clear" w:color="auto" w:fill="auto"/>
          </w:tcPr>
          <w:p w14:paraId="61E30010"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24.6%</w:t>
            </w:r>
          </w:p>
        </w:tc>
        <w:tc>
          <w:tcPr>
            <w:tcW w:w="878" w:type="pct"/>
            <w:shd w:val="clear" w:color="auto" w:fill="auto"/>
          </w:tcPr>
          <w:p w14:paraId="5C86596D"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37.6%</w:t>
            </w:r>
          </w:p>
        </w:tc>
        <w:tc>
          <w:tcPr>
            <w:tcW w:w="877" w:type="pct"/>
            <w:shd w:val="clear" w:color="auto" w:fill="auto"/>
          </w:tcPr>
          <w:p w14:paraId="29218EDA"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-13.0%</w:t>
            </w:r>
          </w:p>
        </w:tc>
        <w:tc>
          <w:tcPr>
            <w:tcW w:w="876" w:type="pct"/>
            <w:shd w:val="clear" w:color="auto" w:fill="auto"/>
          </w:tcPr>
          <w:p w14:paraId="07721C63"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0.653</w:t>
            </w:r>
          </w:p>
        </w:tc>
      </w:tr>
      <w:tr w:rsidR="00BD42E3" w:rsidRPr="00DD72AC" w14:paraId="693E54C2" w14:textId="77777777" w:rsidTr="00EB6AD4">
        <w:tc>
          <w:tcPr>
            <w:tcW w:w="1491" w:type="pct"/>
            <w:shd w:val="clear" w:color="auto" w:fill="auto"/>
          </w:tcPr>
          <w:p w14:paraId="060BDDFA"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Kyphosis</w:t>
            </w:r>
          </w:p>
        </w:tc>
        <w:tc>
          <w:tcPr>
            <w:tcW w:w="878" w:type="pct"/>
            <w:shd w:val="clear" w:color="auto" w:fill="auto"/>
          </w:tcPr>
          <w:p w14:paraId="104F6E6E"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1.0%</w:t>
            </w:r>
          </w:p>
        </w:tc>
        <w:tc>
          <w:tcPr>
            <w:tcW w:w="878" w:type="pct"/>
            <w:shd w:val="clear" w:color="auto" w:fill="auto"/>
          </w:tcPr>
          <w:p w14:paraId="524C24B0"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w:t>
            </w:r>
          </w:p>
        </w:tc>
        <w:tc>
          <w:tcPr>
            <w:tcW w:w="877" w:type="pct"/>
            <w:shd w:val="clear" w:color="auto" w:fill="auto"/>
          </w:tcPr>
          <w:p w14:paraId="4E284CA7"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-0.4%</w:t>
            </w:r>
          </w:p>
        </w:tc>
        <w:tc>
          <w:tcPr>
            <w:tcW w:w="876" w:type="pct"/>
            <w:shd w:val="clear" w:color="auto" w:fill="auto"/>
          </w:tcPr>
          <w:p w14:paraId="7B117EE7"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0.746</w:t>
            </w:r>
          </w:p>
        </w:tc>
      </w:tr>
      <w:tr w:rsidR="00BD42E3" w:rsidRPr="00DD72AC" w14:paraId="5D8DA56C" w14:textId="77777777" w:rsidTr="00EB6AD4">
        <w:tc>
          <w:tcPr>
            <w:tcW w:w="1491" w:type="pct"/>
            <w:shd w:val="clear" w:color="auto" w:fill="auto"/>
          </w:tcPr>
          <w:p w14:paraId="17468599" w14:textId="1B4EC045"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Leg bowing </w:t>
            </w:r>
          </w:p>
        </w:tc>
        <w:tc>
          <w:tcPr>
            <w:tcW w:w="878" w:type="pct"/>
            <w:shd w:val="clear" w:color="auto" w:fill="auto"/>
          </w:tcPr>
          <w:p w14:paraId="0780005F"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15.3%</w:t>
            </w:r>
          </w:p>
        </w:tc>
        <w:tc>
          <w:tcPr>
            <w:tcW w:w="878" w:type="pct"/>
            <w:shd w:val="clear" w:color="auto" w:fill="auto"/>
          </w:tcPr>
          <w:p w14:paraId="549B026B"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w:t>
            </w:r>
          </w:p>
        </w:tc>
        <w:tc>
          <w:tcPr>
            <w:tcW w:w="877" w:type="pct"/>
            <w:shd w:val="clear" w:color="auto" w:fill="auto"/>
          </w:tcPr>
          <w:p w14:paraId="59B8AEC4"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-4.7%</w:t>
            </w:r>
          </w:p>
        </w:tc>
        <w:tc>
          <w:tcPr>
            <w:tcW w:w="876" w:type="pct"/>
            <w:shd w:val="clear" w:color="auto" w:fill="auto"/>
          </w:tcPr>
          <w:p w14:paraId="1D1584A0"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0.764</w:t>
            </w:r>
          </w:p>
        </w:tc>
      </w:tr>
      <w:tr w:rsidR="00BD42E3" w:rsidRPr="00DD72AC" w14:paraId="1419382A" w14:textId="77777777" w:rsidTr="00EB6AD4">
        <w:tc>
          <w:tcPr>
            <w:tcW w:w="1491" w:type="pct"/>
            <w:shd w:val="clear" w:color="auto" w:fill="auto"/>
          </w:tcPr>
          <w:p w14:paraId="1E0FFC06"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Cardiovascular disease </w:t>
            </w:r>
          </w:p>
        </w:tc>
        <w:tc>
          <w:tcPr>
            <w:tcW w:w="878" w:type="pct"/>
            <w:shd w:val="clear" w:color="auto" w:fill="auto"/>
          </w:tcPr>
          <w:p w14:paraId="66443936"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9.3%</w:t>
            </w:r>
          </w:p>
        </w:tc>
        <w:tc>
          <w:tcPr>
            <w:tcW w:w="878" w:type="pct"/>
            <w:shd w:val="clear" w:color="auto" w:fill="auto"/>
          </w:tcPr>
          <w:p w14:paraId="6253ADF3"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14.1%</w:t>
            </w:r>
          </w:p>
        </w:tc>
        <w:tc>
          <w:tcPr>
            <w:tcW w:w="877" w:type="pct"/>
            <w:shd w:val="clear" w:color="auto" w:fill="auto"/>
          </w:tcPr>
          <w:p w14:paraId="3F451B3E"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-4.8%</w:t>
            </w:r>
          </w:p>
        </w:tc>
        <w:tc>
          <w:tcPr>
            <w:tcW w:w="876" w:type="pct"/>
            <w:shd w:val="clear" w:color="auto" w:fill="auto"/>
          </w:tcPr>
          <w:p w14:paraId="5932FCCD"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0.657</w:t>
            </w:r>
          </w:p>
        </w:tc>
      </w:tr>
      <w:tr w:rsidR="00BD42E3" w:rsidRPr="00DD72AC" w14:paraId="57B55D3C" w14:textId="77777777" w:rsidTr="00EB6AD4">
        <w:tc>
          <w:tcPr>
            <w:tcW w:w="1491" w:type="pct"/>
            <w:shd w:val="clear" w:color="auto" w:fill="auto"/>
          </w:tcPr>
          <w:p w14:paraId="268C681E"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Otitis media </w:t>
            </w:r>
          </w:p>
        </w:tc>
        <w:tc>
          <w:tcPr>
            <w:tcW w:w="878" w:type="pct"/>
            <w:shd w:val="clear" w:color="auto" w:fill="auto"/>
          </w:tcPr>
          <w:p w14:paraId="73831DF6"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9.2%</w:t>
            </w:r>
          </w:p>
        </w:tc>
        <w:tc>
          <w:tcPr>
            <w:tcW w:w="878" w:type="pct"/>
            <w:shd w:val="clear" w:color="auto" w:fill="auto"/>
          </w:tcPr>
          <w:p w14:paraId="0821691F"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11.3%</w:t>
            </w:r>
          </w:p>
        </w:tc>
        <w:tc>
          <w:tcPr>
            <w:tcW w:w="877" w:type="pct"/>
            <w:shd w:val="clear" w:color="auto" w:fill="auto"/>
          </w:tcPr>
          <w:p w14:paraId="04CA7C65"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-2.1%</w:t>
            </w:r>
          </w:p>
        </w:tc>
        <w:tc>
          <w:tcPr>
            <w:tcW w:w="876" w:type="pct"/>
            <w:shd w:val="clear" w:color="auto" w:fill="auto"/>
          </w:tcPr>
          <w:p w14:paraId="6712CFA8"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0.812</w:t>
            </w:r>
          </w:p>
        </w:tc>
      </w:tr>
      <w:tr w:rsidR="00BD42E3" w:rsidRPr="00DD72AC" w14:paraId="2EA82814" w14:textId="77777777" w:rsidTr="00EB6AD4">
        <w:tc>
          <w:tcPr>
            <w:tcW w:w="1491" w:type="pct"/>
            <w:shd w:val="clear" w:color="auto" w:fill="auto"/>
          </w:tcPr>
          <w:p w14:paraId="63C6B4A4"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Dental malocclusion</w:t>
            </w:r>
          </w:p>
        </w:tc>
        <w:tc>
          <w:tcPr>
            <w:tcW w:w="878" w:type="pct"/>
            <w:shd w:val="clear" w:color="auto" w:fill="auto"/>
          </w:tcPr>
          <w:p w14:paraId="590CDC5B"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9.0%</w:t>
            </w:r>
          </w:p>
        </w:tc>
        <w:tc>
          <w:tcPr>
            <w:tcW w:w="878" w:type="pct"/>
            <w:shd w:val="clear" w:color="auto" w:fill="auto"/>
          </w:tcPr>
          <w:p w14:paraId="5D6E74A9"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12.4%</w:t>
            </w:r>
          </w:p>
        </w:tc>
        <w:tc>
          <w:tcPr>
            <w:tcW w:w="877" w:type="pct"/>
            <w:shd w:val="clear" w:color="auto" w:fill="auto"/>
          </w:tcPr>
          <w:p w14:paraId="717E5CEB"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-3.4%</w:t>
            </w:r>
          </w:p>
        </w:tc>
        <w:tc>
          <w:tcPr>
            <w:tcW w:w="876" w:type="pct"/>
            <w:shd w:val="clear" w:color="auto" w:fill="auto"/>
          </w:tcPr>
          <w:p w14:paraId="17BFA84C"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0.730</w:t>
            </w:r>
          </w:p>
        </w:tc>
      </w:tr>
    </w:tbl>
    <w:p w14:paraId="04165126" w14:textId="77777777" w:rsidR="00BD42E3" w:rsidRPr="00DD72AC" w:rsidRDefault="00BD42E3" w:rsidP="00EB6AD4">
      <w:pPr>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87, p185 of the submission.</w:t>
      </w:r>
    </w:p>
    <w:p w14:paraId="6733D606" w14:textId="77777777" w:rsidR="00BD42E3" w:rsidRPr="00DD72AC" w:rsidRDefault="00BD42E3" w:rsidP="00EB6AD4">
      <w:pPr>
        <w:keepNext/>
        <w:keepLines/>
        <w:spacing w:after="360"/>
        <w:contextualSpacing/>
        <w:jc w:val="left"/>
        <w:textboxTightWrap w:val="allLines"/>
        <w:rPr>
          <w:rFonts w:ascii="Arial Narrow" w:eastAsia="Times New Roman" w:hAnsi="Arial Narrow"/>
          <w:snapToGrid w:val="0"/>
          <w:sz w:val="18"/>
          <w:szCs w:val="22"/>
        </w:rPr>
      </w:pPr>
      <w:r w:rsidRPr="00DD72AC">
        <w:rPr>
          <w:rFonts w:ascii="Arial Narrow" w:eastAsia="Times New Roman" w:hAnsi="Arial Narrow"/>
          <w:snapToGrid w:val="0"/>
          <w:sz w:val="18"/>
          <w:szCs w:val="22"/>
        </w:rPr>
        <w:lastRenderedPageBreak/>
        <w:t xml:space="preserve">Abbreviations: BSC = best supportive care; RR = relative risk. </w:t>
      </w:r>
    </w:p>
    <w:p w14:paraId="4AA69F5D" w14:textId="00EA2371" w:rsidR="00BD42E3" w:rsidRPr="00DD72AC" w:rsidRDefault="00BD42E3" w:rsidP="00EB6AD4">
      <w:pPr>
        <w:keepNext/>
        <w:keepLines/>
        <w:spacing w:after="360"/>
        <w:contextualSpacing/>
        <w:jc w:val="left"/>
        <w:textboxTightWrap w:val="allLines"/>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Note: a. This is an implied relative risk over the duration of the model. Implied </w:t>
      </w:r>
      <w:proofErr w:type="gramStart"/>
      <w:r w:rsidRPr="00DD72AC">
        <w:rPr>
          <w:rFonts w:ascii="Arial Narrow" w:eastAsia="Times New Roman" w:hAnsi="Arial Narrow"/>
          <w:snapToGrid w:val="0"/>
          <w:sz w:val="18"/>
          <w:szCs w:val="22"/>
        </w:rPr>
        <w:t>RR’s</w:t>
      </w:r>
      <w:proofErr w:type="gramEnd"/>
      <w:r w:rsidRPr="00DD72AC">
        <w:rPr>
          <w:rFonts w:ascii="Arial Narrow" w:eastAsia="Times New Roman" w:hAnsi="Arial Narrow"/>
          <w:snapToGrid w:val="0"/>
          <w:sz w:val="18"/>
          <w:szCs w:val="22"/>
        </w:rPr>
        <w:t xml:space="preserve"> are not consistent across complications as the incidence of events differ based on age, as does the applied treatment effect (i.e., Z-score ratio). Therefore, complications most often occurring in adults are most impacted by the applied treatment effect as the Z-score ratio is highest in patients aged 18 and above</w:t>
      </w:r>
      <w:r w:rsidR="003017DF" w:rsidRPr="00DD72AC">
        <w:rPr>
          <w:rFonts w:ascii="Arial Narrow" w:eastAsia="Times New Roman" w:hAnsi="Arial Narrow"/>
          <w:snapToGrid w:val="0"/>
          <w:sz w:val="18"/>
          <w:szCs w:val="22"/>
        </w:rPr>
        <w:t>.</w:t>
      </w:r>
    </w:p>
    <w:p w14:paraId="337CBD90" w14:textId="77777777" w:rsidR="004B4E3E" w:rsidRPr="00DD72AC" w:rsidRDefault="004B4E3E" w:rsidP="00EB6AD4">
      <w:pPr>
        <w:keepNext/>
        <w:keepLines/>
        <w:spacing w:after="360"/>
        <w:contextualSpacing/>
        <w:jc w:val="left"/>
        <w:textboxTightWrap w:val="allLines"/>
        <w:rPr>
          <w:rFonts w:eastAsia="Times New Roman"/>
          <w:b/>
          <w:i/>
          <w:sz w:val="28"/>
        </w:rPr>
      </w:pPr>
    </w:p>
    <w:p w14:paraId="370130CE" w14:textId="64A62F7B" w:rsidR="003017DF" w:rsidRPr="00DD72AC" w:rsidRDefault="00BD42E3" w:rsidP="0070007D">
      <w:pPr>
        <w:numPr>
          <w:ilvl w:val="1"/>
          <w:numId w:val="1"/>
        </w:numPr>
        <w:spacing w:after="120"/>
        <w:rPr>
          <w:rFonts w:eastAsia="Times New Roman"/>
        </w:rPr>
      </w:pPr>
      <w:r w:rsidRPr="00DD72AC">
        <w:rPr>
          <w:rFonts w:asciiTheme="minorHAnsi" w:eastAsia="Times New Roman" w:hAnsiTheme="minorHAnsi"/>
          <w:snapToGrid w:val="0"/>
        </w:rPr>
        <w:t xml:space="preserve">The treatment effect in terms of gains in annual height velocity are achieved within childhood (up to age 17-18 years). The economic evaluation continues to apply mortality benefits after the treatment effect ceases. This may be reasonable but is uncertain with a lack of evidence presented to support this approach. </w:t>
      </w:r>
      <w:r w:rsidR="003017DF" w:rsidRPr="00DD72AC">
        <w:rPr>
          <w:rFonts w:asciiTheme="minorHAnsi" w:eastAsia="Times New Roman" w:hAnsiTheme="minorHAnsi"/>
          <w:snapToGrid w:val="0"/>
        </w:rPr>
        <w:t xml:space="preserve">The PSCR stated that </w:t>
      </w:r>
      <w:r w:rsidR="003017DF" w:rsidRPr="00DD72AC">
        <w:rPr>
          <w:rFonts w:eastAsia="Times New Roman"/>
        </w:rPr>
        <w:t>achondroplasia is known to cause complications, including death, throughout a patient’s lifetime</w:t>
      </w:r>
      <w:r w:rsidR="0070007D" w:rsidRPr="00DD72AC">
        <w:rPr>
          <w:rFonts w:eastAsia="Times New Roman"/>
        </w:rPr>
        <w:t xml:space="preserve"> but acknowledged the extent of mortality benefit is uncertain</w:t>
      </w:r>
      <w:r w:rsidR="003017DF" w:rsidRPr="00DD72AC">
        <w:rPr>
          <w:rFonts w:eastAsia="Times New Roman"/>
        </w:rPr>
        <w:t xml:space="preserve">. </w:t>
      </w:r>
      <w:r w:rsidR="0070007D" w:rsidRPr="00DD72AC">
        <w:rPr>
          <w:rFonts w:eastAsia="Times New Roman"/>
        </w:rPr>
        <w:t xml:space="preserve">The ESC </w:t>
      </w:r>
      <w:r w:rsidR="00DC0C0B" w:rsidRPr="00DD72AC">
        <w:rPr>
          <w:rFonts w:eastAsia="Times New Roman"/>
        </w:rPr>
        <w:t xml:space="preserve">agreed with the evaluation that there was a lack of evidence to support the application of mortality benefits in the model but </w:t>
      </w:r>
      <w:r w:rsidR="0070007D" w:rsidRPr="00DD72AC">
        <w:rPr>
          <w:rFonts w:eastAsia="Times New Roman"/>
        </w:rPr>
        <w:t xml:space="preserve">noted </w:t>
      </w:r>
      <w:r w:rsidR="003017DF" w:rsidRPr="00DD72AC">
        <w:rPr>
          <w:rFonts w:eastAsia="Times New Roman"/>
        </w:rPr>
        <w:t>sensitivity analyses show</w:t>
      </w:r>
      <w:r w:rsidR="0070007D" w:rsidRPr="00DD72AC">
        <w:rPr>
          <w:rFonts w:eastAsia="Times New Roman"/>
        </w:rPr>
        <w:t>ed</w:t>
      </w:r>
      <w:r w:rsidR="003017DF" w:rsidRPr="00DD72AC">
        <w:rPr>
          <w:rFonts w:eastAsia="Times New Roman"/>
        </w:rPr>
        <w:t xml:space="preserve"> that the impact of this uncertainty on the cost-effectiveness is minimal (change in the ICER of less than 3% when mortality benefits are removed</w:t>
      </w:r>
      <w:r w:rsidR="0070007D" w:rsidRPr="00DD72AC">
        <w:rPr>
          <w:rFonts w:eastAsia="Times New Roman"/>
        </w:rPr>
        <w:t xml:space="preserve"> (see </w:t>
      </w:r>
      <w:r w:rsidR="0070007D" w:rsidRPr="00DD72AC">
        <w:rPr>
          <w:rFonts w:eastAsia="Times New Roman"/>
        </w:rPr>
        <w:fldChar w:fldCharType="begin" w:fldLock="1"/>
      </w:r>
      <w:r w:rsidR="0070007D" w:rsidRPr="00DD72AC">
        <w:rPr>
          <w:rFonts w:eastAsia="Times New Roman"/>
        </w:rPr>
        <w:instrText xml:space="preserve"> REF _Ref100601930 \h  \* MERGEFORMAT </w:instrText>
      </w:r>
      <w:r w:rsidR="0070007D" w:rsidRPr="00DD72AC">
        <w:rPr>
          <w:rFonts w:eastAsia="Times New Roman"/>
        </w:rPr>
      </w:r>
      <w:r w:rsidR="0070007D" w:rsidRPr="00DD72AC">
        <w:rPr>
          <w:rFonts w:eastAsia="Times New Roman"/>
        </w:rPr>
        <w:fldChar w:fldCharType="separate"/>
      </w:r>
      <w:r w:rsidR="003136E6" w:rsidRPr="00DD72AC">
        <w:rPr>
          <w:rFonts w:eastAsia="Times New Roman"/>
        </w:rPr>
        <w:t>Table 15</w:t>
      </w:r>
      <w:r w:rsidR="0070007D" w:rsidRPr="00DD72AC">
        <w:rPr>
          <w:rFonts w:eastAsia="Times New Roman"/>
        </w:rPr>
        <w:fldChar w:fldCharType="end"/>
      </w:r>
      <w:r w:rsidR="003017DF" w:rsidRPr="00DD72AC">
        <w:rPr>
          <w:rFonts w:eastAsia="Times New Roman"/>
        </w:rPr>
        <w:t>)</w:t>
      </w:r>
      <w:r w:rsidR="0070007D" w:rsidRPr="00DD72AC">
        <w:rPr>
          <w:rFonts w:eastAsia="Times New Roman"/>
        </w:rPr>
        <w:t>)</w:t>
      </w:r>
      <w:r w:rsidR="003017DF" w:rsidRPr="00DD72AC">
        <w:rPr>
          <w:rFonts w:eastAsia="Times New Roman"/>
        </w:rPr>
        <w:t>.</w:t>
      </w:r>
      <w:r w:rsidR="00724190" w:rsidRPr="00DD72AC">
        <w:rPr>
          <w:rFonts w:eastAsia="Times New Roman"/>
        </w:rPr>
        <w:t xml:space="preserve"> The pre-PBAC response acknowledge</w:t>
      </w:r>
      <w:r w:rsidR="00377CD5" w:rsidRPr="00DD72AC">
        <w:rPr>
          <w:rFonts w:eastAsia="Times New Roman"/>
        </w:rPr>
        <w:t>d</w:t>
      </w:r>
      <w:r w:rsidR="00724190" w:rsidRPr="00DD72AC">
        <w:rPr>
          <w:rFonts w:eastAsia="Times New Roman"/>
        </w:rPr>
        <w:t xml:space="preserve"> the data supporting an effect for vosoritide on risk of complications and mortality is still emerging. As such, the pre-PBAC response argue</w:t>
      </w:r>
      <w:r w:rsidR="00377CD5" w:rsidRPr="00DD72AC">
        <w:rPr>
          <w:rFonts w:eastAsia="Times New Roman"/>
        </w:rPr>
        <w:t>d</w:t>
      </w:r>
      <w:r w:rsidR="00724190" w:rsidRPr="00DD72AC">
        <w:rPr>
          <w:rFonts w:eastAsia="Times New Roman"/>
        </w:rPr>
        <w:t xml:space="preserve"> that the model takes a conservative approach to the estimation and valuation of this treatment effect</w:t>
      </w:r>
      <w:r w:rsidR="00377CD5" w:rsidRPr="00DD72AC">
        <w:rPr>
          <w:rFonts w:eastAsia="Times New Roman"/>
        </w:rPr>
        <w:t>,</w:t>
      </w:r>
      <w:r w:rsidR="00724190" w:rsidRPr="00DD72AC">
        <w:rPr>
          <w:rFonts w:eastAsia="Times New Roman"/>
        </w:rPr>
        <w:t xml:space="preserve"> reflected in the insensitivity of the model results to these treatment effects. </w:t>
      </w:r>
    </w:p>
    <w:p w14:paraId="16947D24" w14:textId="700F61D6" w:rsidR="0070007D" w:rsidRPr="00DD72AC" w:rsidRDefault="00BD42E3" w:rsidP="0070007D">
      <w:pPr>
        <w:numPr>
          <w:ilvl w:val="1"/>
          <w:numId w:val="1"/>
        </w:numPr>
        <w:spacing w:after="120"/>
        <w:rPr>
          <w:rFonts w:asciiTheme="minorHAnsi" w:eastAsia="Times New Roman" w:hAnsiTheme="minorHAnsi"/>
          <w:snapToGrid w:val="0"/>
        </w:rPr>
      </w:pPr>
      <w:bookmarkStart w:id="48" w:name="_Ref105753277"/>
      <w:r w:rsidRPr="00DD72AC">
        <w:rPr>
          <w:rFonts w:asciiTheme="minorHAnsi" w:eastAsia="Times New Roman" w:hAnsiTheme="minorHAnsi"/>
          <w:snapToGrid w:val="0"/>
        </w:rPr>
        <w:t xml:space="preserve">There is an ongoing </w:t>
      </w:r>
      <w:r w:rsidR="00414578" w:rsidRPr="00DD72AC">
        <w:rPr>
          <w:rFonts w:asciiTheme="minorHAnsi" w:eastAsia="Times New Roman" w:hAnsiTheme="minorHAnsi"/>
          <w:snapToGrid w:val="0"/>
        </w:rPr>
        <w:t>QoL</w:t>
      </w:r>
      <w:r w:rsidRPr="00DD72AC">
        <w:rPr>
          <w:rFonts w:asciiTheme="minorHAnsi" w:eastAsia="Times New Roman" w:hAnsiTheme="minorHAnsi"/>
          <w:snapToGrid w:val="0"/>
        </w:rPr>
        <w:t xml:space="preserve"> benefit applied throughout the economic evaluation time horizon based on the gains in height achieved during childhood. T</w:t>
      </w:r>
      <w:r w:rsidR="0070007D" w:rsidRPr="00DD72AC">
        <w:rPr>
          <w:rFonts w:asciiTheme="minorHAnsi" w:eastAsia="Times New Roman" w:hAnsiTheme="minorHAnsi"/>
          <w:snapToGrid w:val="0"/>
        </w:rPr>
        <w:t>he evaluation considered t</w:t>
      </w:r>
      <w:r w:rsidRPr="00DD72AC">
        <w:rPr>
          <w:rFonts w:asciiTheme="minorHAnsi" w:eastAsia="Times New Roman" w:hAnsiTheme="minorHAnsi"/>
          <w:snapToGrid w:val="0"/>
        </w:rPr>
        <w:t>his may be reasonable but is uncertain.</w:t>
      </w:r>
      <w:r w:rsidR="0070007D" w:rsidRPr="00DD72AC">
        <w:rPr>
          <w:rFonts w:asciiTheme="minorHAnsi" w:eastAsia="Times New Roman" w:hAnsiTheme="minorHAnsi"/>
          <w:snapToGrid w:val="0"/>
        </w:rPr>
        <w:t xml:space="preserve"> The PSCR </w:t>
      </w:r>
      <w:r w:rsidR="00F63F6A" w:rsidRPr="00DD72AC">
        <w:rPr>
          <w:rFonts w:asciiTheme="minorHAnsi" w:eastAsia="Times New Roman" w:hAnsiTheme="minorHAnsi"/>
          <w:snapToGrid w:val="0"/>
        </w:rPr>
        <w:t xml:space="preserve">argued </w:t>
      </w:r>
      <w:r w:rsidR="0070007D" w:rsidRPr="00DD72AC">
        <w:t xml:space="preserve">short stature </w:t>
      </w:r>
      <w:r w:rsidR="00F63F6A" w:rsidRPr="00DD72AC">
        <w:t xml:space="preserve">can </w:t>
      </w:r>
      <w:r w:rsidR="0070007D" w:rsidRPr="00DD72AC">
        <w:t>impair quality of life</w:t>
      </w:r>
      <w:r w:rsidR="00F63F6A" w:rsidRPr="00DD72AC">
        <w:t xml:space="preserve"> and that t</w:t>
      </w:r>
      <w:r w:rsidR="0070007D" w:rsidRPr="00DD72AC">
        <w:t xml:space="preserve">reatment with vosoritide may enable patients to reach a final adult height that is up to 25 cm greater than would otherwise have been achieved. </w:t>
      </w:r>
      <w:r w:rsidR="00F63F6A" w:rsidRPr="00DD72AC">
        <w:t>The PSCR stated that p</w:t>
      </w:r>
      <w:r w:rsidR="0070007D" w:rsidRPr="00DD72AC">
        <w:t>atients treated with vosoritide will live their remaining life expectancy with an improved final height and so it is reasonable for this improved quality of life to be accounted for over the patient’s remaining life expectancy.</w:t>
      </w:r>
      <w:r w:rsidR="00F63F6A" w:rsidRPr="00DD72AC">
        <w:t xml:space="preserve"> </w:t>
      </w:r>
      <w:r w:rsidR="00DC0C0B" w:rsidRPr="00DD72AC">
        <w:t>The ESC noted evidence from Study 111-301 indicated no difference in QoL measures between treatment arms</w:t>
      </w:r>
      <w:r w:rsidR="00B7684E" w:rsidRPr="00DD72AC">
        <w:t xml:space="preserve"> (see paragraph </w:t>
      </w:r>
      <w:r w:rsidR="00B7684E" w:rsidRPr="00DD72AC">
        <w:fldChar w:fldCharType="begin" w:fldLock="1"/>
      </w:r>
      <w:r w:rsidR="00B7684E" w:rsidRPr="00DD72AC">
        <w:instrText xml:space="preserve"> REF _Ref105703931 \r \h </w:instrText>
      </w:r>
      <w:r w:rsidR="00E745AD" w:rsidRPr="00DD72AC">
        <w:instrText xml:space="preserve"> \* MERGEFORMAT </w:instrText>
      </w:r>
      <w:r w:rsidR="00B7684E" w:rsidRPr="00DD72AC">
        <w:fldChar w:fldCharType="separate"/>
      </w:r>
      <w:r w:rsidR="000F61A3" w:rsidRPr="00DD72AC">
        <w:t>6.13</w:t>
      </w:r>
      <w:r w:rsidR="00B7684E" w:rsidRPr="00DD72AC">
        <w:fldChar w:fldCharType="end"/>
      </w:r>
      <w:r w:rsidR="00B7684E" w:rsidRPr="00DD72AC">
        <w:t>)</w:t>
      </w:r>
      <w:r w:rsidR="00DC0C0B" w:rsidRPr="00DD72AC">
        <w:t>. In addition, the ESC noted the submission</w:t>
      </w:r>
      <w:r w:rsidR="00C043B2" w:rsidRPr="00DD72AC">
        <w:t>’</w:t>
      </w:r>
      <w:r w:rsidR="00DC0C0B" w:rsidRPr="00DD72AC">
        <w:t xml:space="preserve">s </w:t>
      </w:r>
      <w:r w:rsidR="00B7684E" w:rsidRPr="00DD72AC">
        <w:t>argument that significant functional gains would be provided by closing the gap between adult height of patients with achondroplasia and urban design reach standards (153 cm)</w:t>
      </w:r>
      <w:r w:rsidR="00A865D1" w:rsidRPr="00DD72AC">
        <w:t xml:space="preserve"> (see paragraph </w:t>
      </w:r>
      <w:r w:rsidR="00A865D1" w:rsidRPr="00DD72AC">
        <w:fldChar w:fldCharType="begin" w:fldLock="1"/>
      </w:r>
      <w:r w:rsidR="00A865D1" w:rsidRPr="00DD72AC">
        <w:instrText xml:space="preserve"> REF _Ref105704483 \r \h </w:instrText>
      </w:r>
      <w:r w:rsidR="00E745AD" w:rsidRPr="00DD72AC">
        <w:instrText xml:space="preserve"> \* MERGEFORMAT </w:instrText>
      </w:r>
      <w:r w:rsidR="00A865D1" w:rsidRPr="00DD72AC">
        <w:fldChar w:fldCharType="separate"/>
      </w:r>
      <w:r w:rsidR="000F61A3" w:rsidRPr="00DD72AC">
        <w:t>4.1</w:t>
      </w:r>
      <w:r w:rsidR="00A865D1" w:rsidRPr="00DD72AC">
        <w:fldChar w:fldCharType="end"/>
      </w:r>
      <w:r w:rsidR="00A865D1" w:rsidRPr="00DD72AC">
        <w:t>)</w:t>
      </w:r>
      <w:r w:rsidR="00B7684E" w:rsidRPr="00DD72AC">
        <w:t xml:space="preserve">. </w:t>
      </w:r>
      <w:r w:rsidR="00A865D1" w:rsidRPr="00DD72AC">
        <w:t>However, the ESC noted that according to clinical benefits modelled (se</w:t>
      </w:r>
      <w:r w:rsidR="00B6586D" w:rsidRPr="00DD72AC">
        <w:t>e</w:t>
      </w:r>
      <w:r w:rsidR="00A865D1" w:rsidRPr="00DD72AC">
        <w:t xml:space="preserve"> </w:t>
      </w:r>
      <w:r w:rsidR="00B6586D" w:rsidRPr="00DD72AC">
        <w:fldChar w:fldCharType="begin" w:fldLock="1"/>
      </w:r>
      <w:r w:rsidR="00B6586D" w:rsidRPr="00DD72AC">
        <w:instrText xml:space="preserve"> REF _Ref105750015 \h  \* MERGEFORMAT </w:instrText>
      </w:r>
      <w:r w:rsidR="00B6586D" w:rsidRPr="00DD72AC">
        <w:fldChar w:fldCharType="separate"/>
      </w:r>
      <w:r w:rsidR="0080776A" w:rsidRPr="00DD72AC">
        <w:t>Figure 3</w:t>
      </w:r>
      <w:r w:rsidR="00B6586D" w:rsidRPr="00DD72AC">
        <w:fldChar w:fldCharType="end"/>
      </w:r>
      <w:r w:rsidR="00A865D1" w:rsidRPr="00DD72AC">
        <w:t xml:space="preserve">), only those who started treatment at </w:t>
      </w:r>
      <w:r w:rsidR="00B11953" w:rsidRPr="00DD72AC">
        <w:t>&lt;</w:t>
      </w:r>
      <w:r w:rsidR="00B11953">
        <w:t> </w:t>
      </w:r>
      <w:r w:rsidR="00A865D1" w:rsidRPr="00DD72AC">
        <w:t>1 year of age would</w:t>
      </w:r>
      <w:r w:rsidR="008152D6" w:rsidRPr="00DD72AC">
        <w:t xml:space="preserve"> likely</w:t>
      </w:r>
      <w:r w:rsidR="00A865D1" w:rsidRPr="00DD72AC">
        <w:t xml:space="preserve"> reach this threshold of 153 cm. </w:t>
      </w:r>
      <w:r w:rsidR="00241196" w:rsidRPr="00DD72AC">
        <w:t>As such, t</w:t>
      </w:r>
      <w:r w:rsidR="00056BCC" w:rsidRPr="00DD72AC">
        <w:t xml:space="preserve">he ESC considered </w:t>
      </w:r>
      <w:r w:rsidR="00241196" w:rsidRPr="00DD72AC">
        <w:t>the magnitude of QoL benefits associated with closing the gap with urban design reach standards was uncertain.</w:t>
      </w:r>
      <w:bookmarkEnd w:id="48"/>
      <w:r w:rsidR="00241196" w:rsidRPr="00DD72AC">
        <w:t xml:space="preserve"> </w:t>
      </w:r>
      <w:r w:rsidR="00241555" w:rsidRPr="00DD72AC">
        <w:t>The pre-PBAC response argued it was not necessary to reach a threshold of 153 cm to achieve improvements in quality of life. The pre-PBAC response argued that Christensen (2007) showed that declines in quality of life as a function of height in the general population begin to appear from a Z-score of approximately -2</w:t>
      </w:r>
      <w:r w:rsidR="00D35045" w:rsidRPr="00DD72AC">
        <w:t xml:space="preserve"> (see </w:t>
      </w:r>
      <w:r w:rsidR="00D35045" w:rsidRPr="00DD72AC">
        <w:fldChar w:fldCharType="begin" w:fldLock="1"/>
      </w:r>
      <w:r w:rsidR="00D35045" w:rsidRPr="00DD72AC">
        <w:instrText xml:space="preserve"> REF _Ref102868896 \h  \* MERGEFORMAT </w:instrText>
      </w:r>
      <w:r w:rsidR="00D35045" w:rsidRPr="00DD72AC">
        <w:fldChar w:fldCharType="separate"/>
      </w:r>
      <w:r w:rsidR="0080776A" w:rsidRPr="00DD72AC">
        <w:t>Figure 4</w:t>
      </w:r>
      <w:r w:rsidR="00D35045" w:rsidRPr="00DD72AC">
        <w:fldChar w:fldCharType="end"/>
      </w:r>
      <w:r w:rsidR="00D35045" w:rsidRPr="00DD72AC">
        <w:t>)</w:t>
      </w:r>
      <w:r w:rsidR="00241555" w:rsidRPr="00DD72AC">
        <w:t xml:space="preserve">. This corresponds to approximately </w:t>
      </w:r>
      <w:r w:rsidR="00B11953" w:rsidRPr="00DD72AC">
        <w:t>150</w:t>
      </w:r>
      <w:r w:rsidR="00B11953">
        <w:t> </w:t>
      </w:r>
      <w:r w:rsidR="00241555" w:rsidRPr="00DD72AC">
        <w:t xml:space="preserve">cm </w:t>
      </w:r>
      <w:r w:rsidR="00241555" w:rsidRPr="00DD72AC">
        <w:lastRenderedPageBreak/>
        <w:t>to 160</w:t>
      </w:r>
      <w:r w:rsidR="00454897">
        <w:t> </w:t>
      </w:r>
      <w:r w:rsidR="00241555" w:rsidRPr="00DD72AC">
        <w:t xml:space="preserve">cm in the Australian adult population (for women and men respectively). The pre-PBAC response stated that a continuous decline in quality of life from this point shows that the closer to 153 cm, the smaller the quality of life impairment. </w:t>
      </w:r>
    </w:p>
    <w:p w14:paraId="041473A0" w14:textId="37E37261" w:rsidR="009068AA" w:rsidRPr="00DD72AC" w:rsidRDefault="009068AA" w:rsidP="009068AA">
      <w:pPr>
        <w:pStyle w:val="Caption"/>
        <w:rPr>
          <w:rFonts w:ascii="Arial Narrow" w:eastAsia="Times New Roman" w:hAnsi="Arial Narrow"/>
          <w:b/>
          <w:i w:val="0"/>
          <w:iCs w:val="0"/>
          <w:color w:val="auto"/>
          <w:sz w:val="20"/>
          <w:szCs w:val="24"/>
        </w:rPr>
      </w:pPr>
      <w:bookmarkStart w:id="49" w:name="_Ref105750015"/>
      <w:r w:rsidRPr="00DD72AC">
        <w:rPr>
          <w:rFonts w:ascii="Arial Narrow" w:eastAsia="Times New Roman" w:hAnsi="Arial Narrow"/>
          <w:noProof/>
        </w:rPr>
        <w:drawing>
          <wp:anchor distT="0" distB="0" distL="114300" distR="114300" simplePos="0" relativeHeight="251659264" behindDoc="0" locked="0" layoutInCell="1" allowOverlap="1" wp14:anchorId="049E647F" wp14:editId="6B733C29">
            <wp:simplePos x="0" y="0"/>
            <wp:positionH relativeFrom="margin">
              <wp:align>left</wp:align>
            </wp:positionH>
            <wp:positionV relativeFrom="paragraph">
              <wp:posOffset>147320</wp:posOffset>
            </wp:positionV>
            <wp:extent cx="4841875" cy="2820670"/>
            <wp:effectExtent l="0" t="0" r="0" b="0"/>
            <wp:wrapTopAndBottom/>
            <wp:docPr id="49" name="Picture 4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250" cy="2846514"/>
                    </a:xfrm>
                    <a:prstGeom prst="rect">
                      <a:avLst/>
                    </a:prstGeom>
                    <a:noFill/>
                  </pic:spPr>
                </pic:pic>
              </a:graphicData>
            </a:graphic>
            <wp14:sizeRelH relativeFrom="page">
              <wp14:pctWidth>0</wp14:pctWidth>
            </wp14:sizeRelH>
            <wp14:sizeRelV relativeFrom="page">
              <wp14:pctHeight>0</wp14:pctHeight>
            </wp14:sizeRelV>
          </wp:anchor>
        </w:drawing>
      </w:r>
      <w:r w:rsidRPr="00DD72AC">
        <w:rPr>
          <w:rFonts w:ascii="Arial Narrow" w:eastAsia="Times New Roman" w:hAnsi="Arial Narrow"/>
          <w:b/>
          <w:i w:val="0"/>
          <w:iCs w:val="0"/>
          <w:color w:val="auto"/>
          <w:sz w:val="20"/>
          <w:szCs w:val="24"/>
        </w:rPr>
        <w:t xml:space="preserve">Figure </w:t>
      </w:r>
      <w:r w:rsidRPr="00DD72AC">
        <w:rPr>
          <w:rFonts w:ascii="Arial Narrow" w:eastAsia="Times New Roman" w:hAnsi="Arial Narrow"/>
          <w:b/>
          <w:i w:val="0"/>
          <w:iCs w:val="0"/>
          <w:color w:val="auto"/>
          <w:sz w:val="20"/>
          <w:szCs w:val="24"/>
        </w:rPr>
        <w:fldChar w:fldCharType="begin" w:fldLock="1"/>
      </w:r>
      <w:r w:rsidRPr="00DD72AC">
        <w:rPr>
          <w:rFonts w:ascii="Arial Narrow" w:eastAsia="Times New Roman" w:hAnsi="Arial Narrow"/>
          <w:b/>
          <w:i w:val="0"/>
          <w:iCs w:val="0"/>
          <w:color w:val="auto"/>
          <w:sz w:val="20"/>
          <w:szCs w:val="24"/>
        </w:rPr>
        <w:instrText xml:space="preserve"> SEQ Figure \* ARABIC </w:instrText>
      </w:r>
      <w:r w:rsidRPr="00DD72AC">
        <w:rPr>
          <w:rFonts w:ascii="Arial Narrow" w:eastAsia="Times New Roman" w:hAnsi="Arial Narrow"/>
          <w:b/>
          <w:i w:val="0"/>
          <w:iCs w:val="0"/>
          <w:color w:val="auto"/>
          <w:sz w:val="20"/>
          <w:szCs w:val="24"/>
        </w:rPr>
        <w:fldChar w:fldCharType="separate"/>
      </w:r>
      <w:r w:rsidR="003136E6" w:rsidRPr="00DD72AC">
        <w:rPr>
          <w:rFonts w:ascii="Arial Narrow" w:eastAsia="Times New Roman" w:hAnsi="Arial Narrow"/>
          <w:b/>
          <w:i w:val="0"/>
          <w:iCs w:val="0"/>
          <w:color w:val="auto"/>
          <w:sz w:val="20"/>
          <w:szCs w:val="24"/>
        </w:rPr>
        <w:t>3</w:t>
      </w:r>
      <w:r w:rsidRPr="00DD72AC">
        <w:rPr>
          <w:rFonts w:ascii="Arial Narrow" w:eastAsia="Times New Roman" w:hAnsi="Arial Narrow"/>
          <w:b/>
          <w:i w:val="0"/>
          <w:iCs w:val="0"/>
          <w:color w:val="auto"/>
          <w:sz w:val="20"/>
          <w:szCs w:val="24"/>
        </w:rPr>
        <w:fldChar w:fldCharType="end"/>
      </w:r>
      <w:bookmarkEnd w:id="49"/>
      <w:r w:rsidR="00004E4F">
        <w:rPr>
          <w:rFonts w:ascii="Arial Narrow" w:eastAsia="Times New Roman" w:hAnsi="Arial Narrow"/>
          <w:b/>
          <w:i w:val="0"/>
          <w:iCs w:val="0"/>
          <w:color w:val="auto"/>
          <w:sz w:val="20"/>
          <w:szCs w:val="24"/>
        </w:rPr>
        <w:t>:</w:t>
      </w:r>
      <w:r w:rsidRPr="00DD72AC">
        <w:rPr>
          <w:rFonts w:ascii="Arial Narrow" w:eastAsia="Times New Roman" w:hAnsi="Arial Narrow"/>
          <w:b/>
          <w:i w:val="0"/>
          <w:iCs w:val="0"/>
          <w:color w:val="auto"/>
          <w:sz w:val="20"/>
          <w:szCs w:val="24"/>
        </w:rPr>
        <w:t xml:space="preserve"> Modelled patient height, by age at initiation of vosoritide</w:t>
      </w:r>
    </w:p>
    <w:p w14:paraId="3F202C7C" w14:textId="77777777" w:rsidR="009068AA" w:rsidRPr="00DD72AC" w:rsidRDefault="009068AA" w:rsidP="009068AA">
      <w:pPr>
        <w:keepNext/>
        <w:keepLines/>
        <w:spacing w:after="360"/>
        <w:contextualSpacing/>
        <w:jc w:val="left"/>
        <w:textboxTightWrap w:val="allLines"/>
        <w:rPr>
          <w:rFonts w:ascii="Arial Narrow" w:eastAsia="Times New Roman" w:hAnsi="Arial Narrow"/>
          <w:snapToGrid w:val="0"/>
          <w:sz w:val="18"/>
          <w:szCs w:val="22"/>
          <w:lang w:eastAsia="en-GB"/>
        </w:rPr>
      </w:pPr>
      <w:r w:rsidRPr="00DD72AC">
        <w:rPr>
          <w:rFonts w:ascii="Arial Narrow" w:eastAsia="Times New Roman" w:hAnsi="Arial Narrow"/>
          <w:snapToGrid w:val="0"/>
          <w:sz w:val="18"/>
          <w:szCs w:val="22"/>
          <w:lang w:eastAsia="en-GB"/>
        </w:rPr>
        <w:t>Source: Figure 44, p170 of the submission.</w:t>
      </w:r>
    </w:p>
    <w:p w14:paraId="50577454" w14:textId="77777777" w:rsidR="009068AA" w:rsidRPr="00DD72AC" w:rsidRDefault="009068AA" w:rsidP="009068AA">
      <w:pPr>
        <w:keepNext/>
        <w:keepLines/>
        <w:spacing w:after="360"/>
        <w:contextualSpacing/>
        <w:jc w:val="left"/>
        <w:textboxTightWrap w:val="allLines"/>
        <w:rPr>
          <w:rFonts w:ascii="Arial Narrow" w:eastAsia="Times New Roman" w:hAnsi="Arial Narrow"/>
          <w:snapToGrid w:val="0"/>
          <w:sz w:val="18"/>
          <w:szCs w:val="22"/>
          <w:lang w:eastAsia="en-GB"/>
        </w:rPr>
      </w:pPr>
      <w:r w:rsidRPr="00DD72AC">
        <w:rPr>
          <w:rFonts w:ascii="Arial Narrow" w:eastAsia="Times New Roman" w:hAnsi="Arial Narrow"/>
          <w:snapToGrid w:val="0"/>
          <w:sz w:val="18"/>
          <w:szCs w:val="22"/>
          <w:lang w:eastAsia="en-GB"/>
        </w:rPr>
        <w:t xml:space="preserve">Abbreviations: cm = centimetre; Gen pop = general population; </w:t>
      </w:r>
      <w:proofErr w:type="spellStart"/>
      <w:r w:rsidRPr="00DD72AC">
        <w:rPr>
          <w:rFonts w:ascii="Arial Narrow" w:eastAsia="Times New Roman" w:hAnsi="Arial Narrow"/>
          <w:snapToGrid w:val="0"/>
          <w:sz w:val="18"/>
          <w:szCs w:val="22"/>
          <w:lang w:eastAsia="en-GB"/>
        </w:rPr>
        <w:t>tx</w:t>
      </w:r>
      <w:proofErr w:type="spellEnd"/>
      <w:r w:rsidRPr="00DD72AC">
        <w:rPr>
          <w:rFonts w:ascii="Arial Narrow" w:eastAsia="Times New Roman" w:hAnsi="Arial Narrow"/>
          <w:snapToGrid w:val="0"/>
          <w:sz w:val="18"/>
          <w:szCs w:val="22"/>
          <w:lang w:eastAsia="en-GB"/>
        </w:rPr>
        <w:t xml:space="preserve"> = treatment. </w:t>
      </w:r>
    </w:p>
    <w:p w14:paraId="4020E23F" w14:textId="77777777" w:rsidR="009068AA" w:rsidRPr="00DD72AC" w:rsidRDefault="009068AA" w:rsidP="009068AA"/>
    <w:p w14:paraId="2CB84125" w14:textId="2E758D7D"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economic model applied a baseline height of 82.1 cm, and baseline age of 4 years to the modelled cohort. Baseline height was based on data from the Sydney Children’s Hospital Network, while baseline age was assumed based on the average age of patients initiating treatment with vosoritide in budget impact estimates presented in the submission. The model population age and height were different to the clinical evidence presented (study 111-301). The average baseline age and height in study 111-301 were 8.71 years (8.35 years in the vosoritide arm and 9.06 years in the placebo arm) and 101.6 cm (100.20 cm in the vosoritide arm and 102.94 cm in the placebo arm), respectively. The assumed average age of patients initiating treatment in the financial estimates presented is uncertain, given that it relied on uncertain underlying assumptions to estimate the number of patients initiating treatment. The </w:t>
      </w:r>
      <w:r w:rsidR="00616B30" w:rsidRPr="00DD72AC">
        <w:rPr>
          <w:rFonts w:asciiTheme="minorHAnsi" w:eastAsia="Times New Roman" w:hAnsiTheme="minorHAnsi"/>
          <w:snapToGrid w:val="0"/>
        </w:rPr>
        <w:t xml:space="preserve">ESC noted that </w:t>
      </w:r>
      <w:r w:rsidRPr="00DD72AC">
        <w:rPr>
          <w:rFonts w:asciiTheme="minorHAnsi" w:eastAsia="Times New Roman" w:hAnsiTheme="minorHAnsi"/>
          <w:snapToGrid w:val="0"/>
        </w:rPr>
        <w:t>baseline age of the economic model (4 years) is inconsistent with the PI and proposed TGA population</w:t>
      </w:r>
      <w:r w:rsidR="00616B30" w:rsidRPr="00DD72AC">
        <w:rPr>
          <w:rFonts w:asciiTheme="minorHAnsi" w:eastAsia="Times New Roman" w:hAnsiTheme="minorHAnsi"/>
          <w:snapToGrid w:val="0"/>
        </w:rPr>
        <w:t xml:space="preserve">, </w:t>
      </w:r>
      <w:r w:rsidR="00616B30" w:rsidRPr="00DD72AC">
        <w:t>while the financial estimates included patients from age 0 to 17 years</w:t>
      </w:r>
      <w:r w:rsidRPr="00DD72AC">
        <w:rPr>
          <w:rFonts w:asciiTheme="minorHAnsi" w:eastAsia="Times New Roman" w:hAnsiTheme="minorHAnsi"/>
          <w:snapToGrid w:val="0"/>
        </w:rPr>
        <w:t xml:space="preserve">. The </w:t>
      </w:r>
      <w:r w:rsidR="00025F29" w:rsidRPr="00DD72AC">
        <w:rPr>
          <w:rFonts w:asciiTheme="minorHAnsi" w:eastAsia="Times New Roman" w:hAnsiTheme="minorHAnsi"/>
          <w:snapToGrid w:val="0"/>
        </w:rPr>
        <w:t xml:space="preserve">PBAC noted the </w:t>
      </w:r>
      <w:r w:rsidRPr="00DD72AC">
        <w:rPr>
          <w:rFonts w:asciiTheme="minorHAnsi" w:eastAsia="Times New Roman" w:hAnsiTheme="minorHAnsi"/>
          <w:snapToGrid w:val="0"/>
        </w:rPr>
        <w:t xml:space="preserve">impact of varying baseline age on the ICER </w:t>
      </w:r>
      <w:r w:rsidR="00241555" w:rsidRPr="00DD72AC">
        <w:rPr>
          <w:rFonts w:asciiTheme="minorHAnsi" w:eastAsia="Times New Roman" w:hAnsiTheme="minorHAnsi"/>
          <w:snapToGrid w:val="0"/>
        </w:rPr>
        <w:t>wa</w:t>
      </w:r>
      <w:r w:rsidRPr="00DD72AC">
        <w:rPr>
          <w:rFonts w:asciiTheme="minorHAnsi" w:eastAsia="Times New Roman" w:hAnsiTheme="minorHAnsi"/>
          <w:snapToGrid w:val="0"/>
        </w:rPr>
        <w:t>s tested in the sensitivity analyses.</w:t>
      </w:r>
      <w:r w:rsidR="00616B30" w:rsidRPr="00DD72AC">
        <w:rPr>
          <w:rFonts w:asciiTheme="minorHAnsi" w:eastAsia="Times New Roman" w:hAnsiTheme="minorHAnsi"/>
          <w:snapToGrid w:val="0"/>
        </w:rPr>
        <w:t xml:space="preserve"> </w:t>
      </w:r>
    </w:p>
    <w:p w14:paraId="33A80414" w14:textId="61A98184"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model estimated vosoritide treatment effect to provide 72% of the growth velocity deficit experienced by the achondroplasia population, and this 72% was applied to vosoritide treated patients in each year of the model until growth plate closure. This may not be reasonable given that trial 111-301 follow-up duration was limited to 12 months only, with the supportive evidence from the ongoing long-term </w:t>
      </w:r>
      <w:r w:rsidRPr="00DD72AC">
        <w:rPr>
          <w:rFonts w:asciiTheme="minorHAnsi" w:eastAsia="Times New Roman" w:hAnsiTheme="minorHAnsi"/>
          <w:snapToGrid w:val="0"/>
        </w:rPr>
        <w:lastRenderedPageBreak/>
        <w:t xml:space="preserve">extension study 111-205 providing evidence of positive effects on growth for up to 5 years. </w:t>
      </w:r>
      <w:r w:rsidR="00037EDB" w:rsidRPr="00DD72AC">
        <w:rPr>
          <w:rFonts w:asciiTheme="minorHAnsi" w:eastAsia="Times New Roman" w:hAnsiTheme="minorHAnsi"/>
          <w:snapToGrid w:val="0"/>
        </w:rPr>
        <w:t xml:space="preserve">The PSCR argued that </w:t>
      </w:r>
      <w:r w:rsidR="00037EDB" w:rsidRPr="00DD72AC">
        <w:t xml:space="preserve">the 5-year data are useful in establishing the longer-term treatment effect since the natural history of achondroplasia rates of growth are well understood (as demonstrated by achondroplasia growth charts). Therefore, the </w:t>
      </w:r>
      <w:r w:rsidR="00783E8E" w:rsidRPr="00DD72AC">
        <w:t xml:space="preserve">PSCR argued that </w:t>
      </w:r>
      <w:r w:rsidR="00037EDB" w:rsidRPr="00DD72AC">
        <w:t xml:space="preserve">growth velocity observed in the longer-term data can be reliably compared to what would be expected in an age/sex matched population. </w:t>
      </w:r>
      <w:r w:rsidRPr="00DD72AC">
        <w:rPr>
          <w:rFonts w:asciiTheme="minorHAnsi" w:eastAsia="Times New Roman" w:hAnsiTheme="minorHAnsi"/>
          <w:snapToGrid w:val="0"/>
        </w:rPr>
        <w:t>Th</w:t>
      </w:r>
      <w:r w:rsidR="00037EDB" w:rsidRPr="00DD72AC">
        <w:rPr>
          <w:rFonts w:asciiTheme="minorHAnsi" w:eastAsia="Times New Roman" w:hAnsiTheme="minorHAnsi"/>
          <w:snapToGrid w:val="0"/>
        </w:rPr>
        <w:t xml:space="preserve">e ESC considered that it is uncertain </w:t>
      </w:r>
      <w:r w:rsidRPr="00DD72AC">
        <w:rPr>
          <w:rFonts w:asciiTheme="minorHAnsi" w:eastAsia="Times New Roman" w:hAnsiTheme="minorHAnsi"/>
          <w:snapToGrid w:val="0"/>
        </w:rPr>
        <w:t xml:space="preserve">if the </w:t>
      </w:r>
      <w:r w:rsidR="00037EDB" w:rsidRPr="00DD72AC">
        <w:rPr>
          <w:rFonts w:asciiTheme="minorHAnsi" w:eastAsia="Times New Roman" w:hAnsiTheme="minorHAnsi"/>
          <w:snapToGrid w:val="0"/>
        </w:rPr>
        <w:t xml:space="preserve">treatment effect of 72% applied in the economic model will be </w:t>
      </w:r>
      <w:r w:rsidRPr="00DD72AC">
        <w:rPr>
          <w:rFonts w:asciiTheme="minorHAnsi" w:eastAsia="Times New Roman" w:hAnsiTheme="minorHAnsi"/>
          <w:snapToGrid w:val="0"/>
        </w:rPr>
        <w:t xml:space="preserve">sustained </w:t>
      </w:r>
      <w:r w:rsidR="00783E8E" w:rsidRPr="00DD72AC">
        <w:rPr>
          <w:rFonts w:asciiTheme="minorHAnsi" w:eastAsia="Times New Roman" w:hAnsiTheme="minorHAnsi"/>
          <w:snapToGrid w:val="0"/>
        </w:rPr>
        <w:t xml:space="preserve">across childhood, particularly beyond the first 5 years of treatment </w:t>
      </w:r>
      <w:r w:rsidRPr="00DD72AC">
        <w:rPr>
          <w:rFonts w:asciiTheme="minorHAnsi" w:eastAsia="Times New Roman" w:hAnsiTheme="minorHAnsi"/>
          <w:snapToGrid w:val="0"/>
        </w:rPr>
        <w:t xml:space="preserve">until growth plate closure. </w:t>
      </w:r>
    </w:p>
    <w:p w14:paraId="4FB152B9" w14:textId="549C88E6" w:rsidR="00BD42E3" w:rsidRPr="00DD72AC" w:rsidRDefault="00BD42E3" w:rsidP="00EB6AD4">
      <w:pPr>
        <w:numPr>
          <w:ilvl w:val="1"/>
          <w:numId w:val="1"/>
        </w:numPr>
        <w:spacing w:after="120"/>
        <w:rPr>
          <w:rFonts w:asciiTheme="minorHAnsi" w:eastAsia="Times New Roman" w:hAnsiTheme="minorHAnsi"/>
          <w:snapToGrid w:val="0"/>
        </w:rPr>
      </w:pPr>
      <w:bookmarkStart w:id="50" w:name="_Ref105753298"/>
      <w:r w:rsidRPr="00DD72AC">
        <w:rPr>
          <w:rFonts w:asciiTheme="minorHAnsi" w:eastAsia="Times New Roman" w:hAnsiTheme="minorHAnsi"/>
          <w:snapToGrid w:val="0"/>
        </w:rPr>
        <w:t>The estimated utilities applied in the model were uncertain for the reasons discussed below:</w:t>
      </w:r>
      <w:bookmarkEnd w:id="50"/>
    </w:p>
    <w:p w14:paraId="60BF6CC8" w14:textId="5B2AA05B" w:rsidR="00BD42E3" w:rsidRPr="00DD72AC" w:rsidRDefault="00BD42E3" w:rsidP="00214558">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t>H</w:t>
      </w:r>
      <w:r w:rsidR="00414578" w:rsidRPr="00DD72AC">
        <w:rPr>
          <w:rFonts w:asciiTheme="minorHAnsi" w:eastAsia="Times New Roman" w:hAnsiTheme="minorHAnsi"/>
          <w:snapToGrid w:val="0"/>
        </w:rPr>
        <w:t xml:space="preserve">ealth related </w:t>
      </w:r>
      <w:r w:rsidRPr="00DD72AC">
        <w:rPr>
          <w:rFonts w:asciiTheme="minorHAnsi" w:eastAsia="Times New Roman" w:hAnsiTheme="minorHAnsi"/>
          <w:snapToGrid w:val="0"/>
        </w:rPr>
        <w:t>QoL was incorporated in the model via the application of a height-specific utility value to patients remaining alive each cycle. The model extrapolated utility data obtained from Christensen (2007)</w:t>
      </w:r>
      <w:r w:rsidRPr="00DD72AC">
        <w:rPr>
          <w:rStyle w:val="FootnoteReference"/>
          <w:rFonts w:asciiTheme="minorHAnsi" w:eastAsia="Times New Roman" w:hAnsiTheme="minorHAnsi"/>
          <w:snapToGrid w:val="0"/>
        </w:rPr>
        <w:footnoteReference w:id="4"/>
      </w:r>
      <w:r w:rsidRPr="00DD72AC">
        <w:rPr>
          <w:rFonts w:asciiTheme="minorHAnsi" w:eastAsia="Times New Roman" w:hAnsiTheme="minorHAnsi"/>
          <w:snapToGrid w:val="0"/>
        </w:rPr>
        <w:t xml:space="preserve"> using a quadratic polynomial function to allow for the estimation of utility values associated with Z-scores beyond the ranges reported in Christensen (2007) (see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_Ref102868896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Figure 4</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w:t>
      </w:r>
    </w:p>
    <w:p w14:paraId="318D8C42" w14:textId="0BB57505" w:rsidR="00326108" w:rsidRPr="00DD72AC" w:rsidRDefault="00326108" w:rsidP="00214558">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t xml:space="preserve">Utility values were obtained from </w:t>
      </w:r>
      <w:r w:rsidR="00DC4D64" w:rsidRPr="00DD72AC">
        <w:rPr>
          <w:rFonts w:asciiTheme="minorHAnsi" w:eastAsia="Times New Roman" w:hAnsiTheme="minorHAnsi"/>
          <w:snapToGrid w:val="0"/>
        </w:rPr>
        <w:t xml:space="preserve">a </w:t>
      </w:r>
      <w:r w:rsidRPr="00DD72AC">
        <w:rPr>
          <w:rFonts w:asciiTheme="minorHAnsi" w:eastAsia="Times New Roman" w:hAnsiTheme="minorHAnsi"/>
          <w:snapToGrid w:val="0"/>
        </w:rPr>
        <w:t>study (Christensen 2007) conducted in the general UK population, and not in achondroplasia population or short stature population.</w:t>
      </w:r>
    </w:p>
    <w:p w14:paraId="1E4A9A1E" w14:textId="33ED2188" w:rsidR="00326108" w:rsidRPr="00DD72AC" w:rsidRDefault="00326108" w:rsidP="00214558">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t xml:space="preserve">Height Z-score of the great majority of patients with achondroplasia was below -3.0, while Christensen (2007) did not distinguish between patients with Z-scores below -3. </w:t>
      </w:r>
    </w:p>
    <w:p w14:paraId="2F073815" w14:textId="76C5F7F2" w:rsidR="00326108" w:rsidRPr="00DD72AC" w:rsidRDefault="00326108" w:rsidP="00214558">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t xml:space="preserve">Given that Christensen (2007) did not report utility data or people with Z-scores below -3, extrapolation was performed by the submission to allow estimation of utility values beyond those reported in the study. Extrapolation has increased the uncertainty of the estimates applied to economic model and testing in sensitivity analysis was limited to two other functions (cubic and linear). The ICER is highly sensitive to this assumption. </w:t>
      </w:r>
    </w:p>
    <w:p w14:paraId="42FF4689" w14:textId="77777777" w:rsidR="00326108" w:rsidRPr="00DD72AC" w:rsidRDefault="00326108" w:rsidP="00214558">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t xml:space="preserve">The utility values were applied in the model to children aged 4 years onwards, while Christensen 2007 study was based on a survey of adults (aged ≥18 years) with the EQ-5D and not children. </w:t>
      </w:r>
    </w:p>
    <w:p w14:paraId="7AAECC26" w14:textId="64386A20" w:rsidR="00DC4D64" w:rsidRPr="00DD72AC" w:rsidRDefault="00326108" w:rsidP="000345B2">
      <w:pPr>
        <w:spacing w:after="120"/>
        <w:ind w:left="720"/>
        <w:rPr>
          <w:i/>
          <w:iCs/>
        </w:rPr>
      </w:pPr>
      <w:r w:rsidRPr="00DD72AC">
        <w:rPr>
          <w:rFonts w:eastAsia="Times New Roman"/>
        </w:rPr>
        <w:t xml:space="preserve">Overall, the lack of data from prospective longitudinal follow-up studies makes inferences about cause and consequences difficult. The lack of data in a similar population to achondroplasia also impacts the generalisability of utility values given </w:t>
      </w:r>
      <w:r w:rsidRPr="00DD72AC">
        <w:rPr>
          <w:rFonts w:eastAsia="Times New Roman"/>
        </w:rPr>
        <w:lastRenderedPageBreak/>
        <w:t>that the condition is characterised not just by short stature but also significant clinical morbidity which likely interact.</w:t>
      </w:r>
      <w:r w:rsidR="00DC4D64" w:rsidRPr="00DD72AC">
        <w:rPr>
          <w:rFonts w:eastAsia="Times New Roman"/>
        </w:rPr>
        <w:t xml:space="preserve"> The PSCR argued that while uncertain, it was reasonable to assume utility continues to be correlated with height below z-scores of </w:t>
      </w:r>
      <w:r w:rsidR="00DC4D64" w:rsidRPr="00DD72AC">
        <w:rPr>
          <w:rFonts w:eastAsia="Times New Roman"/>
        </w:rPr>
        <w:br/>
        <w:t>-3. The PSCR argue</w:t>
      </w:r>
      <w:r w:rsidR="009669D2" w:rsidRPr="00DD72AC">
        <w:rPr>
          <w:rFonts w:eastAsia="Times New Roman"/>
        </w:rPr>
        <w:t>d</w:t>
      </w:r>
      <w:r w:rsidR="00DC4D64" w:rsidRPr="00DD72AC">
        <w:rPr>
          <w:rFonts w:eastAsia="Times New Roman"/>
        </w:rPr>
        <w:t xml:space="preserve"> that this is supported </w:t>
      </w:r>
      <w:r w:rsidR="00DC4D64" w:rsidRPr="00DD72AC">
        <w:t xml:space="preserve">by mapped SF-36 data from </w:t>
      </w:r>
      <w:proofErr w:type="spellStart"/>
      <w:r w:rsidR="00DC4D64" w:rsidRPr="00DD72AC">
        <w:t>Y</w:t>
      </w:r>
      <w:r w:rsidR="007855A4" w:rsidRPr="00DD72AC">
        <w:t>o</w:t>
      </w:r>
      <w:r w:rsidR="00DC4D64" w:rsidRPr="00DD72AC">
        <w:t>nko</w:t>
      </w:r>
      <w:proofErr w:type="spellEnd"/>
      <w:r w:rsidR="00DC4D64" w:rsidRPr="00DD72AC">
        <w:t xml:space="preserve"> 2021, whereby a mean EQ-5D utility values of 0.57 is estimated for achondroplasia patients in the US compared to 0.84 in the general population. </w:t>
      </w:r>
      <w:r w:rsidR="000345B2" w:rsidRPr="00DD72AC">
        <w:t xml:space="preserve">The ESC agreed with the PSCR that the single utility estimate for the achondroplasia population in </w:t>
      </w:r>
      <w:proofErr w:type="spellStart"/>
      <w:r w:rsidR="000345B2" w:rsidRPr="00DD72AC">
        <w:t>Yonko</w:t>
      </w:r>
      <w:proofErr w:type="spellEnd"/>
      <w:r w:rsidR="000345B2" w:rsidRPr="00DD72AC">
        <w:t xml:space="preserve"> 2021 could not be directly used in the economic model because it doesn’t capture a change in utility associated with a change in height. However, the ESC considered it is not sufficient to rely on mapping of a single utility estimate to support the assumption that utility will continue to correlate with height below z-score of -3 as used in the economic model. The ESC considered that the estimated utilities beyond those reported in Christensen are highly uncertain and noted that the ICER was highly sensitive to the extrapolation of these utility data (see </w:t>
      </w:r>
      <w:r w:rsidR="000345B2" w:rsidRPr="00DD72AC">
        <w:fldChar w:fldCharType="begin" w:fldLock="1"/>
      </w:r>
      <w:r w:rsidR="000345B2" w:rsidRPr="00DD72AC">
        <w:instrText xml:space="preserve"> REF _Ref100601930 \h  \* MERGEFORMAT </w:instrText>
      </w:r>
      <w:r w:rsidR="000345B2" w:rsidRPr="00DD72AC">
        <w:fldChar w:fldCharType="separate"/>
      </w:r>
      <w:r w:rsidR="0080776A" w:rsidRPr="00DD72AC">
        <w:t>Table 15</w:t>
      </w:r>
      <w:r w:rsidR="000345B2" w:rsidRPr="00DD72AC">
        <w:fldChar w:fldCharType="end"/>
      </w:r>
      <w:r w:rsidR="000345B2" w:rsidRPr="00DD72AC">
        <w:t>).</w:t>
      </w:r>
      <w:r w:rsidR="000345B2" w:rsidRPr="00DD72AC">
        <w:rPr>
          <w:i/>
          <w:iCs/>
        </w:rPr>
        <w:t xml:space="preserve"> </w:t>
      </w:r>
    </w:p>
    <w:p w14:paraId="2ABD0BE0" w14:textId="6EC1D24B" w:rsidR="00BD42E3" w:rsidRPr="00DD72AC" w:rsidRDefault="00BD42E3" w:rsidP="00326108">
      <w:pPr>
        <w:keepNext/>
        <w:jc w:val="left"/>
        <w:rPr>
          <w:rFonts w:ascii="Arial Narrow" w:eastAsiaTheme="majorEastAsia" w:hAnsi="Arial Narrow" w:cstheme="majorBidi"/>
          <w:b/>
          <w:sz w:val="20"/>
        </w:rPr>
      </w:pPr>
      <w:bookmarkStart w:id="51" w:name="_Ref102868896"/>
      <w:r w:rsidRPr="00DD72AC">
        <w:rPr>
          <w:rFonts w:ascii="Arial Narrow" w:eastAsiaTheme="majorEastAsia" w:hAnsi="Arial Narrow" w:cstheme="majorBidi"/>
          <w:b/>
          <w:sz w:val="20"/>
        </w:rPr>
        <w:t xml:space="preserve">Figure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Figure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4</w:t>
      </w:r>
      <w:r w:rsidRPr="00DD72AC">
        <w:rPr>
          <w:rFonts w:ascii="Arial Narrow" w:eastAsiaTheme="majorEastAsia" w:hAnsi="Arial Narrow" w:cstheme="majorBidi"/>
          <w:b/>
          <w:sz w:val="20"/>
        </w:rPr>
        <w:fldChar w:fldCharType="end"/>
      </w:r>
      <w:bookmarkEnd w:id="51"/>
      <w:r w:rsidRPr="00DD72AC">
        <w:rPr>
          <w:rFonts w:ascii="Arial Narrow" w:eastAsiaTheme="majorEastAsia" w:hAnsi="Arial Narrow" w:cstheme="majorBidi"/>
          <w:b/>
          <w:sz w:val="20"/>
        </w:rPr>
        <w:t>: Illustration of height-based utility values applied in sensitivity analyses</w:t>
      </w:r>
    </w:p>
    <w:p w14:paraId="317D5456" w14:textId="77777777" w:rsidR="00BD42E3" w:rsidRPr="00DD72AC" w:rsidRDefault="00BD42E3" w:rsidP="00326108">
      <w:pPr>
        <w:jc w:val="left"/>
        <w:rPr>
          <w:rFonts w:eastAsia="Times New Roman"/>
        </w:rPr>
      </w:pPr>
      <w:r w:rsidRPr="00DD72AC">
        <w:rPr>
          <w:noProof/>
        </w:rPr>
        <w:drawing>
          <wp:inline distT="0" distB="0" distL="0" distR="0" wp14:anchorId="1DA4C28A" wp14:editId="0C4F440F">
            <wp:extent cx="5391150" cy="2787719"/>
            <wp:effectExtent l="0" t="0" r="0" b="0"/>
            <wp:docPr id="83" name="Picture 8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Chart, lin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128" cy="2841485"/>
                    </a:xfrm>
                    <a:prstGeom prst="rect">
                      <a:avLst/>
                    </a:prstGeom>
                    <a:noFill/>
                  </pic:spPr>
                </pic:pic>
              </a:graphicData>
            </a:graphic>
          </wp:inline>
        </w:drawing>
      </w:r>
    </w:p>
    <w:p w14:paraId="3019376B" w14:textId="77777777" w:rsidR="00BD42E3" w:rsidRPr="00DD72AC" w:rsidRDefault="00BD42E3" w:rsidP="00EB6AD4">
      <w:pPr>
        <w:ind w:left="1080"/>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Figure 58, p209 of the submission.</w:t>
      </w:r>
    </w:p>
    <w:p w14:paraId="526FC4FC" w14:textId="77777777" w:rsidR="00BD42E3" w:rsidRPr="00DD72AC" w:rsidRDefault="00BD42E3" w:rsidP="00EB6AD4">
      <w:pPr>
        <w:ind w:left="1080"/>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HSDS = height standard deviation scores.</w:t>
      </w:r>
    </w:p>
    <w:p w14:paraId="24E4CB78" w14:textId="77777777" w:rsidR="00BD42E3" w:rsidRPr="00DD72AC" w:rsidRDefault="00BD42E3" w:rsidP="00EB6AD4">
      <w:pPr>
        <w:ind w:left="1080"/>
        <w:rPr>
          <w:rFonts w:ascii="Arial Narrow" w:eastAsia="Times New Roman" w:hAnsi="Arial Narrow"/>
          <w:snapToGrid w:val="0"/>
          <w:sz w:val="18"/>
          <w:szCs w:val="22"/>
        </w:rPr>
      </w:pPr>
      <w:r w:rsidRPr="00DD72AC">
        <w:rPr>
          <w:rFonts w:ascii="Arial Narrow" w:eastAsia="Times New Roman" w:hAnsi="Arial Narrow"/>
          <w:snapToGrid w:val="0"/>
          <w:sz w:val="18"/>
          <w:szCs w:val="22"/>
        </w:rPr>
        <w:t>Note: The linear extrapolation is capped at a maximum utility of 1.0.</w:t>
      </w:r>
    </w:p>
    <w:p w14:paraId="785E7EDA" w14:textId="77777777" w:rsidR="00BD42E3" w:rsidRPr="00DD72AC" w:rsidRDefault="00BD42E3" w:rsidP="00EB6AD4">
      <w:pPr>
        <w:ind w:left="1080"/>
        <w:rPr>
          <w:rFonts w:ascii="Arial Narrow" w:eastAsia="Times New Roman" w:hAnsi="Arial Narrow"/>
          <w:snapToGrid w:val="0"/>
          <w:sz w:val="18"/>
          <w:szCs w:val="22"/>
        </w:rPr>
      </w:pPr>
    </w:p>
    <w:p w14:paraId="6D3E3956" w14:textId="77777777" w:rsidR="00BD42E3" w:rsidRPr="00DD72AC" w:rsidRDefault="00BD42E3" w:rsidP="00EB6AD4">
      <w:pPr>
        <w:numPr>
          <w:ilvl w:val="1"/>
          <w:numId w:val="1"/>
        </w:numPr>
        <w:spacing w:after="120"/>
        <w:rPr>
          <w:rFonts w:asciiTheme="minorHAnsi" w:eastAsia="Times New Roman" w:hAnsiTheme="minorHAnsi"/>
          <w:snapToGrid w:val="0"/>
        </w:rPr>
      </w:pPr>
      <w:r w:rsidRPr="00DD72AC">
        <w:rPr>
          <w:rFonts w:eastAsia="Times New Roman"/>
          <w:snapToGrid w:val="0"/>
        </w:rPr>
        <w:t>The base case economic model assumed 100% persistence to vosoritide, until growth plate closure. This is not consistent with the clinical evidence presented. Study 111-301 was limited to 12-month follow-up (with 57.77 months extension in study 111-205) with discontinuation rate of 3.3% reported in the treatment arm of the study.</w:t>
      </w:r>
    </w:p>
    <w:p w14:paraId="072A9779" w14:textId="076C857B" w:rsidR="00BD42E3" w:rsidRPr="00DD72AC" w:rsidRDefault="00BD42E3" w:rsidP="00EB6AD4">
      <w:pPr>
        <w:numPr>
          <w:ilvl w:val="1"/>
          <w:numId w:val="1"/>
        </w:numPr>
        <w:spacing w:after="120"/>
        <w:rPr>
          <w:rFonts w:asciiTheme="minorHAnsi" w:eastAsia="Times New Roman" w:hAnsiTheme="minorHAnsi"/>
          <w:snapToGrid w:val="0"/>
        </w:rPr>
      </w:pPr>
      <w:bookmarkStart w:id="52" w:name="_Ref105747395"/>
      <w:r w:rsidRPr="00DD72AC">
        <w:rPr>
          <w:rFonts w:asciiTheme="minorHAnsi" w:eastAsia="Times New Roman" w:hAnsiTheme="minorHAnsi"/>
          <w:snapToGrid w:val="0"/>
        </w:rPr>
        <w:t xml:space="preserve">The survival model traces over time for vosoritide and BSC arms, relative to the age- and sex-matched general population are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_Ref100575031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Figure 5</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The submission stated </w:t>
      </w:r>
      <w:r w:rsidR="007C1A45" w:rsidRPr="00DD72AC">
        <w:rPr>
          <w:rFonts w:asciiTheme="minorHAnsi" w:eastAsia="Times New Roman" w:hAnsiTheme="minorHAnsi"/>
          <w:snapToGrid w:val="0"/>
        </w:rPr>
        <w:t xml:space="preserve">that </w:t>
      </w:r>
      <w:r w:rsidRPr="00DD72AC">
        <w:rPr>
          <w:rFonts w:asciiTheme="minorHAnsi" w:eastAsia="Times New Roman" w:hAnsiTheme="minorHAnsi"/>
          <w:snapToGrid w:val="0"/>
        </w:rPr>
        <w:t xml:space="preserve">over the lifetime model these survival curves translate to an estimated life expectancy of 76 years in the vosoritide arm and </w:t>
      </w:r>
      <w:r w:rsidRPr="00DD72AC">
        <w:rPr>
          <w:rFonts w:asciiTheme="minorHAnsi" w:eastAsia="Times New Roman" w:hAnsiTheme="minorHAnsi"/>
          <w:snapToGrid w:val="0"/>
        </w:rPr>
        <w:lastRenderedPageBreak/>
        <w:t xml:space="preserve">72.5 years in the BSC arm, compared to 79.3 years for the age- and sex-matched general population. This was not consistent with the data presented in </w:t>
      </w:r>
      <w:r w:rsidR="007C1A45" w:rsidRPr="00DD72AC">
        <w:rPr>
          <w:rFonts w:asciiTheme="minorHAnsi" w:eastAsia="Times New Roman" w:hAnsiTheme="minorHAnsi"/>
          <w:snapToGrid w:val="0"/>
        </w:rPr>
        <w:fldChar w:fldCharType="begin" w:fldLock="1"/>
      </w:r>
      <w:r w:rsidR="007C1A45" w:rsidRPr="00DD72AC">
        <w:rPr>
          <w:rFonts w:asciiTheme="minorHAnsi" w:eastAsia="Times New Roman" w:hAnsiTheme="minorHAnsi"/>
          <w:snapToGrid w:val="0"/>
        </w:rPr>
        <w:instrText xml:space="preserve"> REF _Ref100575031 \h  \* MERGEFORMAT </w:instrText>
      </w:r>
      <w:r w:rsidR="007C1A45" w:rsidRPr="00DD72AC">
        <w:rPr>
          <w:rFonts w:asciiTheme="minorHAnsi" w:eastAsia="Times New Roman" w:hAnsiTheme="minorHAnsi"/>
          <w:snapToGrid w:val="0"/>
        </w:rPr>
      </w:r>
      <w:r w:rsidR="007C1A45"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Figure 5</w:t>
      </w:r>
      <w:r w:rsidR="007C1A45"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and it would be more appropriate to compare life expectancy with the average for the achondroplasia population rather than the age- and sex- matched general population. The model validation statistics show that median survival in the treatment arm of the model is observed approximately at age 83 years. </w:t>
      </w:r>
      <w:r w:rsidR="002924B6" w:rsidRPr="00DD72AC">
        <w:rPr>
          <w:rFonts w:asciiTheme="minorHAnsi" w:eastAsia="Times New Roman" w:hAnsiTheme="minorHAnsi"/>
          <w:snapToGrid w:val="0"/>
        </w:rPr>
        <w:t xml:space="preserve">The </w:t>
      </w:r>
      <w:r w:rsidR="00025F29" w:rsidRPr="00DD72AC">
        <w:rPr>
          <w:rFonts w:asciiTheme="minorHAnsi" w:eastAsia="Times New Roman" w:hAnsiTheme="minorHAnsi"/>
          <w:snapToGrid w:val="0"/>
        </w:rPr>
        <w:t xml:space="preserve">PBAC agreed with the </w:t>
      </w:r>
      <w:r w:rsidR="002924B6" w:rsidRPr="00DD72AC">
        <w:rPr>
          <w:rFonts w:asciiTheme="minorHAnsi" w:eastAsia="Times New Roman" w:hAnsiTheme="minorHAnsi"/>
          <w:snapToGrid w:val="0"/>
        </w:rPr>
        <w:t xml:space="preserve">ESC </w:t>
      </w:r>
      <w:r w:rsidR="00025F29" w:rsidRPr="00DD72AC">
        <w:rPr>
          <w:rFonts w:asciiTheme="minorHAnsi" w:eastAsia="Times New Roman" w:hAnsiTheme="minorHAnsi"/>
          <w:snapToGrid w:val="0"/>
        </w:rPr>
        <w:t>that</w:t>
      </w:r>
      <w:r w:rsidR="002924B6" w:rsidRPr="00DD72AC">
        <w:rPr>
          <w:rFonts w:asciiTheme="minorHAnsi" w:eastAsia="Times New Roman" w:hAnsiTheme="minorHAnsi"/>
          <w:snapToGrid w:val="0"/>
        </w:rPr>
        <w:t xml:space="preserve"> t</w:t>
      </w:r>
      <w:r w:rsidRPr="00DD72AC">
        <w:rPr>
          <w:rFonts w:asciiTheme="minorHAnsi" w:eastAsia="Times New Roman" w:hAnsiTheme="minorHAnsi"/>
          <w:snapToGrid w:val="0"/>
        </w:rPr>
        <w:t>his may not be reasonable given that achondroplasia has an average life expectancy of 72.8 years (10 years less than average of the general population</w:t>
      </w:r>
      <w:r w:rsidRPr="00DD72AC">
        <w:rPr>
          <w:rFonts w:asciiTheme="minorHAnsi" w:eastAsia="Times New Roman" w:hAnsiTheme="minorHAnsi"/>
          <w:snapToGrid w:val="0"/>
          <w:vertAlign w:val="superscript"/>
        </w:rPr>
        <w:footnoteReference w:id="5"/>
      </w:r>
      <w:r w:rsidRPr="00DD72AC">
        <w:rPr>
          <w:rFonts w:asciiTheme="minorHAnsi" w:eastAsia="Times New Roman" w:hAnsiTheme="minorHAnsi"/>
          <w:snapToGrid w:val="0"/>
        </w:rPr>
        <w:t xml:space="preserve">). The </w:t>
      </w:r>
      <w:r w:rsidR="00C253B9" w:rsidRPr="00DD72AC">
        <w:rPr>
          <w:rFonts w:asciiTheme="minorHAnsi" w:eastAsia="Times New Roman" w:hAnsiTheme="minorHAnsi"/>
          <w:snapToGrid w:val="0"/>
        </w:rPr>
        <w:t xml:space="preserve">modelled </w:t>
      </w:r>
      <w:r w:rsidRPr="00DD72AC">
        <w:rPr>
          <w:rFonts w:asciiTheme="minorHAnsi" w:eastAsia="Times New Roman" w:hAnsiTheme="minorHAnsi"/>
          <w:snapToGrid w:val="0"/>
        </w:rPr>
        <w:t xml:space="preserve">survival gain for the treatment arm </w:t>
      </w:r>
      <w:r w:rsidR="00C253B9" w:rsidRPr="00DD72AC">
        <w:rPr>
          <w:rFonts w:asciiTheme="minorHAnsi" w:eastAsia="Times New Roman" w:hAnsiTheme="minorHAnsi"/>
          <w:snapToGrid w:val="0"/>
        </w:rPr>
        <w:t>is uncertain</w:t>
      </w:r>
      <w:r w:rsidRPr="00DD72AC">
        <w:rPr>
          <w:rFonts w:asciiTheme="minorHAnsi" w:eastAsia="Times New Roman" w:hAnsiTheme="minorHAnsi"/>
          <w:snapToGrid w:val="0"/>
        </w:rPr>
        <w:t xml:space="preserve">. </w:t>
      </w:r>
      <w:r w:rsidR="00086609" w:rsidRPr="00DD72AC">
        <w:rPr>
          <w:rFonts w:asciiTheme="minorHAnsi" w:eastAsia="Times New Roman" w:hAnsiTheme="minorHAnsi"/>
          <w:snapToGrid w:val="0"/>
        </w:rPr>
        <w:t>As described above (</w:t>
      </w:r>
      <w:r w:rsidR="00B06A85" w:rsidRPr="00DD72AC">
        <w:rPr>
          <w:rFonts w:asciiTheme="minorHAnsi" w:eastAsia="Times New Roman" w:hAnsiTheme="minorHAnsi"/>
          <w:snapToGrid w:val="0"/>
        </w:rPr>
        <w:t xml:space="preserve">see paragraph </w:t>
      </w:r>
      <w:r w:rsidR="00B06A85" w:rsidRPr="00DD72AC">
        <w:rPr>
          <w:rFonts w:asciiTheme="minorHAnsi" w:eastAsia="Times New Roman" w:hAnsiTheme="minorHAnsi"/>
          <w:snapToGrid w:val="0"/>
        </w:rPr>
        <w:fldChar w:fldCharType="begin" w:fldLock="1"/>
      </w:r>
      <w:r w:rsidR="00B06A85" w:rsidRPr="00DD72AC">
        <w:rPr>
          <w:rFonts w:asciiTheme="minorHAnsi" w:eastAsia="Times New Roman" w:hAnsiTheme="minorHAnsi"/>
          <w:snapToGrid w:val="0"/>
        </w:rPr>
        <w:instrText xml:space="preserve"> REF _Ref103758855 \r \h </w:instrText>
      </w:r>
      <w:r w:rsidR="00F9542A" w:rsidRPr="00DD72AC">
        <w:rPr>
          <w:rFonts w:asciiTheme="minorHAnsi" w:eastAsia="Times New Roman" w:hAnsiTheme="minorHAnsi"/>
          <w:snapToGrid w:val="0"/>
        </w:rPr>
        <w:instrText xml:space="preserve"> \* MERGEFORMAT </w:instrText>
      </w:r>
      <w:r w:rsidR="00B06A85" w:rsidRPr="00DD72AC">
        <w:rPr>
          <w:rFonts w:asciiTheme="minorHAnsi" w:eastAsia="Times New Roman" w:hAnsiTheme="minorHAnsi"/>
          <w:snapToGrid w:val="0"/>
        </w:rPr>
      </w:r>
      <w:r w:rsidR="00B06A85" w:rsidRPr="00DD72AC">
        <w:rPr>
          <w:rFonts w:asciiTheme="minorHAnsi" w:eastAsia="Times New Roman" w:hAnsiTheme="minorHAnsi"/>
          <w:snapToGrid w:val="0"/>
        </w:rPr>
        <w:fldChar w:fldCharType="separate"/>
      </w:r>
      <w:r w:rsidR="000F61A3" w:rsidRPr="00DD72AC">
        <w:rPr>
          <w:rFonts w:asciiTheme="minorHAnsi" w:eastAsia="Times New Roman" w:hAnsiTheme="minorHAnsi"/>
          <w:snapToGrid w:val="0"/>
        </w:rPr>
        <w:t>6.32</w:t>
      </w:r>
      <w:r w:rsidR="00B06A85" w:rsidRPr="00DD72AC">
        <w:rPr>
          <w:rFonts w:asciiTheme="minorHAnsi" w:eastAsia="Times New Roman" w:hAnsiTheme="minorHAnsi"/>
          <w:snapToGrid w:val="0"/>
        </w:rPr>
        <w:fldChar w:fldCharType="end"/>
      </w:r>
      <w:r w:rsidR="00086609" w:rsidRPr="00DD72AC">
        <w:rPr>
          <w:rFonts w:asciiTheme="minorHAnsi" w:eastAsia="Times New Roman" w:hAnsiTheme="minorHAnsi"/>
          <w:snapToGrid w:val="0"/>
        </w:rPr>
        <w:t xml:space="preserve">), the submission assumed that </w:t>
      </w:r>
      <w:r w:rsidRPr="00DD72AC">
        <w:rPr>
          <w:rFonts w:asciiTheme="minorHAnsi" w:eastAsia="Times New Roman" w:hAnsiTheme="minorHAnsi"/>
          <w:snapToGrid w:val="0"/>
        </w:rPr>
        <w:t>vosoritide treatment will lead to the estimated survival gain through improved height.</w:t>
      </w:r>
      <w:bookmarkEnd w:id="52"/>
      <w:r w:rsidRPr="00DD72AC">
        <w:rPr>
          <w:rFonts w:asciiTheme="minorHAnsi" w:eastAsia="Times New Roman" w:hAnsiTheme="minorHAnsi"/>
          <w:snapToGrid w:val="0"/>
        </w:rPr>
        <w:t xml:space="preserve"> </w:t>
      </w:r>
    </w:p>
    <w:p w14:paraId="0801C0EC" w14:textId="19F12DCD" w:rsidR="00BD42E3" w:rsidRPr="00DD72AC" w:rsidRDefault="00BD42E3" w:rsidP="00661397">
      <w:pPr>
        <w:keepNext/>
        <w:widowControl w:val="0"/>
        <w:spacing w:after="200"/>
        <w:jc w:val="left"/>
        <w:rPr>
          <w:rFonts w:ascii="Arial Narrow" w:eastAsiaTheme="majorEastAsia" w:hAnsi="Arial Narrow" w:cstheme="majorBidi"/>
          <w:b/>
          <w:bCs/>
          <w:sz w:val="20"/>
        </w:rPr>
      </w:pPr>
      <w:bookmarkStart w:id="53" w:name="_Ref100575031"/>
      <w:r w:rsidRPr="00DD72AC">
        <w:rPr>
          <w:rFonts w:ascii="Arial Narrow" w:eastAsiaTheme="majorEastAsia" w:hAnsi="Arial Narrow" w:cstheme="majorBidi"/>
          <w:b/>
          <w:bCs/>
          <w:sz w:val="20"/>
        </w:rPr>
        <w:t xml:space="preserve">Figure </w:t>
      </w:r>
      <w:r w:rsidRPr="00DD72AC">
        <w:rPr>
          <w:rFonts w:ascii="Arial Narrow" w:eastAsiaTheme="majorEastAsia" w:hAnsi="Arial Narrow" w:cstheme="majorBidi"/>
          <w:b/>
          <w:bCs/>
          <w:sz w:val="20"/>
        </w:rPr>
        <w:fldChar w:fldCharType="begin" w:fldLock="1"/>
      </w:r>
      <w:r w:rsidRPr="00DD72AC">
        <w:rPr>
          <w:rFonts w:ascii="Arial Narrow" w:eastAsiaTheme="majorEastAsia" w:hAnsi="Arial Narrow" w:cstheme="majorBidi"/>
          <w:b/>
          <w:bCs/>
          <w:sz w:val="20"/>
        </w:rPr>
        <w:instrText xml:space="preserve"> SEQ Figure \* ARABIC </w:instrText>
      </w:r>
      <w:r w:rsidRPr="00DD72AC">
        <w:rPr>
          <w:rFonts w:ascii="Arial Narrow" w:eastAsiaTheme="majorEastAsia" w:hAnsi="Arial Narrow" w:cstheme="majorBidi"/>
          <w:b/>
          <w:bCs/>
          <w:sz w:val="20"/>
        </w:rPr>
        <w:fldChar w:fldCharType="separate"/>
      </w:r>
      <w:r w:rsidR="003136E6" w:rsidRPr="00DD72AC">
        <w:rPr>
          <w:rFonts w:ascii="Arial Narrow" w:eastAsiaTheme="majorEastAsia" w:hAnsi="Arial Narrow" w:cstheme="majorBidi"/>
          <w:b/>
          <w:bCs/>
          <w:sz w:val="20"/>
        </w:rPr>
        <w:t>5</w:t>
      </w:r>
      <w:r w:rsidRPr="00DD72AC">
        <w:rPr>
          <w:rFonts w:ascii="Arial Narrow" w:eastAsiaTheme="majorEastAsia" w:hAnsi="Arial Narrow" w:cstheme="majorBidi"/>
          <w:b/>
          <w:bCs/>
          <w:sz w:val="20"/>
        </w:rPr>
        <w:fldChar w:fldCharType="end"/>
      </w:r>
      <w:bookmarkEnd w:id="53"/>
      <w:r w:rsidRPr="00DD72AC">
        <w:rPr>
          <w:rFonts w:ascii="Arial Narrow" w:eastAsiaTheme="majorEastAsia" w:hAnsi="Arial Narrow" w:cstheme="majorBidi"/>
          <w:b/>
          <w:bCs/>
          <w:sz w:val="20"/>
        </w:rPr>
        <w:t>: Survival modelled in the base case (including general population for reference)</w:t>
      </w:r>
    </w:p>
    <w:p w14:paraId="4652C78B" w14:textId="77777777" w:rsidR="00BD42E3" w:rsidRPr="00DD72AC" w:rsidRDefault="00BD42E3" w:rsidP="00661397">
      <w:pPr>
        <w:keepNext/>
        <w:widowControl w:val="0"/>
        <w:spacing w:after="360"/>
        <w:contextualSpacing/>
        <w:jc w:val="left"/>
        <w:textboxTightWrap w:val="allLines"/>
        <w:rPr>
          <w:rFonts w:ascii="Arial Narrow" w:eastAsia="Times New Roman" w:hAnsi="Arial Narrow"/>
          <w:sz w:val="18"/>
          <w:lang w:eastAsia="en-GB"/>
        </w:rPr>
      </w:pPr>
      <w:r w:rsidRPr="00DD72AC">
        <w:rPr>
          <w:rFonts w:asciiTheme="minorHAnsi" w:eastAsia="Times New Roman" w:hAnsiTheme="minorHAnsi"/>
          <w:noProof/>
          <w:snapToGrid w:val="0"/>
        </w:rPr>
        <mc:AlternateContent>
          <mc:Choice Requires="wps">
            <w:drawing>
              <wp:anchor distT="45720" distB="45720" distL="114300" distR="114300" simplePos="0" relativeHeight="251658240" behindDoc="0" locked="0" layoutInCell="1" allowOverlap="1" wp14:anchorId="1668517F" wp14:editId="3B0B31E7">
                <wp:simplePos x="0" y="0"/>
                <wp:positionH relativeFrom="column">
                  <wp:posOffset>667445</wp:posOffset>
                </wp:positionH>
                <wp:positionV relativeFrom="paragraph">
                  <wp:posOffset>209768</wp:posOffset>
                </wp:positionV>
                <wp:extent cx="1468379" cy="600701"/>
                <wp:effectExtent l="0" t="0" r="1778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379" cy="600701"/>
                        </a:xfrm>
                        <a:prstGeom prst="rect">
                          <a:avLst/>
                        </a:prstGeom>
                        <a:solidFill>
                          <a:srgbClr val="FFFFFF"/>
                        </a:solidFill>
                        <a:ln w="9525">
                          <a:solidFill>
                            <a:schemeClr val="tx1"/>
                          </a:solidFill>
                          <a:miter lim="800000"/>
                          <a:headEnd/>
                          <a:tailEnd/>
                        </a:ln>
                      </wps:spPr>
                      <wps:txbx>
                        <w:txbxContent>
                          <w:p w14:paraId="26679B4D" w14:textId="2706511F" w:rsidR="0016743B" w:rsidRPr="00BF489A" w:rsidRDefault="0016743B">
                            <w:pPr>
                              <w:rPr>
                                <w:b/>
                                <w:bCs/>
                                <w:sz w:val="16"/>
                                <w:szCs w:val="16"/>
                                <w:u w:val="single"/>
                              </w:rPr>
                            </w:pPr>
                            <w:r w:rsidRPr="00BF489A">
                              <w:rPr>
                                <w:b/>
                                <w:bCs/>
                                <w:sz w:val="16"/>
                                <w:szCs w:val="16"/>
                                <w:u w:val="single"/>
                              </w:rPr>
                              <w:t>Median survival</w:t>
                            </w:r>
                          </w:p>
                          <w:p w14:paraId="6FBDA938" w14:textId="1A399218" w:rsidR="0016743B" w:rsidRPr="00CD1114" w:rsidRDefault="0016743B">
                            <w:pPr>
                              <w:rPr>
                                <w:sz w:val="16"/>
                                <w:szCs w:val="16"/>
                              </w:rPr>
                            </w:pPr>
                            <w:r w:rsidRPr="00CD1114">
                              <w:rPr>
                                <w:sz w:val="16"/>
                                <w:szCs w:val="16"/>
                              </w:rPr>
                              <w:t>General population</w:t>
                            </w:r>
                            <w:r>
                              <w:rPr>
                                <w:sz w:val="16"/>
                                <w:szCs w:val="16"/>
                              </w:rPr>
                              <w:t xml:space="preserve"> =</w:t>
                            </w:r>
                            <w:r w:rsidRPr="00CD1114">
                              <w:rPr>
                                <w:sz w:val="16"/>
                                <w:szCs w:val="16"/>
                              </w:rPr>
                              <w:t xml:space="preserve"> ~86 years</w:t>
                            </w:r>
                          </w:p>
                          <w:p w14:paraId="5A11B7C9" w14:textId="77777777" w:rsidR="0016743B" w:rsidRPr="00CD1114" w:rsidRDefault="0016743B">
                            <w:pPr>
                              <w:rPr>
                                <w:sz w:val="16"/>
                                <w:szCs w:val="16"/>
                              </w:rPr>
                            </w:pPr>
                            <w:r w:rsidRPr="00CD1114">
                              <w:rPr>
                                <w:sz w:val="16"/>
                                <w:szCs w:val="16"/>
                              </w:rPr>
                              <w:t>BSC</w:t>
                            </w:r>
                            <w:r>
                              <w:rPr>
                                <w:sz w:val="16"/>
                                <w:szCs w:val="16"/>
                              </w:rPr>
                              <w:t xml:space="preserve"> </w:t>
                            </w:r>
                            <w:r w:rsidRPr="00CD1114">
                              <w:rPr>
                                <w:sz w:val="16"/>
                                <w:szCs w:val="16"/>
                              </w:rPr>
                              <w:t>=</w:t>
                            </w:r>
                            <w:r>
                              <w:rPr>
                                <w:sz w:val="16"/>
                                <w:szCs w:val="16"/>
                              </w:rPr>
                              <w:t xml:space="preserve"> </w:t>
                            </w:r>
                            <w:r w:rsidRPr="00CD1114">
                              <w:rPr>
                                <w:sz w:val="16"/>
                                <w:szCs w:val="16"/>
                              </w:rPr>
                              <w:t>~80 years</w:t>
                            </w:r>
                          </w:p>
                          <w:p w14:paraId="74C49054" w14:textId="2DA65539" w:rsidR="0016743B" w:rsidRPr="00CD1114" w:rsidRDefault="0016743B">
                            <w:pPr>
                              <w:rPr>
                                <w:sz w:val="16"/>
                                <w:szCs w:val="16"/>
                              </w:rPr>
                            </w:pPr>
                            <w:r w:rsidRPr="00CD1114">
                              <w:rPr>
                                <w:sz w:val="16"/>
                                <w:szCs w:val="16"/>
                              </w:rPr>
                              <w:t>Vosoritide</w:t>
                            </w:r>
                            <w:r>
                              <w:rPr>
                                <w:sz w:val="16"/>
                                <w:szCs w:val="16"/>
                              </w:rPr>
                              <w:t xml:space="preserve"> </w:t>
                            </w:r>
                            <w:r w:rsidRPr="00CD1114">
                              <w:rPr>
                                <w:sz w:val="16"/>
                                <w:szCs w:val="16"/>
                              </w:rPr>
                              <w:t>= ~83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8517F" id="_x0000_t202" coordsize="21600,21600" o:spt="202" path="m,l,21600r21600,l21600,xe">
                <v:stroke joinstyle="miter"/>
                <v:path gradientshapeok="t" o:connecttype="rect"/>
              </v:shapetype>
              <v:shape id="Text Box 2" o:spid="_x0000_s1026" type="#_x0000_t202" style="position:absolute;margin-left:52.55pt;margin-top:16.5pt;width:115.6pt;height:47.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" strokecolor="black [3213]">
                <v:textbox>
                  <w:txbxContent>
                    <w:p w14:paraId="26679B4D" w14:textId="2706511F" w:rsidR="0016743B" w:rsidRPr="00BF489A" w:rsidRDefault="0016743B">
                      <w:pPr>
                        <w:rPr>
                          <w:b/>
                          <w:bCs/>
                          <w:sz w:val="16"/>
                          <w:szCs w:val="16"/>
                          <w:u w:val="single"/>
                        </w:rPr>
                      </w:pPr>
                      <w:r w:rsidRPr="00BF489A">
                        <w:rPr>
                          <w:b/>
                          <w:bCs/>
                          <w:sz w:val="16"/>
                          <w:szCs w:val="16"/>
                          <w:u w:val="single"/>
                        </w:rPr>
                        <w:t>Median survival</w:t>
                      </w:r>
                    </w:p>
                    <w:p w14:paraId="6FBDA938" w14:textId="1A399218" w:rsidR="0016743B" w:rsidRPr="00CD1114" w:rsidRDefault="0016743B">
                      <w:pPr>
                        <w:rPr>
                          <w:sz w:val="16"/>
                          <w:szCs w:val="16"/>
                        </w:rPr>
                      </w:pPr>
                      <w:r w:rsidRPr="00CD1114">
                        <w:rPr>
                          <w:sz w:val="16"/>
                          <w:szCs w:val="16"/>
                        </w:rPr>
                        <w:t>General population</w:t>
                      </w:r>
                      <w:r>
                        <w:rPr>
                          <w:sz w:val="16"/>
                          <w:szCs w:val="16"/>
                        </w:rPr>
                        <w:t xml:space="preserve"> =</w:t>
                      </w:r>
                      <w:r w:rsidRPr="00CD1114">
                        <w:rPr>
                          <w:sz w:val="16"/>
                          <w:szCs w:val="16"/>
                        </w:rPr>
                        <w:t xml:space="preserve"> ~86 years</w:t>
                      </w:r>
                    </w:p>
                    <w:p w14:paraId="5A11B7C9" w14:textId="77777777" w:rsidR="0016743B" w:rsidRPr="00CD1114" w:rsidRDefault="0016743B">
                      <w:pPr>
                        <w:rPr>
                          <w:sz w:val="16"/>
                          <w:szCs w:val="16"/>
                        </w:rPr>
                      </w:pPr>
                      <w:r w:rsidRPr="00CD1114">
                        <w:rPr>
                          <w:sz w:val="16"/>
                          <w:szCs w:val="16"/>
                        </w:rPr>
                        <w:t>BSC</w:t>
                      </w:r>
                      <w:r>
                        <w:rPr>
                          <w:sz w:val="16"/>
                          <w:szCs w:val="16"/>
                        </w:rPr>
                        <w:t xml:space="preserve"> </w:t>
                      </w:r>
                      <w:r w:rsidRPr="00CD1114">
                        <w:rPr>
                          <w:sz w:val="16"/>
                          <w:szCs w:val="16"/>
                        </w:rPr>
                        <w:t>=</w:t>
                      </w:r>
                      <w:r>
                        <w:rPr>
                          <w:sz w:val="16"/>
                          <w:szCs w:val="16"/>
                        </w:rPr>
                        <w:t xml:space="preserve"> </w:t>
                      </w:r>
                      <w:r w:rsidRPr="00CD1114">
                        <w:rPr>
                          <w:sz w:val="16"/>
                          <w:szCs w:val="16"/>
                        </w:rPr>
                        <w:t>~80 years</w:t>
                      </w:r>
                    </w:p>
                    <w:p w14:paraId="74C49054" w14:textId="2DA65539" w:rsidR="0016743B" w:rsidRPr="00CD1114" w:rsidRDefault="0016743B">
                      <w:pPr>
                        <w:rPr>
                          <w:sz w:val="16"/>
                          <w:szCs w:val="16"/>
                        </w:rPr>
                      </w:pPr>
                      <w:r w:rsidRPr="00CD1114">
                        <w:rPr>
                          <w:sz w:val="16"/>
                          <w:szCs w:val="16"/>
                        </w:rPr>
                        <w:t>Vosoritide</w:t>
                      </w:r>
                      <w:r>
                        <w:rPr>
                          <w:sz w:val="16"/>
                          <w:szCs w:val="16"/>
                        </w:rPr>
                        <w:t xml:space="preserve"> </w:t>
                      </w:r>
                      <w:r w:rsidRPr="00CD1114">
                        <w:rPr>
                          <w:sz w:val="16"/>
                          <w:szCs w:val="16"/>
                        </w:rPr>
                        <w:t>= ~83 years</w:t>
                      </w:r>
                    </w:p>
                  </w:txbxContent>
                </v:textbox>
              </v:shape>
            </w:pict>
          </mc:Fallback>
        </mc:AlternateContent>
      </w:r>
      <w:r w:rsidRPr="00DD72AC">
        <w:rPr>
          <w:rFonts w:ascii="Arial Narrow" w:eastAsia="Times New Roman" w:hAnsi="Arial Narrow"/>
          <w:noProof/>
          <w:sz w:val="18"/>
        </w:rPr>
        <w:drawing>
          <wp:inline distT="0" distB="0" distL="0" distR="0" wp14:anchorId="378650AC" wp14:editId="36D1A396">
            <wp:extent cx="5556194" cy="2763329"/>
            <wp:effectExtent l="0" t="0" r="6985" b="0"/>
            <wp:docPr id="77" name="Picture 7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4250" cy="2767336"/>
                    </a:xfrm>
                    <a:prstGeom prst="rect">
                      <a:avLst/>
                    </a:prstGeom>
                    <a:noFill/>
                  </pic:spPr>
                </pic:pic>
              </a:graphicData>
            </a:graphic>
          </wp:inline>
        </w:drawing>
      </w:r>
      <w:r w:rsidRPr="00DD72AC">
        <w:rPr>
          <w:rFonts w:ascii="Arial Narrow" w:eastAsia="Times New Roman" w:hAnsi="Arial Narrow"/>
          <w:sz w:val="18"/>
          <w:lang w:eastAsia="en-GB"/>
        </w:rPr>
        <w:t>Source: Figure 52, p199 of the submission.</w:t>
      </w:r>
    </w:p>
    <w:p w14:paraId="70BE06F8" w14:textId="07F40839" w:rsidR="00BD42E3" w:rsidRPr="00DD72AC" w:rsidRDefault="00BD42E3" w:rsidP="00661397">
      <w:pPr>
        <w:keepNext/>
        <w:widowControl w:val="0"/>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Abbreviations: BSC = best supportive care.</w:t>
      </w:r>
    </w:p>
    <w:p w14:paraId="37EC1A45" w14:textId="77777777" w:rsidR="008141FE" w:rsidRPr="00DD72AC" w:rsidRDefault="008141FE" w:rsidP="00661397">
      <w:pPr>
        <w:keepNext/>
        <w:widowControl w:val="0"/>
        <w:spacing w:after="360"/>
        <w:contextualSpacing/>
        <w:jc w:val="left"/>
        <w:textboxTightWrap w:val="allLines"/>
        <w:rPr>
          <w:rFonts w:ascii="Arial Narrow" w:eastAsia="Times New Roman" w:hAnsi="Arial Narrow"/>
          <w:sz w:val="18"/>
          <w:lang w:eastAsia="en-GB"/>
        </w:rPr>
      </w:pPr>
    </w:p>
    <w:p w14:paraId="451E5260" w14:textId="634C36D3" w:rsidR="00BD42E3" w:rsidRPr="00B11953" w:rsidRDefault="00BD42E3" w:rsidP="00B11953">
      <w:pPr>
        <w:pStyle w:val="3-BodyText"/>
        <w:rPr>
          <w:rFonts w:ascii="Arial Narrow" w:eastAsiaTheme="majorEastAsia" w:hAnsi="Arial Narrow" w:cstheme="majorBidi"/>
          <w:b/>
          <w:snapToGrid/>
          <w:sz w:val="20"/>
        </w:rPr>
      </w:pPr>
      <w:r w:rsidRPr="00DD72AC">
        <w:t xml:space="preserve">The standing height over time of patients in the vosoritide and BSC arms in the model base case (including general population for reference) is presented in </w:t>
      </w:r>
      <w:r w:rsidRPr="00DD72AC">
        <w:fldChar w:fldCharType="begin" w:fldLock="1"/>
      </w:r>
      <w:r w:rsidRPr="00DD72AC">
        <w:instrText xml:space="preserve"> REF _Ref101266163 \h  \* MERGEFORMAT </w:instrText>
      </w:r>
      <w:r w:rsidRPr="00DD72AC">
        <w:fldChar w:fldCharType="separate"/>
      </w:r>
      <w:r w:rsidR="0080776A" w:rsidRPr="00DD72AC">
        <w:t>Figure 6</w:t>
      </w:r>
      <w:r w:rsidRPr="00DD72AC">
        <w:fldChar w:fldCharType="end"/>
      </w:r>
      <w:r w:rsidRPr="00DD72AC">
        <w:t xml:space="preserve">. The submission stated that patients in the vosoritide arm grow at a greater rate than patients in the BSC arm until growth plate closure, after which time patient height remains constant for the remainder of the </w:t>
      </w:r>
      <w:r w:rsidRPr="00DD72AC">
        <w:lastRenderedPageBreak/>
        <w:t xml:space="preserve">model. This was appropriate and consistent with the clinical evidence presented in the submission, where patients in the </w:t>
      </w:r>
      <w:r w:rsidR="00B11953">
        <w:t>v</w:t>
      </w:r>
      <w:r w:rsidRPr="00DD72AC">
        <w:t xml:space="preserve">osoritide arm of Study 111-301 grew at a greater rate than patients in the placebo arm. </w:t>
      </w:r>
      <w:bookmarkStart w:id="54" w:name="_Ref100575273"/>
    </w:p>
    <w:p w14:paraId="374B1780" w14:textId="5476DEDF" w:rsidR="00BD42E3" w:rsidRPr="00DD72AC" w:rsidRDefault="00BD42E3" w:rsidP="00661397">
      <w:pPr>
        <w:keepNext/>
        <w:spacing w:after="200"/>
        <w:rPr>
          <w:rFonts w:ascii="Arial Narrow" w:eastAsiaTheme="majorEastAsia" w:hAnsi="Arial Narrow" w:cstheme="majorBidi"/>
          <w:b/>
          <w:sz w:val="20"/>
        </w:rPr>
      </w:pPr>
      <w:bookmarkStart w:id="55" w:name="_Ref101266163"/>
      <w:r w:rsidRPr="00DD72AC">
        <w:rPr>
          <w:rFonts w:ascii="Arial Narrow" w:eastAsiaTheme="majorEastAsia" w:hAnsi="Arial Narrow" w:cstheme="majorBidi"/>
          <w:b/>
          <w:bCs/>
          <w:sz w:val="20"/>
        </w:rPr>
        <w:t xml:space="preserve">Figure </w:t>
      </w:r>
      <w:r w:rsidRPr="00DD72AC">
        <w:rPr>
          <w:rFonts w:ascii="Arial Narrow" w:eastAsiaTheme="majorEastAsia" w:hAnsi="Arial Narrow" w:cstheme="majorBidi"/>
          <w:b/>
          <w:bCs/>
          <w:sz w:val="20"/>
        </w:rPr>
        <w:fldChar w:fldCharType="begin" w:fldLock="1"/>
      </w:r>
      <w:r w:rsidRPr="00DD72AC">
        <w:rPr>
          <w:rFonts w:ascii="Arial Narrow" w:eastAsiaTheme="majorEastAsia" w:hAnsi="Arial Narrow" w:cstheme="majorBidi"/>
          <w:b/>
          <w:bCs/>
          <w:sz w:val="20"/>
        </w:rPr>
        <w:instrText xml:space="preserve"> SEQ Figure \* ARABIC </w:instrText>
      </w:r>
      <w:r w:rsidRPr="00DD72AC">
        <w:rPr>
          <w:rFonts w:ascii="Arial Narrow" w:eastAsiaTheme="majorEastAsia" w:hAnsi="Arial Narrow" w:cstheme="majorBidi"/>
          <w:b/>
          <w:bCs/>
          <w:sz w:val="20"/>
        </w:rPr>
        <w:fldChar w:fldCharType="separate"/>
      </w:r>
      <w:r w:rsidR="003136E6" w:rsidRPr="00DD72AC">
        <w:rPr>
          <w:rFonts w:ascii="Arial Narrow" w:eastAsiaTheme="majorEastAsia" w:hAnsi="Arial Narrow" w:cstheme="majorBidi"/>
          <w:b/>
          <w:bCs/>
          <w:sz w:val="20"/>
        </w:rPr>
        <w:t>6</w:t>
      </w:r>
      <w:r w:rsidRPr="00DD72AC">
        <w:rPr>
          <w:rFonts w:ascii="Arial Narrow" w:eastAsiaTheme="majorEastAsia" w:hAnsi="Arial Narrow" w:cstheme="majorBidi"/>
          <w:b/>
          <w:bCs/>
          <w:sz w:val="20"/>
        </w:rPr>
        <w:fldChar w:fldCharType="end"/>
      </w:r>
      <w:bookmarkEnd w:id="54"/>
      <w:bookmarkEnd w:id="55"/>
      <w:r w:rsidRPr="00DD72AC">
        <w:rPr>
          <w:rFonts w:ascii="Arial Narrow" w:eastAsiaTheme="majorEastAsia" w:hAnsi="Arial Narrow" w:cstheme="majorBidi"/>
          <w:b/>
          <w:bCs/>
          <w:sz w:val="20"/>
        </w:rPr>
        <w:t>: Patient</w:t>
      </w:r>
      <w:r w:rsidRPr="00DD72AC">
        <w:rPr>
          <w:rFonts w:ascii="Arial Narrow" w:eastAsiaTheme="majorEastAsia" w:hAnsi="Arial Narrow" w:cstheme="majorBidi"/>
          <w:b/>
          <w:sz w:val="20"/>
        </w:rPr>
        <w:t xml:space="preserve"> height modelled in the base case (including general population for reference)</w:t>
      </w:r>
    </w:p>
    <w:p w14:paraId="56D14F2F" w14:textId="77777777" w:rsidR="00BD42E3" w:rsidRPr="00DD72AC" w:rsidRDefault="00BD42E3" w:rsidP="00977CAD">
      <w:pPr>
        <w:rPr>
          <w:rFonts w:ascii="Arial Narrow" w:eastAsia="Times New Roman" w:hAnsi="Arial Narrow"/>
          <w:sz w:val="18"/>
          <w:lang w:eastAsia="en-GB"/>
        </w:rPr>
      </w:pPr>
      <w:r w:rsidRPr="00DD72AC">
        <w:rPr>
          <w:rFonts w:eastAsia="Times New Roman"/>
          <w:noProof/>
        </w:rPr>
        <w:drawing>
          <wp:inline distT="0" distB="0" distL="0" distR="0" wp14:anchorId="237D87D0" wp14:editId="21CFF3A2">
            <wp:extent cx="5660263" cy="2815087"/>
            <wp:effectExtent l="0" t="0" r="0" b="4445"/>
            <wp:docPr id="78" name="Picture 7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A picture containing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1648" cy="2820749"/>
                    </a:xfrm>
                    <a:prstGeom prst="rect">
                      <a:avLst/>
                    </a:prstGeom>
                    <a:noFill/>
                  </pic:spPr>
                </pic:pic>
              </a:graphicData>
            </a:graphic>
          </wp:inline>
        </w:drawing>
      </w:r>
      <w:r w:rsidRPr="00DD72AC">
        <w:rPr>
          <w:rFonts w:ascii="Arial Narrow" w:eastAsia="Times New Roman" w:hAnsi="Arial Narrow"/>
          <w:sz w:val="18"/>
          <w:lang w:eastAsia="en-GB"/>
        </w:rPr>
        <w:t>Source: Figure 53, p200 of the submission.</w:t>
      </w:r>
    </w:p>
    <w:p w14:paraId="36D79511" w14:textId="77777777" w:rsidR="00BD42E3" w:rsidRPr="00DD72AC" w:rsidRDefault="00BD42E3" w:rsidP="00977CAD">
      <w:pPr>
        <w:keepNext/>
        <w:keepLines/>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Abbreviations: BSC = best supportive care.</w:t>
      </w:r>
    </w:p>
    <w:p w14:paraId="03055B42" w14:textId="77777777" w:rsidR="00A96DD0" w:rsidRPr="00DD72AC" w:rsidRDefault="00A96DD0" w:rsidP="00A96DD0"/>
    <w:p w14:paraId="077E8299" w14:textId="033A05BA" w:rsidR="00BD42E3" w:rsidRPr="00DD72AC" w:rsidRDefault="00BD42E3" w:rsidP="00EB6AD4">
      <w:pPr>
        <w:numPr>
          <w:ilvl w:val="1"/>
          <w:numId w:val="1"/>
        </w:numPr>
        <w:spacing w:after="120"/>
        <w:rPr>
          <w:rFonts w:asciiTheme="minorHAnsi" w:eastAsia="Times New Roman" w:hAnsiTheme="minorHAnsi"/>
          <w:snapToGrid w:val="0"/>
          <w:color w:val="0066FF"/>
        </w:rPr>
      </w:pPr>
      <w:r w:rsidRPr="00DD72AC">
        <w:rPr>
          <w:rFonts w:asciiTheme="minorHAnsi" w:eastAsia="Times New Roman" w:hAnsiTheme="minorHAnsi"/>
          <w:snapToGrid w:val="0"/>
        </w:rPr>
        <w:t xml:space="preserve">The modelled height Z-scores for vosoritide and BSC in the model base case are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_Ref100575497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Figure 7</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The submission stated that the initial Z-score variability observed in the model is a result of the differing patterns of growth velocity experienced by patients with achondroplasia compared to the general population. Z-scores subsequently plateau upon patients reaching adult height. </w:t>
      </w:r>
    </w:p>
    <w:p w14:paraId="1B64DDC2" w14:textId="11F4B4D7" w:rsidR="00BD42E3" w:rsidRPr="00DD72AC" w:rsidRDefault="00BD42E3" w:rsidP="00EB6AD4">
      <w:pPr>
        <w:numPr>
          <w:ilvl w:val="1"/>
          <w:numId w:val="1"/>
        </w:numPr>
        <w:spacing w:after="120"/>
        <w:rPr>
          <w:rFonts w:asciiTheme="minorHAnsi" w:eastAsia="Times New Roman" w:hAnsiTheme="minorHAnsi"/>
          <w:snapToGrid w:val="0"/>
          <w:color w:val="0066FF"/>
        </w:rPr>
      </w:pPr>
      <w:r w:rsidRPr="00DD72AC">
        <w:rPr>
          <w:rFonts w:asciiTheme="minorHAnsi" w:eastAsia="Times New Roman" w:hAnsiTheme="minorHAnsi"/>
          <w:snapToGrid w:val="0"/>
        </w:rPr>
        <w:t xml:space="preserve">The submission stated </w:t>
      </w:r>
      <w:r w:rsidR="007C1A45" w:rsidRPr="00DD72AC">
        <w:rPr>
          <w:rFonts w:asciiTheme="minorHAnsi" w:eastAsia="Times New Roman" w:hAnsiTheme="minorHAnsi"/>
          <w:snapToGrid w:val="0"/>
        </w:rPr>
        <w:t xml:space="preserve">that </w:t>
      </w:r>
      <w:r w:rsidRPr="00DD72AC">
        <w:rPr>
          <w:rFonts w:asciiTheme="minorHAnsi" w:eastAsia="Times New Roman" w:hAnsiTheme="minorHAnsi"/>
          <w:snapToGrid w:val="0"/>
        </w:rPr>
        <w:t>a pubertal acceleration in growth velocity from approximately 10 to 14 years of age in the general population is not observed in the achondroplasia population, which means the height Z-score of the achondroplasia population drops dramatically over this period before improving again post puberty. T</w:t>
      </w:r>
      <w:r w:rsidR="007855A4" w:rsidRPr="00DD72AC">
        <w:rPr>
          <w:rFonts w:asciiTheme="minorHAnsi" w:eastAsia="Times New Roman" w:hAnsiTheme="minorHAnsi"/>
          <w:snapToGrid w:val="0"/>
        </w:rPr>
        <w:t>he evaluation considered t</w:t>
      </w:r>
      <w:r w:rsidRPr="00DD72AC">
        <w:rPr>
          <w:rFonts w:asciiTheme="minorHAnsi" w:eastAsia="Times New Roman" w:hAnsiTheme="minorHAnsi"/>
          <w:snapToGrid w:val="0"/>
        </w:rPr>
        <w:t xml:space="preserve">his </w:t>
      </w:r>
      <w:r w:rsidR="00025F29" w:rsidRPr="00DD72AC">
        <w:rPr>
          <w:rFonts w:asciiTheme="minorHAnsi" w:eastAsia="Times New Roman" w:hAnsiTheme="minorHAnsi"/>
          <w:snapToGrid w:val="0"/>
        </w:rPr>
        <w:t>wa</w:t>
      </w:r>
      <w:r w:rsidRPr="00DD72AC">
        <w:rPr>
          <w:rFonts w:asciiTheme="minorHAnsi" w:eastAsia="Times New Roman" w:hAnsiTheme="minorHAnsi"/>
          <w:snapToGrid w:val="0"/>
        </w:rPr>
        <w:t xml:space="preserve">s reasonable. </w:t>
      </w:r>
    </w:p>
    <w:p w14:paraId="079C1B78" w14:textId="73CA5293" w:rsidR="00BD42E3" w:rsidRPr="00DD72AC" w:rsidRDefault="00BD42E3" w:rsidP="00D34D4C">
      <w:pPr>
        <w:keepNext/>
        <w:widowControl w:val="0"/>
        <w:rPr>
          <w:rFonts w:ascii="Arial Narrow" w:eastAsia="Times New Roman" w:hAnsi="Arial Narrow"/>
          <w:b/>
          <w:bCs/>
          <w:sz w:val="20"/>
        </w:rPr>
      </w:pPr>
      <w:bookmarkStart w:id="56" w:name="_Ref100575497"/>
      <w:r w:rsidRPr="00DD72AC">
        <w:rPr>
          <w:rFonts w:ascii="Arial Narrow" w:eastAsiaTheme="majorEastAsia" w:hAnsi="Arial Narrow" w:cstheme="majorBidi"/>
          <w:b/>
          <w:bCs/>
          <w:sz w:val="20"/>
        </w:rPr>
        <w:lastRenderedPageBreak/>
        <w:t xml:space="preserve">Figure </w:t>
      </w:r>
      <w:r w:rsidRPr="00DD72AC">
        <w:rPr>
          <w:rFonts w:ascii="Arial Narrow" w:eastAsiaTheme="majorEastAsia" w:hAnsi="Arial Narrow" w:cstheme="majorBidi"/>
          <w:b/>
          <w:bCs/>
          <w:sz w:val="20"/>
        </w:rPr>
        <w:fldChar w:fldCharType="begin" w:fldLock="1"/>
      </w:r>
      <w:r w:rsidRPr="00DD72AC">
        <w:rPr>
          <w:rFonts w:ascii="Arial Narrow" w:eastAsiaTheme="majorEastAsia" w:hAnsi="Arial Narrow" w:cstheme="majorBidi"/>
          <w:b/>
          <w:bCs/>
          <w:sz w:val="20"/>
        </w:rPr>
        <w:instrText xml:space="preserve"> SEQ Figure \* ARABIC </w:instrText>
      </w:r>
      <w:r w:rsidRPr="00DD72AC">
        <w:rPr>
          <w:rFonts w:ascii="Arial Narrow" w:eastAsiaTheme="majorEastAsia" w:hAnsi="Arial Narrow" w:cstheme="majorBidi"/>
          <w:b/>
          <w:bCs/>
          <w:sz w:val="20"/>
        </w:rPr>
        <w:fldChar w:fldCharType="separate"/>
      </w:r>
      <w:r w:rsidR="003136E6" w:rsidRPr="00DD72AC">
        <w:rPr>
          <w:rFonts w:ascii="Arial Narrow" w:eastAsiaTheme="majorEastAsia" w:hAnsi="Arial Narrow" w:cstheme="majorBidi"/>
          <w:b/>
          <w:bCs/>
          <w:sz w:val="20"/>
        </w:rPr>
        <w:t>7</w:t>
      </w:r>
      <w:r w:rsidRPr="00DD72AC">
        <w:rPr>
          <w:rFonts w:ascii="Arial Narrow" w:eastAsiaTheme="majorEastAsia" w:hAnsi="Arial Narrow" w:cstheme="majorBidi"/>
          <w:b/>
          <w:bCs/>
          <w:sz w:val="20"/>
        </w:rPr>
        <w:fldChar w:fldCharType="end"/>
      </w:r>
      <w:bookmarkEnd w:id="56"/>
      <w:r w:rsidRPr="00DD72AC">
        <w:rPr>
          <w:rFonts w:ascii="Arial Narrow" w:eastAsiaTheme="majorEastAsia" w:hAnsi="Arial Narrow" w:cstheme="majorBidi"/>
          <w:b/>
          <w:bCs/>
          <w:sz w:val="20"/>
        </w:rPr>
        <w:t>: Height Z</w:t>
      </w:r>
      <w:r w:rsidRPr="00DD72AC">
        <w:rPr>
          <w:rFonts w:ascii="Arial Narrow" w:eastAsia="Times New Roman" w:hAnsi="Arial Narrow"/>
          <w:b/>
          <w:bCs/>
          <w:sz w:val="20"/>
        </w:rPr>
        <w:t>-score modelled in the base case</w:t>
      </w:r>
    </w:p>
    <w:p w14:paraId="0AD682B8" w14:textId="77777777" w:rsidR="00BD42E3" w:rsidRPr="00DD72AC" w:rsidRDefault="00BD42E3" w:rsidP="00D34D4C">
      <w:pPr>
        <w:keepNext/>
        <w:widowControl w:val="0"/>
        <w:rPr>
          <w:rFonts w:eastAsia="Times New Roman"/>
        </w:rPr>
      </w:pPr>
      <w:r w:rsidRPr="00DD72AC">
        <w:rPr>
          <w:rFonts w:eastAsia="Times New Roman"/>
          <w:noProof/>
        </w:rPr>
        <w:drawing>
          <wp:inline distT="0" distB="0" distL="0" distR="0" wp14:anchorId="41C242C0" wp14:editId="5487A2BB">
            <wp:extent cx="5428455" cy="2700068"/>
            <wp:effectExtent l="0" t="0" r="1270" b="5080"/>
            <wp:docPr id="79" name="Picture 7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6202" cy="2708895"/>
                    </a:xfrm>
                    <a:prstGeom prst="rect">
                      <a:avLst/>
                    </a:prstGeom>
                    <a:noFill/>
                  </pic:spPr>
                </pic:pic>
              </a:graphicData>
            </a:graphic>
          </wp:inline>
        </w:drawing>
      </w:r>
    </w:p>
    <w:p w14:paraId="62618231" w14:textId="77777777" w:rsidR="00BD42E3" w:rsidRPr="00DD72AC" w:rsidRDefault="00BD42E3" w:rsidP="00D34D4C">
      <w:pPr>
        <w:keepNext/>
        <w:widowControl w:val="0"/>
        <w:rPr>
          <w:rFonts w:ascii="Arial Narrow" w:eastAsia="Times New Roman" w:hAnsi="Arial Narrow"/>
          <w:sz w:val="18"/>
          <w:lang w:eastAsia="en-GB"/>
        </w:rPr>
      </w:pPr>
      <w:r w:rsidRPr="00DD72AC">
        <w:rPr>
          <w:rFonts w:ascii="Arial Narrow" w:eastAsia="Times New Roman" w:hAnsi="Arial Narrow"/>
          <w:sz w:val="18"/>
          <w:lang w:eastAsia="en-GB"/>
        </w:rPr>
        <w:t>Source: Figure 54, p200 of the submission.</w:t>
      </w:r>
    </w:p>
    <w:p w14:paraId="51CC783A" w14:textId="77777777" w:rsidR="00BD42E3" w:rsidRPr="00DD72AC" w:rsidRDefault="00BD42E3" w:rsidP="00D34D4C">
      <w:pPr>
        <w:keepNext/>
        <w:widowControl w:val="0"/>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Abbreviations: BSC = best supportive care.</w:t>
      </w:r>
    </w:p>
    <w:p w14:paraId="455587CC" w14:textId="77777777" w:rsidR="00EC08C9" w:rsidRPr="00DD72AC" w:rsidRDefault="00EC08C9" w:rsidP="00EC08C9"/>
    <w:p w14:paraId="2C2D2E86" w14:textId="2952B4E3" w:rsidR="00BD42E3" w:rsidRPr="00DD72AC" w:rsidRDefault="00BD42E3" w:rsidP="00EB6AD4">
      <w:pPr>
        <w:numPr>
          <w:ilvl w:val="1"/>
          <w:numId w:val="1"/>
        </w:numPr>
        <w:spacing w:after="120"/>
        <w:rPr>
          <w:rFonts w:asciiTheme="minorHAnsi" w:eastAsia="Times New Roman" w:hAnsiTheme="minorHAnsi"/>
          <w:snapToGrid w:val="0"/>
          <w:color w:val="0066FF"/>
        </w:rPr>
      </w:pPr>
      <w:r w:rsidRPr="00DD72AC">
        <w:rPr>
          <w:rFonts w:asciiTheme="minorHAnsi" w:eastAsia="Times New Roman" w:hAnsiTheme="minorHAnsi"/>
          <w:snapToGrid w:val="0"/>
        </w:rPr>
        <w:t xml:space="preserve">The cumulative undiscounted costs and QALYs for both arms from the model base case are </w:t>
      </w:r>
      <w:r w:rsidRPr="00DD72AC">
        <w:t>presented in</w:t>
      </w:r>
      <w:r w:rsidR="00EA079A" w:rsidRPr="00DD72AC">
        <w:t xml:space="preserve"> </w:t>
      </w:r>
      <w:r w:rsidR="00EA079A" w:rsidRPr="00DD72AC">
        <w:fldChar w:fldCharType="begin" w:fldLock="1"/>
      </w:r>
      <w:r w:rsidR="00EA079A" w:rsidRPr="00DD72AC">
        <w:instrText xml:space="preserve"> REF _Ref100575731 \h </w:instrText>
      </w:r>
      <w:r w:rsidR="00EA079A" w:rsidRPr="00DD72AC">
        <w:fldChar w:fldCharType="separate"/>
      </w:r>
      <w:r w:rsidR="003136E6" w:rsidRPr="00DD72AC">
        <w:t>Figure 8</w:t>
      </w:r>
      <w:r w:rsidR="00EA079A" w:rsidRPr="00DD72AC">
        <w:fldChar w:fldCharType="end"/>
      </w:r>
      <w:r w:rsidRPr="00DD72AC">
        <w:t xml:space="preserve"> and</w:t>
      </w:r>
      <w:r w:rsidR="00EA079A" w:rsidRPr="00DD72AC">
        <w:t xml:space="preserve"> </w:t>
      </w:r>
      <w:r w:rsidR="00EA079A" w:rsidRPr="00DD72AC">
        <w:fldChar w:fldCharType="begin" w:fldLock="1"/>
      </w:r>
      <w:r w:rsidR="00EA079A" w:rsidRPr="00DD72AC">
        <w:instrText xml:space="preserve"> REF _Ref100575734 \h </w:instrText>
      </w:r>
      <w:r w:rsidR="00EA079A" w:rsidRPr="00DD72AC">
        <w:fldChar w:fldCharType="separate"/>
      </w:r>
      <w:r w:rsidR="003136E6" w:rsidRPr="00DD72AC">
        <w:t>Figure 9</w:t>
      </w:r>
      <w:r w:rsidR="00EA079A" w:rsidRPr="00DD72AC">
        <w:fldChar w:fldCharType="end"/>
      </w:r>
      <w:r w:rsidRPr="00DD72AC">
        <w:t>, respecti</w:t>
      </w:r>
      <w:r w:rsidRPr="00DD72AC">
        <w:rPr>
          <w:rFonts w:asciiTheme="minorHAnsi" w:eastAsia="Times New Roman" w:hAnsiTheme="minorHAnsi"/>
          <w:snapToGrid w:val="0"/>
        </w:rPr>
        <w:t>vely.</w:t>
      </w:r>
    </w:p>
    <w:p w14:paraId="7AD6D616" w14:textId="77777777" w:rsidR="00EC08C9" w:rsidRPr="00DD72AC" w:rsidRDefault="00EC08C9" w:rsidP="00EC08C9"/>
    <w:p w14:paraId="5C5EA245" w14:textId="64F2229B" w:rsidR="00BD42E3" w:rsidRPr="00DD72AC" w:rsidRDefault="00BD42E3" w:rsidP="00EC08C9">
      <w:pPr>
        <w:pStyle w:val="PbacTableHeading"/>
      </w:pPr>
      <w:bookmarkStart w:id="57" w:name="_Ref100575731"/>
      <w:r w:rsidRPr="00DD72AC">
        <w:t xml:space="preserve">Figure </w:t>
      </w:r>
      <w:r w:rsidR="00FA023D">
        <w:fldChar w:fldCharType="begin" w:fldLock="1"/>
      </w:r>
      <w:r w:rsidR="00FA023D">
        <w:instrText xml:space="preserve"> SEQ Figure \* ARABIC </w:instrText>
      </w:r>
      <w:r w:rsidR="00FA023D">
        <w:fldChar w:fldCharType="separate"/>
      </w:r>
      <w:r w:rsidR="003136E6" w:rsidRPr="00DD72AC">
        <w:t>8</w:t>
      </w:r>
      <w:r w:rsidR="00FA023D">
        <w:fldChar w:fldCharType="end"/>
      </w:r>
      <w:bookmarkEnd w:id="57"/>
      <w:r w:rsidRPr="00DD72AC">
        <w:t>: Undiscounted cumulative costs in the model base case</w:t>
      </w:r>
    </w:p>
    <w:p w14:paraId="358417DE" w14:textId="140572D7" w:rsidR="00BD42E3" w:rsidRPr="00DD72AC" w:rsidRDefault="000F4CB7" w:rsidP="00EC08C9">
      <w:r>
        <w:rPr>
          <w:noProof/>
        </w:rPr>
        <mc:AlternateContent>
          <mc:Choice Requires="wpi">
            <w:drawing>
              <wp:anchor distT="0" distB="0" distL="114300" distR="114300" simplePos="0" relativeHeight="251660288" behindDoc="0" locked="0" layoutInCell="1" allowOverlap="1" wp14:anchorId="715536DB" wp14:editId="0BF3ADF9">
                <wp:simplePos x="0" y="0"/>
                <wp:positionH relativeFrom="column">
                  <wp:posOffset>619795</wp:posOffset>
                </wp:positionH>
                <wp:positionV relativeFrom="paragraph">
                  <wp:posOffset>116853</wp:posOffset>
                </wp:positionV>
                <wp:extent cx="360" cy="360"/>
                <wp:effectExtent l="57150" t="76200" r="76200" b="95250"/>
                <wp:wrapNone/>
                <wp:docPr id="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oel="http://schemas.microsoft.com/office/2019/extlst">
            <w:pict>
              <v:shapetype w14:anchorId="39DAF4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7.4pt;margin-top:6.4pt;width:2.9pt;height:5.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">
                <v:imagedata r:id="rId22" o:title=""/>
              </v:shape>
            </w:pict>
          </mc:Fallback>
        </mc:AlternateContent>
      </w:r>
      <w:r w:rsidR="00952C76">
        <w:rPr>
          <w:noProof/>
        </w:rPr>
        <w:drawing>
          <wp:inline distT="0" distB="0" distL="0" distR="0" wp14:anchorId="57450806" wp14:editId="57F79AE4">
            <wp:extent cx="5651500" cy="2987122"/>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3"/>
                    <a:srcRect l="1387" t="5055"/>
                    <a:stretch/>
                  </pic:blipFill>
                  <pic:spPr bwMode="auto">
                    <a:xfrm>
                      <a:off x="0" y="0"/>
                      <a:ext cx="5651997" cy="2987385"/>
                    </a:xfrm>
                    <a:prstGeom prst="rect">
                      <a:avLst/>
                    </a:prstGeom>
                    <a:ln>
                      <a:noFill/>
                    </a:ln>
                    <a:extLst>
                      <a:ext uri="{53640926-AAD7-44D8-BBD7-CCE9431645EC}">
                        <a14:shadowObscured xmlns:a14="http://schemas.microsoft.com/office/drawing/2010/main"/>
                      </a:ext>
                    </a:extLst>
                  </pic:spPr>
                </pic:pic>
              </a:graphicData>
            </a:graphic>
          </wp:inline>
        </w:drawing>
      </w:r>
    </w:p>
    <w:p w14:paraId="27948195" w14:textId="7D47651D" w:rsidR="00BD42E3" w:rsidRPr="00DD72AC" w:rsidRDefault="00BD42E3" w:rsidP="00661397">
      <w:pPr>
        <w:rPr>
          <w:rFonts w:ascii="Arial Narrow" w:eastAsia="Times New Roman" w:hAnsi="Arial Narrow"/>
          <w:sz w:val="18"/>
          <w:lang w:eastAsia="en-GB"/>
        </w:rPr>
      </w:pPr>
      <w:r w:rsidRPr="00DD72AC">
        <w:rPr>
          <w:rFonts w:ascii="Arial Narrow" w:eastAsia="Times New Roman" w:hAnsi="Arial Narrow"/>
          <w:sz w:val="18"/>
          <w:lang w:eastAsia="en-GB"/>
        </w:rPr>
        <w:t>Source: Figure 55, p201 of the submission. Abbreviations: BSC = best supportive care.</w:t>
      </w:r>
    </w:p>
    <w:p w14:paraId="36FEF8BB" w14:textId="77777777" w:rsidR="00EC08C9" w:rsidRPr="00DD72AC" w:rsidRDefault="00EC08C9" w:rsidP="00EC08C9"/>
    <w:p w14:paraId="073BF41E" w14:textId="382692B7" w:rsidR="00BD42E3" w:rsidRPr="00DD72AC" w:rsidRDefault="00BD42E3" w:rsidP="00EC08C9">
      <w:pPr>
        <w:pStyle w:val="PbacTableHeading"/>
      </w:pPr>
      <w:bookmarkStart w:id="58" w:name="_Ref100575734"/>
      <w:r w:rsidRPr="00DD72AC">
        <w:lastRenderedPageBreak/>
        <w:t xml:space="preserve">Figure </w:t>
      </w:r>
      <w:r w:rsidR="00FA023D">
        <w:fldChar w:fldCharType="begin" w:fldLock="1"/>
      </w:r>
      <w:r w:rsidR="00FA023D">
        <w:instrText xml:space="preserve"> SEQ Figure \* ARABIC </w:instrText>
      </w:r>
      <w:r w:rsidR="00FA023D">
        <w:fldChar w:fldCharType="separate"/>
      </w:r>
      <w:r w:rsidR="003136E6" w:rsidRPr="00DD72AC">
        <w:t>9</w:t>
      </w:r>
      <w:r w:rsidR="00FA023D">
        <w:fldChar w:fldCharType="end"/>
      </w:r>
      <w:bookmarkEnd w:id="58"/>
      <w:r w:rsidRPr="00DD72AC">
        <w:t>: Undiscounted cumulative QALYs in the model base case</w:t>
      </w:r>
    </w:p>
    <w:p w14:paraId="2210E536" w14:textId="77777777" w:rsidR="00BD42E3" w:rsidRPr="00DD72AC" w:rsidRDefault="00BD42E3" w:rsidP="00EC08C9">
      <w:r w:rsidRPr="00DD72AC">
        <w:rPr>
          <w:noProof/>
        </w:rPr>
        <w:drawing>
          <wp:inline distT="0" distB="0" distL="0" distR="0" wp14:anchorId="2AA46C5D" wp14:editId="00DDF6DE">
            <wp:extent cx="5572664" cy="2829813"/>
            <wp:effectExtent l="0" t="0" r="9525" b="8890"/>
            <wp:docPr id="81" name="Picture 8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Chart, line 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77963" cy="2832504"/>
                    </a:xfrm>
                    <a:prstGeom prst="rect">
                      <a:avLst/>
                    </a:prstGeom>
                    <a:noFill/>
                  </pic:spPr>
                </pic:pic>
              </a:graphicData>
            </a:graphic>
          </wp:inline>
        </w:drawing>
      </w:r>
    </w:p>
    <w:p w14:paraId="7D3618F0" w14:textId="77777777" w:rsidR="00BD42E3" w:rsidRPr="00DD72AC" w:rsidRDefault="00BD42E3" w:rsidP="00051990">
      <w:pPr>
        <w:keepNext/>
        <w:widowControl w:val="0"/>
        <w:rPr>
          <w:rFonts w:ascii="Arial Narrow" w:eastAsia="Times New Roman" w:hAnsi="Arial Narrow"/>
          <w:sz w:val="18"/>
          <w:lang w:eastAsia="en-GB"/>
        </w:rPr>
      </w:pPr>
      <w:r w:rsidRPr="00DD72AC">
        <w:rPr>
          <w:rFonts w:ascii="Arial Narrow" w:eastAsia="Times New Roman" w:hAnsi="Arial Narrow"/>
          <w:sz w:val="18"/>
          <w:lang w:eastAsia="en-GB"/>
        </w:rPr>
        <w:t>Source: Figure 56, p201 of the submission.</w:t>
      </w:r>
    </w:p>
    <w:p w14:paraId="1F67A49A" w14:textId="77777777" w:rsidR="00BD42E3" w:rsidRPr="00DD72AC" w:rsidRDefault="00BD42E3" w:rsidP="00051990">
      <w:pPr>
        <w:keepNext/>
        <w:widowControl w:val="0"/>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Abbreviations: BSC = best supportive care.</w:t>
      </w:r>
    </w:p>
    <w:p w14:paraId="10D8070F" w14:textId="77777777" w:rsidR="00EC08C9" w:rsidRPr="00DD72AC" w:rsidRDefault="00EC08C9" w:rsidP="00EC08C9"/>
    <w:p w14:paraId="662273B2" w14:textId="10073F8A"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disaggregated summary of discounted health outcomes for the comparison of vosoritide with BSC are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_Ref100581891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Table 10</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The </w:t>
      </w:r>
      <w:r w:rsidR="007855A4" w:rsidRPr="00DD72AC">
        <w:rPr>
          <w:rFonts w:asciiTheme="minorHAnsi" w:eastAsia="Times New Roman" w:hAnsiTheme="minorHAnsi"/>
          <w:snapToGrid w:val="0"/>
        </w:rPr>
        <w:t xml:space="preserve">ESC noted that the </w:t>
      </w:r>
      <w:r w:rsidRPr="00DD72AC">
        <w:rPr>
          <w:rFonts w:asciiTheme="minorHAnsi" w:eastAsia="Times New Roman" w:hAnsiTheme="minorHAnsi"/>
          <w:snapToGrid w:val="0"/>
        </w:rPr>
        <w:t xml:space="preserve">model resulted in an incremental benefit of 3.346 QALYs which was driven by the height based QALYs (99.8% of the total incremental outcome). </w:t>
      </w:r>
    </w:p>
    <w:p w14:paraId="52BD6601" w14:textId="503190E5" w:rsidR="00BD42E3" w:rsidRPr="00DD72AC" w:rsidRDefault="00BD42E3" w:rsidP="009669D2">
      <w:pPr>
        <w:keepNext/>
        <w:keepLines/>
        <w:jc w:val="left"/>
        <w:rPr>
          <w:rFonts w:ascii="Arial Narrow" w:eastAsiaTheme="majorEastAsia" w:hAnsi="Arial Narrow" w:cstheme="majorBidi"/>
          <w:b/>
          <w:sz w:val="20"/>
        </w:rPr>
      </w:pPr>
      <w:bookmarkStart w:id="59" w:name="_Ref100581891"/>
      <w:r w:rsidRPr="00DD72AC">
        <w:rPr>
          <w:rFonts w:ascii="Arial Narrow" w:eastAsiaTheme="majorEastAsia" w:hAnsi="Arial Narrow" w:cstheme="majorBidi"/>
          <w:b/>
          <w:sz w:val="20"/>
        </w:rPr>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10</w:t>
      </w:r>
      <w:r w:rsidRPr="00DD72AC">
        <w:rPr>
          <w:rFonts w:ascii="Arial Narrow" w:eastAsiaTheme="majorEastAsia" w:hAnsi="Arial Narrow" w:cstheme="majorBidi"/>
          <w:b/>
          <w:sz w:val="20"/>
        </w:rPr>
        <w:fldChar w:fldCharType="end"/>
      </w:r>
      <w:bookmarkEnd w:id="59"/>
      <w:r w:rsidRPr="00DD72AC">
        <w:rPr>
          <w:rFonts w:ascii="Arial Narrow" w:eastAsiaTheme="majorEastAsia" w:hAnsi="Arial Narrow" w:cstheme="majorBidi"/>
          <w:b/>
          <w:sz w:val="20"/>
        </w:rPr>
        <w:t>: Disaggregated summary of health outcomes included in the economic evaluation (discounted)</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0: Disaggregated summary of health outcomes included in the economic evaluation (discounted)"/>
      </w:tblPr>
      <w:tblGrid>
        <w:gridCol w:w="2489"/>
        <w:gridCol w:w="1559"/>
        <w:gridCol w:w="1418"/>
        <w:gridCol w:w="1701"/>
        <w:gridCol w:w="1849"/>
      </w:tblGrid>
      <w:tr w:rsidR="00BD42E3" w:rsidRPr="00DD72AC" w14:paraId="56D49C17" w14:textId="77777777" w:rsidTr="0013639B">
        <w:trPr>
          <w:cantSplit/>
        </w:trPr>
        <w:tc>
          <w:tcPr>
            <w:tcW w:w="24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FF153F" w14:textId="77777777" w:rsidR="00BD42E3" w:rsidRPr="00DD72AC" w:rsidRDefault="00BD42E3" w:rsidP="009669D2">
            <w:pPr>
              <w:keepNext/>
              <w:keepLines/>
              <w:jc w:val="left"/>
              <w:rPr>
                <w:rFonts w:ascii="Arial Narrow" w:eastAsiaTheme="majorEastAsia" w:hAnsi="Arial Narrow" w:cs="Times New Roman"/>
                <w:b/>
                <w:sz w:val="20"/>
              </w:rPr>
            </w:pPr>
            <w:r w:rsidRPr="00DD72AC">
              <w:rPr>
                <w:rFonts w:ascii="Arial Narrow" w:eastAsiaTheme="majorEastAsia" w:hAnsi="Arial Narrow" w:cs="Times New Roman"/>
                <w:b/>
                <w:sz w:val="20"/>
              </w:rPr>
              <w:t>Outcome</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DEE668" w14:textId="77777777" w:rsidR="00BD42E3" w:rsidRPr="00DD72AC" w:rsidRDefault="00BD42E3" w:rsidP="009669D2">
            <w:pPr>
              <w:keepNext/>
              <w:keepLines/>
              <w:jc w:val="center"/>
              <w:rPr>
                <w:rFonts w:ascii="Arial Narrow" w:eastAsiaTheme="majorEastAsia" w:hAnsi="Arial Narrow" w:cs="Times New Roman"/>
                <w:b/>
                <w:sz w:val="20"/>
              </w:rPr>
            </w:pPr>
            <w:r w:rsidRPr="00DD72AC">
              <w:rPr>
                <w:rFonts w:ascii="Arial Narrow" w:eastAsiaTheme="majorEastAsia" w:hAnsi="Arial Narrow" w:cs="Times New Roman"/>
                <w:b/>
                <w:sz w:val="20"/>
              </w:rPr>
              <w:t>Outcome for vosoritide</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39F96C" w14:textId="77777777" w:rsidR="00BD42E3" w:rsidRPr="00DD72AC" w:rsidRDefault="00BD42E3" w:rsidP="009669D2">
            <w:pPr>
              <w:keepNext/>
              <w:keepLines/>
              <w:jc w:val="center"/>
              <w:rPr>
                <w:rFonts w:ascii="Arial Narrow" w:eastAsiaTheme="majorEastAsia" w:hAnsi="Arial Narrow" w:cs="Times New Roman"/>
                <w:b/>
                <w:sz w:val="20"/>
              </w:rPr>
            </w:pPr>
            <w:r w:rsidRPr="00DD72AC">
              <w:rPr>
                <w:rFonts w:ascii="Arial Narrow" w:eastAsiaTheme="majorEastAsia" w:hAnsi="Arial Narrow" w:cs="Times New Roman"/>
                <w:b/>
                <w:sz w:val="20"/>
              </w:rPr>
              <w:t>Outcome for BSC</w:t>
            </w:r>
          </w:p>
        </w:tc>
        <w:tc>
          <w:tcPr>
            <w:tcW w:w="1701" w:type="dxa"/>
            <w:tcBorders>
              <w:top w:val="single" w:sz="4" w:space="0" w:color="auto"/>
              <w:left w:val="single" w:sz="4" w:space="0" w:color="auto"/>
              <w:bottom w:val="single" w:sz="4" w:space="0" w:color="auto"/>
              <w:right w:val="single" w:sz="4" w:space="0" w:color="auto"/>
            </w:tcBorders>
            <w:vAlign w:val="center"/>
          </w:tcPr>
          <w:p w14:paraId="572295AD" w14:textId="77777777" w:rsidR="00BD42E3" w:rsidRPr="00DD72AC" w:rsidRDefault="00BD42E3" w:rsidP="009669D2">
            <w:pPr>
              <w:keepNext/>
              <w:keepLines/>
              <w:jc w:val="center"/>
              <w:rPr>
                <w:rFonts w:ascii="Arial Narrow" w:eastAsiaTheme="majorEastAsia" w:hAnsi="Arial Narrow" w:cs="Times New Roman"/>
                <w:b/>
                <w:sz w:val="20"/>
              </w:rPr>
            </w:pPr>
            <w:r w:rsidRPr="00DD72AC">
              <w:rPr>
                <w:rFonts w:ascii="Arial Narrow" w:eastAsiaTheme="majorEastAsia" w:hAnsi="Arial Narrow" w:cs="Times New Roman"/>
                <w:b/>
                <w:sz w:val="20"/>
              </w:rPr>
              <w:t>Incremental outcome</w:t>
            </w:r>
          </w:p>
        </w:tc>
        <w:tc>
          <w:tcPr>
            <w:tcW w:w="18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D4E7FC" w14:textId="77777777" w:rsidR="00BD42E3" w:rsidRPr="00DD72AC" w:rsidRDefault="00BD42E3" w:rsidP="009669D2">
            <w:pPr>
              <w:keepNext/>
              <w:keepLines/>
              <w:jc w:val="center"/>
              <w:rPr>
                <w:rFonts w:ascii="Arial Narrow" w:eastAsiaTheme="majorEastAsia" w:hAnsi="Arial Narrow" w:cs="Times New Roman"/>
                <w:b/>
                <w:sz w:val="20"/>
              </w:rPr>
            </w:pPr>
            <w:r w:rsidRPr="00DD72AC">
              <w:rPr>
                <w:rFonts w:ascii="Arial Narrow" w:eastAsiaTheme="majorEastAsia" w:hAnsi="Arial Narrow" w:cs="Times New Roman"/>
                <w:b/>
                <w:sz w:val="20"/>
              </w:rPr>
              <w:t>% of total incremental outcome</w:t>
            </w:r>
          </w:p>
        </w:tc>
      </w:tr>
      <w:tr w:rsidR="00BD42E3" w:rsidRPr="00DD72AC" w14:paraId="0725328A" w14:textId="77777777" w:rsidTr="0013639B">
        <w:trPr>
          <w:cantSplit/>
        </w:trPr>
        <w:tc>
          <w:tcPr>
            <w:tcW w:w="2490" w:type="dxa"/>
            <w:tcBorders>
              <w:top w:val="single" w:sz="4" w:space="0" w:color="auto"/>
              <w:left w:val="single" w:sz="4" w:space="0" w:color="auto"/>
              <w:bottom w:val="single" w:sz="4" w:space="0" w:color="auto"/>
              <w:right w:val="single" w:sz="4" w:space="0" w:color="auto"/>
            </w:tcBorders>
            <w:tcMar>
              <w:left w:w="57" w:type="dxa"/>
              <w:right w:w="57" w:type="dxa"/>
            </w:tcMar>
          </w:tcPr>
          <w:p w14:paraId="35750DA0" w14:textId="77777777" w:rsidR="00BD42E3" w:rsidRPr="00DD72AC" w:rsidRDefault="00BD42E3" w:rsidP="009669D2">
            <w:pPr>
              <w:keepNext/>
              <w:keepLines/>
              <w:jc w:val="left"/>
              <w:rPr>
                <w:rFonts w:ascii="Arial Narrow" w:eastAsiaTheme="majorEastAsia" w:hAnsi="Arial Narrow" w:cstheme="majorBidi"/>
                <w:bCs/>
                <w:sz w:val="20"/>
              </w:rPr>
            </w:pPr>
            <w:r w:rsidRPr="00DD72AC">
              <w:rPr>
                <w:rFonts w:ascii="Arial Narrow" w:eastAsiaTheme="majorEastAsia" w:hAnsi="Arial Narrow" w:cstheme="majorBidi"/>
                <w:bCs/>
                <w:sz w:val="20"/>
              </w:rPr>
              <w:t>Height-based QALYs</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9882D9"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13.551</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E0A2DE"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10.212</w:t>
            </w:r>
          </w:p>
        </w:tc>
        <w:tc>
          <w:tcPr>
            <w:tcW w:w="1701" w:type="dxa"/>
            <w:tcBorders>
              <w:top w:val="single" w:sz="4" w:space="0" w:color="auto"/>
              <w:left w:val="single" w:sz="4" w:space="0" w:color="auto"/>
              <w:bottom w:val="single" w:sz="4" w:space="0" w:color="auto"/>
              <w:right w:val="single" w:sz="4" w:space="0" w:color="auto"/>
            </w:tcBorders>
            <w:vAlign w:val="center"/>
          </w:tcPr>
          <w:p w14:paraId="5BD4BE91"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3.340</w:t>
            </w:r>
          </w:p>
        </w:tc>
        <w:tc>
          <w:tcPr>
            <w:tcW w:w="18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9FA90E"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99.8%</w:t>
            </w:r>
          </w:p>
        </w:tc>
      </w:tr>
      <w:tr w:rsidR="00BD42E3" w:rsidRPr="00DD72AC" w14:paraId="5697A151" w14:textId="77777777" w:rsidTr="0013639B">
        <w:trPr>
          <w:cantSplit/>
        </w:trPr>
        <w:tc>
          <w:tcPr>
            <w:tcW w:w="2490" w:type="dxa"/>
            <w:tcBorders>
              <w:top w:val="single" w:sz="4" w:space="0" w:color="auto"/>
              <w:left w:val="single" w:sz="4" w:space="0" w:color="auto"/>
              <w:bottom w:val="single" w:sz="4" w:space="0" w:color="auto"/>
              <w:right w:val="single" w:sz="4" w:space="0" w:color="auto"/>
            </w:tcBorders>
            <w:tcMar>
              <w:left w:w="57" w:type="dxa"/>
              <w:right w:w="57" w:type="dxa"/>
            </w:tcMar>
          </w:tcPr>
          <w:p w14:paraId="3910914E" w14:textId="77777777" w:rsidR="00BD42E3" w:rsidRPr="00DD72AC" w:rsidRDefault="00BD42E3" w:rsidP="009669D2">
            <w:pPr>
              <w:keepNext/>
              <w:keepLines/>
              <w:jc w:val="left"/>
              <w:rPr>
                <w:rFonts w:ascii="Arial Narrow" w:eastAsiaTheme="majorEastAsia" w:hAnsi="Arial Narrow" w:cstheme="majorBidi"/>
                <w:bCs/>
                <w:sz w:val="20"/>
              </w:rPr>
            </w:pPr>
            <w:r w:rsidRPr="00DD72AC">
              <w:rPr>
                <w:rFonts w:ascii="Arial Narrow" w:eastAsiaTheme="majorEastAsia" w:hAnsi="Arial Narrow" w:cstheme="majorBidi"/>
                <w:bCs/>
                <w:sz w:val="20"/>
              </w:rPr>
              <w:t>Complication based QALYs</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A32784"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-0.025</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2FC60C"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-0.031</w:t>
            </w:r>
          </w:p>
        </w:tc>
        <w:tc>
          <w:tcPr>
            <w:tcW w:w="1701" w:type="dxa"/>
            <w:tcBorders>
              <w:top w:val="single" w:sz="4" w:space="0" w:color="auto"/>
              <w:left w:val="single" w:sz="4" w:space="0" w:color="auto"/>
              <w:bottom w:val="single" w:sz="4" w:space="0" w:color="auto"/>
              <w:right w:val="single" w:sz="4" w:space="0" w:color="auto"/>
            </w:tcBorders>
            <w:vAlign w:val="center"/>
          </w:tcPr>
          <w:p w14:paraId="3CCDA50F"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0.006</w:t>
            </w:r>
          </w:p>
        </w:tc>
        <w:tc>
          <w:tcPr>
            <w:tcW w:w="18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41FD1A"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0.2%</w:t>
            </w:r>
          </w:p>
        </w:tc>
      </w:tr>
      <w:tr w:rsidR="00BD42E3" w:rsidRPr="00DD72AC" w14:paraId="3CC6B8D4" w14:textId="77777777" w:rsidTr="0013639B">
        <w:trPr>
          <w:cantSplit/>
        </w:trPr>
        <w:tc>
          <w:tcPr>
            <w:tcW w:w="2490" w:type="dxa"/>
            <w:tcBorders>
              <w:top w:val="single" w:sz="4" w:space="0" w:color="auto"/>
              <w:left w:val="single" w:sz="4" w:space="0" w:color="auto"/>
              <w:bottom w:val="single" w:sz="4" w:space="0" w:color="auto"/>
              <w:right w:val="single" w:sz="4" w:space="0" w:color="auto"/>
            </w:tcBorders>
            <w:tcMar>
              <w:left w:w="57" w:type="dxa"/>
              <w:right w:w="57" w:type="dxa"/>
            </w:tcMar>
          </w:tcPr>
          <w:p w14:paraId="12147639" w14:textId="77777777" w:rsidR="00BD42E3" w:rsidRPr="00DD72AC" w:rsidRDefault="00BD42E3" w:rsidP="009669D2">
            <w:pPr>
              <w:keepNext/>
              <w:keepLines/>
              <w:jc w:val="left"/>
              <w:rPr>
                <w:rFonts w:ascii="Arial Narrow" w:eastAsiaTheme="majorEastAsia" w:hAnsi="Arial Narrow" w:cstheme="majorBidi"/>
                <w:bCs/>
                <w:sz w:val="20"/>
              </w:rPr>
            </w:pPr>
            <w:r w:rsidRPr="00DD72AC">
              <w:rPr>
                <w:rFonts w:ascii="Arial Narrow" w:eastAsiaTheme="majorEastAsia" w:hAnsi="Arial Narrow" w:cstheme="majorBidi"/>
                <w:bCs/>
                <w:sz w:val="20"/>
              </w:rPr>
              <w:t>Total QALYs</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081B5C"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13.527</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0E6A2B"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10.181</w:t>
            </w:r>
          </w:p>
        </w:tc>
        <w:tc>
          <w:tcPr>
            <w:tcW w:w="1701" w:type="dxa"/>
            <w:tcBorders>
              <w:top w:val="single" w:sz="4" w:space="0" w:color="auto"/>
              <w:left w:val="single" w:sz="4" w:space="0" w:color="auto"/>
              <w:bottom w:val="single" w:sz="4" w:space="0" w:color="auto"/>
              <w:right w:val="single" w:sz="4" w:space="0" w:color="auto"/>
            </w:tcBorders>
            <w:vAlign w:val="center"/>
          </w:tcPr>
          <w:p w14:paraId="740BD3FA"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3.346</w:t>
            </w:r>
          </w:p>
        </w:tc>
        <w:tc>
          <w:tcPr>
            <w:tcW w:w="18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D00E71"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100%</w:t>
            </w:r>
          </w:p>
        </w:tc>
      </w:tr>
      <w:tr w:rsidR="00BD42E3" w:rsidRPr="00DD72AC" w14:paraId="6F9EBE0B" w14:textId="77777777" w:rsidTr="0013639B">
        <w:trPr>
          <w:cantSplit/>
        </w:trPr>
        <w:tc>
          <w:tcPr>
            <w:tcW w:w="24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AD6433" w14:textId="77777777" w:rsidR="00BD42E3" w:rsidRPr="00DD72AC" w:rsidRDefault="00BD42E3" w:rsidP="009669D2">
            <w:pPr>
              <w:keepNext/>
              <w:keepLines/>
              <w:jc w:val="left"/>
              <w:rPr>
                <w:rFonts w:ascii="Arial Narrow" w:eastAsiaTheme="majorEastAsia" w:hAnsi="Arial Narrow" w:cstheme="majorBidi"/>
                <w:bCs/>
                <w:sz w:val="20"/>
              </w:rPr>
            </w:pPr>
            <w:r w:rsidRPr="00DD72AC">
              <w:rPr>
                <w:rFonts w:ascii="Arial Narrow" w:eastAsiaTheme="majorEastAsia" w:hAnsi="Arial Narrow" w:cstheme="majorBidi"/>
                <w:bCs/>
                <w:sz w:val="20"/>
              </w:rPr>
              <w:t>Total LYs</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E9C16F"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19.789</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AE8F0C"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19.652</w:t>
            </w:r>
          </w:p>
        </w:tc>
        <w:tc>
          <w:tcPr>
            <w:tcW w:w="1701" w:type="dxa"/>
            <w:tcBorders>
              <w:top w:val="single" w:sz="4" w:space="0" w:color="auto"/>
              <w:left w:val="single" w:sz="4" w:space="0" w:color="auto"/>
              <w:bottom w:val="single" w:sz="4" w:space="0" w:color="auto"/>
              <w:right w:val="single" w:sz="4" w:space="0" w:color="auto"/>
            </w:tcBorders>
            <w:vAlign w:val="center"/>
          </w:tcPr>
          <w:p w14:paraId="49B2A363"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0.137</w:t>
            </w:r>
          </w:p>
        </w:tc>
        <w:tc>
          <w:tcPr>
            <w:tcW w:w="18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32F99C"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N/A</w:t>
            </w:r>
          </w:p>
        </w:tc>
      </w:tr>
    </w:tbl>
    <w:p w14:paraId="37EDAD2C" w14:textId="77777777" w:rsidR="00BD42E3" w:rsidRPr="00DD72AC" w:rsidRDefault="00BD42E3" w:rsidP="009669D2">
      <w:pPr>
        <w:keepNext/>
        <w:keepLines/>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101, p204 of the submission.</w:t>
      </w:r>
    </w:p>
    <w:p w14:paraId="34195085" w14:textId="77777777" w:rsidR="00BD42E3" w:rsidRPr="00DD72AC" w:rsidRDefault="00BD42E3" w:rsidP="009669D2">
      <w:pPr>
        <w:keepNext/>
        <w:keepLines/>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BSC = best supportive care; LY = life year; N/A = not applicable; QALY = quality adjusted life year.</w:t>
      </w:r>
    </w:p>
    <w:p w14:paraId="19D6A1CE" w14:textId="77777777" w:rsidR="00EC08C9" w:rsidRPr="00DD72AC" w:rsidRDefault="00EC08C9" w:rsidP="009669D2">
      <w:pPr>
        <w:keepNext/>
        <w:keepLines/>
      </w:pPr>
    </w:p>
    <w:p w14:paraId="4A32C87F" w14:textId="1F7A29E4"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disaggregated costs for comparison of vosoritide with BSC are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_Ref100581580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Table 11</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The model resulted in an incremental cost of $</w:t>
      </w:r>
      <w:r w:rsidR="00C97261" w:rsidRPr="00DA600A">
        <w:rPr>
          <w:rFonts w:asciiTheme="minorHAnsi" w:eastAsia="Times New Roman" w:hAnsiTheme="minorHAnsi"/>
          <w:snapToGrid w:val="0"/>
          <w:color w:val="000000"/>
          <w:w w:val="15"/>
          <w:shd w:val="solid" w:color="000000" w:fill="000000"/>
          <w:fitText w:val="-20" w:id="-1435792124"/>
          <w14:textFill>
            <w14:solidFill>
              <w14:srgbClr w14:val="000000">
                <w14:alpha w14:val="100000"/>
              </w14:srgbClr>
            </w14:solidFill>
          </w14:textFill>
        </w:rPr>
        <w:t xml:space="preserve">|  </w:t>
      </w:r>
      <w:r w:rsidR="00C97261" w:rsidRPr="00DA600A">
        <w:rPr>
          <w:rFonts w:asciiTheme="minorHAnsi" w:eastAsia="Times New Roman" w:hAnsiTheme="minorHAnsi"/>
          <w:snapToGrid w:val="0"/>
          <w:color w:val="000000"/>
          <w:spacing w:val="-69"/>
          <w:w w:val="15"/>
          <w:shd w:val="solid" w:color="000000" w:fill="000000"/>
          <w:fitText w:val="-20" w:id="-1435792124"/>
          <w14:textFill>
            <w14:solidFill>
              <w14:srgbClr w14:val="000000">
                <w14:alpha w14:val="100000"/>
              </w14:srgbClr>
            </w14:solidFill>
          </w14:textFill>
        </w:rPr>
        <w:t>|</w:t>
      </w:r>
      <w:r w:rsidRPr="00DD72AC">
        <w:rPr>
          <w:rFonts w:asciiTheme="minorHAnsi" w:eastAsia="Times New Roman" w:hAnsiTheme="minorHAnsi"/>
          <w:snapToGrid w:val="0"/>
        </w:rPr>
        <w:t xml:space="preserve"> (discounted) which was driven by the cost of vosoritide treatment.</w:t>
      </w:r>
    </w:p>
    <w:p w14:paraId="1942833C" w14:textId="0A27E5C8" w:rsidR="00BD42E3" w:rsidRPr="00DD72AC" w:rsidRDefault="00BD42E3" w:rsidP="00977CAD">
      <w:pPr>
        <w:keepNext/>
        <w:jc w:val="left"/>
        <w:rPr>
          <w:rFonts w:ascii="Arial Narrow" w:eastAsiaTheme="majorEastAsia" w:hAnsi="Arial Narrow" w:cstheme="majorBidi"/>
          <w:b/>
          <w:sz w:val="20"/>
        </w:rPr>
      </w:pPr>
      <w:bookmarkStart w:id="60" w:name="_Ref100581580"/>
      <w:r w:rsidRPr="00DD72AC">
        <w:rPr>
          <w:rFonts w:ascii="Arial Narrow" w:eastAsiaTheme="majorEastAsia" w:hAnsi="Arial Narrow" w:cstheme="majorBidi"/>
          <w:b/>
          <w:sz w:val="20"/>
        </w:rPr>
        <w:lastRenderedPageBreak/>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11</w:t>
      </w:r>
      <w:r w:rsidRPr="00DD72AC">
        <w:rPr>
          <w:rFonts w:ascii="Arial Narrow" w:eastAsiaTheme="majorEastAsia" w:hAnsi="Arial Narrow" w:cstheme="majorBidi"/>
          <w:b/>
          <w:sz w:val="20"/>
        </w:rPr>
        <w:fldChar w:fldCharType="end"/>
      </w:r>
      <w:bookmarkEnd w:id="60"/>
      <w:r w:rsidRPr="00DD72AC">
        <w:rPr>
          <w:rFonts w:ascii="Arial Narrow" w:eastAsiaTheme="majorEastAsia" w:hAnsi="Arial Narrow" w:cstheme="majorBidi"/>
          <w:b/>
          <w:sz w:val="20"/>
        </w:rPr>
        <w:t>: Disaggregated summary of cost impacts (discounted and undiscounted)</w:t>
      </w:r>
    </w:p>
    <w:tbl>
      <w:tblPr>
        <w:tblStyle w:val="THEMAtable"/>
        <w:tblW w:w="5000" w:type="pct"/>
        <w:tblLook w:val="04A0" w:firstRow="1" w:lastRow="0" w:firstColumn="1" w:lastColumn="0" w:noHBand="0" w:noVBand="1"/>
      </w:tblPr>
      <w:tblGrid>
        <w:gridCol w:w="3074"/>
        <w:gridCol w:w="1982"/>
        <w:gridCol w:w="1980"/>
        <w:gridCol w:w="1980"/>
      </w:tblGrid>
      <w:tr w:rsidR="00BD42E3" w:rsidRPr="00DD72AC" w14:paraId="6B41C3DE" w14:textId="77777777" w:rsidTr="0013639B">
        <w:trPr>
          <w:cnfStyle w:val="100000000000" w:firstRow="1" w:lastRow="0" w:firstColumn="0" w:lastColumn="0" w:oddVBand="0" w:evenVBand="0" w:oddHBand="0" w:evenHBand="0" w:firstRowFirstColumn="0" w:firstRowLastColumn="0" w:lastRowFirstColumn="0" w:lastRowLastColumn="0"/>
        </w:trPr>
        <w:tc>
          <w:tcPr>
            <w:tcW w:w="1705" w:type="pct"/>
            <w:tcBorders>
              <w:bottom w:val="single" w:sz="4" w:space="0" w:color="auto"/>
            </w:tcBorders>
            <w:shd w:val="clear" w:color="auto" w:fill="auto"/>
          </w:tcPr>
          <w:p w14:paraId="27B15922" w14:textId="77777777" w:rsidR="00BD42E3" w:rsidRPr="00DD72AC" w:rsidRDefault="00BD42E3" w:rsidP="00977CAD">
            <w:pPr>
              <w:jc w:val="left"/>
              <w:rPr>
                <w:rFonts w:ascii="Arial Narrow" w:eastAsiaTheme="majorEastAsia" w:hAnsi="Arial Narrow" w:cstheme="majorBidi"/>
                <w:bCs/>
                <w:sz w:val="20"/>
              </w:rPr>
            </w:pPr>
          </w:p>
        </w:tc>
        <w:tc>
          <w:tcPr>
            <w:tcW w:w="1099" w:type="pct"/>
            <w:tcBorders>
              <w:bottom w:val="single" w:sz="4" w:space="0" w:color="auto"/>
            </w:tcBorders>
            <w:shd w:val="clear" w:color="auto" w:fill="auto"/>
          </w:tcPr>
          <w:p w14:paraId="59B53A01" w14:textId="77777777" w:rsidR="00BD42E3" w:rsidRPr="00DD72AC" w:rsidRDefault="00BD42E3" w:rsidP="00977CAD">
            <w:pPr>
              <w:jc w:val="left"/>
              <w:rPr>
                <w:rFonts w:ascii="Arial Narrow" w:eastAsiaTheme="majorEastAsia" w:hAnsi="Arial Narrow" w:cstheme="majorBidi"/>
                <w:sz w:val="20"/>
              </w:rPr>
            </w:pPr>
            <w:r w:rsidRPr="00DD72AC">
              <w:rPr>
                <w:rFonts w:ascii="Arial Narrow" w:eastAsiaTheme="majorEastAsia" w:hAnsi="Arial Narrow" w:cstheme="majorBidi"/>
                <w:sz w:val="20"/>
              </w:rPr>
              <w:t>Vosoritide</w:t>
            </w:r>
          </w:p>
        </w:tc>
        <w:tc>
          <w:tcPr>
            <w:tcW w:w="1098" w:type="pct"/>
            <w:tcBorders>
              <w:bottom w:val="single" w:sz="4" w:space="0" w:color="auto"/>
            </w:tcBorders>
            <w:shd w:val="clear" w:color="auto" w:fill="auto"/>
          </w:tcPr>
          <w:p w14:paraId="187F0B3D" w14:textId="77777777" w:rsidR="00BD42E3" w:rsidRPr="00DD72AC" w:rsidRDefault="00BD42E3" w:rsidP="00977CAD">
            <w:pPr>
              <w:jc w:val="left"/>
              <w:rPr>
                <w:rFonts w:ascii="Arial Narrow" w:eastAsiaTheme="majorEastAsia" w:hAnsi="Arial Narrow" w:cstheme="majorBidi"/>
                <w:sz w:val="20"/>
              </w:rPr>
            </w:pPr>
            <w:r w:rsidRPr="00DD72AC">
              <w:rPr>
                <w:rFonts w:ascii="Arial Narrow" w:eastAsiaTheme="majorEastAsia" w:hAnsi="Arial Narrow" w:cstheme="majorBidi"/>
                <w:sz w:val="20"/>
              </w:rPr>
              <w:t>BSC</w:t>
            </w:r>
          </w:p>
        </w:tc>
        <w:tc>
          <w:tcPr>
            <w:tcW w:w="1098" w:type="pct"/>
            <w:tcBorders>
              <w:bottom w:val="single" w:sz="4" w:space="0" w:color="auto"/>
            </w:tcBorders>
            <w:shd w:val="clear" w:color="auto" w:fill="auto"/>
          </w:tcPr>
          <w:p w14:paraId="5CDED297" w14:textId="77777777" w:rsidR="00BD42E3" w:rsidRPr="00DD72AC" w:rsidRDefault="00BD42E3" w:rsidP="00977CAD">
            <w:pPr>
              <w:jc w:val="left"/>
              <w:rPr>
                <w:rFonts w:ascii="Arial Narrow" w:eastAsiaTheme="majorEastAsia" w:hAnsi="Arial Narrow" w:cstheme="majorBidi"/>
                <w:sz w:val="20"/>
              </w:rPr>
            </w:pPr>
            <w:r w:rsidRPr="00DD72AC">
              <w:rPr>
                <w:rFonts w:ascii="Arial Narrow" w:eastAsiaTheme="majorEastAsia" w:hAnsi="Arial Narrow" w:cstheme="majorBidi"/>
                <w:sz w:val="20"/>
              </w:rPr>
              <w:t>Incremental</w:t>
            </w:r>
          </w:p>
        </w:tc>
      </w:tr>
      <w:tr w:rsidR="00BD42E3" w:rsidRPr="00DD72AC" w14:paraId="3F953607" w14:textId="77777777" w:rsidTr="0013639B">
        <w:tc>
          <w:tcPr>
            <w:tcW w:w="1705" w:type="pct"/>
            <w:tcBorders>
              <w:right w:val="nil"/>
            </w:tcBorders>
            <w:shd w:val="clear" w:color="auto" w:fill="auto"/>
          </w:tcPr>
          <w:p w14:paraId="550413C2" w14:textId="77777777" w:rsidR="00BD42E3" w:rsidRPr="00DD72AC" w:rsidRDefault="00BD42E3" w:rsidP="00977CAD">
            <w:pPr>
              <w:jc w:val="left"/>
              <w:rPr>
                <w:rFonts w:ascii="Arial Narrow" w:eastAsiaTheme="majorEastAsia" w:hAnsi="Arial Narrow" w:cstheme="majorBidi"/>
                <w:b/>
                <w:sz w:val="20"/>
              </w:rPr>
            </w:pPr>
            <w:r w:rsidRPr="00DD72AC">
              <w:rPr>
                <w:rFonts w:ascii="Arial Narrow" w:eastAsiaTheme="majorEastAsia" w:hAnsi="Arial Narrow" w:cstheme="majorBidi"/>
                <w:b/>
                <w:sz w:val="20"/>
              </w:rPr>
              <w:t>Undiscounted</w:t>
            </w:r>
          </w:p>
        </w:tc>
        <w:tc>
          <w:tcPr>
            <w:tcW w:w="1099" w:type="pct"/>
            <w:tcBorders>
              <w:left w:val="nil"/>
              <w:right w:val="nil"/>
            </w:tcBorders>
            <w:shd w:val="clear" w:color="auto" w:fill="auto"/>
          </w:tcPr>
          <w:p w14:paraId="1876D9E9" w14:textId="77777777" w:rsidR="00BD42E3" w:rsidRPr="00DD72AC" w:rsidRDefault="00BD42E3" w:rsidP="00977CAD">
            <w:pPr>
              <w:jc w:val="left"/>
              <w:rPr>
                <w:rFonts w:ascii="Arial Narrow" w:eastAsiaTheme="majorEastAsia" w:hAnsi="Arial Narrow" w:cstheme="majorBidi"/>
                <w:bCs/>
                <w:sz w:val="20"/>
              </w:rPr>
            </w:pPr>
          </w:p>
        </w:tc>
        <w:tc>
          <w:tcPr>
            <w:tcW w:w="1098" w:type="pct"/>
            <w:tcBorders>
              <w:left w:val="nil"/>
              <w:right w:val="nil"/>
            </w:tcBorders>
            <w:shd w:val="clear" w:color="auto" w:fill="auto"/>
          </w:tcPr>
          <w:p w14:paraId="229290B8" w14:textId="77777777" w:rsidR="00BD42E3" w:rsidRPr="00DD72AC" w:rsidRDefault="00BD42E3" w:rsidP="00977CAD">
            <w:pPr>
              <w:jc w:val="left"/>
              <w:rPr>
                <w:rFonts w:ascii="Arial Narrow" w:eastAsiaTheme="majorEastAsia" w:hAnsi="Arial Narrow" w:cstheme="majorBidi"/>
                <w:bCs/>
                <w:sz w:val="20"/>
              </w:rPr>
            </w:pPr>
          </w:p>
        </w:tc>
        <w:tc>
          <w:tcPr>
            <w:tcW w:w="1098" w:type="pct"/>
            <w:tcBorders>
              <w:left w:val="nil"/>
            </w:tcBorders>
            <w:shd w:val="clear" w:color="auto" w:fill="auto"/>
          </w:tcPr>
          <w:p w14:paraId="6BC6AAD9" w14:textId="77777777" w:rsidR="00BD42E3" w:rsidRPr="00DD72AC" w:rsidRDefault="00BD42E3" w:rsidP="00977CAD">
            <w:pPr>
              <w:jc w:val="left"/>
              <w:rPr>
                <w:rFonts w:ascii="Arial Narrow" w:eastAsiaTheme="majorEastAsia" w:hAnsi="Arial Narrow" w:cstheme="majorBidi"/>
                <w:bCs/>
                <w:sz w:val="20"/>
              </w:rPr>
            </w:pPr>
          </w:p>
        </w:tc>
      </w:tr>
      <w:tr w:rsidR="00BD42E3" w:rsidRPr="00DD72AC" w14:paraId="392A0093" w14:textId="77777777" w:rsidTr="0013639B">
        <w:tc>
          <w:tcPr>
            <w:tcW w:w="1705" w:type="pct"/>
            <w:shd w:val="clear" w:color="auto" w:fill="auto"/>
            <w:vAlign w:val="top"/>
          </w:tcPr>
          <w:p w14:paraId="5A46734C"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Drug costs</w:t>
            </w:r>
          </w:p>
        </w:tc>
        <w:tc>
          <w:tcPr>
            <w:tcW w:w="1099" w:type="pct"/>
            <w:shd w:val="clear" w:color="auto" w:fill="auto"/>
            <w:vAlign w:val="top"/>
          </w:tcPr>
          <w:p w14:paraId="5BC212C2" w14:textId="77F5F638"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2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23"/>
                <w14:textFill>
                  <w14:solidFill>
                    <w14:srgbClr w14:val="000000">
                      <w14:alpha w14:val="100000"/>
                    </w14:srgbClr>
                  </w14:solidFill>
                </w14:textFill>
              </w:rPr>
              <w:t>|</w:t>
            </w:r>
          </w:p>
        </w:tc>
        <w:tc>
          <w:tcPr>
            <w:tcW w:w="1098" w:type="pct"/>
            <w:shd w:val="clear" w:color="auto" w:fill="auto"/>
            <w:vAlign w:val="top"/>
          </w:tcPr>
          <w:p w14:paraId="3F5688C0"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$0</w:t>
            </w:r>
          </w:p>
        </w:tc>
        <w:tc>
          <w:tcPr>
            <w:tcW w:w="1098" w:type="pct"/>
            <w:shd w:val="clear" w:color="auto" w:fill="auto"/>
            <w:vAlign w:val="top"/>
          </w:tcPr>
          <w:p w14:paraId="75C8F348" w14:textId="60C1011C"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2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22"/>
                <w14:textFill>
                  <w14:solidFill>
                    <w14:srgbClr w14:val="000000">
                      <w14:alpha w14:val="100000"/>
                    </w14:srgbClr>
                  </w14:solidFill>
                </w14:textFill>
              </w:rPr>
              <w:t>|</w:t>
            </w:r>
          </w:p>
        </w:tc>
      </w:tr>
      <w:tr w:rsidR="00BD42E3" w:rsidRPr="00DD72AC" w14:paraId="03BBE382" w14:textId="77777777" w:rsidTr="0013639B">
        <w:tc>
          <w:tcPr>
            <w:tcW w:w="1705" w:type="pct"/>
            <w:shd w:val="clear" w:color="auto" w:fill="auto"/>
            <w:vAlign w:val="top"/>
          </w:tcPr>
          <w:p w14:paraId="1B64E524"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Complication costs </w:t>
            </w:r>
            <w:r w:rsidRPr="00DD72AC">
              <w:rPr>
                <w:rFonts w:ascii="Arial Narrow" w:eastAsiaTheme="majorEastAsia" w:hAnsi="Arial Narrow" w:cstheme="majorBidi"/>
                <w:bCs/>
                <w:sz w:val="20"/>
                <w:vertAlign w:val="superscript"/>
              </w:rPr>
              <w:t>a</w:t>
            </w:r>
          </w:p>
        </w:tc>
        <w:tc>
          <w:tcPr>
            <w:tcW w:w="1099" w:type="pct"/>
            <w:shd w:val="clear" w:color="auto" w:fill="auto"/>
            <w:vAlign w:val="top"/>
          </w:tcPr>
          <w:p w14:paraId="08B75279"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$13,214</w:t>
            </w:r>
          </w:p>
        </w:tc>
        <w:tc>
          <w:tcPr>
            <w:tcW w:w="1098" w:type="pct"/>
            <w:shd w:val="clear" w:color="auto" w:fill="auto"/>
            <w:vAlign w:val="top"/>
          </w:tcPr>
          <w:p w14:paraId="7BE3AEDD"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$18,343</w:t>
            </w:r>
          </w:p>
        </w:tc>
        <w:tc>
          <w:tcPr>
            <w:tcW w:w="1098" w:type="pct"/>
            <w:shd w:val="clear" w:color="auto" w:fill="auto"/>
            <w:vAlign w:val="top"/>
          </w:tcPr>
          <w:p w14:paraId="68B85C5A"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-$5,129</w:t>
            </w:r>
          </w:p>
        </w:tc>
      </w:tr>
      <w:tr w:rsidR="00BD42E3" w:rsidRPr="00DD72AC" w14:paraId="26ECA8AC" w14:textId="77777777" w:rsidTr="0013639B">
        <w:tc>
          <w:tcPr>
            <w:tcW w:w="1705" w:type="pct"/>
            <w:shd w:val="clear" w:color="auto" w:fill="auto"/>
            <w:vAlign w:val="top"/>
          </w:tcPr>
          <w:p w14:paraId="5A139A89"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Total costs</w:t>
            </w:r>
          </w:p>
        </w:tc>
        <w:tc>
          <w:tcPr>
            <w:tcW w:w="1099" w:type="pct"/>
            <w:shd w:val="clear" w:color="auto" w:fill="auto"/>
            <w:vAlign w:val="top"/>
          </w:tcPr>
          <w:p w14:paraId="3D1C6F55" w14:textId="2204B9C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2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21"/>
                <w14:textFill>
                  <w14:solidFill>
                    <w14:srgbClr w14:val="000000">
                      <w14:alpha w14:val="100000"/>
                    </w14:srgbClr>
                  </w14:solidFill>
                </w14:textFill>
              </w:rPr>
              <w:t>|</w:t>
            </w:r>
          </w:p>
        </w:tc>
        <w:tc>
          <w:tcPr>
            <w:tcW w:w="1098" w:type="pct"/>
            <w:shd w:val="clear" w:color="auto" w:fill="auto"/>
            <w:vAlign w:val="top"/>
          </w:tcPr>
          <w:p w14:paraId="06E7E97F"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$18,343</w:t>
            </w:r>
          </w:p>
        </w:tc>
        <w:tc>
          <w:tcPr>
            <w:tcW w:w="1098" w:type="pct"/>
            <w:shd w:val="clear" w:color="auto" w:fill="auto"/>
            <w:vAlign w:val="top"/>
          </w:tcPr>
          <w:p w14:paraId="09F569E8" w14:textId="4E73A471"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2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20"/>
                <w14:textFill>
                  <w14:solidFill>
                    <w14:srgbClr w14:val="000000">
                      <w14:alpha w14:val="100000"/>
                    </w14:srgbClr>
                  </w14:solidFill>
                </w14:textFill>
              </w:rPr>
              <w:t>|</w:t>
            </w:r>
          </w:p>
        </w:tc>
      </w:tr>
      <w:tr w:rsidR="00BD42E3" w:rsidRPr="00DD72AC" w14:paraId="69665925" w14:textId="77777777" w:rsidTr="0013639B">
        <w:tc>
          <w:tcPr>
            <w:tcW w:w="1705" w:type="pct"/>
            <w:tcBorders>
              <w:right w:val="nil"/>
            </w:tcBorders>
            <w:shd w:val="clear" w:color="auto" w:fill="auto"/>
          </w:tcPr>
          <w:p w14:paraId="4A1141D7" w14:textId="77777777" w:rsidR="00BD42E3" w:rsidRPr="00DD72AC" w:rsidRDefault="00BD42E3" w:rsidP="00977CAD">
            <w:pPr>
              <w:jc w:val="left"/>
              <w:rPr>
                <w:rFonts w:ascii="Arial Narrow" w:eastAsiaTheme="majorEastAsia" w:hAnsi="Arial Narrow" w:cstheme="majorBidi"/>
                <w:b/>
                <w:sz w:val="20"/>
              </w:rPr>
            </w:pPr>
            <w:r w:rsidRPr="00DD72AC">
              <w:rPr>
                <w:rFonts w:ascii="Arial Narrow" w:eastAsiaTheme="majorEastAsia" w:hAnsi="Arial Narrow" w:cstheme="majorBidi"/>
                <w:b/>
                <w:sz w:val="20"/>
              </w:rPr>
              <w:t>Discounted</w:t>
            </w:r>
          </w:p>
        </w:tc>
        <w:tc>
          <w:tcPr>
            <w:tcW w:w="1099" w:type="pct"/>
            <w:tcBorders>
              <w:left w:val="nil"/>
              <w:right w:val="nil"/>
            </w:tcBorders>
            <w:shd w:val="clear" w:color="auto" w:fill="auto"/>
          </w:tcPr>
          <w:p w14:paraId="1317AA14" w14:textId="77777777" w:rsidR="00BD42E3" w:rsidRPr="00DD72AC" w:rsidRDefault="00BD42E3" w:rsidP="00977CAD">
            <w:pPr>
              <w:jc w:val="left"/>
              <w:rPr>
                <w:rFonts w:ascii="Arial Narrow" w:eastAsiaTheme="majorEastAsia" w:hAnsi="Arial Narrow" w:cstheme="majorBidi"/>
                <w:bCs/>
                <w:sz w:val="20"/>
              </w:rPr>
            </w:pPr>
          </w:p>
        </w:tc>
        <w:tc>
          <w:tcPr>
            <w:tcW w:w="1098" w:type="pct"/>
            <w:tcBorders>
              <w:left w:val="nil"/>
              <w:right w:val="nil"/>
            </w:tcBorders>
            <w:shd w:val="clear" w:color="auto" w:fill="auto"/>
          </w:tcPr>
          <w:p w14:paraId="0DE473FF" w14:textId="77777777" w:rsidR="00BD42E3" w:rsidRPr="00DD72AC" w:rsidRDefault="00BD42E3" w:rsidP="00977CAD">
            <w:pPr>
              <w:jc w:val="left"/>
              <w:rPr>
                <w:rFonts w:ascii="Arial Narrow" w:eastAsiaTheme="majorEastAsia" w:hAnsi="Arial Narrow" w:cstheme="majorBidi"/>
                <w:bCs/>
                <w:sz w:val="20"/>
              </w:rPr>
            </w:pPr>
          </w:p>
        </w:tc>
        <w:tc>
          <w:tcPr>
            <w:tcW w:w="1098" w:type="pct"/>
            <w:tcBorders>
              <w:left w:val="nil"/>
            </w:tcBorders>
            <w:shd w:val="clear" w:color="auto" w:fill="auto"/>
          </w:tcPr>
          <w:p w14:paraId="1042AFFE" w14:textId="77777777" w:rsidR="00BD42E3" w:rsidRPr="00DD72AC" w:rsidRDefault="00BD42E3" w:rsidP="00977CAD">
            <w:pPr>
              <w:jc w:val="left"/>
              <w:rPr>
                <w:rFonts w:ascii="Arial Narrow" w:eastAsiaTheme="majorEastAsia" w:hAnsi="Arial Narrow" w:cstheme="majorBidi"/>
                <w:bCs/>
                <w:sz w:val="20"/>
              </w:rPr>
            </w:pPr>
          </w:p>
        </w:tc>
      </w:tr>
      <w:tr w:rsidR="00BD42E3" w:rsidRPr="00DD72AC" w14:paraId="5C17A1C2" w14:textId="77777777" w:rsidTr="0013639B">
        <w:tc>
          <w:tcPr>
            <w:tcW w:w="1705" w:type="pct"/>
            <w:shd w:val="clear" w:color="auto" w:fill="auto"/>
            <w:vAlign w:val="top"/>
          </w:tcPr>
          <w:p w14:paraId="1676D149"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Drug costs</w:t>
            </w:r>
          </w:p>
        </w:tc>
        <w:tc>
          <w:tcPr>
            <w:tcW w:w="1099" w:type="pct"/>
            <w:shd w:val="clear" w:color="auto" w:fill="auto"/>
            <w:vAlign w:val="top"/>
          </w:tcPr>
          <w:p w14:paraId="6747A61F" w14:textId="549749FB"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1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9"/>
                <w14:textFill>
                  <w14:solidFill>
                    <w14:srgbClr w14:val="000000">
                      <w14:alpha w14:val="100000"/>
                    </w14:srgbClr>
                  </w14:solidFill>
                </w14:textFill>
              </w:rPr>
              <w:t>|</w:t>
            </w:r>
          </w:p>
        </w:tc>
        <w:tc>
          <w:tcPr>
            <w:tcW w:w="1098" w:type="pct"/>
            <w:shd w:val="clear" w:color="auto" w:fill="auto"/>
            <w:vAlign w:val="top"/>
          </w:tcPr>
          <w:p w14:paraId="42BCF3D7"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$0</w:t>
            </w:r>
          </w:p>
        </w:tc>
        <w:tc>
          <w:tcPr>
            <w:tcW w:w="1098" w:type="pct"/>
            <w:shd w:val="clear" w:color="auto" w:fill="auto"/>
            <w:vAlign w:val="top"/>
          </w:tcPr>
          <w:p w14:paraId="65E34D41" w14:textId="22AA5378"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1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8"/>
                <w14:textFill>
                  <w14:solidFill>
                    <w14:srgbClr w14:val="000000">
                      <w14:alpha w14:val="100000"/>
                    </w14:srgbClr>
                  </w14:solidFill>
                </w14:textFill>
              </w:rPr>
              <w:t>|</w:t>
            </w:r>
          </w:p>
        </w:tc>
      </w:tr>
      <w:tr w:rsidR="00BD42E3" w:rsidRPr="00DD72AC" w14:paraId="64603FC8" w14:textId="77777777" w:rsidTr="0013639B">
        <w:tc>
          <w:tcPr>
            <w:tcW w:w="1705" w:type="pct"/>
            <w:shd w:val="clear" w:color="auto" w:fill="auto"/>
            <w:vAlign w:val="top"/>
          </w:tcPr>
          <w:p w14:paraId="11A585F1"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Complication costs</w:t>
            </w:r>
          </w:p>
        </w:tc>
        <w:tc>
          <w:tcPr>
            <w:tcW w:w="1099" w:type="pct"/>
            <w:shd w:val="clear" w:color="auto" w:fill="auto"/>
            <w:vAlign w:val="top"/>
          </w:tcPr>
          <w:p w14:paraId="161028B3"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$6,784</w:t>
            </w:r>
          </w:p>
        </w:tc>
        <w:tc>
          <w:tcPr>
            <w:tcW w:w="1098" w:type="pct"/>
            <w:shd w:val="clear" w:color="auto" w:fill="auto"/>
            <w:vAlign w:val="top"/>
          </w:tcPr>
          <w:p w14:paraId="04F60CB5"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$8,477</w:t>
            </w:r>
          </w:p>
        </w:tc>
        <w:tc>
          <w:tcPr>
            <w:tcW w:w="1098" w:type="pct"/>
            <w:shd w:val="clear" w:color="auto" w:fill="auto"/>
            <w:vAlign w:val="top"/>
          </w:tcPr>
          <w:p w14:paraId="6E523FA3"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-$1,693</w:t>
            </w:r>
          </w:p>
        </w:tc>
      </w:tr>
      <w:tr w:rsidR="00BD42E3" w:rsidRPr="00DD72AC" w14:paraId="1741CE35" w14:textId="77777777" w:rsidTr="0013639B">
        <w:tc>
          <w:tcPr>
            <w:tcW w:w="1705" w:type="pct"/>
            <w:shd w:val="clear" w:color="auto" w:fill="auto"/>
            <w:vAlign w:val="top"/>
          </w:tcPr>
          <w:p w14:paraId="5B7BC754"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Total costs</w:t>
            </w:r>
          </w:p>
        </w:tc>
        <w:tc>
          <w:tcPr>
            <w:tcW w:w="1099" w:type="pct"/>
            <w:shd w:val="clear" w:color="auto" w:fill="auto"/>
            <w:vAlign w:val="top"/>
          </w:tcPr>
          <w:p w14:paraId="369ABC08" w14:textId="13DAB2D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1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7"/>
                <w14:textFill>
                  <w14:solidFill>
                    <w14:srgbClr w14:val="000000">
                      <w14:alpha w14:val="100000"/>
                    </w14:srgbClr>
                  </w14:solidFill>
                </w14:textFill>
              </w:rPr>
              <w:t>|</w:t>
            </w:r>
          </w:p>
        </w:tc>
        <w:tc>
          <w:tcPr>
            <w:tcW w:w="1098" w:type="pct"/>
            <w:shd w:val="clear" w:color="auto" w:fill="auto"/>
            <w:vAlign w:val="top"/>
          </w:tcPr>
          <w:p w14:paraId="692C4290"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$8,477</w:t>
            </w:r>
          </w:p>
        </w:tc>
        <w:tc>
          <w:tcPr>
            <w:tcW w:w="1098" w:type="pct"/>
            <w:shd w:val="clear" w:color="auto" w:fill="auto"/>
            <w:vAlign w:val="top"/>
          </w:tcPr>
          <w:p w14:paraId="62028F56" w14:textId="4AB4ADB3"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1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6"/>
                <w14:textFill>
                  <w14:solidFill>
                    <w14:srgbClr w14:val="000000">
                      <w14:alpha w14:val="100000"/>
                    </w14:srgbClr>
                  </w14:solidFill>
                </w14:textFill>
              </w:rPr>
              <w:t>|</w:t>
            </w:r>
          </w:p>
        </w:tc>
      </w:tr>
    </w:tbl>
    <w:p w14:paraId="6A3DB811"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101, p204 of the submission.</w:t>
      </w:r>
    </w:p>
    <w:p w14:paraId="5CCB5D7C"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BSC = best supportive care; LYs = life years; QALYs = quality adjusted life years.</w:t>
      </w:r>
    </w:p>
    <w:p w14:paraId="00CE3AD0" w14:textId="3F36C2BE" w:rsidR="00BD42E3" w:rsidRPr="00DD72AC" w:rsidRDefault="00BD42E3" w:rsidP="00EB6AD4">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vertAlign w:val="superscript"/>
        </w:rPr>
        <w:t>a.</w:t>
      </w:r>
      <w:r w:rsidRPr="00DD72AC">
        <w:rPr>
          <w:rFonts w:ascii="Arial Narrow" w:eastAsia="Times New Roman" w:hAnsi="Arial Narrow"/>
          <w:snapToGrid w:val="0"/>
          <w:sz w:val="18"/>
          <w:szCs w:val="22"/>
        </w:rPr>
        <w:t xml:space="preserve"> Complication applied in the model were: Decompression surgery (applied as foramen magnum stenosis); Shunt insertion (applied as hydrocephalus); Sleep apnoea; Spinal corrective surgery (applied as spinal stenosis); Kyphosis; Leg bowing; Cardiovascular disease; Tympanostomy (applied as otitis media); and Dental overcrowding (applied as dental malocclusion). </w:t>
      </w:r>
    </w:p>
    <w:p w14:paraId="3A72AB92" w14:textId="77777777" w:rsidR="0014489C" w:rsidRPr="00DD72AC" w:rsidRDefault="0014489C" w:rsidP="00EB6AD4">
      <w:pPr>
        <w:spacing w:after="120"/>
        <w:contextualSpacing/>
        <w:rPr>
          <w:rFonts w:ascii="Arial Narrow" w:eastAsia="Times New Roman" w:hAnsi="Arial Narrow"/>
          <w:snapToGrid w:val="0"/>
          <w:sz w:val="18"/>
          <w:szCs w:val="22"/>
        </w:rPr>
      </w:pPr>
    </w:p>
    <w:p w14:paraId="02B2EC19" w14:textId="780BA7C4"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A summary of the key drivers of the model is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_Ref100580464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80776A" w:rsidRPr="00DD72AC">
        <w:rPr>
          <w:rFonts w:asciiTheme="minorHAnsi" w:eastAsia="Times New Roman" w:hAnsiTheme="minorHAnsi"/>
          <w:snapToGrid w:val="0"/>
        </w:rPr>
        <w:t>Table 12</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The model results were most sensitive to the time horizon, extrapolation of utility data, and reduction in treatment effect (% of height restoration of general population).</w:t>
      </w:r>
    </w:p>
    <w:p w14:paraId="251826D8" w14:textId="4F9BEF56" w:rsidR="00BD42E3" w:rsidRPr="00DD72AC" w:rsidRDefault="00BD42E3" w:rsidP="00977CAD">
      <w:pPr>
        <w:keepNext/>
        <w:jc w:val="left"/>
        <w:rPr>
          <w:rFonts w:ascii="Arial Narrow" w:eastAsiaTheme="majorEastAsia" w:hAnsi="Arial Narrow" w:cstheme="majorBidi"/>
          <w:b/>
          <w:sz w:val="20"/>
        </w:rPr>
      </w:pPr>
      <w:bookmarkStart w:id="61" w:name="_Ref100580464"/>
      <w:r w:rsidRPr="00DD72AC">
        <w:rPr>
          <w:rFonts w:ascii="Arial Narrow" w:eastAsiaTheme="majorEastAsia" w:hAnsi="Arial Narrow" w:cstheme="majorBidi"/>
          <w:b/>
          <w:sz w:val="20"/>
        </w:rPr>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12</w:t>
      </w:r>
      <w:r w:rsidRPr="00DD72AC">
        <w:rPr>
          <w:rFonts w:ascii="Arial Narrow" w:eastAsiaTheme="majorEastAsia" w:hAnsi="Arial Narrow" w:cstheme="majorBidi"/>
          <w:b/>
          <w:sz w:val="20"/>
        </w:rPr>
        <w:fldChar w:fldCharType="end"/>
      </w:r>
      <w:bookmarkEnd w:id="61"/>
      <w:r w:rsidRPr="00DD72AC">
        <w:rPr>
          <w:rFonts w:ascii="Arial Narrow" w:eastAsiaTheme="majorEastAsia" w:hAnsi="Arial Narrow" w:cstheme="majorBidi"/>
          <w:b/>
          <w:sz w:val="2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Key drivers of the model"/>
      </w:tblPr>
      <w:tblGrid>
        <w:gridCol w:w="1271"/>
        <w:gridCol w:w="2977"/>
        <w:gridCol w:w="4768"/>
      </w:tblGrid>
      <w:tr w:rsidR="00BD42E3" w:rsidRPr="00DD72AC" w14:paraId="4EEB8CDB" w14:textId="77777777" w:rsidTr="00FF59EA">
        <w:trPr>
          <w:tblHeader/>
        </w:trPr>
        <w:tc>
          <w:tcPr>
            <w:tcW w:w="705" w:type="pct"/>
            <w:shd w:val="clear" w:color="auto" w:fill="auto"/>
            <w:vAlign w:val="center"/>
          </w:tcPr>
          <w:p w14:paraId="2A96EE71"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Description</w:t>
            </w:r>
          </w:p>
        </w:tc>
        <w:tc>
          <w:tcPr>
            <w:tcW w:w="1651" w:type="pct"/>
            <w:shd w:val="clear" w:color="auto" w:fill="auto"/>
            <w:vAlign w:val="center"/>
          </w:tcPr>
          <w:p w14:paraId="7B46388E"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Method/Value</w:t>
            </w:r>
          </w:p>
        </w:tc>
        <w:tc>
          <w:tcPr>
            <w:tcW w:w="2644" w:type="pct"/>
            <w:shd w:val="clear" w:color="auto" w:fill="auto"/>
            <w:vAlign w:val="center"/>
          </w:tcPr>
          <w:p w14:paraId="4FF49D6D"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Impact</w:t>
            </w:r>
          </w:p>
          <w:p w14:paraId="76484E2A" w14:textId="65DFD1A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b/>
                <w:sz w:val="20"/>
                <w:szCs w:val="20"/>
              </w:rPr>
              <w:t>Base case: $</w:t>
            </w:r>
            <w:r w:rsidR="00C97261" w:rsidRPr="00C97261">
              <w:rPr>
                <w:rFonts w:ascii="Arial Narrow" w:eastAsiaTheme="majorEastAsia" w:hAnsi="Arial Narrow"/>
                <w:b/>
                <w:color w:val="000000"/>
                <w:sz w:val="20"/>
                <w:szCs w:val="20"/>
                <w:shd w:val="solid" w:color="000000" w:fill="000000"/>
                <w14:textFill>
                  <w14:solidFill>
                    <w14:srgbClr w14:val="000000">
                      <w14:alpha w14:val="100000"/>
                    </w14:srgbClr>
                  </w14:solidFill>
                </w14:textFill>
              </w:rPr>
              <w:t>|</w:t>
            </w:r>
            <w:r w:rsidR="00454897">
              <w:rPr>
                <w:rFonts w:ascii="Arial Narrow" w:eastAsiaTheme="majorEastAsia" w:hAnsi="Arial Narrow"/>
                <w:b/>
                <w:sz w:val="20"/>
                <w:szCs w:val="20"/>
                <w:vertAlign w:val="superscript"/>
              </w:rPr>
              <w:t>1</w:t>
            </w:r>
            <w:r w:rsidRPr="00DD72AC">
              <w:rPr>
                <w:rFonts w:ascii="Arial Narrow" w:eastAsiaTheme="majorEastAsia" w:hAnsi="Arial Narrow"/>
                <w:b/>
                <w:sz w:val="20"/>
                <w:szCs w:val="20"/>
              </w:rPr>
              <w:t>/QALY gained</w:t>
            </w:r>
            <w:r w:rsidRPr="00DD72AC">
              <w:rPr>
                <w:rFonts w:ascii="Arial Narrow" w:eastAsiaTheme="majorEastAsia" w:hAnsi="Arial Narrow"/>
                <w:b/>
                <w:color w:val="3366FF"/>
                <w:sz w:val="20"/>
                <w:szCs w:val="20"/>
              </w:rPr>
              <w:t>.</w:t>
            </w:r>
          </w:p>
        </w:tc>
      </w:tr>
      <w:tr w:rsidR="00BD42E3" w:rsidRPr="00DD72AC" w14:paraId="37A23F90" w14:textId="77777777" w:rsidTr="00FF59EA">
        <w:tc>
          <w:tcPr>
            <w:tcW w:w="705" w:type="pct"/>
            <w:shd w:val="clear" w:color="auto" w:fill="auto"/>
            <w:vAlign w:val="center"/>
          </w:tcPr>
          <w:p w14:paraId="3D87811B"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Time horizon</w:t>
            </w:r>
          </w:p>
        </w:tc>
        <w:tc>
          <w:tcPr>
            <w:tcW w:w="1651" w:type="pct"/>
            <w:shd w:val="clear" w:color="auto" w:fill="auto"/>
            <w:vAlign w:val="center"/>
          </w:tcPr>
          <w:p w14:paraId="1270B098"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lifetime</w:t>
            </w:r>
          </w:p>
        </w:tc>
        <w:tc>
          <w:tcPr>
            <w:tcW w:w="2644" w:type="pct"/>
            <w:shd w:val="clear" w:color="auto" w:fill="auto"/>
            <w:vAlign w:val="center"/>
          </w:tcPr>
          <w:p w14:paraId="08336B26" w14:textId="110CA5D6"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High, favours vosoritide. Use of 10-year and 20-year time horizon increased the ICER to $</w:t>
            </w:r>
            <w:r w:rsidR="00C97261" w:rsidRPr="00C97261">
              <w:rPr>
                <w:rFonts w:ascii="Arial Narrow" w:eastAsiaTheme="majorEastAsia" w:hAnsi="Arial Narrow" w:cstheme="majorBidi"/>
                <w:bCs/>
                <w:color w:val="000000"/>
                <w:spacing w:val="48"/>
                <w:sz w:val="20"/>
                <w:shd w:val="solid" w:color="000000" w:fill="000000"/>
                <w:fitText w:val="500" w:id="-143579211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5"/>
                <w14:textFill>
                  <w14:solidFill>
                    <w14:srgbClr w14:val="000000">
                      <w14:alpha w14:val="100000"/>
                    </w14:srgbClr>
                  </w14:solidFill>
                </w14:textFill>
              </w:rPr>
              <w:t>|</w:t>
            </w:r>
            <w:r w:rsidR="00454897">
              <w:rPr>
                <w:rFonts w:ascii="Arial Narrow" w:eastAsiaTheme="majorEastAsia" w:hAnsi="Arial Narrow" w:cstheme="majorBidi"/>
                <w:bCs/>
                <w:sz w:val="20"/>
                <w:vertAlign w:val="superscript"/>
              </w:rPr>
              <w:t>2</w:t>
            </w:r>
            <w:r w:rsidRPr="00DD72AC">
              <w:rPr>
                <w:rFonts w:ascii="Arial Narrow" w:eastAsiaTheme="majorEastAsia" w:hAnsi="Arial Narrow" w:cstheme="majorBidi"/>
                <w:bCs/>
                <w:sz w:val="20"/>
              </w:rPr>
              <w:t xml:space="preserve"> and $</w:t>
            </w:r>
            <w:r w:rsidR="00C97261" w:rsidRPr="00C97261">
              <w:rPr>
                <w:rFonts w:ascii="Arial Narrow" w:eastAsiaTheme="majorEastAsia" w:hAnsi="Arial Narrow" w:cstheme="majorBidi"/>
                <w:bCs/>
                <w:color w:val="000000"/>
                <w:spacing w:val="48"/>
                <w:sz w:val="20"/>
                <w:shd w:val="solid" w:color="000000" w:fill="000000"/>
                <w:fitText w:val="500" w:id="-143579211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4"/>
                <w14:textFill>
                  <w14:solidFill>
                    <w14:srgbClr w14:val="000000">
                      <w14:alpha w14:val="100000"/>
                    </w14:srgbClr>
                  </w14:solidFill>
                </w14:textFill>
              </w:rPr>
              <w:t>|</w:t>
            </w:r>
            <w:r w:rsidR="00454897">
              <w:rPr>
                <w:rFonts w:ascii="Arial Narrow" w:eastAsiaTheme="majorEastAsia" w:hAnsi="Arial Narrow" w:cstheme="majorBidi"/>
                <w:bCs/>
                <w:sz w:val="20"/>
                <w:vertAlign w:val="superscript"/>
              </w:rPr>
              <w:t>2</w:t>
            </w:r>
            <w:r w:rsidRPr="00DD72AC">
              <w:rPr>
                <w:rFonts w:ascii="Arial Narrow" w:eastAsiaTheme="majorEastAsia" w:hAnsi="Arial Narrow" w:cstheme="majorBidi"/>
                <w:bCs/>
                <w:sz w:val="20"/>
              </w:rPr>
              <w:t xml:space="preserve"> per QALY gained, respectively. </w:t>
            </w:r>
          </w:p>
        </w:tc>
      </w:tr>
      <w:tr w:rsidR="00BD42E3" w:rsidRPr="00DD72AC" w14:paraId="4ADFE871" w14:textId="77777777" w:rsidTr="00FF59EA">
        <w:tc>
          <w:tcPr>
            <w:tcW w:w="705" w:type="pct"/>
            <w:shd w:val="clear" w:color="auto" w:fill="auto"/>
            <w:vAlign w:val="center"/>
          </w:tcPr>
          <w:p w14:paraId="687F948E"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Utility data extrapolation </w:t>
            </w:r>
          </w:p>
        </w:tc>
        <w:tc>
          <w:tcPr>
            <w:tcW w:w="1651" w:type="pct"/>
            <w:shd w:val="clear" w:color="auto" w:fill="auto"/>
            <w:vAlign w:val="center"/>
          </w:tcPr>
          <w:p w14:paraId="0172E98D" w14:textId="57CA3D83" w:rsidR="00BD42E3" w:rsidRPr="00DD72AC" w:rsidRDefault="00630F9C"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Height based utility values</w:t>
            </w:r>
            <w:r w:rsidR="00E16104" w:rsidRPr="00DD72AC">
              <w:rPr>
                <w:rFonts w:ascii="Arial Narrow" w:eastAsiaTheme="majorEastAsia" w:hAnsi="Arial Narrow" w:cstheme="majorBidi"/>
                <w:bCs/>
                <w:sz w:val="20"/>
              </w:rPr>
              <w:t xml:space="preserve"> extrapolated</w:t>
            </w:r>
            <w:r w:rsidRPr="00DD72AC">
              <w:rPr>
                <w:rFonts w:ascii="Arial Narrow" w:eastAsiaTheme="majorEastAsia" w:hAnsi="Arial Narrow" w:cstheme="majorBidi"/>
                <w:bCs/>
                <w:sz w:val="20"/>
              </w:rPr>
              <w:t xml:space="preserve"> from Christensen 2007</w:t>
            </w:r>
          </w:p>
        </w:tc>
        <w:tc>
          <w:tcPr>
            <w:tcW w:w="2644" w:type="pct"/>
            <w:shd w:val="clear" w:color="auto" w:fill="auto"/>
            <w:vAlign w:val="center"/>
          </w:tcPr>
          <w:p w14:paraId="30767128" w14:textId="0C277C73"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High, ICER highly sensitive to utility </w:t>
            </w:r>
            <w:r w:rsidR="00E16104" w:rsidRPr="00DD72AC">
              <w:rPr>
                <w:rFonts w:ascii="Arial Narrow" w:eastAsiaTheme="majorEastAsia" w:hAnsi="Arial Narrow" w:cstheme="majorBidi"/>
                <w:bCs/>
                <w:sz w:val="20"/>
              </w:rPr>
              <w:t>values</w:t>
            </w:r>
            <w:r w:rsidRPr="00DD72AC">
              <w:rPr>
                <w:rFonts w:ascii="Arial Narrow" w:eastAsiaTheme="majorEastAsia" w:hAnsi="Arial Narrow" w:cstheme="majorBidi"/>
                <w:bCs/>
                <w:sz w:val="20"/>
              </w:rPr>
              <w:t xml:space="preserve">. </w:t>
            </w:r>
            <w:r w:rsidR="00E16104" w:rsidRPr="00DD72AC">
              <w:rPr>
                <w:rFonts w:ascii="Arial Narrow" w:eastAsiaTheme="majorEastAsia" w:hAnsi="Arial Narrow" w:cstheme="majorBidi"/>
                <w:bCs/>
                <w:sz w:val="20"/>
              </w:rPr>
              <w:t>A 20% decrease in utility values resulted in an ICER of $</w:t>
            </w:r>
            <w:r w:rsidR="00C97261" w:rsidRPr="00C97261">
              <w:rPr>
                <w:rFonts w:ascii="Arial Narrow" w:eastAsiaTheme="majorEastAsia" w:hAnsi="Arial Narrow" w:cstheme="majorBidi"/>
                <w:bCs/>
                <w:color w:val="000000"/>
                <w:spacing w:val="48"/>
                <w:sz w:val="20"/>
                <w:shd w:val="solid" w:color="000000" w:fill="000000"/>
                <w:fitText w:val="500" w:id="-143579211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3"/>
                <w14:textFill>
                  <w14:solidFill>
                    <w14:srgbClr w14:val="000000">
                      <w14:alpha w14:val="100000"/>
                    </w14:srgbClr>
                  </w14:solidFill>
                </w14:textFill>
              </w:rPr>
              <w:t>|</w:t>
            </w:r>
            <w:r w:rsidR="000811D1">
              <w:rPr>
                <w:rFonts w:ascii="Arial Narrow" w:eastAsiaTheme="majorEastAsia" w:hAnsi="Arial Narrow" w:cstheme="majorBidi"/>
                <w:bCs/>
                <w:sz w:val="20"/>
                <w:vertAlign w:val="superscript"/>
              </w:rPr>
              <w:t>2</w:t>
            </w:r>
            <w:r w:rsidR="00E16104" w:rsidRPr="00DD72AC">
              <w:rPr>
                <w:rFonts w:ascii="Arial Narrow" w:eastAsiaTheme="majorEastAsia" w:hAnsi="Arial Narrow" w:cstheme="majorBidi"/>
                <w:bCs/>
                <w:sz w:val="20"/>
              </w:rPr>
              <w:t xml:space="preserve"> with a 20% increase resulting in an ICER of $</w:t>
            </w:r>
            <w:r w:rsidR="00C97261" w:rsidRPr="00C97261">
              <w:rPr>
                <w:rFonts w:ascii="Arial Narrow" w:eastAsiaTheme="majorEastAsia" w:hAnsi="Arial Narrow" w:cstheme="majorBidi"/>
                <w:bCs/>
                <w:color w:val="000000"/>
                <w:spacing w:val="48"/>
                <w:sz w:val="20"/>
                <w:shd w:val="solid" w:color="000000" w:fill="000000"/>
                <w:fitText w:val="500" w:id="-143579211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2"/>
                <w14:textFill>
                  <w14:solidFill>
                    <w14:srgbClr w14:val="000000">
                      <w14:alpha w14:val="100000"/>
                    </w14:srgbClr>
                  </w14:solidFill>
                </w14:textFill>
              </w:rPr>
              <w:t>|</w:t>
            </w:r>
            <w:r w:rsidR="000811D1">
              <w:rPr>
                <w:rFonts w:ascii="Arial Narrow" w:eastAsiaTheme="majorEastAsia" w:hAnsi="Arial Narrow" w:cstheme="majorBidi"/>
                <w:bCs/>
                <w:sz w:val="20"/>
                <w:vertAlign w:val="superscript"/>
              </w:rPr>
              <w:t>3</w:t>
            </w:r>
            <w:r w:rsidRPr="00DD72AC">
              <w:rPr>
                <w:rFonts w:ascii="Arial Narrow" w:eastAsiaTheme="majorEastAsia" w:hAnsi="Arial Narrow" w:cstheme="majorBidi"/>
                <w:bCs/>
                <w:sz w:val="20"/>
              </w:rPr>
              <w:t xml:space="preserve">.  </w:t>
            </w:r>
          </w:p>
        </w:tc>
      </w:tr>
      <w:tr w:rsidR="00BD42E3" w:rsidRPr="00DD72AC" w14:paraId="1AEF9475" w14:textId="77777777" w:rsidTr="00FF59EA">
        <w:tc>
          <w:tcPr>
            <w:tcW w:w="705" w:type="pct"/>
            <w:shd w:val="clear" w:color="auto" w:fill="auto"/>
            <w:vAlign w:val="center"/>
          </w:tcPr>
          <w:p w14:paraId="0AE52563" w14:textId="52B8767D"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Treatment effect (% of height restoration of general population)</w:t>
            </w:r>
          </w:p>
        </w:tc>
        <w:tc>
          <w:tcPr>
            <w:tcW w:w="1651" w:type="pct"/>
            <w:shd w:val="clear" w:color="auto" w:fill="auto"/>
            <w:vAlign w:val="center"/>
          </w:tcPr>
          <w:p w14:paraId="13D7F92B"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72% restoration of general population height</w:t>
            </w:r>
          </w:p>
        </w:tc>
        <w:tc>
          <w:tcPr>
            <w:tcW w:w="2644" w:type="pct"/>
            <w:shd w:val="clear" w:color="auto" w:fill="auto"/>
            <w:vAlign w:val="center"/>
          </w:tcPr>
          <w:p w14:paraId="5F7EB4EB" w14:textId="3258A59C"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High, favours vosoritide. Use of 56% and 20% restoration of general population increased the ICER to $</w:t>
            </w:r>
            <w:r w:rsidR="00C97261" w:rsidRPr="00C97261">
              <w:rPr>
                <w:rFonts w:ascii="Arial Narrow" w:eastAsiaTheme="majorEastAsia" w:hAnsi="Arial Narrow" w:cstheme="majorBidi"/>
                <w:bCs/>
                <w:color w:val="000000"/>
                <w:spacing w:val="48"/>
                <w:sz w:val="20"/>
                <w:shd w:val="solid" w:color="000000" w:fill="000000"/>
                <w:fitText w:val="500" w:id="-143579212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28"/>
                <w14:textFill>
                  <w14:solidFill>
                    <w14:srgbClr w14:val="000000">
                      <w14:alpha w14:val="100000"/>
                    </w14:srgbClr>
                  </w14:solidFill>
                </w14:textFill>
              </w:rPr>
              <w:t>|</w:t>
            </w:r>
            <w:r w:rsidR="000811D1">
              <w:rPr>
                <w:rFonts w:ascii="Arial Narrow" w:eastAsiaTheme="majorEastAsia" w:hAnsi="Arial Narrow" w:cstheme="majorBidi"/>
                <w:bCs/>
                <w:sz w:val="20"/>
                <w:vertAlign w:val="superscript"/>
              </w:rPr>
              <w:t>2</w:t>
            </w:r>
            <w:r w:rsidRPr="00DD72AC">
              <w:rPr>
                <w:rFonts w:ascii="Arial Narrow" w:eastAsiaTheme="majorEastAsia" w:hAnsi="Arial Narrow" w:cstheme="majorBidi"/>
                <w:bCs/>
                <w:sz w:val="20"/>
              </w:rPr>
              <w:t xml:space="preserve"> and $</w:t>
            </w:r>
            <w:r w:rsidR="00C97261" w:rsidRPr="00C97261">
              <w:rPr>
                <w:rFonts w:ascii="Arial Narrow" w:eastAsiaTheme="majorEastAsia" w:hAnsi="Arial Narrow" w:cstheme="majorBidi"/>
                <w:bCs/>
                <w:color w:val="000000"/>
                <w:spacing w:val="48"/>
                <w:sz w:val="20"/>
                <w:shd w:val="solid" w:color="000000" w:fill="000000"/>
                <w:fitText w:val="500" w:id="-143579212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27"/>
                <w14:textFill>
                  <w14:solidFill>
                    <w14:srgbClr w14:val="000000">
                      <w14:alpha w14:val="100000"/>
                    </w14:srgbClr>
                  </w14:solidFill>
                </w14:textFill>
              </w:rPr>
              <w:t>|</w:t>
            </w:r>
            <w:r w:rsidR="000811D1">
              <w:rPr>
                <w:rFonts w:ascii="Arial Narrow" w:eastAsiaTheme="majorEastAsia" w:hAnsi="Arial Narrow" w:cstheme="majorBidi"/>
                <w:bCs/>
                <w:sz w:val="20"/>
                <w:vertAlign w:val="superscript"/>
              </w:rPr>
              <w:t>2</w:t>
            </w:r>
            <w:r w:rsidRPr="00DD72AC">
              <w:rPr>
                <w:rFonts w:ascii="Arial Narrow" w:eastAsiaTheme="majorEastAsia" w:hAnsi="Arial Narrow" w:cstheme="majorBidi"/>
                <w:bCs/>
                <w:sz w:val="20"/>
              </w:rPr>
              <w:t xml:space="preserve"> per QALY gained, respectively. </w:t>
            </w:r>
          </w:p>
        </w:tc>
      </w:tr>
    </w:tbl>
    <w:p w14:paraId="741F145B"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Source: Table 104, p206, and Table 107, p210 of the submission. </w:t>
      </w:r>
    </w:p>
    <w:p w14:paraId="3847EA11" w14:textId="77777777" w:rsidR="00FF59EA"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BSC = best supportive care; ICER = incremental cost effectiveness ratio; QALY = quality adjusted life years.</w:t>
      </w:r>
    </w:p>
    <w:p w14:paraId="39EB4E64" w14:textId="77777777" w:rsidR="00FF59EA" w:rsidRPr="009A6D58" w:rsidRDefault="00FF59EA" w:rsidP="00FF59EA">
      <w:pPr>
        <w:rPr>
          <w:rFonts w:ascii="Arial Narrow" w:eastAsia="Times New Roman" w:hAnsi="Arial Narrow"/>
          <w:i/>
          <w:sz w:val="18"/>
          <w:szCs w:val="18"/>
        </w:rPr>
      </w:pPr>
      <w:r w:rsidRPr="009A6D58">
        <w:rPr>
          <w:rFonts w:ascii="Arial Narrow" w:eastAsia="Times New Roman" w:hAnsi="Arial Narrow"/>
          <w:i/>
          <w:sz w:val="18"/>
          <w:szCs w:val="18"/>
        </w:rPr>
        <w:t xml:space="preserve">The redacted values correspond to the following ranges: </w:t>
      </w:r>
    </w:p>
    <w:p w14:paraId="1CF34FBC" w14:textId="2CA14D9D" w:rsidR="00454897" w:rsidRDefault="00FF59EA" w:rsidP="00FF59EA">
      <w:pPr>
        <w:rPr>
          <w:rFonts w:ascii="Arial Narrow" w:eastAsia="Times New Roman" w:hAnsi="Arial Narrow"/>
          <w:i/>
          <w:sz w:val="18"/>
          <w:szCs w:val="18"/>
        </w:rPr>
      </w:pPr>
      <w:r w:rsidRPr="009A6D58">
        <w:rPr>
          <w:rFonts w:ascii="Arial Narrow" w:eastAsia="Times New Roman" w:hAnsi="Arial Narrow"/>
          <w:i/>
          <w:sz w:val="18"/>
          <w:szCs w:val="18"/>
          <w:vertAlign w:val="superscript"/>
        </w:rPr>
        <w:t>1</w:t>
      </w:r>
      <w:r>
        <w:rPr>
          <w:rFonts w:ascii="Arial Narrow" w:eastAsia="Times New Roman" w:hAnsi="Arial Narrow"/>
          <w:i/>
          <w:sz w:val="18"/>
          <w:szCs w:val="18"/>
        </w:rPr>
        <w:t xml:space="preserve"> </w:t>
      </w:r>
      <w:r w:rsidR="000811D1" w:rsidRPr="00FF59EA">
        <w:rPr>
          <w:rFonts w:ascii="Arial Narrow" w:eastAsia="Times New Roman" w:hAnsi="Arial Narrow"/>
          <w:i/>
          <w:sz w:val="18"/>
          <w:szCs w:val="18"/>
        </w:rPr>
        <w:t>$</w:t>
      </w:r>
      <w:r w:rsidR="000811D1">
        <w:rPr>
          <w:rFonts w:ascii="Arial Narrow" w:eastAsia="Times New Roman" w:hAnsi="Arial Narrow"/>
          <w:i/>
          <w:sz w:val="18"/>
          <w:szCs w:val="18"/>
        </w:rPr>
        <w:t>8</w:t>
      </w:r>
      <w:r w:rsidR="000811D1" w:rsidRPr="00FF59EA">
        <w:rPr>
          <w:rFonts w:ascii="Arial Narrow" w:eastAsia="Times New Roman" w:hAnsi="Arial Narrow"/>
          <w:i/>
          <w:sz w:val="18"/>
          <w:szCs w:val="18"/>
        </w:rPr>
        <w:t>55,000 to &lt; $</w:t>
      </w:r>
      <w:r w:rsidR="000811D1">
        <w:rPr>
          <w:rFonts w:ascii="Arial Narrow" w:eastAsia="Times New Roman" w:hAnsi="Arial Narrow"/>
          <w:i/>
          <w:sz w:val="18"/>
          <w:szCs w:val="18"/>
        </w:rPr>
        <w:t>9</w:t>
      </w:r>
      <w:r w:rsidR="000811D1" w:rsidRPr="00FF59EA">
        <w:rPr>
          <w:rFonts w:ascii="Arial Narrow" w:eastAsia="Times New Roman" w:hAnsi="Arial Narrow"/>
          <w:i/>
          <w:sz w:val="18"/>
          <w:szCs w:val="18"/>
        </w:rPr>
        <w:t>55,000</w:t>
      </w:r>
    </w:p>
    <w:p w14:paraId="132B1F5C" w14:textId="0B23AC8A" w:rsidR="00FF59EA" w:rsidRPr="009A6D58" w:rsidRDefault="00454897" w:rsidP="00FF59EA">
      <w:pPr>
        <w:rPr>
          <w:rFonts w:ascii="Arial Narrow" w:eastAsia="Times New Roman" w:hAnsi="Arial Narrow"/>
          <w:i/>
          <w:sz w:val="18"/>
          <w:szCs w:val="18"/>
        </w:rPr>
      </w:pPr>
      <w:r w:rsidRPr="009A6D58">
        <w:rPr>
          <w:rFonts w:ascii="Arial Narrow" w:eastAsia="Times New Roman" w:hAnsi="Arial Narrow"/>
          <w:i/>
          <w:sz w:val="18"/>
          <w:szCs w:val="18"/>
          <w:vertAlign w:val="superscript"/>
        </w:rPr>
        <w:t>2</w:t>
      </w:r>
      <w:r>
        <w:rPr>
          <w:rFonts w:ascii="Arial Narrow" w:eastAsia="Times New Roman" w:hAnsi="Arial Narrow"/>
          <w:i/>
          <w:sz w:val="18"/>
          <w:szCs w:val="18"/>
        </w:rPr>
        <w:t xml:space="preserve"> </w:t>
      </w:r>
      <w:r w:rsidR="00FF59EA" w:rsidRPr="00FF59EA">
        <w:rPr>
          <w:rFonts w:ascii="Arial Narrow" w:eastAsia="Times New Roman" w:hAnsi="Arial Narrow"/>
          <w:i/>
          <w:sz w:val="18"/>
          <w:szCs w:val="18"/>
        </w:rPr>
        <w:t>&gt; $1,055,000</w:t>
      </w:r>
    </w:p>
    <w:p w14:paraId="785EB568" w14:textId="7D3D119A" w:rsidR="00FF59EA" w:rsidRPr="009A6D58" w:rsidRDefault="00454897" w:rsidP="00FF59EA">
      <w:pPr>
        <w:rPr>
          <w:rFonts w:ascii="Arial Narrow" w:eastAsia="Times New Roman" w:hAnsi="Arial Narrow"/>
          <w:i/>
          <w:sz w:val="18"/>
          <w:szCs w:val="18"/>
        </w:rPr>
      </w:pPr>
      <w:r>
        <w:rPr>
          <w:rFonts w:ascii="Arial Narrow" w:eastAsia="Times New Roman" w:hAnsi="Arial Narrow"/>
          <w:i/>
          <w:sz w:val="18"/>
          <w:szCs w:val="18"/>
          <w:vertAlign w:val="superscript"/>
        </w:rPr>
        <w:t>3</w:t>
      </w:r>
      <w:r w:rsidR="00FF59EA">
        <w:rPr>
          <w:rFonts w:ascii="Arial Narrow" w:eastAsia="Times New Roman" w:hAnsi="Arial Narrow"/>
          <w:i/>
          <w:sz w:val="18"/>
          <w:szCs w:val="18"/>
        </w:rPr>
        <w:t xml:space="preserve"> </w:t>
      </w:r>
      <w:r w:rsidR="00FF59EA" w:rsidRPr="00FF59EA">
        <w:rPr>
          <w:rFonts w:ascii="Arial Narrow" w:eastAsia="Times New Roman" w:hAnsi="Arial Narrow"/>
          <w:i/>
          <w:sz w:val="18"/>
          <w:szCs w:val="18"/>
        </w:rPr>
        <w:t>$655,000 to &lt; $755,000</w:t>
      </w:r>
    </w:p>
    <w:p w14:paraId="0A2FFA16" w14:textId="77777777" w:rsidR="00EC08C9" w:rsidRPr="00DD72AC" w:rsidRDefault="00EC08C9" w:rsidP="00EC08C9"/>
    <w:p w14:paraId="13C04A66" w14:textId="3AD73A5E" w:rsidR="00BD42E3" w:rsidRPr="00DD72AC" w:rsidRDefault="00BD42E3" w:rsidP="00D35045">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results of the stepped economic evaluation and base case analysis are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_Ref101274987 \h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t>Table 13</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and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_Ref100584054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Table 14</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w:t>
      </w:r>
    </w:p>
    <w:p w14:paraId="52F2EFEA" w14:textId="24F53F3B" w:rsidR="00BD42E3" w:rsidRPr="00DD72AC" w:rsidRDefault="00BD42E3" w:rsidP="0045492F">
      <w:pPr>
        <w:pStyle w:val="TableFigureHeading"/>
      </w:pPr>
      <w:bookmarkStart w:id="62" w:name="_Ref101274987"/>
      <w:r w:rsidRPr="00DD72AC">
        <w:lastRenderedPageBreak/>
        <w:t xml:space="preserve">Table </w:t>
      </w:r>
      <w:r w:rsidRPr="00DD72AC">
        <w:fldChar w:fldCharType="begin" w:fldLock="1"/>
      </w:r>
      <w:r w:rsidRPr="00DD72AC">
        <w:instrText>SEQ Table \* ARABIC</w:instrText>
      </w:r>
      <w:r w:rsidRPr="00DD72AC">
        <w:fldChar w:fldCharType="separate"/>
      </w:r>
      <w:r w:rsidR="003136E6" w:rsidRPr="00DD72AC">
        <w:t>13</w:t>
      </w:r>
      <w:r w:rsidRPr="00DD72AC">
        <w:fldChar w:fldCharType="end"/>
      </w:r>
      <w:bookmarkEnd w:id="62"/>
      <w:r w:rsidRPr="00DD72AC">
        <w:t>: Results of the stepped economic evaluation</w:t>
      </w:r>
    </w:p>
    <w:tbl>
      <w:tblPr>
        <w:tblStyle w:val="THEMAtable"/>
        <w:tblW w:w="0" w:type="auto"/>
        <w:tblLook w:val="04A0" w:firstRow="1" w:lastRow="0" w:firstColumn="1" w:lastColumn="0" w:noHBand="0" w:noVBand="1"/>
      </w:tblPr>
      <w:tblGrid>
        <w:gridCol w:w="671"/>
        <w:gridCol w:w="3085"/>
        <w:gridCol w:w="2122"/>
        <w:gridCol w:w="1349"/>
        <w:gridCol w:w="1789"/>
      </w:tblGrid>
      <w:tr w:rsidR="00BD42E3" w:rsidRPr="00DD72AC" w14:paraId="21D2473C" w14:textId="77777777" w:rsidTr="0013639B">
        <w:trPr>
          <w:cnfStyle w:val="100000000000" w:firstRow="1" w:lastRow="0" w:firstColumn="0" w:lastColumn="0" w:oddVBand="0" w:evenVBand="0" w:oddHBand="0" w:evenHBand="0" w:firstRowFirstColumn="0" w:firstRowLastColumn="0" w:lastRowFirstColumn="0" w:lastRowLastColumn="0"/>
        </w:trPr>
        <w:tc>
          <w:tcPr>
            <w:tcW w:w="672" w:type="dxa"/>
            <w:shd w:val="clear" w:color="auto" w:fill="auto"/>
          </w:tcPr>
          <w:p w14:paraId="4CEABB13" w14:textId="77777777" w:rsidR="00BD42E3" w:rsidRPr="00DD72AC" w:rsidRDefault="00BD42E3" w:rsidP="00977CAD">
            <w:pPr>
              <w:jc w:val="left"/>
              <w:rPr>
                <w:rFonts w:ascii="Arial Narrow" w:eastAsiaTheme="majorEastAsia" w:hAnsi="Arial Narrow" w:cstheme="majorBidi"/>
                <w:sz w:val="20"/>
              </w:rPr>
            </w:pPr>
            <w:r w:rsidRPr="00DD72AC">
              <w:rPr>
                <w:rFonts w:ascii="Arial Narrow" w:eastAsiaTheme="majorEastAsia" w:hAnsi="Arial Narrow" w:cstheme="majorBidi"/>
                <w:sz w:val="20"/>
              </w:rPr>
              <w:t>Step</w:t>
            </w:r>
          </w:p>
        </w:tc>
        <w:tc>
          <w:tcPr>
            <w:tcW w:w="3085" w:type="dxa"/>
            <w:shd w:val="clear" w:color="auto" w:fill="auto"/>
          </w:tcPr>
          <w:p w14:paraId="6417A449" w14:textId="77777777" w:rsidR="00BD42E3" w:rsidRPr="00DD72AC" w:rsidRDefault="00BD42E3" w:rsidP="00977CAD">
            <w:pPr>
              <w:jc w:val="left"/>
              <w:rPr>
                <w:rFonts w:ascii="Arial Narrow" w:eastAsiaTheme="majorEastAsia" w:hAnsi="Arial Narrow" w:cstheme="majorBidi"/>
                <w:sz w:val="20"/>
              </w:rPr>
            </w:pPr>
            <w:r w:rsidRPr="00DD72AC">
              <w:rPr>
                <w:rFonts w:ascii="Arial Narrow" w:eastAsiaTheme="majorEastAsia" w:hAnsi="Arial Narrow" w:cstheme="majorBidi"/>
                <w:sz w:val="20"/>
              </w:rPr>
              <w:t>Analysis</w:t>
            </w:r>
          </w:p>
        </w:tc>
        <w:tc>
          <w:tcPr>
            <w:tcW w:w="2122" w:type="dxa"/>
            <w:shd w:val="clear" w:color="auto" w:fill="auto"/>
          </w:tcPr>
          <w:p w14:paraId="7A06834C" w14:textId="77777777" w:rsidR="00BD42E3" w:rsidRPr="00DD72AC" w:rsidRDefault="00BD42E3" w:rsidP="00977CAD">
            <w:pPr>
              <w:jc w:val="center"/>
              <w:rPr>
                <w:rFonts w:ascii="Arial Narrow" w:eastAsiaTheme="majorEastAsia" w:hAnsi="Arial Narrow" w:cstheme="majorBidi"/>
                <w:sz w:val="20"/>
              </w:rPr>
            </w:pPr>
            <w:r w:rsidRPr="00DD72AC">
              <w:rPr>
                <w:rFonts w:ascii="Arial Narrow" w:eastAsiaTheme="majorEastAsia" w:hAnsi="Arial Narrow" w:cstheme="majorBidi"/>
                <w:sz w:val="20"/>
              </w:rPr>
              <w:t>Incremental cost</w:t>
            </w:r>
          </w:p>
        </w:tc>
        <w:tc>
          <w:tcPr>
            <w:tcW w:w="1349" w:type="dxa"/>
            <w:shd w:val="clear" w:color="auto" w:fill="auto"/>
          </w:tcPr>
          <w:p w14:paraId="66E7E156" w14:textId="77777777" w:rsidR="00BD42E3" w:rsidRPr="00DD72AC" w:rsidRDefault="00BD42E3" w:rsidP="00977CAD">
            <w:pPr>
              <w:jc w:val="center"/>
              <w:rPr>
                <w:rFonts w:ascii="Arial Narrow" w:eastAsiaTheme="majorEastAsia" w:hAnsi="Arial Narrow" w:cstheme="majorBidi"/>
                <w:sz w:val="20"/>
              </w:rPr>
            </w:pPr>
            <w:r w:rsidRPr="00DD72AC">
              <w:rPr>
                <w:rFonts w:ascii="Arial Narrow" w:eastAsiaTheme="majorEastAsia" w:hAnsi="Arial Narrow" w:cstheme="majorBidi"/>
                <w:sz w:val="20"/>
              </w:rPr>
              <w:t>Incremental outcome</w:t>
            </w:r>
          </w:p>
        </w:tc>
        <w:tc>
          <w:tcPr>
            <w:tcW w:w="1789" w:type="dxa"/>
            <w:shd w:val="clear" w:color="auto" w:fill="auto"/>
          </w:tcPr>
          <w:p w14:paraId="68BC7B47" w14:textId="77777777" w:rsidR="00BD42E3" w:rsidRPr="00DD72AC" w:rsidRDefault="00BD42E3" w:rsidP="00977CAD">
            <w:pPr>
              <w:jc w:val="center"/>
              <w:rPr>
                <w:rFonts w:ascii="Arial Narrow" w:eastAsiaTheme="majorEastAsia" w:hAnsi="Arial Narrow" w:cstheme="majorBidi"/>
                <w:sz w:val="20"/>
              </w:rPr>
            </w:pPr>
            <w:r w:rsidRPr="00DD72AC">
              <w:rPr>
                <w:rFonts w:ascii="Arial Narrow" w:eastAsiaTheme="majorEastAsia" w:hAnsi="Arial Narrow" w:cstheme="majorBidi"/>
                <w:sz w:val="20"/>
              </w:rPr>
              <w:t>ICER</w:t>
            </w:r>
          </w:p>
        </w:tc>
      </w:tr>
      <w:tr w:rsidR="00BD42E3" w:rsidRPr="00DD72AC" w14:paraId="7AA707E7" w14:textId="77777777" w:rsidTr="0013639B">
        <w:tc>
          <w:tcPr>
            <w:tcW w:w="672" w:type="dxa"/>
            <w:shd w:val="clear" w:color="auto" w:fill="auto"/>
          </w:tcPr>
          <w:p w14:paraId="1B03869E"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1</w:t>
            </w:r>
          </w:p>
        </w:tc>
        <w:tc>
          <w:tcPr>
            <w:tcW w:w="3085" w:type="dxa"/>
            <w:shd w:val="clear" w:color="auto" w:fill="auto"/>
          </w:tcPr>
          <w:p w14:paraId="71500940"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Trial-based analysis (12-months)</w:t>
            </w:r>
          </w:p>
          <w:p w14:paraId="267FE2C0"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Costs: Drug costs</w:t>
            </w:r>
          </w:p>
          <w:p w14:paraId="132A9507"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Outcomes: Incremental growth (cm)</w:t>
            </w:r>
          </w:p>
        </w:tc>
        <w:tc>
          <w:tcPr>
            <w:tcW w:w="2122" w:type="dxa"/>
            <w:shd w:val="clear" w:color="auto" w:fill="auto"/>
          </w:tcPr>
          <w:p w14:paraId="63A3E6A3" w14:textId="04E00680"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349" w:type="dxa"/>
            <w:shd w:val="clear" w:color="auto" w:fill="auto"/>
          </w:tcPr>
          <w:p w14:paraId="21D3E4CA" w14:textId="77777777"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1.57 cm</w:t>
            </w:r>
          </w:p>
        </w:tc>
        <w:tc>
          <w:tcPr>
            <w:tcW w:w="1789" w:type="dxa"/>
            <w:shd w:val="clear" w:color="auto" w:fill="auto"/>
          </w:tcPr>
          <w:p w14:paraId="58FCF099" w14:textId="3D09F537"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73"/>
                <w:sz w:val="20"/>
                <w:shd w:val="solid" w:color="000000" w:fill="000000"/>
                <w:fitText w:val="390" w:id="-143579212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390" w:id="-1435792126"/>
                <w14:textFill>
                  <w14:solidFill>
                    <w14:srgbClr w14:val="000000">
                      <w14:alpha w14:val="100000"/>
                    </w14:srgbClr>
                  </w14:solidFill>
                </w14:textFill>
              </w:rPr>
              <w:t>|</w:t>
            </w:r>
            <w:r w:rsidR="00C76AD0">
              <w:rPr>
                <w:rFonts w:ascii="Arial Narrow" w:eastAsiaTheme="majorEastAsia" w:hAnsi="Arial Narrow" w:cstheme="majorBidi"/>
                <w:bCs/>
                <w:sz w:val="20"/>
                <w:vertAlign w:val="superscript"/>
              </w:rPr>
              <w:t>1</w:t>
            </w:r>
            <w:r w:rsidRPr="00DD72AC">
              <w:rPr>
                <w:rFonts w:ascii="Arial Narrow" w:eastAsiaTheme="majorEastAsia" w:hAnsi="Arial Narrow" w:cstheme="majorBidi"/>
                <w:bCs/>
                <w:sz w:val="20"/>
              </w:rPr>
              <w:t xml:space="preserve"> per cm height</w:t>
            </w:r>
          </w:p>
        </w:tc>
      </w:tr>
      <w:tr w:rsidR="00BD42E3" w:rsidRPr="00DD72AC" w14:paraId="6D902917" w14:textId="77777777" w:rsidTr="0013639B">
        <w:tc>
          <w:tcPr>
            <w:tcW w:w="672" w:type="dxa"/>
            <w:shd w:val="clear" w:color="auto" w:fill="auto"/>
          </w:tcPr>
          <w:p w14:paraId="74E71F74"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2</w:t>
            </w:r>
          </w:p>
        </w:tc>
        <w:tc>
          <w:tcPr>
            <w:tcW w:w="3085" w:type="dxa"/>
            <w:shd w:val="clear" w:color="auto" w:fill="auto"/>
          </w:tcPr>
          <w:p w14:paraId="61AE8CC4"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Extrapolation of costs and outcomes (lifetime)</w:t>
            </w:r>
          </w:p>
          <w:p w14:paraId="005B1D23"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Costs: Drug costs</w:t>
            </w:r>
          </w:p>
          <w:p w14:paraId="42798AB3"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Outcomes: Incremental growth (cm)</w:t>
            </w:r>
          </w:p>
        </w:tc>
        <w:tc>
          <w:tcPr>
            <w:tcW w:w="2122" w:type="dxa"/>
            <w:shd w:val="clear" w:color="auto" w:fill="auto"/>
          </w:tcPr>
          <w:p w14:paraId="4BCADDB4" w14:textId="1968E1E6"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349" w:type="dxa"/>
            <w:shd w:val="clear" w:color="auto" w:fill="auto"/>
          </w:tcPr>
          <w:p w14:paraId="40A8211A" w14:textId="77777777"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16.42 cm</w:t>
            </w:r>
          </w:p>
        </w:tc>
        <w:tc>
          <w:tcPr>
            <w:tcW w:w="1789" w:type="dxa"/>
            <w:shd w:val="clear" w:color="auto" w:fill="auto"/>
          </w:tcPr>
          <w:p w14:paraId="0D0AACB4" w14:textId="0C524C2C"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73"/>
                <w:sz w:val="20"/>
                <w:shd w:val="solid" w:color="000000" w:fill="000000"/>
                <w:fitText w:val="390" w:id="-143579212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390" w:id="-1435792125"/>
                <w14:textFill>
                  <w14:solidFill>
                    <w14:srgbClr w14:val="000000">
                      <w14:alpha w14:val="100000"/>
                    </w14:srgbClr>
                  </w14:solidFill>
                </w14:textFill>
              </w:rPr>
              <w:t>|</w:t>
            </w:r>
            <w:r w:rsidR="00C76AD0">
              <w:rPr>
                <w:rFonts w:ascii="Arial Narrow" w:eastAsiaTheme="majorEastAsia" w:hAnsi="Arial Narrow" w:cstheme="majorBidi"/>
                <w:bCs/>
                <w:sz w:val="20"/>
                <w:vertAlign w:val="superscript"/>
              </w:rPr>
              <w:t>1</w:t>
            </w:r>
            <w:r w:rsidRPr="00DD72AC">
              <w:rPr>
                <w:rFonts w:ascii="Arial Narrow" w:eastAsiaTheme="majorEastAsia" w:hAnsi="Arial Narrow" w:cstheme="majorBidi"/>
                <w:bCs/>
                <w:sz w:val="20"/>
              </w:rPr>
              <w:t xml:space="preserve"> per cm height</w:t>
            </w:r>
          </w:p>
        </w:tc>
      </w:tr>
      <w:tr w:rsidR="00BD42E3" w:rsidRPr="00DD72AC" w14:paraId="30160D5F" w14:textId="77777777" w:rsidTr="0013639B">
        <w:tc>
          <w:tcPr>
            <w:tcW w:w="672" w:type="dxa"/>
            <w:shd w:val="clear" w:color="auto" w:fill="auto"/>
          </w:tcPr>
          <w:p w14:paraId="4E853DEF"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3</w:t>
            </w:r>
          </w:p>
        </w:tc>
        <w:tc>
          <w:tcPr>
            <w:tcW w:w="3085" w:type="dxa"/>
            <w:shd w:val="clear" w:color="auto" w:fill="auto"/>
          </w:tcPr>
          <w:p w14:paraId="68A5C6EC"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Translation of outcomes to QALYs</w:t>
            </w:r>
          </w:p>
          <w:p w14:paraId="3ACD486A"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Costs: Drug costs</w:t>
            </w:r>
          </w:p>
          <w:p w14:paraId="705FEDEF"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Outcomes: QALYs</w:t>
            </w:r>
          </w:p>
        </w:tc>
        <w:tc>
          <w:tcPr>
            <w:tcW w:w="2122" w:type="dxa"/>
            <w:shd w:val="clear" w:color="auto" w:fill="auto"/>
          </w:tcPr>
          <w:p w14:paraId="2B37EB74" w14:textId="4116A085"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349" w:type="dxa"/>
            <w:shd w:val="clear" w:color="auto" w:fill="auto"/>
          </w:tcPr>
          <w:p w14:paraId="1B507DE9" w14:textId="77777777"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3.245 QALYs</w:t>
            </w:r>
          </w:p>
        </w:tc>
        <w:tc>
          <w:tcPr>
            <w:tcW w:w="1789" w:type="dxa"/>
            <w:shd w:val="clear" w:color="auto" w:fill="auto"/>
          </w:tcPr>
          <w:p w14:paraId="79FB1308" w14:textId="46A8DF75"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174"/>
                <w:sz w:val="20"/>
                <w:shd w:val="solid" w:color="000000" w:fill="000000"/>
                <w:fitText w:val="260" w:id="-143579187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260" w:id="-1435791872"/>
                <w14:textFill>
                  <w14:solidFill>
                    <w14:srgbClr w14:val="000000">
                      <w14:alpha w14:val="100000"/>
                    </w14:srgbClr>
                  </w14:solidFill>
                </w14:textFill>
              </w:rPr>
              <w:t>|</w:t>
            </w:r>
            <w:r w:rsidR="00C76AD0">
              <w:rPr>
                <w:rFonts w:ascii="Arial Narrow" w:eastAsiaTheme="majorEastAsia" w:hAnsi="Arial Narrow" w:cstheme="majorBidi"/>
                <w:bCs/>
                <w:sz w:val="20"/>
                <w:vertAlign w:val="superscript"/>
              </w:rPr>
              <w:t>2</w:t>
            </w:r>
            <w:r w:rsidRPr="00DD72AC">
              <w:rPr>
                <w:rFonts w:ascii="Arial Narrow" w:eastAsiaTheme="majorEastAsia" w:hAnsi="Arial Narrow" w:cstheme="majorBidi"/>
                <w:bCs/>
                <w:sz w:val="20"/>
              </w:rPr>
              <w:t xml:space="preserve"> per QALY</w:t>
            </w:r>
          </w:p>
        </w:tc>
      </w:tr>
      <w:tr w:rsidR="00BD42E3" w:rsidRPr="00DD72AC" w14:paraId="6713E353" w14:textId="77777777" w:rsidTr="0013639B">
        <w:tc>
          <w:tcPr>
            <w:tcW w:w="672" w:type="dxa"/>
            <w:shd w:val="clear" w:color="auto" w:fill="auto"/>
          </w:tcPr>
          <w:p w14:paraId="590BCBE7"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4</w:t>
            </w:r>
          </w:p>
        </w:tc>
        <w:tc>
          <w:tcPr>
            <w:tcW w:w="3085" w:type="dxa"/>
            <w:shd w:val="clear" w:color="auto" w:fill="auto"/>
          </w:tcPr>
          <w:p w14:paraId="349A4751"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Incorporation of disease related mortality</w:t>
            </w:r>
          </w:p>
          <w:p w14:paraId="1DAEC592"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Costs: Drug costs</w:t>
            </w:r>
          </w:p>
          <w:p w14:paraId="54DE2F08"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Outcomes: QALYs and LYs</w:t>
            </w:r>
          </w:p>
        </w:tc>
        <w:tc>
          <w:tcPr>
            <w:tcW w:w="2122" w:type="dxa"/>
            <w:shd w:val="clear" w:color="auto" w:fill="auto"/>
          </w:tcPr>
          <w:p w14:paraId="6ABF1A33" w14:textId="3F290BF6"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349" w:type="dxa"/>
            <w:shd w:val="clear" w:color="auto" w:fill="auto"/>
          </w:tcPr>
          <w:p w14:paraId="405CFDA1" w14:textId="77777777"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3.340 QALYs</w:t>
            </w:r>
          </w:p>
        </w:tc>
        <w:tc>
          <w:tcPr>
            <w:tcW w:w="1789" w:type="dxa"/>
            <w:shd w:val="clear" w:color="auto" w:fill="auto"/>
          </w:tcPr>
          <w:p w14:paraId="4A7AE0EE" w14:textId="6436E4D6"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174"/>
                <w:sz w:val="20"/>
                <w:shd w:val="solid" w:color="000000" w:fill="000000"/>
                <w:fitText w:val="260" w:id="-143579187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260" w:id="-1435791871"/>
                <w14:textFill>
                  <w14:solidFill>
                    <w14:srgbClr w14:val="000000">
                      <w14:alpha w14:val="100000"/>
                    </w14:srgbClr>
                  </w14:solidFill>
                </w14:textFill>
              </w:rPr>
              <w:t>|</w:t>
            </w:r>
            <w:r w:rsidR="00C76AD0">
              <w:rPr>
                <w:rFonts w:ascii="Arial Narrow" w:eastAsiaTheme="majorEastAsia" w:hAnsi="Arial Narrow" w:cstheme="majorBidi"/>
                <w:bCs/>
                <w:sz w:val="20"/>
                <w:vertAlign w:val="superscript"/>
              </w:rPr>
              <w:t>2</w:t>
            </w:r>
            <w:r w:rsidRPr="00DD72AC">
              <w:rPr>
                <w:rFonts w:ascii="Arial Narrow" w:eastAsiaTheme="majorEastAsia" w:hAnsi="Arial Narrow" w:cstheme="majorBidi"/>
                <w:bCs/>
                <w:sz w:val="20"/>
              </w:rPr>
              <w:t xml:space="preserve"> per QALY</w:t>
            </w:r>
          </w:p>
        </w:tc>
      </w:tr>
      <w:tr w:rsidR="00BD42E3" w:rsidRPr="00DD72AC" w14:paraId="17E826B6" w14:textId="77777777" w:rsidTr="0013639B">
        <w:tc>
          <w:tcPr>
            <w:tcW w:w="672" w:type="dxa"/>
            <w:shd w:val="clear" w:color="auto" w:fill="auto"/>
          </w:tcPr>
          <w:p w14:paraId="0104D154"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5</w:t>
            </w:r>
          </w:p>
        </w:tc>
        <w:tc>
          <w:tcPr>
            <w:tcW w:w="3085" w:type="dxa"/>
            <w:shd w:val="clear" w:color="auto" w:fill="auto"/>
          </w:tcPr>
          <w:p w14:paraId="30DF45C1"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Incorporation of disease related complications </w:t>
            </w:r>
          </w:p>
          <w:p w14:paraId="0083C679"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Costs: Drug and healthcare costs</w:t>
            </w:r>
          </w:p>
          <w:p w14:paraId="5A61C844"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Outcomes: QALYs and LYs</w:t>
            </w:r>
          </w:p>
        </w:tc>
        <w:tc>
          <w:tcPr>
            <w:tcW w:w="2122" w:type="dxa"/>
            <w:shd w:val="clear" w:color="auto" w:fill="auto"/>
          </w:tcPr>
          <w:p w14:paraId="744CB2A7" w14:textId="199ADBB0"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349" w:type="dxa"/>
            <w:shd w:val="clear" w:color="auto" w:fill="auto"/>
          </w:tcPr>
          <w:p w14:paraId="3D6EAB7A" w14:textId="77777777"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3.346 QALYs</w:t>
            </w:r>
          </w:p>
        </w:tc>
        <w:tc>
          <w:tcPr>
            <w:tcW w:w="1789" w:type="dxa"/>
            <w:shd w:val="clear" w:color="auto" w:fill="auto"/>
          </w:tcPr>
          <w:p w14:paraId="59B53612" w14:textId="5820281A"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174"/>
                <w:sz w:val="20"/>
                <w:shd w:val="solid" w:color="000000" w:fill="000000"/>
                <w:fitText w:val="260" w:id="-143579187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260" w:id="-1435791870"/>
                <w14:textFill>
                  <w14:solidFill>
                    <w14:srgbClr w14:val="000000">
                      <w14:alpha w14:val="100000"/>
                    </w14:srgbClr>
                  </w14:solidFill>
                </w14:textFill>
              </w:rPr>
              <w:t>|</w:t>
            </w:r>
            <w:r w:rsidR="00C76AD0">
              <w:rPr>
                <w:rFonts w:ascii="Arial Narrow" w:eastAsiaTheme="majorEastAsia" w:hAnsi="Arial Narrow" w:cstheme="majorBidi"/>
                <w:bCs/>
                <w:sz w:val="20"/>
                <w:vertAlign w:val="superscript"/>
              </w:rPr>
              <w:t>2</w:t>
            </w:r>
            <w:r w:rsidRPr="00DD72AC">
              <w:rPr>
                <w:rFonts w:ascii="Arial Narrow" w:eastAsiaTheme="majorEastAsia" w:hAnsi="Arial Narrow" w:cstheme="majorBidi"/>
                <w:bCs/>
                <w:sz w:val="20"/>
              </w:rPr>
              <w:t xml:space="preserve"> per QALY</w:t>
            </w:r>
          </w:p>
        </w:tc>
      </w:tr>
    </w:tbl>
    <w:p w14:paraId="4021C33F"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100, p203 of the submission.</w:t>
      </w:r>
    </w:p>
    <w:p w14:paraId="6A4C2B64" w14:textId="752B910E" w:rsidR="00BD42E3"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cm = centimetre; ICER = incremental cost-effectiveness ratio; LYs = life years; QALY = quality adjusted life year.</w:t>
      </w:r>
    </w:p>
    <w:p w14:paraId="05D0D388" w14:textId="77777777" w:rsidR="00C76AD0" w:rsidRPr="009A6D58"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rPr>
        <w:t xml:space="preserve">The redacted values correspond to the following ranges: </w:t>
      </w:r>
    </w:p>
    <w:p w14:paraId="374FAC39" w14:textId="685262AB" w:rsidR="00C76AD0" w:rsidRPr="009A6D58"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vertAlign w:val="superscript"/>
        </w:rPr>
        <w:t>1</w:t>
      </w:r>
      <w:r>
        <w:rPr>
          <w:rFonts w:ascii="Arial Narrow" w:eastAsia="Times New Roman" w:hAnsi="Arial Narrow"/>
          <w:i/>
          <w:sz w:val="18"/>
          <w:szCs w:val="18"/>
        </w:rPr>
        <w:t xml:space="preserve"> </w:t>
      </w:r>
      <w:r w:rsidRPr="00C76AD0">
        <w:rPr>
          <w:rFonts w:ascii="Arial Narrow" w:eastAsia="Times New Roman" w:hAnsi="Arial Narrow"/>
          <w:i/>
          <w:sz w:val="18"/>
          <w:szCs w:val="18"/>
        </w:rPr>
        <w:t>$155,000 to &lt; $255,000</w:t>
      </w:r>
    </w:p>
    <w:p w14:paraId="2368C817" w14:textId="13C2E0C7" w:rsidR="00C76AD0" w:rsidRPr="00C76AD0"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vertAlign w:val="superscript"/>
        </w:rPr>
        <w:t>2</w:t>
      </w:r>
      <w:r>
        <w:rPr>
          <w:rFonts w:ascii="Arial Narrow" w:eastAsia="Times New Roman" w:hAnsi="Arial Narrow"/>
          <w:i/>
          <w:sz w:val="18"/>
          <w:szCs w:val="18"/>
        </w:rPr>
        <w:t xml:space="preserve"> </w:t>
      </w:r>
      <w:r w:rsidRPr="00FF59EA">
        <w:rPr>
          <w:rFonts w:ascii="Arial Narrow" w:eastAsia="Times New Roman" w:hAnsi="Arial Narrow"/>
          <w:i/>
          <w:sz w:val="18"/>
          <w:szCs w:val="18"/>
        </w:rPr>
        <w:t>$</w:t>
      </w:r>
      <w:r>
        <w:rPr>
          <w:rFonts w:ascii="Arial Narrow" w:eastAsia="Times New Roman" w:hAnsi="Arial Narrow"/>
          <w:i/>
          <w:sz w:val="18"/>
          <w:szCs w:val="18"/>
        </w:rPr>
        <w:t>8</w:t>
      </w:r>
      <w:r w:rsidRPr="00FF59EA">
        <w:rPr>
          <w:rFonts w:ascii="Arial Narrow" w:eastAsia="Times New Roman" w:hAnsi="Arial Narrow"/>
          <w:i/>
          <w:sz w:val="18"/>
          <w:szCs w:val="18"/>
        </w:rPr>
        <w:t>55,000 to &lt; $</w:t>
      </w:r>
      <w:r>
        <w:rPr>
          <w:rFonts w:ascii="Arial Narrow" w:eastAsia="Times New Roman" w:hAnsi="Arial Narrow"/>
          <w:i/>
          <w:sz w:val="18"/>
          <w:szCs w:val="18"/>
        </w:rPr>
        <w:t>9</w:t>
      </w:r>
      <w:r w:rsidRPr="00FF59EA">
        <w:rPr>
          <w:rFonts w:ascii="Arial Narrow" w:eastAsia="Times New Roman" w:hAnsi="Arial Narrow"/>
          <w:i/>
          <w:sz w:val="18"/>
          <w:szCs w:val="18"/>
        </w:rPr>
        <w:t>55,000</w:t>
      </w:r>
    </w:p>
    <w:p w14:paraId="66747832" w14:textId="77777777" w:rsidR="00DB1AAC" w:rsidRPr="00DD72AC" w:rsidRDefault="00DB1AAC" w:rsidP="00977CAD">
      <w:pPr>
        <w:keepNext/>
        <w:jc w:val="left"/>
        <w:rPr>
          <w:rFonts w:ascii="Arial Narrow" w:eastAsiaTheme="majorEastAsia" w:hAnsi="Arial Narrow" w:cstheme="majorBidi"/>
          <w:b/>
          <w:sz w:val="20"/>
        </w:rPr>
      </w:pPr>
      <w:bookmarkStart w:id="63" w:name="_Ref100584054"/>
    </w:p>
    <w:p w14:paraId="07297D90" w14:textId="7FFF28F6" w:rsidR="00BD42E3" w:rsidRPr="00DD72AC" w:rsidRDefault="00BD42E3" w:rsidP="00977CAD">
      <w:pPr>
        <w:keepNext/>
        <w:jc w:val="left"/>
        <w:rPr>
          <w:rFonts w:ascii="Arial Narrow" w:eastAsiaTheme="majorEastAsia" w:hAnsi="Arial Narrow" w:cstheme="majorBidi"/>
          <w:b/>
          <w:sz w:val="20"/>
        </w:rPr>
      </w:pPr>
      <w:r w:rsidRPr="00DD72AC">
        <w:rPr>
          <w:rFonts w:ascii="Arial Narrow" w:eastAsiaTheme="majorEastAsia" w:hAnsi="Arial Narrow" w:cstheme="majorBidi"/>
          <w:b/>
          <w:sz w:val="20"/>
        </w:rPr>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14</w:t>
      </w:r>
      <w:r w:rsidRPr="00DD72AC">
        <w:rPr>
          <w:rFonts w:ascii="Arial Narrow" w:eastAsiaTheme="majorEastAsia" w:hAnsi="Arial Narrow" w:cstheme="majorBidi"/>
          <w:b/>
          <w:sz w:val="20"/>
        </w:rPr>
        <w:fldChar w:fldCharType="end"/>
      </w:r>
      <w:bookmarkEnd w:id="63"/>
      <w:r w:rsidRPr="00DD72AC">
        <w:rPr>
          <w:rFonts w:ascii="Arial Narrow" w:eastAsiaTheme="majorEastAsia" w:hAnsi="Arial Narrow" w:cstheme="majorBidi"/>
          <w:b/>
          <w:sz w:val="20"/>
        </w:rPr>
        <w:t>: Results of the base case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base case economic evaluation"/>
      </w:tblPr>
      <w:tblGrid>
        <w:gridCol w:w="2757"/>
        <w:gridCol w:w="2451"/>
        <w:gridCol w:w="2297"/>
        <w:gridCol w:w="1511"/>
      </w:tblGrid>
      <w:tr w:rsidR="00BD42E3" w:rsidRPr="00DD72AC" w14:paraId="2BC04756" w14:textId="77777777" w:rsidTr="0013639B">
        <w:trPr>
          <w:tblHeader/>
        </w:trPr>
        <w:tc>
          <w:tcPr>
            <w:tcW w:w="1529" w:type="pct"/>
            <w:vAlign w:val="center"/>
          </w:tcPr>
          <w:p w14:paraId="5DC2B5CF" w14:textId="77777777" w:rsidR="00BD42E3" w:rsidRPr="00DD72AC" w:rsidRDefault="00BD42E3" w:rsidP="00977CAD">
            <w:pPr>
              <w:keepNext/>
              <w:jc w:val="left"/>
              <w:rPr>
                <w:rFonts w:ascii="Arial Narrow" w:eastAsiaTheme="majorEastAsia" w:hAnsi="Arial Narrow" w:cs="Times New Roman"/>
                <w:b/>
                <w:sz w:val="20"/>
              </w:rPr>
            </w:pPr>
            <w:r w:rsidRPr="00DD72AC">
              <w:rPr>
                <w:rFonts w:ascii="Arial Narrow" w:eastAsiaTheme="majorEastAsia" w:hAnsi="Arial Narrow" w:cs="Times New Roman"/>
                <w:b/>
                <w:sz w:val="20"/>
              </w:rPr>
              <w:t>Component</w:t>
            </w:r>
          </w:p>
        </w:tc>
        <w:tc>
          <w:tcPr>
            <w:tcW w:w="1359" w:type="pct"/>
            <w:vAlign w:val="center"/>
          </w:tcPr>
          <w:p w14:paraId="11C59E65"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Vosoritide</w:t>
            </w:r>
          </w:p>
        </w:tc>
        <w:tc>
          <w:tcPr>
            <w:tcW w:w="1274" w:type="pct"/>
            <w:vAlign w:val="center"/>
          </w:tcPr>
          <w:p w14:paraId="655A3426"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BSC</w:t>
            </w:r>
          </w:p>
        </w:tc>
        <w:tc>
          <w:tcPr>
            <w:tcW w:w="838" w:type="pct"/>
            <w:vAlign w:val="center"/>
          </w:tcPr>
          <w:p w14:paraId="508F7D21"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Increment</w:t>
            </w:r>
          </w:p>
        </w:tc>
      </w:tr>
      <w:tr w:rsidR="00BD42E3" w:rsidRPr="00DD72AC" w14:paraId="1BDB1B2A" w14:textId="77777777" w:rsidTr="0013639B">
        <w:tc>
          <w:tcPr>
            <w:tcW w:w="1529" w:type="pct"/>
            <w:vAlign w:val="center"/>
          </w:tcPr>
          <w:p w14:paraId="0A7D7ABF" w14:textId="77777777" w:rsidR="00BD42E3" w:rsidRPr="00DD72AC" w:rsidRDefault="00BD42E3" w:rsidP="00977CAD">
            <w:pPr>
              <w:keepNext/>
              <w:jc w:val="left"/>
              <w:rPr>
                <w:rFonts w:ascii="Times" w:eastAsiaTheme="majorEastAsia" w:hAnsi="Times" w:cstheme="majorBidi"/>
                <w:bCs/>
                <w:sz w:val="20"/>
              </w:rPr>
            </w:pPr>
            <w:r w:rsidRPr="00DD72AC">
              <w:rPr>
                <w:rFonts w:ascii="Arial Narrow" w:eastAsiaTheme="majorEastAsia" w:hAnsi="Arial Narrow" w:cstheme="majorBidi"/>
                <w:bCs/>
                <w:sz w:val="20"/>
              </w:rPr>
              <w:t>Costs</w:t>
            </w:r>
          </w:p>
        </w:tc>
        <w:tc>
          <w:tcPr>
            <w:tcW w:w="1359" w:type="pct"/>
          </w:tcPr>
          <w:p w14:paraId="0ADAB653" w14:textId="7D31C8C7" w:rsidR="00BD42E3" w:rsidRPr="00DD72AC" w:rsidRDefault="00BD42E3" w:rsidP="00977CAD">
            <w:pPr>
              <w:keepNext/>
              <w:jc w:val="center"/>
              <w:rPr>
                <w:rFonts w:ascii="Times" w:eastAsiaTheme="majorEastAsia" w:hAnsi="Times"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274" w:type="pct"/>
          </w:tcPr>
          <w:p w14:paraId="039145D4" w14:textId="77777777" w:rsidR="00BD42E3" w:rsidRPr="00DD72AC" w:rsidRDefault="00BD42E3" w:rsidP="00977CAD">
            <w:pPr>
              <w:keepNext/>
              <w:jc w:val="center"/>
              <w:rPr>
                <w:rFonts w:ascii="Times" w:eastAsiaTheme="majorEastAsia" w:hAnsi="Times" w:cstheme="majorBidi"/>
                <w:bCs/>
                <w:sz w:val="20"/>
              </w:rPr>
            </w:pPr>
            <w:r w:rsidRPr="00DD72AC">
              <w:rPr>
                <w:rFonts w:ascii="Arial Narrow" w:eastAsiaTheme="majorEastAsia" w:hAnsi="Arial Narrow" w:cstheme="majorBidi"/>
                <w:bCs/>
                <w:sz w:val="20"/>
              </w:rPr>
              <w:t>$8,477</w:t>
            </w:r>
          </w:p>
        </w:tc>
        <w:tc>
          <w:tcPr>
            <w:tcW w:w="838" w:type="pct"/>
          </w:tcPr>
          <w:p w14:paraId="773087EA" w14:textId="1B5E69F1" w:rsidR="00BD42E3" w:rsidRPr="00DD72AC" w:rsidRDefault="00BD42E3" w:rsidP="00977CAD">
            <w:pPr>
              <w:keepNext/>
              <w:jc w:val="center"/>
              <w:rPr>
                <w:rFonts w:ascii="Times" w:eastAsiaTheme="majorEastAsia" w:hAnsi="Times"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hint="eastAsia"/>
                <w:bCs/>
                <w:color w:val="000000"/>
                <w:w w:val="33"/>
                <w:sz w:val="20"/>
                <w:shd w:val="solid" w:color="000000" w:fill="000000"/>
                <w:fitText w:val="150" w:id="-1435791869"/>
                <w14:textFill>
                  <w14:solidFill>
                    <w14:srgbClr w14:val="000000">
                      <w14:alpha w14:val="100000"/>
                    </w14:srgbClr>
                  </w14:solidFill>
                </w14:textFill>
              </w:rPr>
              <w:t xml:space="preserve">　</w:t>
            </w:r>
            <w:r w:rsidR="00C97261" w:rsidRPr="00C97261">
              <w:rPr>
                <w:rFonts w:ascii="Arial Narrow" w:eastAsiaTheme="majorEastAsia" w:hAnsi="Arial Narrow" w:cstheme="majorBidi"/>
                <w:bCs/>
                <w:color w:val="000000"/>
                <w:w w:val="33"/>
                <w:sz w:val="20"/>
                <w:shd w:val="solid" w:color="000000" w:fill="000000"/>
                <w:fitText w:val="150" w:id="-1435791869"/>
                <w14:textFill>
                  <w14:solidFill>
                    <w14:srgbClr w14:val="000000">
                      <w14:alpha w14:val="100000"/>
                    </w14:srgbClr>
                  </w14:solidFill>
                </w14:textFill>
              </w:rPr>
              <w:t>|</w:t>
            </w:r>
            <w:r w:rsidR="00C97261" w:rsidRPr="00C97261">
              <w:rPr>
                <w:rFonts w:ascii="Arial Narrow" w:eastAsiaTheme="majorEastAsia" w:hAnsi="Arial Narrow" w:cstheme="majorBidi" w:hint="eastAsia"/>
                <w:bCs/>
                <w:color w:val="000000"/>
                <w:spacing w:val="4"/>
                <w:w w:val="33"/>
                <w:sz w:val="20"/>
                <w:shd w:val="solid" w:color="000000" w:fill="000000"/>
                <w:fitText w:val="150" w:id="-1435791869"/>
                <w14:textFill>
                  <w14:solidFill>
                    <w14:srgbClr w14:val="000000">
                      <w14:alpha w14:val="100000"/>
                    </w14:srgbClr>
                  </w14:solidFill>
                </w14:textFill>
              </w:rPr>
              <w:t xml:space="preserve">　</w:t>
            </w:r>
          </w:p>
        </w:tc>
      </w:tr>
      <w:tr w:rsidR="00BD42E3" w:rsidRPr="00DD72AC" w14:paraId="03A9E9AE" w14:textId="77777777" w:rsidTr="0013639B">
        <w:tc>
          <w:tcPr>
            <w:tcW w:w="1529" w:type="pct"/>
            <w:vAlign w:val="center"/>
          </w:tcPr>
          <w:p w14:paraId="3FADD72D" w14:textId="77777777" w:rsidR="00BD42E3" w:rsidRPr="00DD72AC" w:rsidRDefault="00BD42E3" w:rsidP="00977CAD">
            <w:pPr>
              <w:keepNext/>
              <w:jc w:val="left"/>
              <w:rPr>
                <w:rFonts w:ascii="Times" w:eastAsiaTheme="majorEastAsia" w:hAnsi="Times" w:cstheme="majorBidi"/>
                <w:bCs/>
                <w:sz w:val="20"/>
              </w:rPr>
            </w:pPr>
            <w:r w:rsidRPr="00DD72AC">
              <w:rPr>
                <w:rFonts w:ascii="Arial Narrow" w:eastAsiaTheme="majorEastAsia" w:hAnsi="Arial Narrow" w:cstheme="majorBidi"/>
                <w:bCs/>
                <w:sz w:val="20"/>
              </w:rPr>
              <w:t>QALYs</w:t>
            </w:r>
          </w:p>
        </w:tc>
        <w:tc>
          <w:tcPr>
            <w:tcW w:w="1359" w:type="pct"/>
          </w:tcPr>
          <w:p w14:paraId="0B24A6AD" w14:textId="77777777" w:rsidR="00BD42E3" w:rsidRPr="00DD72AC" w:rsidRDefault="00BD42E3" w:rsidP="00977CAD">
            <w:pPr>
              <w:keepNext/>
              <w:jc w:val="center"/>
              <w:rPr>
                <w:rFonts w:ascii="Times" w:eastAsiaTheme="majorEastAsia" w:hAnsi="Times" w:cstheme="majorBidi"/>
                <w:bCs/>
                <w:sz w:val="20"/>
              </w:rPr>
            </w:pPr>
            <w:r w:rsidRPr="00DD72AC">
              <w:rPr>
                <w:rFonts w:ascii="Arial Narrow" w:eastAsiaTheme="majorEastAsia" w:hAnsi="Arial Narrow" w:cstheme="majorBidi"/>
                <w:bCs/>
                <w:sz w:val="20"/>
              </w:rPr>
              <w:t>13.527</w:t>
            </w:r>
          </w:p>
        </w:tc>
        <w:tc>
          <w:tcPr>
            <w:tcW w:w="1274" w:type="pct"/>
          </w:tcPr>
          <w:p w14:paraId="181AFFB6" w14:textId="77777777" w:rsidR="00BD42E3" w:rsidRPr="00DD72AC" w:rsidRDefault="00BD42E3" w:rsidP="00977CAD">
            <w:pPr>
              <w:keepNext/>
              <w:jc w:val="center"/>
              <w:rPr>
                <w:rFonts w:ascii="Times" w:eastAsiaTheme="majorEastAsia" w:hAnsi="Times" w:cstheme="majorBidi"/>
                <w:bCs/>
                <w:sz w:val="20"/>
              </w:rPr>
            </w:pPr>
            <w:r w:rsidRPr="00DD72AC">
              <w:rPr>
                <w:rFonts w:ascii="Arial Narrow" w:eastAsiaTheme="majorEastAsia" w:hAnsi="Arial Narrow" w:cstheme="majorBidi"/>
                <w:bCs/>
                <w:sz w:val="20"/>
              </w:rPr>
              <w:t>10.181</w:t>
            </w:r>
          </w:p>
        </w:tc>
        <w:tc>
          <w:tcPr>
            <w:tcW w:w="838" w:type="pct"/>
          </w:tcPr>
          <w:p w14:paraId="5ED099D2"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3.346</w:t>
            </w:r>
          </w:p>
        </w:tc>
      </w:tr>
      <w:tr w:rsidR="00BD42E3" w:rsidRPr="00DD72AC" w14:paraId="21662E24" w14:textId="77777777" w:rsidTr="0013639B">
        <w:tc>
          <w:tcPr>
            <w:tcW w:w="4162" w:type="pct"/>
            <w:gridSpan w:val="3"/>
            <w:vAlign w:val="center"/>
          </w:tcPr>
          <w:p w14:paraId="28766A44" w14:textId="77777777" w:rsidR="00BD42E3" w:rsidRPr="00DD72AC" w:rsidRDefault="00BD42E3" w:rsidP="00977CAD">
            <w:pPr>
              <w:keepNext/>
              <w:jc w:val="left"/>
              <w:rPr>
                <w:rFonts w:ascii="Times" w:eastAsiaTheme="majorEastAsia" w:hAnsi="Times" w:cstheme="majorBidi"/>
                <w:b/>
                <w:bCs/>
                <w:sz w:val="20"/>
              </w:rPr>
            </w:pPr>
            <w:r w:rsidRPr="00DD72AC">
              <w:rPr>
                <w:rFonts w:ascii="Arial Narrow" w:eastAsiaTheme="majorEastAsia" w:hAnsi="Arial Narrow" w:cstheme="majorBidi"/>
                <w:b/>
                <w:bCs/>
                <w:sz w:val="20"/>
              </w:rPr>
              <w:t>Incremental cost/extra QALY gained</w:t>
            </w:r>
          </w:p>
        </w:tc>
        <w:tc>
          <w:tcPr>
            <w:tcW w:w="838" w:type="pct"/>
            <w:vAlign w:val="center"/>
          </w:tcPr>
          <w:p w14:paraId="61D77311" w14:textId="6D62ED99" w:rsidR="00BD42E3" w:rsidRPr="00C76AD0" w:rsidRDefault="00BD42E3" w:rsidP="00977CAD">
            <w:pPr>
              <w:keepNext/>
              <w:jc w:val="center"/>
              <w:rPr>
                <w:rFonts w:ascii="Times" w:eastAsiaTheme="majorEastAsia" w:hAnsi="Times" w:cstheme="majorBidi"/>
                <w:b/>
                <w:bCs/>
                <w:sz w:val="20"/>
                <w:vertAlign w:val="superscript"/>
              </w:rPr>
            </w:pPr>
            <w:r w:rsidRPr="00DD72AC">
              <w:rPr>
                <w:rFonts w:ascii="Arial Narrow" w:eastAsiaTheme="majorEastAsia" w:hAnsi="Arial Narrow" w:cstheme="majorBidi"/>
                <w:b/>
                <w:bCs/>
                <w:sz w:val="20"/>
              </w:rPr>
              <w:t>$</w:t>
            </w:r>
            <w:r w:rsidR="00C97261" w:rsidRPr="00C97261">
              <w:rPr>
                <w:rFonts w:ascii="Arial Narrow" w:eastAsiaTheme="majorEastAsia" w:hAnsi="Arial Narrow" w:cstheme="majorBidi" w:hint="eastAsia"/>
                <w:b/>
                <w:bCs/>
                <w:color w:val="000000"/>
                <w:w w:val="33"/>
                <w:sz w:val="20"/>
                <w:shd w:val="solid" w:color="000000" w:fill="000000"/>
                <w:fitText w:val="150" w:id="-1435791868"/>
                <w14:textFill>
                  <w14:solidFill>
                    <w14:srgbClr w14:val="000000">
                      <w14:alpha w14:val="100000"/>
                    </w14:srgbClr>
                  </w14:solidFill>
                </w14:textFill>
              </w:rPr>
              <w:t xml:space="preserve">　</w:t>
            </w:r>
            <w:r w:rsidR="00C97261" w:rsidRPr="00C97261">
              <w:rPr>
                <w:rFonts w:ascii="Arial Narrow" w:eastAsiaTheme="majorEastAsia" w:hAnsi="Arial Narrow" w:cstheme="majorBidi"/>
                <w:b/>
                <w:bCs/>
                <w:color w:val="000000"/>
                <w:w w:val="33"/>
                <w:sz w:val="20"/>
                <w:shd w:val="solid" w:color="000000" w:fill="000000"/>
                <w:fitText w:val="150" w:id="-1435791868"/>
                <w14:textFill>
                  <w14:solidFill>
                    <w14:srgbClr w14:val="000000">
                      <w14:alpha w14:val="100000"/>
                    </w14:srgbClr>
                  </w14:solidFill>
                </w14:textFill>
              </w:rPr>
              <w:t>|</w:t>
            </w:r>
            <w:r w:rsidR="00C97261" w:rsidRPr="00C97261">
              <w:rPr>
                <w:rFonts w:ascii="Arial Narrow" w:eastAsiaTheme="majorEastAsia" w:hAnsi="Arial Narrow" w:cstheme="majorBidi" w:hint="eastAsia"/>
                <w:b/>
                <w:bCs/>
                <w:color w:val="000000"/>
                <w:spacing w:val="3"/>
                <w:w w:val="33"/>
                <w:sz w:val="20"/>
                <w:shd w:val="solid" w:color="000000" w:fill="000000"/>
                <w:fitText w:val="150" w:id="-1435791868"/>
                <w14:textFill>
                  <w14:solidFill>
                    <w14:srgbClr w14:val="000000">
                      <w14:alpha w14:val="100000"/>
                    </w14:srgbClr>
                  </w14:solidFill>
                </w14:textFill>
              </w:rPr>
              <w:t xml:space="preserve">　</w:t>
            </w:r>
            <w:r w:rsidR="00C76AD0">
              <w:rPr>
                <w:rFonts w:ascii="Arial Narrow" w:eastAsiaTheme="majorEastAsia" w:hAnsi="Arial Narrow" w:cstheme="majorBidi"/>
                <w:b/>
                <w:bCs/>
                <w:sz w:val="20"/>
                <w:vertAlign w:val="superscript"/>
              </w:rPr>
              <w:t>1</w:t>
            </w:r>
          </w:p>
        </w:tc>
      </w:tr>
    </w:tbl>
    <w:p w14:paraId="6804E22F"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102, p204 of the submission.</w:t>
      </w:r>
    </w:p>
    <w:p w14:paraId="1E660D60" w14:textId="034EAC9C" w:rsidR="00BD42E3"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BSC = best supportive care; ICER = incremental cost-effectiveness ratio; QALY = quality adjusted life year.</w:t>
      </w:r>
    </w:p>
    <w:p w14:paraId="53207C67" w14:textId="77777777" w:rsidR="00C76AD0" w:rsidRPr="009A6D58"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rPr>
        <w:t xml:space="preserve">The redacted values correspond to the following ranges: </w:t>
      </w:r>
    </w:p>
    <w:p w14:paraId="20515542" w14:textId="2666C500" w:rsidR="00C76AD0" w:rsidRPr="009A6D58"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vertAlign w:val="superscript"/>
        </w:rPr>
        <w:t>1</w:t>
      </w:r>
      <w:r>
        <w:rPr>
          <w:rFonts w:ascii="Arial Narrow" w:eastAsia="Times New Roman" w:hAnsi="Arial Narrow"/>
          <w:i/>
          <w:sz w:val="18"/>
          <w:szCs w:val="18"/>
        </w:rPr>
        <w:t xml:space="preserve"> </w:t>
      </w:r>
      <w:r w:rsidRPr="00C76AD0">
        <w:rPr>
          <w:rFonts w:ascii="Arial Narrow" w:eastAsia="Times New Roman" w:hAnsi="Arial Narrow"/>
          <w:i/>
          <w:sz w:val="18"/>
          <w:szCs w:val="18"/>
        </w:rPr>
        <w:t>$</w:t>
      </w:r>
      <w:r>
        <w:rPr>
          <w:rFonts w:ascii="Arial Narrow" w:eastAsia="Times New Roman" w:hAnsi="Arial Narrow"/>
          <w:i/>
          <w:sz w:val="18"/>
          <w:szCs w:val="18"/>
        </w:rPr>
        <w:t>8</w:t>
      </w:r>
      <w:r w:rsidRPr="00C76AD0">
        <w:rPr>
          <w:rFonts w:ascii="Arial Narrow" w:eastAsia="Times New Roman" w:hAnsi="Arial Narrow"/>
          <w:i/>
          <w:sz w:val="18"/>
          <w:szCs w:val="18"/>
        </w:rPr>
        <w:t>55,000 to &lt; $</w:t>
      </w:r>
      <w:r>
        <w:rPr>
          <w:rFonts w:ascii="Arial Narrow" w:eastAsia="Times New Roman" w:hAnsi="Arial Narrow"/>
          <w:i/>
          <w:sz w:val="18"/>
          <w:szCs w:val="18"/>
        </w:rPr>
        <w:t>9</w:t>
      </w:r>
      <w:r w:rsidRPr="00C76AD0">
        <w:rPr>
          <w:rFonts w:ascii="Arial Narrow" w:eastAsia="Times New Roman" w:hAnsi="Arial Narrow"/>
          <w:i/>
          <w:sz w:val="18"/>
          <w:szCs w:val="18"/>
        </w:rPr>
        <w:t>55,000</w:t>
      </w:r>
    </w:p>
    <w:p w14:paraId="4C1BEFB8" w14:textId="77777777" w:rsidR="00BD42E3" w:rsidRPr="00DD72AC" w:rsidRDefault="00BD42E3" w:rsidP="00977CAD">
      <w:pPr>
        <w:spacing w:after="120"/>
        <w:contextualSpacing/>
        <w:rPr>
          <w:rFonts w:ascii="Arial Narrow" w:eastAsia="Times New Roman" w:hAnsi="Arial Narrow"/>
          <w:snapToGrid w:val="0"/>
          <w:sz w:val="18"/>
          <w:szCs w:val="22"/>
        </w:rPr>
      </w:pPr>
    </w:p>
    <w:p w14:paraId="615D731B" w14:textId="6D402E21" w:rsidR="00EC08C9" w:rsidRPr="00DD72AC" w:rsidRDefault="00EC08C9" w:rsidP="00EC08C9">
      <w:pPr>
        <w:numPr>
          <w:ilvl w:val="1"/>
          <w:numId w:val="1"/>
        </w:numPr>
        <w:spacing w:after="120"/>
        <w:rPr>
          <w:rFonts w:asciiTheme="minorHAnsi" w:eastAsia="Times New Roman" w:hAnsiTheme="minorHAnsi"/>
          <w:b/>
          <w:snapToGrid w:val="0"/>
        </w:rPr>
      </w:pPr>
      <w:bookmarkStart w:id="64" w:name="_Ref105754291"/>
      <w:r w:rsidRPr="00DD72AC">
        <w:t>Sensitivity analyses for height-based utility values based on actual values could not be performed during the evaluation because the utility formulas used in the model were directly applied to model traces and not to input parameters. However, an alternative approach was explored during evaluation; where a 20% (either increase or decrease) was multiplied to the resulting utility values in the model traces despite that relative treatment effect was already incorporated</w:t>
      </w:r>
      <w:r w:rsidR="00184B30" w:rsidRPr="00DD72AC">
        <w:t>.</w:t>
      </w:r>
      <w:r w:rsidRPr="00DD72AC">
        <w:t xml:space="preserve">  A new model that allow</w:t>
      </w:r>
      <w:r w:rsidR="00C65E72" w:rsidRPr="00DD72AC">
        <w:t>ed</w:t>
      </w:r>
      <w:r w:rsidRPr="00DD72AC">
        <w:t xml:space="preserve"> different utility values to be tested in sensitivity analysis </w:t>
      </w:r>
      <w:r w:rsidR="00C65E72" w:rsidRPr="00DD72AC">
        <w:t>was provided in the PSCR</w:t>
      </w:r>
      <w:r w:rsidRPr="00DD72AC">
        <w:t>.</w:t>
      </w:r>
      <w:bookmarkEnd w:id="64"/>
      <w:r w:rsidRPr="00DD72AC">
        <w:t xml:space="preserve"> </w:t>
      </w:r>
      <w:r w:rsidR="00184B30" w:rsidRPr="00DD72AC">
        <w:rPr>
          <w:rFonts w:asciiTheme="minorHAnsi" w:eastAsia="Times New Roman" w:hAnsiTheme="minorHAnsi"/>
          <w:snapToGrid w:val="0"/>
        </w:rPr>
        <w:t xml:space="preserve">The sensitivity analysis applying 20% variability </w:t>
      </w:r>
      <w:r w:rsidR="002D40CE" w:rsidRPr="00DD72AC">
        <w:rPr>
          <w:rFonts w:asciiTheme="minorHAnsi" w:eastAsia="Times New Roman" w:hAnsiTheme="minorHAnsi"/>
          <w:snapToGrid w:val="0"/>
        </w:rPr>
        <w:t>to the height-based utility values was updated using the new model provided in the PSCR</w:t>
      </w:r>
      <w:r w:rsidR="009669D2" w:rsidRPr="00DD72AC">
        <w:rPr>
          <w:rFonts w:asciiTheme="minorHAnsi" w:eastAsia="Times New Roman" w:hAnsiTheme="minorHAnsi"/>
          <w:snapToGrid w:val="0"/>
        </w:rPr>
        <w:t xml:space="preserve"> (see </w:t>
      </w:r>
      <w:r w:rsidR="009669D2" w:rsidRPr="00DD72AC">
        <w:rPr>
          <w:rFonts w:asciiTheme="minorHAnsi" w:eastAsia="Times New Roman" w:hAnsiTheme="minorHAnsi"/>
          <w:snapToGrid w:val="0"/>
        </w:rPr>
        <w:fldChar w:fldCharType="begin" w:fldLock="1"/>
      </w:r>
      <w:r w:rsidR="009669D2" w:rsidRPr="00DD72AC">
        <w:rPr>
          <w:rFonts w:asciiTheme="minorHAnsi" w:eastAsia="Times New Roman" w:hAnsiTheme="minorHAnsi"/>
          <w:snapToGrid w:val="0"/>
        </w:rPr>
        <w:instrText xml:space="preserve"> REF _Ref100601930 \h  \* MERGEFORMAT </w:instrText>
      </w:r>
      <w:r w:rsidR="009669D2" w:rsidRPr="00DD72AC">
        <w:rPr>
          <w:rFonts w:asciiTheme="minorHAnsi" w:eastAsia="Times New Roman" w:hAnsiTheme="minorHAnsi"/>
          <w:snapToGrid w:val="0"/>
        </w:rPr>
      </w:r>
      <w:r w:rsidR="009669D2" w:rsidRPr="00DD72AC">
        <w:rPr>
          <w:rFonts w:asciiTheme="minorHAnsi" w:eastAsia="Times New Roman" w:hAnsiTheme="minorHAnsi"/>
          <w:snapToGrid w:val="0"/>
        </w:rPr>
        <w:fldChar w:fldCharType="separate"/>
      </w:r>
      <w:r w:rsidR="00D35045" w:rsidRPr="00DD72AC">
        <w:rPr>
          <w:rFonts w:asciiTheme="minorHAnsi" w:eastAsia="Times New Roman" w:hAnsiTheme="minorHAnsi"/>
          <w:snapToGrid w:val="0"/>
        </w:rPr>
        <w:t>Table 15</w:t>
      </w:r>
      <w:r w:rsidR="009669D2" w:rsidRPr="00DD72AC">
        <w:rPr>
          <w:rFonts w:asciiTheme="minorHAnsi" w:eastAsia="Times New Roman" w:hAnsiTheme="minorHAnsi"/>
          <w:snapToGrid w:val="0"/>
        </w:rPr>
        <w:fldChar w:fldCharType="end"/>
      </w:r>
      <w:r w:rsidR="009669D2" w:rsidRPr="00DD72AC">
        <w:rPr>
          <w:rFonts w:asciiTheme="minorHAnsi" w:eastAsia="Times New Roman" w:hAnsiTheme="minorHAnsi"/>
          <w:snapToGrid w:val="0"/>
        </w:rPr>
        <w:t>)</w:t>
      </w:r>
      <w:r w:rsidR="002D40CE" w:rsidRPr="00DD72AC">
        <w:rPr>
          <w:rFonts w:asciiTheme="minorHAnsi" w:eastAsia="Times New Roman" w:hAnsiTheme="minorHAnsi"/>
          <w:snapToGrid w:val="0"/>
        </w:rPr>
        <w:t>.</w:t>
      </w:r>
    </w:p>
    <w:p w14:paraId="66C8497F" w14:textId="14C331B7" w:rsidR="00BD42E3" w:rsidRPr="00DD72AC" w:rsidRDefault="00BD42E3" w:rsidP="00EB6AD4">
      <w:pPr>
        <w:numPr>
          <w:ilvl w:val="1"/>
          <w:numId w:val="1"/>
        </w:numPr>
        <w:spacing w:after="120"/>
        <w:rPr>
          <w:rFonts w:asciiTheme="minorHAnsi" w:eastAsia="Times New Roman" w:hAnsiTheme="minorHAnsi"/>
          <w:b/>
          <w:snapToGrid w:val="0"/>
        </w:rPr>
      </w:pPr>
      <w:r w:rsidRPr="00DD72AC">
        <w:rPr>
          <w:rFonts w:asciiTheme="minorHAnsi" w:eastAsia="Times New Roman" w:hAnsiTheme="minorHAnsi"/>
          <w:snapToGrid w:val="0"/>
        </w:rPr>
        <w:t xml:space="preserve">The results of key univariate and multivariate sensitivity analyses presented in the submission and performed during the evaluation are summarised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_Ref100601930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Table 15</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w:t>
      </w:r>
    </w:p>
    <w:p w14:paraId="2CB87D4E" w14:textId="2C277E05" w:rsidR="00BD42E3" w:rsidRPr="00DD72AC" w:rsidRDefault="00BD42E3" w:rsidP="00977CAD">
      <w:pPr>
        <w:keepNext/>
        <w:jc w:val="left"/>
        <w:rPr>
          <w:rFonts w:ascii="Arial Narrow" w:eastAsiaTheme="majorEastAsia" w:hAnsi="Arial Narrow" w:cstheme="majorBidi"/>
          <w:b/>
          <w:sz w:val="20"/>
        </w:rPr>
      </w:pPr>
      <w:bookmarkStart w:id="65" w:name="_Ref100601930"/>
      <w:r w:rsidRPr="00DD72AC">
        <w:rPr>
          <w:rFonts w:ascii="Arial Narrow" w:eastAsiaTheme="majorEastAsia" w:hAnsi="Arial Narrow" w:cstheme="majorBidi"/>
          <w:b/>
          <w:sz w:val="20"/>
        </w:rPr>
        <w:lastRenderedPageBreak/>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15</w:t>
      </w:r>
      <w:r w:rsidRPr="00DD72AC">
        <w:rPr>
          <w:rFonts w:ascii="Arial Narrow" w:eastAsiaTheme="majorEastAsia" w:hAnsi="Arial Narrow" w:cstheme="majorBidi"/>
          <w:b/>
          <w:sz w:val="20"/>
        </w:rPr>
        <w:fldChar w:fldCharType="end"/>
      </w:r>
      <w:bookmarkEnd w:id="65"/>
      <w:r w:rsidRPr="00DD72AC">
        <w:rPr>
          <w:rFonts w:ascii="Arial Narrow" w:eastAsiaTheme="majorEastAsia" w:hAnsi="Arial Narrow" w:cstheme="majorBidi"/>
          <w:b/>
          <w:sz w:val="20"/>
        </w:rPr>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5: Sensitivity analyses"/>
      </w:tblPr>
      <w:tblGrid>
        <w:gridCol w:w="3368"/>
        <w:gridCol w:w="47"/>
        <w:gridCol w:w="1401"/>
        <w:gridCol w:w="1401"/>
        <w:gridCol w:w="14"/>
        <w:gridCol w:w="1387"/>
        <w:gridCol w:w="31"/>
        <w:gridCol w:w="1367"/>
      </w:tblGrid>
      <w:tr w:rsidR="00BD42E3" w:rsidRPr="00DD72AC" w14:paraId="5B89E4B0" w14:textId="77777777" w:rsidTr="0013639B">
        <w:trPr>
          <w:cantSplit/>
          <w:tblHeader/>
        </w:trPr>
        <w:tc>
          <w:tcPr>
            <w:tcW w:w="1894" w:type="pct"/>
            <w:gridSpan w:val="2"/>
          </w:tcPr>
          <w:p w14:paraId="3CABEFF4" w14:textId="77777777" w:rsidR="00BD42E3" w:rsidRPr="00DD72AC" w:rsidRDefault="00BD42E3" w:rsidP="00977CAD">
            <w:pPr>
              <w:keepNext/>
              <w:jc w:val="left"/>
              <w:rPr>
                <w:rFonts w:ascii="Arial Narrow" w:eastAsiaTheme="majorEastAsia" w:hAnsi="Arial Narrow" w:cs="Times New Roman"/>
                <w:b/>
                <w:sz w:val="20"/>
              </w:rPr>
            </w:pPr>
            <w:r w:rsidRPr="00DD72AC">
              <w:rPr>
                <w:rFonts w:ascii="Arial Narrow" w:eastAsiaTheme="majorEastAsia" w:hAnsi="Arial Narrow" w:cs="Times New Roman"/>
                <w:b/>
                <w:sz w:val="20"/>
              </w:rPr>
              <w:t>Analyses</w:t>
            </w:r>
          </w:p>
        </w:tc>
        <w:tc>
          <w:tcPr>
            <w:tcW w:w="777" w:type="pct"/>
          </w:tcPr>
          <w:p w14:paraId="2B213C95"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Incremental cost</w:t>
            </w:r>
          </w:p>
        </w:tc>
        <w:tc>
          <w:tcPr>
            <w:tcW w:w="777" w:type="pct"/>
          </w:tcPr>
          <w:p w14:paraId="351DEAE9"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Incremental QALY</w:t>
            </w:r>
          </w:p>
        </w:tc>
        <w:tc>
          <w:tcPr>
            <w:tcW w:w="777" w:type="pct"/>
            <w:gridSpan w:val="2"/>
          </w:tcPr>
          <w:p w14:paraId="57C9AAC2"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ICER</w:t>
            </w:r>
          </w:p>
        </w:tc>
        <w:tc>
          <w:tcPr>
            <w:tcW w:w="775" w:type="pct"/>
            <w:gridSpan w:val="2"/>
          </w:tcPr>
          <w:p w14:paraId="6EA8C491"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 change from base case</w:t>
            </w:r>
          </w:p>
        </w:tc>
      </w:tr>
      <w:tr w:rsidR="00BD42E3" w:rsidRPr="00DD72AC" w14:paraId="7AA75A1E" w14:textId="77777777" w:rsidTr="0013639B">
        <w:trPr>
          <w:cantSplit/>
        </w:trPr>
        <w:tc>
          <w:tcPr>
            <w:tcW w:w="1894" w:type="pct"/>
            <w:gridSpan w:val="2"/>
          </w:tcPr>
          <w:p w14:paraId="54171113" w14:textId="77777777" w:rsidR="00BD42E3" w:rsidRPr="00DD72AC" w:rsidRDefault="00BD42E3" w:rsidP="00977CAD">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Base case</w:t>
            </w:r>
          </w:p>
        </w:tc>
        <w:tc>
          <w:tcPr>
            <w:tcW w:w="777" w:type="pct"/>
          </w:tcPr>
          <w:p w14:paraId="13F6D747" w14:textId="361EDA32" w:rsidR="00BD42E3" w:rsidRPr="00DD72AC" w:rsidRDefault="00BD42E3" w:rsidP="00977CAD">
            <w:pPr>
              <w:keepNext/>
              <w:jc w:val="center"/>
              <w:rPr>
                <w:rFonts w:ascii="Arial Narrow" w:eastAsiaTheme="majorEastAsia" w:hAnsi="Arial Narrow" w:cstheme="majorBidi"/>
                <w:b/>
                <w:bCs/>
                <w:sz w:val="20"/>
                <w:highlight w:val="black"/>
              </w:rPr>
            </w:pPr>
            <w:r w:rsidRPr="00DD72AC">
              <w:rPr>
                <w:rFonts w:ascii="Arial Narrow" w:eastAsia="Calibri" w:hAnsi="Arial Narrow" w:cstheme="majorBidi"/>
                <w:b/>
                <w:bCs/>
                <w:sz w:val="20"/>
                <w:szCs w:val="20"/>
              </w:rPr>
              <w:t>$</w:t>
            </w:r>
            <w:r w:rsidR="00C97261" w:rsidRPr="00C97261">
              <w:rPr>
                <w:rFonts w:ascii="Arial Narrow" w:eastAsia="Calibri" w:hAnsi="Arial Narrow" w:cstheme="majorBidi"/>
                <w:b/>
                <w:bCs/>
                <w:color w:val="000000"/>
                <w:spacing w:val="158"/>
                <w:sz w:val="20"/>
                <w:szCs w:val="20"/>
                <w:shd w:val="solid" w:color="000000" w:fill="000000"/>
                <w:fitText w:val="250" w:id="-1435791867"/>
                <w14:textFill>
                  <w14:solidFill>
                    <w14:srgbClr w14:val="000000">
                      <w14:alpha w14:val="100000"/>
                    </w14:srgbClr>
                  </w14:solidFill>
                </w14:textFill>
              </w:rPr>
              <w:t>|</w:t>
            </w:r>
            <w:r w:rsidR="00C97261" w:rsidRPr="00C97261">
              <w:rPr>
                <w:rFonts w:ascii="Arial Narrow" w:eastAsia="Calibri" w:hAnsi="Arial Narrow" w:cstheme="majorBidi"/>
                <w:b/>
                <w:bCs/>
                <w:color w:val="000000"/>
                <w:spacing w:val="1"/>
                <w:sz w:val="20"/>
                <w:szCs w:val="20"/>
                <w:shd w:val="solid" w:color="000000" w:fill="000000"/>
                <w:fitText w:val="250" w:id="-1435791867"/>
                <w14:textFill>
                  <w14:solidFill>
                    <w14:srgbClr w14:val="000000">
                      <w14:alpha w14:val="100000"/>
                    </w14:srgbClr>
                  </w14:solidFill>
                </w14:textFill>
              </w:rPr>
              <w:t>|</w:t>
            </w:r>
          </w:p>
        </w:tc>
        <w:tc>
          <w:tcPr>
            <w:tcW w:w="777" w:type="pct"/>
          </w:tcPr>
          <w:p w14:paraId="7FAD7C4E" w14:textId="77777777" w:rsidR="00BD42E3" w:rsidRPr="00DD72AC" w:rsidRDefault="00BD42E3" w:rsidP="00977CAD">
            <w:pPr>
              <w:keepNext/>
              <w:jc w:val="center"/>
              <w:rPr>
                <w:rFonts w:ascii="Arial Narrow" w:eastAsiaTheme="majorEastAsia" w:hAnsi="Arial Narrow" w:cstheme="majorBidi"/>
                <w:b/>
                <w:bCs/>
                <w:sz w:val="20"/>
              </w:rPr>
            </w:pPr>
            <w:r w:rsidRPr="00DD72AC">
              <w:rPr>
                <w:rFonts w:ascii="Arial Narrow" w:eastAsiaTheme="majorEastAsia" w:hAnsi="Arial Narrow" w:cstheme="majorBidi"/>
                <w:b/>
                <w:bCs/>
                <w:sz w:val="20"/>
              </w:rPr>
              <w:t>3.3459</w:t>
            </w:r>
          </w:p>
        </w:tc>
        <w:tc>
          <w:tcPr>
            <w:tcW w:w="777" w:type="pct"/>
            <w:gridSpan w:val="2"/>
          </w:tcPr>
          <w:p w14:paraId="3D86C169" w14:textId="3470AB36" w:rsidR="00BD42E3" w:rsidRPr="00C76AD0" w:rsidRDefault="00BD42E3" w:rsidP="00977CAD">
            <w:pPr>
              <w:keepNext/>
              <w:jc w:val="center"/>
              <w:rPr>
                <w:rFonts w:ascii="Arial Narrow" w:eastAsiaTheme="majorEastAsia" w:hAnsi="Arial Narrow" w:cstheme="majorBidi"/>
                <w:b/>
                <w:bCs/>
                <w:sz w:val="20"/>
                <w:vertAlign w:val="superscript"/>
              </w:rPr>
            </w:pPr>
            <w:r w:rsidRPr="00470538">
              <w:rPr>
                <w:rFonts w:ascii="Arial Narrow" w:eastAsiaTheme="majorEastAsia" w:hAnsi="Arial Narrow" w:cstheme="majorBidi"/>
                <w:b/>
                <w:bCs/>
                <w:sz w:val="20"/>
              </w:rPr>
              <w:t>$</w:t>
            </w:r>
            <w:r w:rsidR="00C97261" w:rsidRPr="00C97261">
              <w:rPr>
                <w:rFonts w:ascii="Arial Narrow" w:eastAsiaTheme="majorEastAsia" w:hAnsi="Arial Narrow" w:cstheme="majorBidi"/>
                <w:b/>
                <w:bCs/>
                <w:color w:val="000000"/>
                <w:spacing w:val="188"/>
                <w:sz w:val="20"/>
                <w:shd w:val="solid" w:color="000000" w:fill="000000"/>
                <w:fitText w:val="280" w:id="-1435791866"/>
                <w14:textFill>
                  <w14:solidFill>
                    <w14:srgbClr w14:val="000000">
                      <w14:alpha w14:val="100000"/>
                    </w14:srgbClr>
                  </w14:solidFill>
                </w14:textFill>
              </w:rPr>
              <w:t>|</w:t>
            </w:r>
            <w:r w:rsidR="00C97261" w:rsidRPr="00C97261">
              <w:rPr>
                <w:rFonts w:ascii="Arial Narrow" w:eastAsiaTheme="majorEastAsia" w:hAnsi="Arial Narrow" w:cstheme="majorBidi"/>
                <w:b/>
                <w:bCs/>
                <w:color w:val="000000"/>
                <w:spacing w:val="1"/>
                <w:sz w:val="20"/>
                <w:shd w:val="solid" w:color="000000" w:fill="000000"/>
                <w:fitText w:val="280" w:id="-1435791866"/>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1</w:t>
            </w:r>
          </w:p>
        </w:tc>
        <w:tc>
          <w:tcPr>
            <w:tcW w:w="775" w:type="pct"/>
            <w:gridSpan w:val="2"/>
          </w:tcPr>
          <w:p w14:paraId="75B6A365" w14:textId="77777777" w:rsidR="00BD42E3" w:rsidRPr="00DD72AC" w:rsidRDefault="00BD42E3" w:rsidP="00977CAD">
            <w:pPr>
              <w:keepNext/>
              <w:jc w:val="center"/>
              <w:rPr>
                <w:rFonts w:ascii="Arial Narrow" w:eastAsiaTheme="majorEastAsia" w:hAnsi="Arial Narrow" w:cstheme="majorBidi"/>
                <w:b/>
                <w:bCs/>
                <w:sz w:val="20"/>
              </w:rPr>
            </w:pPr>
            <w:r w:rsidRPr="00DD72AC">
              <w:rPr>
                <w:rFonts w:ascii="Arial Narrow" w:eastAsiaTheme="majorEastAsia" w:hAnsi="Arial Narrow" w:cstheme="majorBidi"/>
                <w:b/>
                <w:bCs/>
                <w:sz w:val="20"/>
              </w:rPr>
              <w:t>-</w:t>
            </w:r>
          </w:p>
        </w:tc>
      </w:tr>
      <w:tr w:rsidR="00BD42E3" w:rsidRPr="00DD72AC" w14:paraId="064C302B" w14:textId="77777777" w:rsidTr="0013639B">
        <w:trPr>
          <w:cantSplit/>
        </w:trPr>
        <w:tc>
          <w:tcPr>
            <w:tcW w:w="5000" w:type="pct"/>
            <w:gridSpan w:val="8"/>
          </w:tcPr>
          <w:p w14:paraId="013917A1" w14:textId="77777777" w:rsidR="00BD42E3" w:rsidRPr="00DD72AC" w:rsidRDefault="00BD42E3" w:rsidP="00977CAD">
            <w:pPr>
              <w:keepNext/>
              <w:jc w:val="left"/>
              <w:rPr>
                <w:rFonts w:ascii="Arial Narrow" w:eastAsiaTheme="majorEastAsia" w:hAnsi="Arial Narrow" w:cstheme="majorBidi"/>
                <w:b/>
                <w:sz w:val="20"/>
              </w:rPr>
            </w:pPr>
            <w:r w:rsidRPr="00DD72AC">
              <w:rPr>
                <w:rFonts w:ascii="Arial Narrow" w:eastAsiaTheme="majorEastAsia" w:hAnsi="Arial Narrow" w:cstheme="majorBidi"/>
                <w:b/>
                <w:sz w:val="20"/>
              </w:rPr>
              <w:t>Time horizon (base case lifetime)</w:t>
            </w:r>
          </w:p>
        </w:tc>
      </w:tr>
      <w:tr w:rsidR="00BD42E3" w:rsidRPr="00DD72AC" w14:paraId="7456A259" w14:textId="77777777" w:rsidTr="0013639B">
        <w:trPr>
          <w:cantSplit/>
        </w:trPr>
        <w:tc>
          <w:tcPr>
            <w:tcW w:w="1894" w:type="pct"/>
            <w:gridSpan w:val="2"/>
          </w:tcPr>
          <w:p w14:paraId="33E08956" w14:textId="13148D32" w:rsidR="00BD42E3" w:rsidRPr="00DD72AC" w:rsidRDefault="00BD42E3" w:rsidP="00977CAD">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 xml:space="preserve">1 </w:t>
            </w:r>
            <w:proofErr w:type="spellStart"/>
            <w:r w:rsidRPr="00DD72AC">
              <w:rPr>
                <w:rFonts w:ascii="Arial Narrow" w:eastAsiaTheme="majorEastAsia" w:hAnsi="Arial Narrow" w:cstheme="majorBidi"/>
                <w:bCs/>
                <w:sz w:val="20"/>
              </w:rPr>
              <w:t>year</w:t>
            </w:r>
            <w:r w:rsidR="00C65E72" w:rsidRPr="00DD72AC">
              <w:rPr>
                <w:rFonts w:ascii="Arial Narrow" w:eastAsiaTheme="majorEastAsia" w:hAnsi="Arial Narrow" w:cstheme="majorBidi"/>
                <w:bCs/>
                <w:sz w:val="20"/>
                <w:vertAlign w:val="superscript"/>
              </w:rPr>
              <w:t>a</w:t>
            </w:r>
            <w:proofErr w:type="spellEnd"/>
          </w:p>
        </w:tc>
        <w:tc>
          <w:tcPr>
            <w:tcW w:w="777" w:type="pct"/>
          </w:tcPr>
          <w:p w14:paraId="4801718E" w14:textId="041F14B2"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5"/>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5"/>
                <w14:textFill>
                  <w14:solidFill>
                    <w14:srgbClr w14:val="000000">
                      <w14:alpha w14:val="100000"/>
                    </w14:srgbClr>
                  </w14:solidFill>
                </w14:textFill>
              </w:rPr>
              <w:t>|</w:t>
            </w:r>
          </w:p>
        </w:tc>
        <w:tc>
          <w:tcPr>
            <w:tcW w:w="777" w:type="pct"/>
          </w:tcPr>
          <w:p w14:paraId="7A6E2FCF"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0.02</w:t>
            </w:r>
          </w:p>
        </w:tc>
        <w:tc>
          <w:tcPr>
            <w:tcW w:w="777" w:type="pct"/>
            <w:gridSpan w:val="2"/>
          </w:tcPr>
          <w:p w14:paraId="702D0AD6" w14:textId="2C3CDC99"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4"/>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4"/>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p>
        </w:tc>
        <w:tc>
          <w:tcPr>
            <w:tcW w:w="775" w:type="pct"/>
            <w:gridSpan w:val="2"/>
          </w:tcPr>
          <w:p w14:paraId="0B05B0A7"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2141%</w:t>
            </w:r>
          </w:p>
        </w:tc>
      </w:tr>
      <w:tr w:rsidR="00BD42E3" w:rsidRPr="00DD72AC" w14:paraId="6097347A" w14:textId="77777777" w:rsidTr="0013639B">
        <w:trPr>
          <w:cantSplit/>
        </w:trPr>
        <w:tc>
          <w:tcPr>
            <w:tcW w:w="1894" w:type="pct"/>
            <w:gridSpan w:val="2"/>
          </w:tcPr>
          <w:p w14:paraId="3A9F2C90" w14:textId="11CCB697" w:rsidR="00BD42E3" w:rsidRPr="00DD72AC" w:rsidRDefault="00BD42E3" w:rsidP="00977CAD">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 xml:space="preserve">5 </w:t>
            </w:r>
            <w:proofErr w:type="spellStart"/>
            <w:r w:rsidRPr="00DD72AC">
              <w:rPr>
                <w:rFonts w:ascii="Arial Narrow" w:eastAsiaTheme="majorEastAsia" w:hAnsi="Arial Narrow" w:cstheme="majorBidi"/>
                <w:bCs/>
                <w:sz w:val="20"/>
              </w:rPr>
              <w:t>years</w:t>
            </w:r>
            <w:r w:rsidR="00C65E72" w:rsidRPr="00DD72AC">
              <w:rPr>
                <w:rFonts w:ascii="Arial Narrow" w:eastAsiaTheme="majorEastAsia" w:hAnsi="Arial Narrow" w:cstheme="majorBidi"/>
                <w:bCs/>
                <w:sz w:val="20"/>
                <w:vertAlign w:val="superscript"/>
              </w:rPr>
              <w:t>a</w:t>
            </w:r>
            <w:proofErr w:type="spellEnd"/>
          </w:p>
        </w:tc>
        <w:tc>
          <w:tcPr>
            <w:tcW w:w="777" w:type="pct"/>
          </w:tcPr>
          <w:p w14:paraId="077D7073" w14:textId="5E07C885"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3"/>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3"/>
                <w14:textFill>
                  <w14:solidFill>
                    <w14:srgbClr w14:val="000000">
                      <w14:alpha w14:val="100000"/>
                    </w14:srgbClr>
                  </w14:solidFill>
                </w14:textFill>
              </w:rPr>
              <w:t>|</w:t>
            </w:r>
          </w:p>
        </w:tc>
        <w:tc>
          <w:tcPr>
            <w:tcW w:w="777" w:type="pct"/>
          </w:tcPr>
          <w:p w14:paraId="724FA0F9"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0.25</w:t>
            </w:r>
          </w:p>
        </w:tc>
        <w:tc>
          <w:tcPr>
            <w:tcW w:w="777" w:type="pct"/>
            <w:gridSpan w:val="2"/>
          </w:tcPr>
          <w:p w14:paraId="73DF6F4F" w14:textId="2D758439"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2"/>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2"/>
                <w14:textFill>
                  <w14:solidFill>
                    <w14:srgbClr w14:val="000000">
                      <w14:alpha w14:val="100000"/>
                    </w14:srgbClr>
                  </w14:solidFill>
                </w14:textFill>
              </w:rPr>
              <w:t>|</w:t>
            </w:r>
            <w:r w:rsidR="00C76AD0" w:rsidRPr="00470538">
              <w:rPr>
                <w:rFonts w:ascii="Arial Narrow" w:eastAsiaTheme="majorEastAsia" w:hAnsi="Arial Narrow" w:cstheme="majorBidi"/>
                <w:b/>
                <w:bCs/>
                <w:sz w:val="20"/>
                <w:vertAlign w:val="superscript"/>
              </w:rPr>
              <w:t>2</w:t>
            </w:r>
          </w:p>
        </w:tc>
        <w:tc>
          <w:tcPr>
            <w:tcW w:w="775" w:type="pct"/>
            <w:gridSpan w:val="2"/>
          </w:tcPr>
          <w:p w14:paraId="5DBE1778"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615%</w:t>
            </w:r>
          </w:p>
        </w:tc>
      </w:tr>
      <w:tr w:rsidR="00BD42E3" w:rsidRPr="00DD72AC" w14:paraId="05FC7B6E" w14:textId="77777777" w:rsidTr="0013639B">
        <w:trPr>
          <w:cantSplit/>
        </w:trPr>
        <w:tc>
          <w:tcPr>
            <w:tcW w:w="1894" w:type="pct"/>
            <w:gridSpan w:val="2"/>
          </w:tcPr>
          <w:p w14:paraId="23C51D04"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10 years</w:t>
            </w:r>
          </w:p>
        </w:tc>
        <w:tc>
          <w:tcPr>
            <w:tcW w:w="777" w:type="pct"/>
          </w:tcPr>
          <w:p w14:paraId="5BF6DD1F" w14:textId="52A5624F" w:rsidR="00BD42E3" w:rsidRPr="00DD72AC" w:rsidRDefault="00BD42E3" w:rsidP="00977CAD">
            <w:pPr>
              <w:keepNext/>
              <w:jc w:val="center"/>
              <w:rPr>
                <w:rFonts w:ascii="Arial Narrow" w:eastAsiaTheme="majorEastAsia" w:hAnsi="Arial Narrow" w:cstheme="majorBidi"/>
                <w:bCs/>
                <w:sz w:val="20"/>
                <w:highlight w:val="black"/>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204"/>
                <w:sz w:val="20"/>
                <w:shd w:val="solid" w:color="000000" w:fill="000000"/>
                <w:fitText w:val="290" w:id="-143579186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290" w:id="-1435791861"/>
                <w14:textFill>
                  <w14:solidFill>
                    <w14:srgbClr w14:val="000000">
                      <w14:alpha w14:val="100000"/>
                    </w14:srgbClr>
                  </w14:solidFill>
                </w14:textFill>
              </w:rPr>
              <w:t>|</w:t>
            </w:r>
          </w:p>
        </w:tc>
        <w:tc>
          <w:tcPr>
            <w:tcW w:w="777" w:type="pct"/>
          </w:tcPr>
          <w:p w14:paraId="288DD0B8"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0.70</w:t>
            </w:r>
          </w:p>
        </w:tc>
        <w:tc>
          <w:tcPr>
            <w:tcW w:w="777" w:type="pct"/>
            <w:gridSpan w:val="2"/>
          </w:tcPr>
          <w:p w14:paraId="638CF03E" w14:textId="714F3DAC" w:rsidR="00BD42E3" w:rsidRPr="00DD72AC" w:rsidRDefault="00BD42E3" w:rsidP="00977CAD">
            <w:pPr>
              <w:keepNext/>
              <w:jc w:val="center"/>
              <w:rPr>
                <w:rFonts w:ascii="Arial Narrow" w:eastAsiaTheme="majorEastAsia" w:hAnsi="Arial Narrow" w:cstheme="majorBidi"/>
                <w:bCs/>
                <w:sz w:val="20"/>
                <w:highlight w:val="black"/>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9"/>
                <w:sz w:val="20"/>
                <w:shd w:val="solid" w:color="000000" w:fill="000000"/>
                <w:fitText w:val="320" w:id="-143579186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3"/>
                <w:sz w:val="20"/>
                <w:shd w:val="solid" w:color="000000" w:fill="000000"/>
                <w:fitText w:val="320" w:id="-1435791860"/>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p>
        </w:tc>
        <w:tc>
          <w:tcPr>
            <w:tcW w:w="775" w:type="pct"/>
            <w:gridSpan w:val="2"/>
          </w:tcPr>
          <w:p w14:paraId="30E96CB7"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396%</w:t>
            </w:r>
          </w:p>
        </w:tc>
      </w:tr>
      <w:tr w:rsidR="00BD42E3" w:rsidRPr="00DD72AC" w14:paraId="3C83540B" w14:textId="77777777" w:rsidTr="008141FE">
        <w:trPr>
          <w:cantSplit/>
          <w:trHeight w:val="76"/>
        </w:trPr>
        <w:tc>
          <w:tcPr>
            <w:tcW w:w="1894" w:type="pct"/>
            <w:gridSpan w:val="2"/>
          </w:tcPr>
          <w:p w14:paraId="4217E15C"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20 years</w:t>
            </w:r>
          </w:p>
        </w:tc>
        <w:tc>
          <w:tcPr>
            <w:tcW w:w="777" w:type="pct"/>
          </w:tcPr>
          <w:p w14:paraId="292D5B51" w14:textId="0E46B8E3" w:rsidR="00BD42E3" w:rsidRPr="00DD72AC" w:rsidRDefault="00BD42E3" w:rsidP="00977CAD">
            <w:pPr>
              <w:keepNext/>
              <w:jc w:val="center"/>
              <w:rPr>
                <w:rFonts w:ascii="Arial Narrow" w:eastAsiaTheme="majorEastAsia" w:hAnsi="Arial Narrow" w:cstheme="majorBidi"/>
                <w:bCs/>
                <w:sz w:val="20"/>
                <w:highlight w:val="black"/>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204"/>
                <w:sz w:val="20"/>
                <w:shd w:val="solid" w:color="000000" w:fill="000000"/>
                <w:fitText w:val="290" w:id="-143579185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290" w:id="-1435791859"/>
                <w14:textFill>
                  <w14:solidFill>
                    <w14:srgbClr w14:val="000000">
                      <w14:alpha w14:val="100000"/>
                    </w14:srgbClr>
                  </w14:solidFill>
                </w14:textFill>
              </w:rPr>
              <w:t>|</w:t>
            </w:r>
          </w:p>
        </w:tc>
        <w:tc>
          <w:tcPr>
            <w:tcW w:w="777" w:type="pct"/>
          </w:tcPr>
          <w:p w14:paraId="4C15048C"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1.77</w:t>
            </w:r>
          </w:p>
        </w:tc>
        <w:tc>
          <w:tcPr>
            <w:tcW w:w="777" w:type="pct"/>
            <w:gridSpan w:val="2"/>
          </w:tcPr>
          <w:p w14:paraId="5D5C4BB2" w14:textId="0AC3AAD8" w:rsidR="00BD42E3" w:rsidRPr="00DD72AC" w:rsidRDefault="00BD42E3" w:rsidP="00977CAD">
            <w:pPr>
              <w:keepNext/>
              <w:jc w:val="center"/>
              <w:rPr>
                <w:rFonts w:ascii="Arial Narrow" w:eastAsiaTheme="majorEastAsia" w:hAnsi="Arial Narrow" w:cstheme="majorBidi"/>
                <w:bCs/>
                <w:sz w:val="20"/>
                <w:highlight w:val="black"/>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9"/>
                <w:sz w:val="20"/>
                <w:shd w:val="solid" w:color="000000" w:fill="000000"/>
                <w:fitText w:val="320" w:id="-143579185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3"/>
                <w:sz w:val="20"/>
                <w:shd w:val="solid" w:color="000000" w:fill="000000"/>
                <w:fitText w:val="320" w:id="-1435791858"/>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p>
        </w:tc>
        <w:tc>
          <w:tcPr>
            <w:tcW w:w="775" w:type="pct"/>
            <w:gridSpan w:val="2"/>
          </w:tcPr>
          <w:p w14:paraId="38D0C787"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189%</w:t>
            </w:r>
          </w:p>
        </w:tc>
      </w:tr>
      <w:tr w:rsidR="00BD42E3" w:rsidRPr="00DD72AC" w14:paraId="3AED5498" w14:textId="77777777" w:rsidTr="008141FE">
        <w:trPr>
          <w:cantSplit/>
          <w:trHeight w:val="70"/>
        </w:trPr>
        <w:tc>
          <w:tcPr>
            <w:tcW w:w="5000" w:type="pct"/>
            <w:gridSpan w:val="8"/>
          </w:tcPr>
          <w:p w14:paraId="153C0736" w14:textId="77777777" w:rsidR="00BD42E3" w:rsidRPr="00DD72AC" w:rsidRDefault="00BD42E3" w:rsidP="00977CAD">
            <w:pPr>
              <w:keepNext/>
              <w:jc w:val="left"/>
              <w:rPr>
                <w:rFonts w:ascii="Arial Narrow" w:eastAsia="Calibri" w:hAnsi="Arial Narrow" w:cstheme="majorBidi"/>
                <w:b/>
                <w:sz w:val="20"/>
                <w:szCs w:val="20"/>
              </w:rPr>
            </w:pPr>
            <w:r w:rsidRPr="00DD72AC">
              <w:rPr>
                <w:rFonts w:ascii="Arial Narrow" w:eastAsia="Calibri" w:hAnsi="Arial Narrow" w:cstheme="majorBidi"/>
                <w:b/>
                <w:sz w:val="20"/>
                <w:szCs w:val="20"/>
              </w:rPr>
              <w:t>Discount rate (base case 5%)</w:t>
            </w:r>
          </w:p>
        </w:tc>
      </w:tr>
      <w:tr w:rsidR="00BD42E3" w:rsidRPr="00DD72AC" w14:paraId="7FCCED7F" w14:textId="77777777" w:rsidTr="008141FE">
        <w:trPr>
          <w:cantSplit/>
          <w:trHeight w:val="70"/>
        </w:trPr>
        <w:tc>
          <w:tcPr>
            <w:tcW w:w="1894" w:type="pct"/>
            <w:gridSpan w:val="2"/>
          </w:tcPr>
          <w:p w14:paraId="3DD32AFA"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0%</w:t>
            </w:r>
          </w:p>
        </w:tc>
        <w:tc>
          <w:tcPr>
            <w:tcW w:w="777" w:type="pct"/>
          </w:tcPr>
          <w:p w14:paraId="692497E7" w14:textId="235F128D"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57"/>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57"/>
                <w14:textFill>
                  <w14:solidFill>
                    <w14:srgbClr w14:val="000000">
                      <w14:alpha w14:val="100000"/>
                    </w14:srgbClr>
                  </w14:solidFill>
                </w14:textFill>
              </w:rPr>
              <w:t>|</w:t>
            </w:r>
          </w:p>
        </w:tc>
        <w:tc>
          <w:tcPr>
            <w:tcW w:w="777" w:type="pct"/>
          </w:tcPr>
          <w:p w14:paraId="3BE46604"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16.81</w:t>
            </w:r>
          </w:p>
        </w:tc>
        <w:tc>
          <w:tcPr>
            <w:tcW w:w="777" w:type="pct"/>
            <w:gridSpan w:val="2"/>
          </w:tcPr>
          <w:p w14:paraId="442A6CE9" w14:textId="5F0FE63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56"/>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56"/>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3</w:t>
            </w:r>
          </w:p>
        </w:tc>
        <w:tc>
          <w:tcPr>
            <w:tcW w:w="775" w:type="pct"/>
            <w:gridSpan w:val="2"/>
          </w:tcPr>
          <w:p w14:paraId="2AA10F19"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-73%</w:t>
            </w:r>
          </w:p>
        </w:tc>
      </w:tr>
      <w:tr w:rsidR="00BD42E3" w:rsidRPr="00DD72AC" w14:paraId="528883C9" w14:textId="77777777" w:rsidTr="008141FE">
        <w:trPr>
          <w:cantSplit/>
          <w:trHeight w:val="70"/>
        </w:trPr>
        <w:tc>
          <w:tcPr>
            <w:tcW w:w="1894" w:type="pct"/>
            <w:gridSpan w:val="2"/>
          </w:tcPr>
          <w:p w14:paraId="73C022E9" w14:textId="22F1DAB1" w:rsidR="00BD42E3" w:rsidRPr="00DD72AC" w:rsidRDefault="00BD42E3" w:rsidP="00977CAD">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1.5%</w:t>
            </w:r>
            <w:r w:rsidR="00C65E72" w:rsidRPr="00DD72AC">
              <w:rPr>
                <w:rFonts w:ascii="Arial Narrow" w:eastAsiaTheme="majorEastAsia" w:hAnsi="Arial Narrow" w:cstheme="majorBidi"/>
                <w:bCs/>
                <w:sz w:val="20"/>
                <w:vertAlign w:val="superscript"/>
              </w:rPr>
              <w:t>a</w:t>
            </w:r>
          </w:p>
        </w:tc>
        <w:tc>
          <w:tcPr>
            <w:tcW w:w="777" w:type="pct"/>
          </w:tcPr>
          <w:p w14:paraId="2D083590" w14:textId="7B3F6D1A"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72"/>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72"/>
                <w14:textFill>
                  <w14:solidFill>
                    <w14:srgbClr w14:val="000000">
                      <w14:alpha w14:val="100000"/>
                    </w14:srgbClr>
                  </w14:solidFill>
                </w14:textFill>
              </w:rPr>
              <w:t>|</w:t>
            </w:r>
          </w:p>
        </w:tc>
        <w:tc>
          <w:tcPr>
            <w:tcW w:w="777" w:type="pct"/>
          </w:tcPr>
          <w:p w14:paraId="2EFBA4F6"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9.15</w:t>
            </w:r>
          </w:p>
        </w:tc>
        <w:tc>
          <w:tcPr>
            <w:tcW w:w="777" w:type="pct"/>
            <w:gridSpan w:val="2"/>
          </w:tcPr>
          <w:p w14:paraId="06F44E6F" w14:textId="4EE11D02"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71"/>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71"/>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4</w:t>
            </w:r>
          </w:p>
        </w:tc>
        <w:tc>
          <w:tcPr>
            <w:tcW w:w="775" w:type="pct"/>
            <w:gridSpan w:val="2"/>
          </w:tcPr>
          <w:p w14:paraId="65719C5D"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-55%</w:t>
            </w:r>
          </w:p>
        </w:tc>
      </w:tr>
      <w:tr w:rsidR="00BD42E3" w:rsidRPr="00DD72AC" w14:paraId="152A6211" w14:textId="77777777" w:rsidTr="008141FE">
        <w:trPr>
          <w:cantSplit/>
          <w:trHeight w:val="70"/>
        </w:trPr>
        <w:tc>
          <w:tcPr>
            <w:tcW w:w="1894" w:type="pct"/>
            <w:gridSpan w:val="2"/>
          </w:tcPr>
          <w:p w14:paraId="5A34945A"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3.5%</w:t>
            </w:r>
          </w:p>
        </w:tc>
        <w:tc>
          <w:tcPr>
            <w:tcW w:w="777" w:type="pct"/>
          </w:tcPr>
          <w:p w14:paraId="2E2C34D6" w14:textId="2C67E524"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70"/>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70"/>
                <w14:textFill>
                  <w14:solidFill>
                    <w14:srgbClr w14:val="000000">
                      <w14:alpha w14:val="100000"/>
                    </w14:srgbClr>
                  </w14:solidFill>
                </w14:textFill>
              </w:rPr>
              <w:t>|</w:t>
            </w:r>
          </w:p>
        </w:tc>
        <w:tc>
          <w:tcPr>
            <w:tcW w:w="777" w:type="pct"/>
          </w:tcPr>
          <w:p w14:paraId="70F3BE0C"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4.85</w:t>
            </w:r>
          </w:p>
        </w:tc>
        <w:tc>
          <w:tcPr>
            <w:tcW w:w="777" w:type="pct"/>
            <w:gridSpan w:val="2"/>
          </w:tcPr>
          <w:p w14:paraId="51CEB710" w14:textId="443E88BB"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9"/>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9"/>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5</w:t>
            </w:r>
          </w:p>
        </w:tc>
        <w:tc>
          <w:tcPr>
            <w:tcW w:w="775" w:type="pct"/>
            <w:gridSpan w:val="2"/>
          </w:tcPr>
          <w:p w14:paraId="0251BF73"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-25%</w:t>
            </w:r>
          </w:p>
        </w:tc>
      </w:tr>
      <w:tr w:rsidR="00BD42E3" w:rsidRPr="00DD72AC" w14:paraId="3A517CD8" w14:textId="77777777" w:rsidTr="008141FE">
        <w:trPr>
          <w:cantSplit/>
          <w:trHeight w:val="150"/>
        </w:trPr>
        <w:tc>
          <w:tcPr>
            <w:tcW w:w="5000" w:type="pct"/>
            <w:gridSpan w:val="8"/>
          </w:tcPr>
          <w:p w14:paraId="1600DE01" w14:textId="60521108" w:rsidR="00BD42E3" w:rsidRPr="00DD72AC" w:rsidRDefault="00BD42E3" w:rsidP="00977CAD">
            <w:pPr>
              <w:keepNext/>
              <w:jc w:val="left"/>
              <w:rPr>
                <w:rFonts w:ascii="Arial Narrow" w:eastAsia="Calibri" w:hAnsi="Arial Narrow" w:cstheme="majorBidi"/>
                <w:b/>
                <w:sz w:val="20"/>
                <w:szCs w:val="20"/>
              </w:rPr>
            </w:pPr>
            <w:r w:rsidRPr="00DD72AC">
              <w:rPr>
                <w:rFonts w:ascii="Arial Narrow" w:eastAsia="Calibri" w:hAnsi="Arial Narrow" w:cstheme="majorBidi"/>
                <w:b/>
                <w:sz w:val="20"/>
                <w:szCs w:val="20"/>
              </w:rPr>
              <w:t>Utility data extrapolation (base case quadratic polynomial function)</w:t>
            </w:r>
          </w:p>
        </w:tc>
      </w:tr>
      <w:tr w:rsidR="00BD42E3" w:rsidRPr="00DD72AC" w14:paraId="191C2E11" w14:textId="77777777" w:rsidTr="008141FE">
        <w:trPr>
          <w:cantSplit/>
          <w:trHeight w:val="70"/>
        </w:trPr>
        <w:tc>
          <w:tcPr>
            <w:tcW w:w="1894" w:type="pct"/>
            <w:gridSpan w:val="2"/>
          </w:tcPr>
          <w:p w14:paraId="632F31F3"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Cubic extrapolation</w:t>
            </w:r>
          </w:p>
        </w:tc>
        <w:tc>
          <w:tcPr>
            <w:tcW w:w="777" w:type="pct"/>
          </w:tcPr>
          <w:p w14:paraId="249C1C0F" w14:textId="37352039"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8"/>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8"/>
                <w14:textFill>
                  <w14:solidFill>
                    <w14:srgbClr w14:val="000000">
                      <w14:alpha w14:val="100000"/>
                    </w14:srgbClr>
                  </w14:solidFill>
                </w14:textFill>
              </w:rPr>
              <w:t>|</w:t>
            </w:r>
          </w:p>
        </w:tc>
        <w:tc>
          <w:tcPr>
            <w:tcW w:w="777" w:type="pct"/>
          </w:tcPr>
          <w:p w14:paraId="13ED2AB1"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7.63</w:t>
            </w:r>
          </w:p>
        </w:tc>
        <w:tc>
          <w:tcPr>
            <w:tcW w:w="777" w:type="pct"/>
            <w:gridSpan w:val="2"/>
          </w:tcPr>
          <w:p w14:paraId="0C8B8778" w14:textId="35B4D794"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7"/>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7"/>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4</w:t>
            </w:r>
          </w:p>
        </w:tc>
        <w:tc>
          <w:tcPr>
            <w:tcW w:w="775" w:type="pct"/>
            <w:gridSpan w:val="2"/>
          </w:tcPr>
          <w:p w14:paraId="5FD8BECA"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-56%</w:t>
            </w:r>
          </w:p>
        </w:tc>
      </w:tr>
      <w:tr w:rsidR="00BD42E3" w:rsidRPr="00DD72AC" w14:paraId="7BFE8D09" w14:textId="77777777" w:rsidTr="008141FE">
        <w:trPr>
          <w:cantSplit/>
          <w:trHeight w:val="70"/>
        </w:trPr>
        <w:tc>
          <w:tcPr>
            <w:tcW w:w="1894" w:type="pct"/>
            <w:gridSpan w:val="2"/>
          </w:tcPr>
          <w:p w14:paraId="691FFE1E"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Linear extrapolation</w:t>
            </w:r>
          </w:p>
        </w:tc>
        <w:tc>
          <w:tcPr>
            <w:tcW w:w="777" w:type="pct"/>
          </w:tcPr>
          <w:p w14:paraId="0B64AABB" w14:textId="27F3540E"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6"/>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6"/>
                <w14:textFill>
                  <w14:solidFill>
                    <w14:srgbClr w14:val="000000">
                      <w14:alpha w14:val="100000"/>
                    </w14:srgbClr>
                  </w14:solidFill>
                </w14:textFill>
              </w:rPr>
              <w:t>|</w:t>
            </w:r>
          </w:p>
        </w:tc>
        <w:tc>
          <w:tcPr>
            <w:tcW w:w="777" w:type="pct"/>
          </w:tcPr>
          <w:p w14:paraId="2FF675A4"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4.11</w:t>
            </w:r>
          </w:p>
        </w:tc>
        <w:tc>
          <w:tcPr>
            <w:tcW w:w="777" w:type="pct"/>
            <w:gridSpan w:val="2"/>
          </w:tcPr>
          <w:p w14:paraId="1D0BE6C7" w14:textId="5CE5949A"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5"/>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5"/>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6</w:t>
            </w:r>
          </w:p>
        </w:tc>
        <w:tc>
          <w:tcPr>
            <w:tcW w:w="775" w:type="pct"/>
            <w:gridSpan w:val="2"/>
          </w:tcPr>
          <w:p w14:paraId="6CA11DBB"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-19%</w:t>
            </w:r>
          </w:p>
        </w:tc>
      </w:tr>
      <w:tr w:rsidR="007C351F" w:rsidRPr="00DD72AC" w14:paraId="26B26BED" w14:textId="77777777" w:rsidTr="007C351F">
        <w:trPr>
          <w:cantSplit/>
          <w:trHeight w:val="70"/>
        </w:trPr>
        <w:tc>
          <w:tcPr>
            <w:tcW w:w="5000" w:type="pct"/>
            <w:gridSpan w:val="8"/>
          </w:tcPr>
          <w:p w14:paraId="098DF9BD" w14:textId="56661543" w:rsidR="007C351F" w:rsidRPr="00DD72AC" w:rsidRDefault="007C351F" w:rsidP="007C351F">
            <w:pPr>
              <w:keepNext/>
              <w:widowControl w:val="0"/>
              <w:jc w:val="left"/>
              <w:rPr>
                <w:rFonts w:ascii="Arial Narrow" w:eastAsiaTheme="majorEastAsia" w:hAnsi="Arial Narrow" w:cstheme="majorBidi"/>
                <w:b/>
                <w:sz w:val="20"/>
              </w:rPr>
            </w:pPr>
            <w:r w:rsidRPr="00DD72AC">
              <w:rPr>
                <w:rFonts w:ascii="Arial Narrow" w:eastAsiaTheme="majorEastAsia" w:hAnsi="Arial Narrow" w:cstheme="majorBidi"/>
                <w:b/>
                <w:sz w:val="20"/>
              </w:rPr>
              <w:t>Height-based utility values (base case obtained from Christensen 2007)</w:t>
            </w:r>
          </w:p>
        </w:tc>
      </w:tr>
      <w:tr w:rsidR="007C351F" w:rsidRPr="00DD72AC" w14:paraId="7EC4367E" w14:textId="77777777" w:rsidTr="008141FE">
        <w:trPr>
          <w:cantSplit/>
          <w:trHeight w:val="70"/>
        </w:trPr>
        <w:tc>
          <w:tcPr>
            <w:tcW w:w="1894" w:type="pct"/>
            <w:gridSpan w:val="2"/>
          </w:tcPr>
          <w:p w14:paraId="5C9F0D4C" w14:textId="5958D6D8" w:rsidR="007C351F" w:rsidRPr="00DD72AC" w:rsidRDefault="007C351F" w:rsidP="007C351F">
            <w:pPr>
              <w:keepNext/>
              <w:widowControl w:val="0"/>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20% variability (increase)</w:t>
            </w:r>
            <w:r w:rsidRPr="00DD72AC">
              <w:rPr>
                <w:rFonts w:ascii="Arial Narrow" w:eastAsiaTheme="majorEastAsia" w:hAnsi="Arial Narrow" w:cstheme="majorBidi"/>
                <w:bCs/>
                <w:sz w:val="20"/>
                <w:vertAlign w:val="superscript"/>
              </w:rPr>
              <w:t>b</w:t>
            </w:r>
          </w:p>
        </w:tc>
        <w:tc>
          <w:tcPr>
            <w:tcW w:w="777" w:type="pct"/>
          </w:tcPr>
          <w:p w14:paraId="5CCE0D60" w14:textId="2E74C521" w:rsidR="007C351F" w:rsidRPr="00DD72AC" w:rsidRDefault="007C351F" w:rsidP="007C351F">
            <w:pPr>
              <w:keepNext/>
              <w:widowControl w:val="0"/>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204"/>
                <w:sz w:val="20"/>
                <w:shd w:val="solid" w:color="000000" w:fill="000000"/>
                <w:fitText w:val="290" w:id="-143579186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290" w:id="-1435791864"/>
                <w14:textFill>
                  <w14:solidFill>
                    <w14:srgbClr w14:val="000000">
                      <w14:alpha w14:val="100000"/>
                    </w14:srgbClr>
                  </w14:solidFill>
                </w14:textFill>
              </w:rPr>
              <w:t>|</w:t>
            </w:r>
          </w:p>
        </w:tc>
        <w:tc>
          <w:tcPr>
            <w:tcW w:w="777" w:type="pct"/>
          </w:tcPr>
          <w:p w14:paraId="67E403E0" w14:textId="607502E8" w:rsidR="007C351F" w:rsidRPr="00DD72AC" w:rsidRDefault="007C351F" w:rsidP="007C351F">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3.88</w:t>
            </w:r>
          </w:p>
        </w:tc>
        <w:tc>
          <w:tcPr>
            <w:tcW w:w="777" w:type="pct"/>
            <w:gridSpan w:val="2"/>
          </w:tcPr>
          <w:p w14:paraId="317586B6" w14:textId="08CC218F" w:rsidR="007C351F" w:rsidRPr="00DD72AC" w:rsidRDefault="007C351F" w:rsidP="007C351F">
            <w:pPr>
              <w:keepNext/>
              <w:widowControl w:val="0"/>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9"/>
                <w:sz w:val="20"/>
                <w:shd w:val="solid" w:color="000000" w:fill="000000"/>
                <w:fitText w:val="320" w:id="-143579186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3"/>
                <w:sz w:val="20"/>
                <w:shd w:val="solid" w:color="000000" w:fill="000000"/>
                <w:fitText w:val="320" w:id="-1435791863"/>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6</w:t>
            </w:r>
          </w:p>
        </w:tc>
        <w:tc>
          <w:tcPr>
            <w:tcW w:w="775" w:type="pct"/>
            <w:gridSpan w:val="2"/>
          </w:tcPr>
          <w:p w14:paraId="04BDC1E6" w14:textId="117B78D2" w:rsidR="007C351F" w:rsidRPr="00DD72AC" w:rsidRDefault="007C351F" w:rsidP="007C351F">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-14%</w:t>
            </w:r>
          </w:p>
        </w:tc>
      </w:tr>
      <w:tr w:rsidR="007C351F" w:rsidRPr="00DD72AC" w14:paraId="0BB5803F" w14:textId="77777777" w:rsidTr="008141FE">
        <w:trPr>
          <w:cantSplit/>
          <w:trHeight w:val="70"/>
        </w:trPr>
        <w:tc>
          <w:tcPr>
            <w:tcW w:w="1894" w:type="pct"/>
            <w:gridSpan w:val="2"/>
          </w:tcPr>
          <w:p w14:paraId="723CB175" w14:textId="29F4F63C" w:rsidR="007C351F" w:rsidRPr="00DD72AC" w:rsidRDefault="007C351F" w:rsidP="007C351F">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20% variability (decrease)</w:t>
            </w:r>
            <w:r w:rsidRPr="00DD72AC">
              <w:rPr>
                <w:rFonts w:ascii="Arial Narrow" w:eastAsiaTheme="majorEastAsia" w:hAnsi="Arial Narrow" w:cstheme="majorBidi"/>
                <w:bCs/>
                <w:sz w:val="20"/>
                <w:vertAlign w:val="superscript"/>
              </w:rPr>
              <w:t>b</w:t>
            </w:r>
          </w:p>
        </w:tc>
        <w:tc>
          <w:tcPr>
            <w:tcW w:w="777" w:type="pct"/>
          </w:tcPr>
          <w:p w14:paraId="1D70D9D4" w14:textId="002FDDC5" w:rsidR="007C351F" w:rsidRPr="00DD72AC" w:rsidRDefault="007C351F" w:rsidP="007C351F">
            <w:pPr>
              <w:keepNext/>
              <w:widowControl w:val="0"/>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204"/>
                <w:sz w:val="20"/>
                <w:shd w:val="solid" w:color="000000" w:fill="000000"/>
                <w:fitText w:val="290" w:id="-143579186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290" w:id="-1435791862"/>
                <w14:textFill>
                  <w14:solidFill>
                    <w14:srgbClr w14:val="000000">
                      <w14:alpha w14:val="100000"/>
                    </w14:srgbClr>
                  </w14:solidFill>
                </w14:textFill>
              </w:rPr>
              <w:t>|</w:t>
            </w:r>
          </w:p>
        </w:tc>
        <w:tc>
          <w:tcPr>
            <w:tcW w:w="777" w:type="pct"/>
          </w:tcPr>
          <w:p w14:paraId="0D616B77" w14:textId="5914E1E4" w:rsidR="007C351F" w:rsidRPr="00DD72AC" w:rsidRDefault="007C351F" w:rsidP="007C351F">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2.59</w:t>
            </w:r>
          </w:p>
        </w:tc>
        <w:tc>
          <w:tcPr>
            <w:tcW w:w="777" w:type="pct"/>
            <w:gridSpan w:val="2"/>
          </w:tcPr>
          <w:p w14:paraId="6D6478B6" w14:textId="217F3CC9" w:rsidR="007C351F" w:rsidRPr="00DD72AC" w:rsidRDefault="007C351F" w:rsidP="007C351F">
            <w:pPr>
              <w:keepNext/>
              <w:jc w:val="center"/>
              <w:rPr>
                <w:rFonts w:ascii="Arial Narrow" w:eastAsia="Calibri" w:hAnsi="Arial Narrow" w:cstheme="majorBidi"/>
                <w:bCs/>
                <w:sz w:val="20"/>
                <w:szCs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9"/>
                <w:sz w:val="20"/>
                <w:shd w:val="solid" w:color="000000" w:fill="000000"/>
                <w:fitText w:val="320" w:id="-143579186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3"/>
                <w:sz w:val="20"/>
                <w:shd w:val="solid" w:color="000000" w:fill="000000"/>
                <w:fitText w:val="320" w:id="-1435791861"/>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p>
        </w:tc>
        <w:tc>
          <w:tcPr>
            <w:tcW w:w="775" w:type="pct"/>
            <w:gridSpan w:val="2"/>
          </w:tcPr>
          <w:p w14:paraId="4277DF12" w14:textId="3C1AACDE" w:rsidR="007C351F" w:rsidRPr="00DD72AC" w:rsidRDefault="007C351F" w:rsidP="007C351F">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29%</w:t>
            </w:r>
          </w:p>
        </w:tc>
      </w:tr>
      <w:tr w:rsidR="00BD42E3" w:rsidRPr="00DD72AC" w14:paraId="51C2E371" w14:textId="77777777" w:rsidTr="008141FE">
        <w:trPr>
          <w:cantSplit/>
          <w:trHeight w:val="145"/>
        </w:trPr>
        <w:tc>
          <w:tcPr>
            <w:tcW w:w="4225" w:type="pct"/>
            <w:gridSpan w:val="6"/>
          </w:tcPr>
          <w:p w14:paraId="6F758715" w14:textId="77777777" w:rsidR="00BD42E3" w:rsidRPr="00DD72AC" w:rsidRDefault="00BD42E3" w:rsidP="00977CAD">
            <w:pPr>
              <w:keepNext/>
              <w:jc w:val="left"/>
              <w:rPr>
                <w:rFonts w:ascii="Arial Narrow" w:eastAsia="Calibri" w:hAnsi="Arial Narrow" w:cstheme="majorBidi"/>
                <w:b/>
                <w:sz w:val="20"/>
                <w:szCs w:val="20"/>
              </w:rPr>
            </w:pPr>
            <w:r w:rsidRPr="00DD72AC">
              <w:rPr>
                <w:rFonts w:ascii="Arial Narrow" w:eastAsia="Calibri" w:hAnsi="Arial Narrow" w:cstheme="majorBidi"/>
                <w:b/>
                <w:sz w:val="20"/>
                <w:szCs w:val="20"/>
              </w:rPr>
              <w:t>Treatment effect: height (base case 72% restoration of GP height)</w:t>
            </w:r>
          </w:p>
        </w:tc>
        <w:tc>
          <w:tcPr>
            <w:tcW w:w="775" w:type="pct"/>
            <w:gridSpan w:val="2"/>
          </w:tcPr>
          <w:p w14:paraId="0ACC115D" w14:textId="77777777" w:rsidR="00BD42E3" w:rsidRPr="00DD72AC" w:rsidRDefault="00BD42E3" w:rsidP="00977CAD">
            <w:pPr>
              <w:keepNext/>
              <w:jc w:val="left"/>
              <w:rPr>
                <w:rFonts w:ascii="Arial Narrow" w:eastAsia="Calibri" w:hAnsi="Arial Narrow" w:cstheme="majorBidi"/>
                <w:bCs/>
                <w:sz w:val="20"/>
                <w:szCs w:val="20"/>
              </w:rPr>
            </w:pPr>
          </w:p>
        </w:tc>
      </w:tr>
      <w:tr w:rsidR="00BD42E3" w:rsidRPr="00DD72AC" w14:paraId="1C9EF655" w14:textId="77777777" w:rsidTr="008141FE">
        <w:trPr>
          <w:cantSplit/>
          <w:trHeight w:val="70"/>
        </w:trPr>
        <w:tc>
          <w:tcPr>
            <w:tcW w:w="1894" w:type="pct"/>
            <w:gridSpan w:val="2"/>
          </w:tcPr>
          <w:p w14:paraId="3C9C4AE8"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56% restoration of GP height</w:t>
            </w:r>
          </w:p>
        </w:tc>
        <w:tc>
          <w:tcPr>
            <w:tcW w:w="777" w:type="pct"/>
          </w:tcPr>
          <w:p w14:paraId="52F26C7D" w14:textId="71773C65" w:rsidR="00BD42E3" w:rsidRPr="00470538" w:rsidRDefault="00BD42E3" w:rsidP="00977CAD">
            <w:pPr>
              <w:keepNext/>
              <w:jc w:val="center"/>
              <w:rPr>
                <w:rFonts w:ascii="Arial Narrow" w:eastAsia="Calibri" w:hAnsi="Arial Narrow" w:cstheme="majorBidi"/>
                <w:bCs/>
                <w:sz w:val="20"/>
                <w:szCs w:val="20"/>
                <w:highlight w:val="darkGray"/>
              </w:rPr>
            </w:pPr>
            <w:r w:rsidRPr="00470538">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0"/>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0"/>
                <w14:textFill>
                  <w14:solidFill>
                    <w14:srgbClr w14:val="000000">
                      <w14:alpha w14:val="100000"/>
                    </w14:srgbClr>
                  </w14:solidFill>
                </w14:textFill>
              </w:rPr>
              <w:t>|</w:t>
            </w:r>
          </w:p>
        </w:tc>
        <w:tc>
          <w:tcPr>
            <w:tcW w:w="777" w:type="pct"/>
          </w:tcPr>
          <w:p w14:paraId="3938D8D1"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2.69</w:t>
            </w:r>
          </w:p>
        </w:tc>
        <w:tc>
          <w:tcPr>
            <w:tcW w:w="777" w:type="pct"/>
            <w:gridSpan w:val="2"/>
          </w:tcPr>
          <w:p w14:paraId="54E2A8DC" w14:textId="6952E558"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59"/>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59"/>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p>
        </w:tc>
        <w:tc>
          <w:tcPr>
            <w:tcW w:w="775" w:type="pct"/>
            <w:gridSpan w:val="2"/>
          </w:tcPr>
          <w:p w14:paraId="1674DF15"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124%</w:t>
            </w:r>
          </w:p>
        </w:tc>
      </w:tr>
      <w:tr w:rsidR="00BD42E3" w:rsidRPr="00DD72AC" w14:paraId="2E922CF2" w14:textId="77777777" w:rsidTr="008141FE">
        <w:trPr>
          <w:cantSplit/>
          <w:trHeight w:val="82"/>
        </w:trPr>
        <w:tc>
          <w:tcPr>
            <w:tcW w:w="1894" w:type="pct"/>
            <w:gridSpan w:val="2"/>
          </w:tcPr>
          <w:p w14:paraId="195CDC38" w14:textId="00508100" w:rsidR="00BD42E3" w:rsidRPr="00DD72AC" w:rsidRDefault="00BD42E3" w:rsidP="00977CAD">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 xml:space="preserve">30% restoration of GP </w:t>
            </w:r>
            <w:proofErr w:type="spellStart"/>
            <w:r w:rsidRPr="00DD72AC">
              <w:rPr>
                <w:rFonts w:ascii="Arial Narrow" w:eastAsiaTheme="majorEastAsia" w:hAnsi="Arial Narrow" w:cstheme="majorBidi"/>
                <w:bCs/>
                <w:sz w:val="20"/>
              </w:rPr>
              <w:t>height</w:t>
            </w:r>
            <w:r w:rsidR="00C65E72" w:rsidRPr="00DD72AC">
              <w:rPr>
                <w:rFonts w:ascii="Arial Narrow" w:eastAsiaTheme="majorEastAsia" w:hAnsi="Arial Narrow" w:cstheme="majorBidi"/>
                <w:bCs/>
                <w:sz w:val="20"/>
                <w:vertAlign w:val="superscript"/>
              </w:rPr>
              <w:t>a</w:t>
            </w:r>
            <w:proofErr w:type="spellEnd"/>
          </w:p>
        </w:tc>
        <w:tc>
          <w:tcPr>
            <w:tcW w:w="777" w:type="pct"/>
          </w:tcPr>
          <w:p w14:paraId="1A7912CF" w14:textId="6730B17D"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58"/>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58"/>
                <w14:textFill>
                  <w14:solidFill>
                    <w14:srgbClr w14:val="000000">
                      <w14:alpha w14:val="100000"/>
                    </w14:srgbClr>
                  </w14:solidFill>
                </w14:textFill>
              </w:rPr>
              <w:t>|</w:t>
            </w:r>
          </w:p>
        </w:tc>
        <w:tc>
          <w:tcPr>
            <w:tcW w:w="777" w:type="pct"/>
          </w:tcPr>
          <w:p w14:paraId="31D34719"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1.52</w:t>
            </w:r>
          </w:p>
        </w:tc>
        <w:tc>
          <w:tcPr>
            <w:tcW w:w="777" w:type="pct"/>
            <w:gridSpan w:val="2"/>
          </w:tcPr>
          <w:p w14:paraId="115B50E4" w14:textId="6B24D544"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57"/>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57"/>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p>
        </w:tc>
        <w:tc>
          <w:tcPr>
            <w:tcW w:w="775" w:type="pct"/>
            <w:gridSpan w:val="2"/>
          </w:tcPr>
          <w:p w14:paraId="773B0740"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221%</w:t>
            </w:r>
          </w:p>
        </w:tc>
      </w:tr>
      <w:tr w:rsidR="00BD42E3" w:rsidRPr="00DD72AC" w14:paraId="6219FE2D" w14:textId="77777777" w:rsidTr="008141FE">
        <w:trPr>
          <w:cantSplit/>
          <w:trHeight w:val="70"/>
        </w:trPr>
        <w:tc>
          <w:tcPr>
            <w:tcW w:w="1894" w:type="pct"/>
            <w:gridSpan w:val="2"/>
          </w:tcPr>
          <w:p w14:paraId="38D2FBC8" w14:textId="2A57C928" w:rsidR="00BD42E3" w:rsidRPr="00DD72AC" w:rsidRDefault="00BD42E3" w:rsidP="00977CAD">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 xml:space="preserve">20% restoration of GP </w:t>
            </w:r>
            <w:proofErr w:type="spellStart"/>
            <w:r w:rsidRPr="00DD72AC">
              <w:rPr>
                <w:rFonts w:ascii="Arial Narrow" w:eastAsiaTheme="majorEastAsia" w:hAnsi="Arial Narrow" w:cstheme="majorBidi"/>
                <w:bCs/>
                <w:sz w:val="20"/>
              </w:rPr>
              <w:t>height</w:t>
            </w:r>
            <w:r w:rsidR="00C65E72" w:rsidRPr="00DD72AC">
              <w:rPr>
                <w:rFonts w:ascii="Arial Narrow" w:eastAsiaTheme="majorEastAsia" w:hAnsi="Arial Narrow" w:cstheme="majorBidi"/>
                <w:bCs/>
                <w:sz w:val="20"/>
                <w:vertAlign w:val="superscript"/>
              </w:rPr>
              <w:t>a</w:t>
            </w:r>
            <w:proofErr w:type="spellEnd"/>
          </w:p>
        </w:tc>
        <w:tc>
          <w:tcPr>
            <w:tcW w:w="777" w:type="pct"/>
          </w:tcPr>
          <w:p w14:paraId="11120685" w14:textId="008316A4"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56"/>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56"/>
                <w14:textFill>
                  <w14:solidFill>
                    <w14:srgbClr w14:val="000000">
                      <w14:alpha w14:val="100000"/>
                    </w14:srgbClr>
                  </w14:solidFill>
                </w14:textFill>
              </w:rPr>
              <w:t>|</w:t>
            </w:r>
          </w:p>
        </w:tc>
        <w:tc>
          <w:tcPr>
            <w:tcW w:w="777" w:type="pct"/>
          </w:tcPr>
          <w:p w14:paraId="7B90CE24"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1.03</w:t>
            </w:r>
          </w:p>
        </w:tc>
        <w:tc>
          <w:tcPr>
            <w:tcW w:w="777" w:type="pct"/>
            <w:gridSpan w:val="2"/>
          </w:tcPr>
          <w:p w14:paraId="7D413342" w14:textId="29D8D10E"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72"/>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72"/>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p>
        </w:tc>
        <w:tc>
          <w:tcPr>
            <w:tcW w:w="775" w:type="pct"/>
            <w:gridSpan w:val="2"/>
          </w:tcPr>
          <w:p w14:paraId="495878AA"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325%</w:t>
            </w:r>
          </w:p>
        </w:tc>
      </w:tr>
      <w:tr w:rsidR="00BD42E3" w:rsidRPr="00DD72AC" w14:paraId="5E5E807E" w14:textId="77777777" w:rsidTr="008141FE">
        <w:trPr>
          <w:cantSplit/>
          <w:trHeight w:val="70"/>
        </w:trPr>
        <w:tc>
          <w:tcPr>
            <w:tcW w:w="1894" w:type="pct"/>
            <w:gridSpan w:val="2"/>
          </w:tcPr>
          <w:p w14:paraId="1A38FE2F"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Additional 1.93 cm/year relative to BSC</w:t>
            </w:r>
          </w:p>
        </w:tc>
        <w:tc>
          <w:tcPr>
            <w:tcW w:w="777" w:type="pct"/>
          </w:tcPr>
          <w:p w14:paraId="177C11E4" w14:textId="0E53ADC5"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71"/>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71"/>
                <w14:textFill>
                  <w14:solidFill>
                    <w14:srgbClr w14:val="000000">
                      <w14:alpha w14:val="100000"/>
                    </w14:srgbClr>
                  </w14:solidFill>
                </w14:textFill>
              </w:rPr>
              <w:t>|</w:t>
            </w:r>
          </w:p>
        </w:tc>
        <w:tc>
          <w:tcPr>
            <w:tcW w:w="777" w:type="pct"/>
          </w:tcPr>
          <w:p w14:paraId="0DC70FE1"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4.49</w:t>
            </w:r>
          </w:p>
        </w:tc>
        <w:tc>
          <w:tcPr>
            <w:tcW w:w="777" w:type="pct"/>
            <w:gridSpan w:val="2"/>
          </w:tcPr>
          <w:p w14:paraId="28B8D91F" w14:textId="204EDCFD"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70"/>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70"/>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5</w:t>
            </w:r>
          </w:p>
        </w:tc>
        <w:tc>
          <w:tcPr>
            <w:tcW w:w="775" w:type="pct"/>
            <w:gridSpan w:val="2"/>
          </w:tcPr>
          <w:p w14:paraId="566E3E72"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-25%</w:t>
            </w:r>
          </w:p>
        </w:tc>
      </w:tr>
      <w:tr w:rsidR="00BD42E3" w:rsidRPr="00DD72AC" w14:paraId="0850A583" w14:textId="77777777" w:rsidTr="008141FE">
        <w:trPr>
          <w:cantSplit/>
          <w:trHeight w:val="77"/>
        </w:trPr>
        <w:tc>
          <w:tcPr>
            <w:tcW w:w="5000" w:type="pct"/>
            <w:gridSpan w:val="8"/>
          </w:tcPr>
          <w:p w14:paraId="6A743CE2" w14:textId="77777777" w:rsidR="00BD42E3" w:rsidRPr="00DD72AC" w:rsidRDefault="00BD42E3" w:rsidP="00EB6AD4">
            <w:pPr>
              <w:keepNext/>
              <w:jc w:val="left"/>
              <w:rPr>
                <w:rFonts w:ascii="Arial Narrow" w:eastAsia="Calibri" w:hAnsi="Arial Narrow" w:cstheme="majorBidi"/>
                <w:bCs/>
                <w:sz w:val="20"/>
                <w:szCs w:val="20"/>
              </w:rPr>
            </w:pPr>
            <w:r w:rsidRPr="00DD72AC">
              <w:rPr>
                <w:rFonts w:ascii="Arial Narrow" w:eastAsia="Calibri" w:hAnsi="Arial Narrow" w:cstheme="majorBidi"/>
                <w:b/>
                <w:sz w:val="20"/>
                <w:szCs w:val="20"/>
              </w:rPr>
              <w:t>Start age (base case: start age 4 years)</w:t>
            </w:r>
          </w:p>
        </w:tc>
      </w:tr>
      <w:tr w:rsidR="00C21BD7" w:rsidRPr="00DD72AC" w14:paraId="353B9358" w14:textId="77777777" w:rsidTr="003136E6">
        <w:trPr>
          <w:cantSplit/>
          <w:trHeight w:val="70"/>
        </w:trPr>
        <w:tc>
          <w:tcPr>
            <w:tcW w:w="1894" w:type="pct"/>
            <w:gridSpan w:val="2"/>
          </w:tcPr>
          <w:p w14:paraId="0AD9D5F2" w14:textId="79DD567B" w:rsidR="00C21BD7" w:rsidRPr="00DD72AC" w:rsidRDefault="00C21BD7" w:rsidP="00C21BD7">
            <w:pPr>
              <w:keepNext/>
              <w:rPr>
                <w:rFonts w:ascii="Arial Narrow" w:eastAsia="Calibri" w:hAnsi="Arial Narrow" w:cstheme="majorBidi"/>
                <w:bCs/>
                <w:sz w:val="20"/>
                <w:szCs w:val="20"/>
              </w:rPr>
            </w:pPr>
            <w:r w:rsidRPr="00DD72AC">
              <w:rPr>
                <w:rFonts w:ascii="Arial Narrow" w:eastAsia="Calibri" w:hAnsi="Arial Narrow" w:cstheme="majorBidi"/>
                <w:bCs/>
                <w:sz w:val="20"/>
                <w:szCs w:val="20"/>
              </w:rPr>
              <w:t>2 years</w:t>
            </w:r>
          </w:p>
        </w:tc>
        <w:tc>
          <w:tcPr>
            <w:tcW w:w="777" w:type="pct"/>
          </w:tcPr>
          <w:p w14:paraId="61F167F9" w14:textId="25F7253E" w:rsidR="00C21BD7" w:rsidRPr="00DD72AC" w:rsidRDefault="00C21BD7" w:rsidP="00C21BD7">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9"/>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9"/>
                <w14:textFill>
                  <w14:solidFill>
                    <w14:srgbClr w14:val="000000">
                      <w14:alpha w14:val="100000"/>
                    </w14:srgbClr>
                  </w14:solidFill>
                </w14:textFill>
              </w:rPr>
              <w:t>|</w:t>
            </w:r>
          </w:p>
        </w:tc>
        <w:tc>
          <w:tcPr>
            <w:tcW w:w="777" w:type="pct"/>
          </w:tcPr>
          <w:p w14:paraId="052EB69B" w14:textId="62F79DD5" w:rsidR="00C21BD7" w:rsidRPr="00DD72AC" w:rsidRDefault="00C21BD7" w:rsidP="00C21BD7">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3.6794</w:t>
            </w:r>
          </w:p>
        </w:tc>
        <w:tc>
          <w:tcPr>
            <w:tcW w:w="777" w:type="pct"/>
            <w:gridSpan w:val="2"/>
          </w:tcPr>
          <w:p w14:paraId="6C200CC2" w14:textId="1BFB4DFA" w:rsidR="00C21BD7" w:rsidRPr="00DD72AC" w:rsidRDefault="00C21BD7" w:rsidP="00C21BD7">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8"/>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8"/>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1</w:t>
            </w:r>
          </w:p>
        </w:tc>
        <w:tc>
          <w:tcPr>
            <w:tcW w:w="775" w:type="pct"/>
            <w:gridSpan w:val="2"/>
          </w:tcPr>
          <w:p w14:paraId="24964E03" w14:textId="469F23DE" w:rsidR="00C21BD7" w:rsidRPr="00DD72AC" w:rsidRDefault="00C21BD7" w:rsidP="00C21BD7">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0.4%</w:t>
            </w:r>
          </w:p>
        </w:tc>
      </w:tr>
      <w:tr w:rsidR="00BD42E3" w:rsidRPr="00DD72AC" w14:paraId="67FAC499" w14:textId="77777777" w:rsidTr="008141FE">
        <w:trPr>
          <w:cantSplit/>
          <w:trHeight w:val="70"/>
        </w:trPr>
        <w:tc>
          <w:tcPr>
            <w:tcW w:w="1894" w:type="pct"/>
            <w:gridSpan w:val="2"/>
          </w:tcPr>
          <w:p w14:paraId="4E36BC77" w14:textId="77777777" w:rsidR="00BD42E3" w:rsidRPr="00DD72AC" w:rsidRDefault="00BD42E3" w:rsidP="00EB6AD4">
            <w:pPr>
              <w:keepNext/>
              <w:rPr>
                <w:rFonts w:ascii="Arial Narrow" w:eastAsia="Calibri" w:hAnsi="Arial Narrow" w:cstheme="majorBidi"/>
                <w:bCs/>
                <w:sz w:val="20"/>
                <w:szCs w:val="20"/>
              </w:rPr>
            </w:pPr>
            <w:r w:rsidRPr="00DD72AC">
              <w:rPr>
                <w:rFonts w:ascii="Arial Narrow" w:eastAsia="Calibri" w:hAnsi="Arial Narrow" w:cstheme="majorBidi"/>
                <w:bCs/>
                <w:sz w:val="20"/>
                <w:szCs w:val="20"/>
              </w:rPr>
              <w:t>5 years</w:t>
            </w:r>
          </w:p>
        </w:tc>
        <w:tc>
          <w:tcPr>
            <w:tcW w:w="777" w:type="pct"/>
          </w:tcPr>
          <w:p w14:paraId="24E91034" w14:textId="52F72685"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7"/>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7"/>
                <w14:textFill>
                  <w14:solidFill>
                    <w14:srgbClr w14:val="000000">
                      <w14:alpha w14:val="100000"/>
                    </w14:srgbClr>
                  </w14:solidFill>
                </w14:textFill>
              </w:rPr>
              <w:t>|</w:t>
            </w:r>
          </w:p>
        </w:tc>
        <w:tc>
          <w:tcPr>
            <w:tcW w:w="777" w:type="pct"/>
          </w:tcPr>
          <w:p w14:paraId="1C1F4EBE"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2.8511</w:t>
            </w:r>
          </w:p>
        </w:tc>
        <w:tc>
          <w:tcPr>
            <w:tcW w:w="777" w:type="pct"/>
            <w:gridSpan w:val="2"/>
          </w:tcPr>
          <w:p w14:paraId="781C9D2C" w14:textId="41D80D53"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6"/>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6"/>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1</w:t>
            </w:r>
          </w:p>
        </w:tc>
        <w:tc>
          <w:tcPr>
            <w:tcW w:w="775" w:type="pct"/>
            <w:gridSpan w:val="2"/>
            <w:vAlign w:val="bottom"/>
          </w:tcPr>
          <w:p w14:paraId="7CC68C21"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3.8%</w:t>
            </w:r>
          </w:p>
        </w:tc>
      </w:tr>
      <w:tr w:rsidR="00BD42E3" w:rsidRPr="00DD72AC" w14:paraId="04542A2C" w14:textId="77777777" w:rsidTr="008141FE">
        <w:trPr>
          <w:cantSplit/>
          <w:trHeight w:val="70"/>
        </w:trPr>
        <w:tc>
          <w:tcPr>
            <w:tcW w:w="1894" w:type="pct"/>
            <w:gridSpan w:val="2"/>
          </w:tcPr>
          <w:p w14:paraId="1A55101B" w14:textId="77777777" w:rsidR="00BD42E3" w:rsidRPr="00DD72AC" w:rsidRDefault="00BD42E3" w:rsidP="00EB6AD4">
            <w:pPr>
              <w:keepNext/>
              <w:rPr>
                <w:rFonts w:ascii="Arial Narrow" w:eastAsia="Calibri" w:hAnsi="Arial Narrow" w:cstheme="majorBidi"/>
                <w:bCs/>
                <w:sz w:val="20"/>
                <w:szCs w:val="20"/>
              </w:rPr>
            </w:pPr>
            <w:r w:rsidRPr="00DD72AC">
              <w:rPr>
                <w:rFonts w:ascii="Arial Narrow" w:eastAsia="Calibri" w:hAnsi="Arial Narrow" w:cstheme="majorBidi"/>
                <w:bCs/>
                <w:sz w:val="20"/>
                <w:szCs w:val="20"/>
              </w:rPr>
              <w:t>8 years</w:t>
            </w:r>
          </w:p>
        </w:tc>
        <w:tc>
          <w:tcPr>
            <w:tcW w:w="777" w:type="pct"/>
          </w:tcPr>
          <w:p w14:paraId="4C578C36" w14:textId="1A1E087E"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5"/>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5"/>
                <w14:textFill>
                  <w14:solidFill>
                    <w14:srgbClr w14:val="000000">
                      <w14:alpha w14:val="100000"/>
                    </w14:srgbClr>
                  </w14:solidFill>
                </w14:textFill>
              </w:rPr>
              <w:t>|</w:t>
            </w:r>
          </w:p>
        </w:tc>
        <w:tc>
          <w:tcPr>
            <w:tcW w:w="777" w:type="pct"/>
          </w:tcPr>
          <w:p w14:paraId="55AADA7E"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2.2261</w:t>
            </w:r>
          </w:p>
        </w:tc>
        <w:tc>
          <w:tcPr>
            <w:tcW w:w="777" w:type="pct"/>
            <w:gridSpan w:val="2"/>
          </w:tcPr>
          <w:p w14:paraId="168CFCAD" w14:textId="4590F9E1"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4"/>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4"/>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1</w:t>
            </w:r>
          </w:p>
        </w:tc>
        <w:tc>
          <w:tcPr>
            <w:tcW w:w="775" w:type="pct"/>
            <w:gridSpan w:val="2"/>
            <w:vAlign w:val="bottom"/>
          </w:tcPr>
          <w:p w14:paraId="39C637B7"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3.5%</w:t>
            </w:r>
          </w:p>
        </w:tc>
      </w:tr>
      <w:tr w:rsidR="00BD42E3" w:rsidRPr="00DD72AC" w14:paraId="2B65900B" w14:textId="77777777" w:rsidTr="008141FE">
        <w:trPr>
          <w:cantSplit/>
          <w:trHeight w:val="105"/>
        </w:trPr>
        <w:tc>
          <w:tcPr>
            <w:tcW w:w="5000" w:type="pct"/>
            <w:gridSpan w:val="8"/>
          </w:tcPr>
          <w:p w14:paraId="2BE2806D" w14:textId="77777777" w:rsidR="00BD42E3" w:rsidRPr="00DD72AC" w:rsidRDefault="00BD42E3" w:rsidP="00977CAD">
            <w:pPr>
              <w:keepNext/>
              <w:jc w:val="left"/>
              <w:rPr>
                <w:rFonts w:ascii="Arial Narrow" w:eastAsia="Calibri" w:hAnsi="Arial Narrow" w:cstheme="majorBidi"/>
                <w:b/>
                <w:sz w:val="20"/>
                <w:szCs w:val="20"/>
              </w:rPr>
            </w:pPr>
            <w:r w:rsidRPr="00DD72AC">
              <w:rPr>
                <w:rFonts w:ascii="Arial Narrow" w:eastAsia="Calibri" w:hAnsi="Arial Narrow" w:cstheme="majorBidi"/>
                <w:b/>
                <w:sz w:val="20"/>
                <w:szCs w:val="20"/>
              </w:rPr>
              <w:t>Multivariate sensitivity analyses</w:t>
            </w:r>
          </w:p>
        </w:tc>
      </w:tr>
      <w:tr w:rsidR="00BD42E3" w:rsidRPr="00DD72AC" w14:paraId="1281ABA0" w14:textId="77777777" w:rsidTr="008141FE">
        <w:trPr>
          <w:cantSplit/>
          <w:trHeight w:val="165"/>
        </w:trPr>
        <w:tc>
          <w:tcPr>
            <w:tcW w:w="5000" w:type="pct"/>
            <w:gridSpan w:val="8"/>
          </w:tcPr>
          <w:p w14:paraId="7253C38B" w14:textId="77777777" w:rsidR="00BD42E3" w:rsidRPr="00DD72AC" w:rsidRDefault="00BD42E3" w:rsidP="00EB6AD4">
            <w:pPr>
              <w:keepNext/>
              <w:tabs>
                <w:tab w:val="left" w:pos="1104"/>
              </w:tabs>
              <w:jc w:val="left"/>
              <w:rPr>
                <w:rFonts w:ascii="Arial Narrow" w:eastAsia="Calibri" w:hAnsi="Arial Narrow" w:cstheme="majorBidi"/>
                <w:b/>
                <w:sz w:val="20"/>
                <w:szCs w:val="20"/>
              </w:rPr>
            </w:pPr>
            <w:r w:rsidRPr="00DD72AC">
              <w:rPr>
                <w:rFonts w:ascii="Arial Narrow" w:eastAsia="Calibri" w:hAnsi="Arial Narrow" w:cstheme="majorBidi"/>
                <w:b/>
                <w:sz w:val="20"/>
                <w:szCs w:val="20"/>
              </w:rPr>
              <w:t>Treatment effect: mortality and complications (Base case: based on relative Z-scores)</w:t>
            </w:r>
          </w:p>
        </w:tc>
      </w:tr>
      <w:tr w:rsidR="00BD42E3" w:rsidRPr="00DD72AC" w14:paraId="43B50263" w14:textId="77777777" w:rsidTr="008141FE">
        <w:trPr>
          <w:cantSplit/>
          <w:trHeight w:val="70"/>
        </w:trPr>
        <w:tc>
          <w:tcPr>
            <w:tcW w:w="1868" w:type="pct"/>
          </w:tcPr>
          <w:p w14:paraId="13A1E3FB" w14:textId="3DAE5AC0" w:rsidR="00BD42E3" w:rsidRPr="00DD72AC" w:rsidRDefault="00BD42E3" w:rsidP="00EB6AD4">
            <w:pPr>
              <w:keepNext/>
              <w:jc w:val="center"/>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None (both mortality and complications)</w:t>
            </w:r>
            <w:r w:rsidR="00C65E72" w:rsidRPr="00DD72AC">
              <w:rPr>
                <w:rFonts w:ascii="Arial Narrow" w:eastAsiaTheme="majorEastAsia" w:hAnsi="Arial Narrow" w:cstheme="majorBidi"/>
                <w:bCs/>
                <w:sz w:val="20"/>
                <w:vertAlign w:val="superscript"/>
              </w:rPr>
              <w:t>a</w:t>
            </w:r>
          </w:p>
        </w:tc>
        <w:tc>
          <w:tcPr>
            <w:tcW w:w="803" w:type="pct"/>
            <w:gridSpan w:val="2"/>
            <w:vAlign w:val="center"/>
          </w:tcPr>
          <w:p w14:paraId="44B3D944" w14:textId="7D02750B" w:rsidR="00BD42E3" w:rsidRPr="00DD72AC" w:rsidRDefault="00BD42E3" w:rsidP="00EB6AD4">
            <w:pPr>
              <w:keepNext/>
              <w:jc w:val="center"/>
              <w:rPr>
                <w:rFonts w:ascii="Arial Narrow" w:eastAsia="Calibri" w:hAnsi="Arial Narrow" w:cstheme="majorBidi"/>
                <w:b/>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164"/>
                <w:sz w:val="20"/>
                <w:szCs w:val="20"/>
                <w:shd w:val="solid" w:color="000000" w:fill="000000"/>
                <w:fitText w:val="250" w:id="-1435791863"/>
                <w14:textFill>
                  <w14:solidFill>
                    <w14:srgbClr w14:val="000000">
                      <w14:alpha w14:val="100000"/>
                    </w14:srgbClr>
                  </w14:solidFill>
                </w14:textFill>
              </w:rPr>
              <w:t>|</w:t>
            </w:r>
            <w:r w:rsidR="00C97261" w:rsidRPr="00C97261">
              <w:rPr>
                <w:rFonts w:ascii="Arial Narrow" w:hAnsi="Arial Narrow" w:cs="Calibri"/>
                <w:color w:val="000000"/>
                <w:spacing w:val="1"/>
                <w:sz w:val="20"/>
                <w:szCs w:val="20"/>
                <w:shd w:val="solid" w:color="000000" w:fill="000000"/>
                <w:fitText w:val="250" w:id="-1435791863"/>
                <w14:textFill>
                  <w14:solidFill>
                    <w14:srgbClr w14:val="000000">
                      <w14:alpha w14:val="100000"/>
                    </w14:srgbClr>
                  </w14:solidFill>
                </w14:textFill>
              </w:rPr>
              <w:t>|</w:t>
            </w:r>
          </w:p>
        </w:tc>
        <w:tc>
          <w:tcPr>
            <w:tcW w:w="785" w:type="pct"/>
            <w:gridSpan w:val="2"/>
            <w:vAlign w:val="center"/>
          </w:tcPr>
          <w:p w14:paraId="42A2F1AD" w14:textId="77777777" w:rsidR="00BD42E3" w:rsidRPr="00DD72AC" w:rsidRDefault="00BD42E3" w:rsidP="00EB6AD4">
            <w:pPr>
              <w:keepNext/>
              <w:jc w:val="center"/>
              <w:rPr>
                <w:rFonts w:ascii="Arial Narrow" w:eastAsia="Calibri" w:hAnsi="Arial Narrow" w:cstheme="majorBidi"/>
                <w:b/>
                <w:sz w:val="20"/>
                <w:szCs w:val="20"/>
              </w:rPr>
            </w:pPr>
            <w:r w:rsidRPr="00DD72AC">
              <w:rPr>
                <w:rFonts w:ascii="Arial Narrow" w:hAnsi="Arial Narrow" w:cs="Calibri"/>
                <w:color w:val="000000"/>
                <w:sz w:val="20"/>
                <w:szCs w:val="20"/>
              </w:rPr>
              <w:t>3.25</w:t>
            </w:r>
          </w:p>
        </w:tc>
        <w:tc>
          <w:tcPr>
            <w:tcW w:w="786" w:type="pct"/>
            <w:gridSpan w:val="2"/>
            <w:vAlign w:val="center"/>
          </w:tcPr>
          <w:p w14:paraId="001E49E0" w14:textId="40D2E248" w:rsidR="00BD42E3" w:rsidRPr="00DD72AC" w:rsidRDefault="00BD42E3" w:rsidP="00EB6AD4">
            <w:pPr>
              <w:keepNext/>
              <w:jc w:val="center"/>
              <w:rPr>
                <w:rFonts w:ascii="Arial Narrow" w:eastAsia="Calibri" w:hAnsi="Arial Narrow" w:cstheme="majorBidi"/>
                <w:b/>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46"/>
                <w:sz w:val="20"/>
                <w:szCs w:val="20"/>
                <w:shd w:val="solid" w:color="000000" w:fill="000000"/>
                <w:fitText w:val="310" w:id="-1435791862"/>
                <w14:textFill>
                  <w14:solidFill>
                    <w14:srgbClr w14:val="000000">
                      <w14:alpha w14:val="100000"/>
                    </w14:srgbClr>
                  </w14:solidFill>
                </w14:textFill>
              </w:rPr>
              <w:t>|||</w:t>
            </w:r>
            <w:r w:rsidR="00C97261" w:rsidRPr="00C97261">
              <w:rPr>
                <w:rFonts w:ascii="Arial Narrow" w:hAnsi="Arial Narrow" w:cs="Calibri"/>
                <w:color w:val="000000"/>
                <w:spacing w:val="2"/>
                <w:sz w:val="20"/>
                <w:szCs w:val="20"/>
                <w:shd w:val="solid" w:color="000000" w:fill="000000"/>
                <w:fitText w:val="310" w:id="-1435791862"/>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1</w:t>
            </w:r>
          </w:p>
        </w:tc>
        <w:tc>
          <w:tcPr>
            <w:tcW w:w="758" w:type="pct"/>
          </w:tcPr>
          <w:p w14:paraId="2504C98E"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3%</w:t>
            </w:r>
          </w:p>
        </w:tc>
      </w:tr>
      <w:tr w:rsidR="00BD42E3" w:rsidRPr="00DD72AC" w14:paraId="6BA08B21" w14:textId="77777777" w:rsidTr="0013639B">
        <w:trPr>
          <w:cantSplit/>
          <w:trHeight w:val="283"/>
        </w:trPr>
        <w:tc>
          <w:tcPr>
            <w:tcW w:w="5000" w:type="pct"/>
            <w:gridSpan w:val="8"/>
          </w:tcPr>
          <w:p w14:paraId="6081B8EF" w14:textId="6297A7F5" w:rsidR="00BD42E3" w:rsidRPr="00DD72AC" w:rsidRDefault="00BD42E3" w:rsidP="00977CAD">
            <w:pPr>
              <w:keepNext/>
              <w:jc w:val="left"/>
              <w:rPr>
                <w:rFonts w:ascii="Arial Narrow" w:eastAsia="Calibri" w:hAnsi="Arial Narrow" w:cstheme="majorBidi"/>
                <w:b/>
                <w:sz w:val="20"/>
                <w:szCs w:val="20"/>
              </w:rPr>
            </w:pPr>
            <w:r w:rsidRPr="00DD72AC">
              <w:rPr>
                <w:rFonts w:ascii="Arial Narrow" w:eastAsia="Calibri" w:hAnsi="Arial Narrow" w:cstheme="majorBidi"/>
                <w:b/>
                <w:sz w:val="20"/>
                <w:szCs w:val="20"/>
              </w:rPr>
              <w:t xml:space="preserve">Start age + treatment effect on mortality and complications + time horizon </w:t>
            </w:r>
            <w:r w:rsidR="00EA079A" w:rsidRPr="00DD72AC">
              <w:rPr>
                <w:rFonts w:ascii="Arial Narrow" w:eastAsia="Calibri" w:hAnsi="Arial Narrow" w:cstheme="majorBidi"/>
                <w:b/>
                <w:sz w:val="20"/>
                <w:szCs w:val="20"/>
              </w:rPr>
              <w:br/>
            </w:r>
            <w:r w:rsidRPr="00DD72AC">
              <w:rPr>
                <w:rFonts w:ascii="Arial Narrow" w:eastAsia="Calibri" w:hAnsi="Arial Narrow" w:cstheme="majorBidi"/>
                <w:b/>
                <w:sz w:val="20"/>
                <w:szCs w:val="20"/>
              </w:rPr>
              <w:t>(</w:t>
            </w:r>
            <w:r w:rsidR="00EA079A" w:rsidRPr="00DD72AC">
              <w:rPr>
                <w:rFonts w:ascii="Arial Narrow" w:eastAsia="Calibri" w:hAnsi="Arial Narrow" w:cstheme="majorBidi"/>
                <w:b/>
                <w:sz w:val="20"/>
                <w:szCs w:val="20"/>
              </w:rPr>
              <w:t>B</w:t>
            </w:r>
            <w:r w:rsidRPr="00DD72AC">
              <w:rPr>
                <w:rFonts w:ascii="Arial Narrow" w:eastAsia="Calibri" w:hAnsi="Arial Narrow" w:cstheme="majorBidi"/>
                <w:b/>
                <w:sz w:val="20"/>
                <w:szCs w:val="20"/>
              </w:rPr>
              <w:t>ase case: start age 4 years + treatment effect (mortality and complications based on relative Z-score) + lifetime time horizon)</w:t>
            </w:r>
          </w:p>
        </w:tc>
      </w:tr>
      <w:tr w:rsidR="00BD42E3" w:rsidRPr="00DD72AC" w14:paraId="1E055C76" w14:textId="77777777" w:rsidTr="00101F9C">
        <w:trPr>
          <w:cantSplit/>
          <w:trHeight w:val="283"/>
        </w:trPr>
        <w:tc>
          <w:tcPr>
            <w:tcW w:w="1894" w:type="pct"/>
            <w:gridSpan w:val="2"/>
          </w:tcPr>
          <w:p w14:paraId="090656D2" w14:textId="4B2457CD" w:rsidR="00BD42E3" w:rsidRPr="00DD72AC" w:rsidRDefault="00BD42E3" w:rsidP="00EB6AD4">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 xml:space="preserve">2 years start age + no treatment effect on mortality or complications + 5-year time </w:t>
            </w:r>
            <w:proofErr w:type="spellStart"/>
            <w:r w:rsidRPr="00DD72AC">
              <w:rPr>
                <w:rFonts w:ascii="Arial Narrow" w:eastAsiaTheme="majorEastAsia" w:hAnsi="Arial Narrow" w:cstheme="majorBidi"/>
                <w:bCs/>
                <w:sz w:val="20"/>
              </w:rPr>
              <w:t>horizon</w:t>
            </w:r>
            <w:r w:rsidR="00C65E72" w:rsidRPr="00DD72AC">
              <w:rPr>
                <w:rFonts w:ascii="Arial Narrow" w:eastAsiaTheme="majorEastAsia" w:hAnsi="Arial Narrow" w:cstheme="majorBidi"/>
                <w:bCs/>
                <w:sz w:val="20"/>
                <w:vertAlign w:val="superscript"/>
              </w:rPr>
              <w:t>a</w:t>
            </w:r>
            <w:proofErr w:type="spellEnd"/>
          </w:p>
        </w:tc>
        <w:tc>
          <w:tcPr>
            <w:tcW w:w="777" w:type="pct"/>
            <w:vAlign w:val="center"/>
          </w:tcPr>
          <w:p w14:paraId="533D6412" w14:textId="5C8259E0"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204"/>
                <w:sz w:val="20"/>
                <w:szCs w:val="20"/>
                <w:shd w:val="solid" w:color="000000" w:fill="000000"/>
                <w:fitText w:val="290" w:id="-1435791861"/>
                <w14:textFill>
                  <w14:solidFill>
                    <w14:srgbClr w14:val="000000">
                      <w14:alpha w14:val="100000"/>
                    </w14:srgbClr>
                  </w14:solidFill>
                </w14:textFill>
              </w:rPr>
              <w:t>|</w:t>
            </w:r>
            <w:r w:rsidR="00C97261" w:rsidRPr="00C97261">
              <w:rPr>
                <w:rFonts w:ascii="Arial Narrow" w:hAnsi="Arial Narrow" w:cs="Calibri"/>
                <w:color w:val="000000"/>
                <w:spacing w:val="1"/>
                <w:sz w:val="20"/>
                <w:szCs w:val="20"/>
                <w:shd w:val="solid" w:color="000000" w:fill="000000"/>
                <w:fitText w:val="290" w:id="-1435791861"/>
                <w14:textFill>
                  <w14:solidFill>
                    <w14:srgbClr w14:val="000000">
                      <w14:alpha w14:val="100000"/>
                    </w14:srgbClr>
                  </w14:solidFill>
                </w14:textFill>
              </w:rPr>
              <w:t>|</w:t>
            </w:r>
            <w:r w:rsidRPr="00DD72AC">
              <w:rPr>
                <w:rFonts w:ascii="Arial Narrow" w:hAnsi="Arial Narrow" w:cs="Calibri"/>
                <w:color w:val="000000"/>
                <w:sz w:val="20"/>
                <w:szCs w:val="20"/>
              </w:rPr>
              <w:t xml:space="preserve"> </w:t>
            </w:r>
          </w:p>
        </w:tc>
        <w:tc>
          <w:tcPr>
            <w:tcW w:w="777" w:type="pct"/>
            <w:vAlign w:val="center"/>
          </w:tcPr>
          <w:p w14:paraId="7534DFB3" w14:textId="43D4E0AB"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0.27</w:t>
            </w:r>
          </w:p>
        </w:tc>
        <w:tc>
          <w:tcPr>
            <w:tcW w:w="777" w:type="pct"/>
            <w:gridSpan w:val="2"/>
            <w:vAlign w:val="center"/>
          </w:tcPr>
          <w:p w14:paraId="0876DC14" w14:textId="0BDD1C42"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49"/>
                <w:sz w:val="20"/>
                <w:szCs w:val="20"/>
                <w:shd w:val="solid" w:color="000000" w:fill="000000"/>
                <w:fitText w:val="320" w:id="-1435791860"/>
                <w14:textFill>
                  <w14:solidFill>
                    <w14:srgbClr w14:val="000000">
                      <w14:alpha w14:val="100000"/>
                    </w14:srgbClr>
                  </w14:solidFill>
                </w14:textFill>
              </w:rPr>
              <w:t>|||</w:t>
            </w:r>
            <w:r w:rsidR="00C97261" w:rsidRPr="00C97261">
              <w:rPr>
                <w:rFonts w:ascii="Arial Narrow" w:hAnsi="Arial Narrow" w:cs="Calibri"/>
                <w:color w:val="000000"/>
                <w:spacing w:val="3"/>
                <w:sz w:val="20"/>
                <w:szCs w:val="20"/>
                <w:shd w:val="solid" w:color="000000" w:fill="000000"/>
                <w:fitText w:val="320" w:id="-1435791860"/>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r w:rsidRPr="00DD72AC">
              <w:rPr>
                <w:rFonts w:ascii="Arial Narrow" w:hAnsi="Arial Narrow" w:cs="Calibri"/>
                <w:color w:val="000000"/>
                <w:sz w:val="20"/>
                <w:szCs w:val="20"/>
              </w:rPr>
              <w:t xml:space="preserve"> </w:t>
            </w:r>
          </w:p>
        </w:tc>
        <w:tc>
          <w:tcPr>
            <w:tcW w:w="775" w:type="pct"/>
            <w:gridSpan w:val="2"/>
          </w:tcPr>
          <w:p w14:paraId="52E59D18" w14:textId="14EA345F" w:rsidR="00BD42E3" w:rsidRPr="00DD72AC" w:rsidRDefault="00BD42E3" w:rsidP="00EB6AD4">
            <w:pPr>
              <w:keepNext/>
              <w:jc w:val="center"/>
              <w:rPr>
                <w:rFonts w:ascii="Arial Narrow" w:eastAsia="Calibri" w:hAnsi="Arial Narrow" w:cstheme="majorBidi"/>
                <w:bCs/>
                <w:sz w:val="20"/>
                <w:szCs w:val="20"/>
              </w:rPr>
            </w:pPr>
          </w:p>
          <w:p w14:paraId="4DC8738A" w14:textId="77777777" w:rsidR="00BD42E3" w:rsidRPr="00DD72AC" w:rsidRDefault="00BD42E3" w:rsidP="00EB6AD4">
            <w:pPr>
              <w:jc w:val="center"/>
              <w:rPr>
                <w:rFonts w:ascii="Arial Narrow" w:eastAsia="Calibri" w:hAnsi="Arial Narrow" w:cstheme="majorBidi"/>
                <w:sz w:val="20"/>
                <w:szCs w:val="20"/>
              </w:rPr>
            </w:pPr>
            <w:r w:rsidRPr="00DD72AC">
              <w:rPr>
                <w:rFonts w:ascii="Arial Narrow" w:eastAsia="Calibri" w:hAnsi="Arial Narrow" w:cstheme="majorBidi"/>
                <w:sz w:val="20"/>
                <w:szCs w:val="20"/>
              </w:rPr>
              <w:t>568%</w:t>
            </w:r>
          </w:p>
        </w:tc>
      </w:tr>
      <w:tr w:rsidR="00BD42E3" w:rsidRPr="00DD72AC" w14:paraId="184414FE" w14:textId="77777777" w:rsidTr="00101F9C">
        <w:trPr>
          <w:cantSplit/>
          <w:trHeight w:val="283"/>
        </w:trPr>
        <w:tc>
          <w:tcPr>
            <w:tcW w:w="1894" w:type="pct"/>
            <w:gridSpan w:val="2"/>
          </w:tcPr>
          <w:p w14:paraId="4EB8E0DA" w14:textId="59DC4546" w:rsidR="00BD42E3" w:rsidRPr="00DD72AC" w:rsidRDefault="00BD42E3" w:rsidP="00EB6AD4">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 xml:space="preserve">5 years start age + no treatment effect on mortality or complications + 5-year time </w:t>
            </w:r>
            <w:proofErr w:type="spellStart"/>
            <w:r w:rsidRPr="00DD72AC">
              <w:rPr>
                <w:rFonts w:ascii="Arial Narrow" w:eastAsiaTheme="majorEastAsia" w:hAnsi="Arial Narrow" w:cstheme="majorBidi"/>
                <w:bCs/>
                <w:sz w:val="20"/>
              </w:rPr>
              <w:t>horizon</w:t>
            </w:r>
            <w:r w:rsidR="00C65E72" w:rsidRPr="00DD72AC">
              <w:rPr>
                <w:rFonts w:ascii="Arial Narrow" w:eastAsiaTheme="majorEastAsia" w:hAnsi="Arial Narrow" w:cstheme="majorBidi"/>
                <w:bCs/>
                <w:sz w:val="20"/>
                <w:vertAlign w:val="superscript"/>
              </w:rPr>
              <w:t>a</w:t>
            </w:r>
            <w:proofErr w:type="spellEnd"/>
          </w:p>
        </w:tc>
        <w:tc>
          <w:tcPr>
            <w:tcW w:w="777" w:type="pct"/>
            <w:vAlign w:val="center"/>
          </w:tcPr>
          <w:p w14:paraId="2596D7B3" w14:textId="725074A2"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204"/>
                <w:sz w:val="20"/>
                <w:szCs w:val="20"/>
                <w:shd w:val="solid" w:color="000000" w:fill="000000"/>
                <w:fitText w:val="290" w:id="-1435791859"/>
                <w14:textFill>
                  <w14:solidFill>
                    <w14:srgbClr w14:val="000000">
                      <w14:alpha w14:val="100000"/>
                    </w14:srgbClr>
                  </w14:solidFill>
                </w14:textFill>
              </w:rPr>
              <w:t>|</w:t>
            </w:r>
            <w:r w:rsidR="00C97261" w:rsidRPr="00C97261">
              <w:rPr>
                <w:rFonts w:ascii="Arial Narrow" w:hAnsi="Arial Narrow" w:cs="Calibri"/>
                <w:color w:val="000000"/>
                <w:spacing w:val="1"/>
                <w:sz w:val="20"/>
                <w:szCs w:val="20"/>
                <w:shd w:val="solid" w:color="000000" w:fill="000000"/>
                <w:fitText w:val="290" w:id="-1435791859"/>
                <w14:textFill>
                  <w14:solidFill>
                    <w14:srgbClr w14:val="000000">
                      <w14:alpha w14:val="100000"/>
                    </w14:srgbClr>
                  </w14:solidFill>
                </w14:textFill>
              </w:rPr>
              <w:t>|</w:t>
            </w:r>
            <w:r w:rsidRPr="00DD72AC">
              <w:rPr>
                <w:rFonts w:ascii="Arial Narrow" w:hAnsi="Arial Narrow" w:cs="Calibri"/>
                <w:color w:val="000000"/>
                <w:sz w:val="20"/>
                <w:szCs w:val="20"/>
              </w:rPr>
              <w:t xml:space="preserve"> </w:t>
            </w:r>
          </w:p>
        </w:tc>
        <w:tc>
          <w:tcPr>
            <w:tcW w:w="777" w:type="pct"/>
            <w:vAlign w:val="center"/>
          </w:tcPr>
          <w:p w14:paraId="26DDB2F7" w14:textId="5E2CEF3F"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0.2</w:t>
            </w:r>
          </w:p>
        </w:tc>
        <w:tc>
          <w:tcPr>
            <w:tcW w:w="777" w:type="pct"/>
            <w:gridSpan w:val="2"/>
            <w:vAlign w:val="center"/>
          </w:tcPr>
          <w:p w14:paraId="22276568" w14:textId="4AA77CB8"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49"/>
                <w:sz w:val="20"/>
                <w:szCs w:val="20"/>
                <w:shd w:val="solid" w:color="000000" w:fill="000000"/>
                <w:fitText w:val="320" w:id="-1435791858"/>
                <w14:textFill>
                  <w14:solidFill>
                    <w14:srgbClr w14:val="000000">
                      <w14:alpha w14:val="100000"/>
                    </w14:srgbClr>
                  </w14:solidFill>
                </w14:textFill>
              </w:rPr>
              <w:t>|||</w:t>
            </w:r>
            <w:r w:rsidR="00C97261" w:rsidRPr="00C97261">
              <w:rPr>
                <w:rFonts w:ascii="Arial Narrow" w:hAnsi="Arial Narrow" w:cs="Calibri"/>
                <w:color w:val="000000"/>
                <w:spacing w:val="3"/>
                <w:sz w:val="20"/>
                <w:szCs w:val="20"/>
                <w:shd w:val="solid" w:color="000000" w:fill="000000"/>
                <w:fitText w:val="320" w:id="-1435791858"/>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r w:rsidRPr="00DD72AC">
              <w:rPr>
                <w:rFonts w:ascii="Arial Narrow" w:hAnsi="Arial Narrow" w:cs="Calibri"/>
                <w:color w:val="000000"/>
                <w:sz w:val="20"/>
                <w:szCs w:val="20"/>
              </w:rPr>
              <w:t xml:space="preserve"> </w:t>
            </w:r>
          </w:p>
        </w:tc>
        <w:tc>
          <w:tcPr>
            <w:tcW w:w="775" w:type="pct"/>
            <w:gridSpan w:val="2"/>
          </w:tcPr>
          <w:p w14:paraId="5C69F8AF" w14:textId="30CCF0AC" w:rsidR="00BD42E3" w:rsidRPr="00DD72AC" w:rsidRDefault="00BD42E3" w:rsidP="00EB6AD4">
            <w:pPr>
              <w:keepNext/>
              <w:jc w:val="center"/>
              <w:rPr>
                <w:rFonts w:ascii="Arial Narrow" w:eastAsia="Calibri" w:hAnsi="Arial Narrow" w:cstheme="majorBidi"/>
                <w:bCs/>
                <w:sz w:val="20"/>
                <w:szCs w:val="20"/>
              </w:rPr>
            </w:pPr>
          </w:p>
          <w:p w14:paraId="68762A5D"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793%</w:t>
            </w:r>
          </w:p>
        </w:tc>
      </w:tr>
      <w:tr w:rsidR="00BD42E3" w:rsidRPr="00DD72AC" w14:paraId="6DC2F0EB" w14:textId="77777777" w:rsidTr="00101F9C">
        <w:trPr>
          <w:cantSplit/>
          <w:trHeight w:val="283"/>
        </w:trPr>
        <w:tc>
          <w:tcPr>
            <w:tcW w:w="1894" w:type="pct"/>
            <w:gridSpan w:val="2"/>
          </w:tcPr>
          <w:p w14:paraId="06E61AA3" w14:textId="60F0FBCE" w:rsidR="00BD42E3" w:rsidRPr="00DD72AC" w:rsidRDefault="00BD42E3" w:rsidP="00EB6AD4">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 xml:space="preserve">8 years start age + no treatment effect on mortality or complications + 5-year time </w:t>
            </w:r>
            <w:proofErr w:type="spellStart"/>
            <w:r w:rsidRPr="00DD72AC">
              <w:rPr>
                <w:rFonts w:ascii="Arial Narrow" w:eastAsiaTheme="majorEastAsia" w:hAnsi="Arial Narrow" w:cstheme="majorBidi"/>
                <w:bCs/>
                <w:sz w:val="20"/>
              </w:rPr>
              <w:t>horizon</w:t>
            </w:r>
            <w:r w:rsidR="00C65E72" w:rsidRPr="00DD72AC">
              <w:rPr>
                <w:rFonts w:ascii="Arial Narrow" w:eastAsiaTheme="majorEastAsia" w:hAnsi="Arial Narrow" w:cstheme="majorBidi"/>
                <w:bCs/>
                <w:sz w:val="20"/>
                <w:vertAlign w:val="superscript"/>
              </w:rPr>
              <w:t>a</w:t>
            </w:r>
            <w:proofErr w:type="spellEnd"/>
          </w:p>
        </w:tc>
        <w:tc>
          <w:tcPr>
            <w:tcW w:w="777" w:type="pct"/>
            <w:vAlign w:val="center"/>
          </w:tcPr>
          <w:p w14:paraId="449881D5" w14:textId="41E1FED1"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204"/>
                <w:sz w:val="20"/>
                <w:szCs w:val="20"/>
                <w:shd w:val="solid" w:color="000000" w:fill="000000"/>
                <w:fitText w:val="290" w:id="-1435791857"/>
                <w14:textFill>
                  <w14:solidFill>
                    <w14:srgbClr w14:val="000000">
                      <w14:alpha w14:val="100000"/>
                    </w14:srgbClr>
                  </w14:solidFill>
                </w14:textFill>
              </w:rPr>
              <w:t>|</w:t>
            </w:r>
            <w:r w:rsidR="00C97261" w:rsidRPr="00C97261">
              <w:rPr>
                <w:rFonts w:ascii="Arial Narrow" w:hAnsi="Arial Narrow" w:cs="Calibri"/>
                <w:color w:val="000000"/>
                <w:spacing w:val="1"/>
                <w:sz w:val="20"/>
                <w:szCs w:val="20"/>
                <w:shd w:val="solid" w:color="000000" w:fill="000000"/>
                <w:fitText w:val="290" w:id="-1435791857"/>
                <w14:textFill>
                  <w14:solidFill>
                    <w14:srgbClr w14:val="000000">
                      <w14:alpha w14:val="100000"/>
                    </w14:srgbClr>
                  </w14:solidFill>
                </w14:textFill>
              </w:rPr>
              <w:t>|</w:t>
            </w:r>
            <w:r w:rsidRPr="00DD72AC">
              <w:rPr>
                <w:rFonts w:ascii="Arial Narrow" w:hAnsi="Arial Narrow" w:cs="Calibri"/>
                <w:color w:val="000000"/>
                <w:sz w:val="20"/>
                <w:szCs w:val="20"/>
              </w:rPr>
              <w:t xml:space="preserve"> </w:t>
            </w:r>
          </w:p>
        </w:tc>
        <w:tc>
          <w:tcPr>
            <w:tcW w:w="777" w:type="pct"/>
            <w:vAlign w:val="center"/>
          </w:tcPr>
          <w:p w14:paraId="29B99F13"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0.15</w:t>
            </w:r>
          </w:p>
        </w:tc>
        <w:tc>
          <w:tcPr>
            <w:tcW w:w="777" w:type="pct"/>
            <w:gridSpan w:val="2"/>
            <w:vAlign w:val="center"/>
          </w:tcPr>
          <w:p w14:paraId="51185572" w14:textId="1C031FFA"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49"/>
                <w:sz w:val="20"/>
                <w:szCs w:val="20"/>
                <w:shd w:val="solid" w:color="000000" w:fill="000000"/>
                <w:fitText w:val="320" w:id="-1435791856"/>
                <w14:textFill>
                  <w14:solidFill>
                    <w14:srgbClr w14:val="000000">
                      <w14:alpha w14:val="100000"/>
                    </w14:srgbClr>
                  </w14:solidFill>
                </w14:textFill>
              </w:rPr>
              <w:t>|||</w:t>
            </w:r>
            <w:r w:rsidR="00C97261" w:rsidRPr="00C97261">
              <w:rPr>
                <w:rFonts w:ascii="Arial Narrow" w:hAnsi="Arial Narrow" w:cs="Calibri"/>
                <w:color w:val="000000"/>
                <w:spacing w:val="3"/>
                <w:sz w:val="20"/>
                <w:szCs w:val="20"/>
                <w:shd w:val="solid" w:color="000000" w:fill="000000"/>
                <w:fitText w:val="320" w:id="-1435791856"/>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r w:rsidRPr="00DD72AC">
              <w:rPr>
                <w:rFonts w:ascii="Arial Narrow" w:hAnsi="Arial Narrow" w:cs="Calibri"/>
                <w:color w:val="000000"/>
                <w:sz w:val="20"/>
                <w:szCs w:val="20"/>
              </w:rPr>
              <w:t xml:space="preserve"> </w:t>
            </w:r>
          </w:p>
        </w:tc>
        <w:tc>
          <w:tcPr>
            <w:tcW w:w="775" w:type="pct"/>
            <w:gridSpan w:val="2"/>
          </w:tcPr>
          <w:p w14:paraId="2D92E370" w14:textId="77777777" w:rsidR="00BD42E3" w:rsidRPr="00DD72AC" w:rsidRDefault="00BD42E3" w:rsidP="00EB6AD4">
            <w:pPr>
              <w:keepNext/>
              <w:jc w:val="center"/>
              <w:rPr>
                <w:rFonts w:ascii="Arial Narrow" w:eastAsia="Calibri" w:hAnsi="Arial Narrow" w:cstheme="majorBidi"/>
                <w:bCs/>
                <w:sz w:val="20"/>
                <w:szCs w:val="20"/>
              </w:rPr>
            </w:pPr>
          </w:p>
          <w:p w14:paraId="772BFE2D"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1008%</w:t>
            </w:r>
          </w:p>
        </w:tc>
      </w:tr>
    </w:tbl>
    <w:p w14:paraId="6AA148DA" w14:textId="481DF679"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104, p206, Table 106, p208, and Table 107, p210 of the submission</w:t>
      </w:r>
      <w:r w:rsidRPr="00DD72AC">
        <w:rPr>
          <w:rFonts w:ascii="Arial Narrow" w:eastAsia="Times New Roman" w:hAnsi="Arial Narrow"/>
          <w:i/>
          <w:iCs/>
          <w:snapToGrid w:val="0"/>
          <w:sz w:val="18"/>
          <w:szCs w:val="22"/>
        </w:rPr>
        <w:t>.</w:t>
      </w:r>
      <w:r w:rsidRPr="00DD72AC">
        <w:rPr>
          <w:rFonts w:ascii="Arial Narrow" w:eastAsia="Times New Roman" w:hAnsi="Arial Narrow"/>
          <w:snapToGrid w:val="0"/>
          <w:sz w:val="18"/>
          <w:szCs w:val="22"/>
        </w:rPr>
        <w:t xml:space="preserve"> </w:t>
      </w:r>
    </w:p>
    <w:p w14:paraId="4874B92C" w14:textId="3A20BE6B"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BSC = best supportive care; cm = centimetre; GP = general population; ICER = incremental cost effectiveness ratio; QALY = quality adjusted life years.</w:t>
      </w:r>
    </w:p>
    <w:p w14:paraId="1535E99D" w14:textId="56186EBD" w:rsidR="00C65E72" w:rsidRPr="00DD72AC" w:rsidRDefault="00C65E72"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vertAlign w:val="superscript"/>
        </w:rPr>
        <w:t xml:space="preserve">a </w:t>
      </w:r>
      <w:r w:rsidRPr="00DD72AC">
        <w:rPr>
          <w:rFonts w:ascii="Arial Narrow" w:eastAsia="Times New Roman" w:hAnsi="Arial Narrow"/>
          <w:snapToGrid w:val="0"/>
          <w:sz w:val="18"/>
          <w:szCs w:val="22"/>
        </w:rPr>
        <w:t>Sensitivity analyses conducted during the evaluation.</w:t>
      </w:r>
    </w:p>
    <w:p w14:paraId="025D1AB6" w14:textId="65B94149" w:rsidR="007C351F" w:rsidRDefault="007C351F"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vertAlign w:val="superscript"/>
        </w:rPr>
        <w:t xml:space="preserve">b </w:t>
      </w:r>
      <w:r w:rsidR="00184B30" w:rsidRPr="00DD72AC">
        <w:rPr>
          <w:rFonts w:ascii="Arial Narrow" w:eastAsia="Times New Roman" w:hAnsi="Arial Narrow"/>
          <w:snapToGrid w:val="0"/>
          <w:sz w:val="18"/>
          <w:szCs w:val="22"/>
        </w:rPr>
        <w:t>Sensitivity analysis updated using the new model provided in the PSCR.</w:t>
      </w:r>
    </w:p>
    <w:p w14:paraId="5843123E" w14:textId="77777777" w:rsidR="00C76AD0" w:rsidRPr="009A6D58"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rPr>
        <w:t xml:space="preserve">The redacted values correspond to the following ranges: </w:t>
      </w:r>
    </w:p>
    <w:p w14:paraId="201FB795" w14:textId="72C5FBED" w:rsidR="00C76AD0" w:rsidRPr="009A6D58"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vertAlign w:val="superscript"/>
        </w:rPr>
        <w:t>1</w:t>
      </w:r>
      <w:r>
        <w:rPr>
          <w:rFonts w:ascii="Arial Narrow" w:eastAsia="Times New Roman" w:hAnsi="Arial Narrow"/>
          <w:i/>
          <w:sz w:val="18"/>
          <w:szCs w:val="18"/>
        </w:rPr>
        <w:t xml:space="preserve"> </w:t>
      </w:r>
      <w:r w:rsidRPr="00C76AD0">
        <w:rPr>
          <w:rFonts w:ascii="Arial Narrow" w:eastAsia="Times New Roman" w:hAnsi="Arial Narrow"/>
          <w:i/>
          <w:sz w:val="18"/>
          <w:szCs w:val="18"/>
        </w:rPr>
        <w:t>$855,000 to &lt; $955,000</w:t>
      </w:r>
    </w:p>
    <w:p w14:paraId="7BD2878C" w14:textId="7FB03BF1" w:rsidR="00C76AD0" w:rsidRPr="009A6D58"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vertAlign w:val="superscript"/>
        </w:rPr>
        <w:t>2</w:t>
      </w:r>
      <w:r>
        <w:rPr>
          <w:rFonts w:ascii="Arial Narrow" w:eastAsia="Times New Roman" w:hAnsi="Arial Narrow"/>
          <w:i/>
          <w:sz w:val="18"/>
          <w:szCs w:val="18"/>
        </w:rPr>
        <w:t xml:space="preserve"> </w:t>
      </w:r>
      <w:r w:rsidRPr="00C76AD0">
        <w:rPr>
          <w:rFonts w:ascii="Arial Narrow" w:eastAsia="Times New Roman" w:hAnsi="Arial Narrow"/>
          <w:i/>
          <w:sz w:val="18"/>
          <w:szCs w:val="18"/>
        </w:rPr>
        <w:t>&gt; $1,055,00</w:t>
      </w:r>
      <w:r>
        <w:rPr>
          <w:rFonts w:ascii="Arial Narrow" w:eastAsia="Times New Roman" w:hAnsi="Arial Narrow"/>
          <w:i/>
          <w:sz w:val="18"/>
          <w:szCs w:val="18"/>
        </w:rPr>
        <w:t>0</w:t>
      </w:r>
    </w:p>
    <w:p w14:paraId="56A6FD72" w14:textId="0E521391" w:rsidR="00C76AD0"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vertAlign w:val="superscript"/>
        </w:rPr>
        <w:t>3</w:t>
      </w:r>
      <w:r>
        <w:rPr>
          <w:rFonts w:ascii="Arial Narrow" w:eastAsia="Times New Roman" w:hAnsi="Arial Narrow"/>
          <w:i/>
          <w:sz w:val="18"/>
          <w:szCs w:val="18"/>
        </w:rPr>
        <w:t xml:space="preserve"> </w:t>
      </w:r>
      <w:r w:rsidRPr="00C76AD0">
        <w:rPr>
          <w:rFonts w:ascii="Arial Narrow" w:eastAsia="Times New Roman" w:hAnsi="Arial Narrow"/>
          <w:i/>
          <w:sz w:val="18"/>
          <w:szCs w:val="18"/>
        </w:rPr>
        <w:t>$155,000 to &lt; $255,000</w:t>
      </w:r>
    </w:p>
    <w:p w14:paraId="5F55D45B" w14:textId="461B1296" w:rsidR="00C76AD0" w:rsidRDefault="00C76AD0" w:rsidP="00C76AD0">
      <w:pPr>
        <w:rPr>
          <w:rFonts w:ascii="Arial Narrow" w:eastAsia="Times New Roman" w:hAnsi="Arial Narrow"/>
          <w:i/>
          <w:sz w:val="18"/>
          <w:szCs w:val="18"/>
        </w:rPr>
      </w:pPr>
      <w:r>
        <w:rPr>
          <w:rFonts w:ascii="Arial Narrow" w:eastAsia="Times New Roman" w:hAnsi="Arial Narrow"/>
          <w:i/>
          <w:sz w:val="18"/>
          <w:szCs w:val="18"/>
          <w:vertAlign w:val="superscript"/>
        </w:rPr>
        <w:t>4</w:t>
      </w:r>
      <w:r>
        <w:rPr>
          <w:rFonts w:ascii="Arial Narrow" w:eastAsia="Times New Roman" w:hAnsi="Arial Narrow"/>
          <w:i/>
          <w:sz w:val="18"/>
          <w:szCs w:val="18"/>
        </w:rPr>
        <w:t xml:space="preserve"> </w:t>
      </w:r>
      <w:r w:rsidR="00470538" w:rsidRPr="00470538">
        <w:rPr>
          <w:rFonts w:ascii="Arial Narrow" w:eastAsia="Times New Roman" w:hAnsi="Arial Narrow"/>
          <w:i/>
          <w:sz w:val="18"/>
          <w:szCs w:val="18"/>
        </w:rPr>
        <w:t>$</w:t>
      </w:r>
      <w:r w:rsidR="00470538">
        <w:rPr>
          <w:rFonts w:ascii="Arial Narrow" w:eastAsia="Times New Roman" w:hAnsi="Arial Narrow"/>
          <w:i/>
          <w:sz w:val="18"/>
          <w:szCs w:val="18"/>
        </w:rPr>
        <w:t>3</w:t>
      </w:r>
      <w:r w:rsidR="00470538" w:rsidRPr="00470538">
        <w:rPr>
          <w:rFonts w:ascii="Arial Narrow" w:eastAsia="Times New Roman" w:hAnsi="Arial Narrow"/>
          <w:i/>
          <w:sz w:val="18"/>
          <w:szCs w:val="18"/>
        </w:rPr>
        <w:t>55,000 to &lt; $</w:t>
      </w:r>
      <w:r w:rsidR="00470538">
        <w:rPr>
          <w:rFonts w:ascii="Arial Narrow" w:eastAsia="Times New Roman" w:hAnsi="Arial Narrow"/>
          <w:i/>
          <w:sz w:val="18"/>
          <w:szCs w:val="18"/>
        </w:rPr>
        <w:t>4</w:t>
      </w:r>
      <w:r w:rsidR="00470538" w:rsidRPr="00470538">
        <w:rPr>
          <w:rFonts w:ascii="Arial Narrow" w:eastAsia="Times New Roman" w:hAnsi="Arial Narrow"/>
          <w:i/>
          <w:sz w:val="18"/>
          <w:szCs w:val="18"/>
        </w:rPr>
        <w:t>55,000</w:t>
      </w:r>
    </w:p>
    <w:p w14:paraId="7AC08E02" w14:textId="79D33F9B" w:rsidR="00C76AD0" w:rsidRDefault="00C76AD0" w:rsidP="00C76AD0">
      <w:pPr>
        <w:rPr>
          <w:rFonts w:ascii="Arial Narrow" w:eastAsia="Times New Roman" w:hAnsi="Arial Narrow"/>
          <w:i/>
          <w:sz w:val="18"/>
          <w:szCs w:val="18"/>
        </w:rPr>
      </w:pPr>
      <w:r>
        <w:rPr>
          <w:rFonts w:ascii="Arial Narrow" w:eastAsia="Times New Roman" w:hAnsi="Arial Narrow"/>
          <w:i/>
          <w:sz w:val="18"/>
          <w:szCs w:val="18"/>
          <w:vertAlign w:val="superscript"/>
        </w:rPr>
        <w:t>5</w:t>
      </w:r>
      <w:r>
        <w:rPr>
          <w:rFonts w:ascii="Arial Narrow" w:eastAsia="Times New Roman" w:hAnsi="Arial Narrow"/>
          <w:i/>
          <w:sz w:val="18"/>
          <w:szCs w:val="18"/>
        </w:rPr>
        <w:t xml:space="preserve"> </w:t>
      </w:r>
      <w:r w:rsidR="00470538" w:rsidRPr="00470538">
        <w:rPr>
          <w:rFonts w:ascii="Arial Narrow" w:eastAsia="Times New Roman" w:hAnsi="Arial Narrow"/>
          <w:i/>
          <w:sz w:val="18"/>
          <w:szCs w:val="18"/>
        </w:rPr>
        <w:t>$</w:t>
      </w:r>
      <w:r w:rsidR="00470538">
        <w:rPr>
          <w:rFonts w:ascii="Arial Narrow" w:eastAsia="Times New Roman" w:hAnsi="Arial Narrow"/>
          <w:i/>
          <w:sz w:val="18"/>
          <w:szCs w:val="18"/>
        </w:rPr>
        <w:t>5</w:t>
      </w:r>
      <w:r w:rsidR="00470538" w:rsidRPr="00470538">
        <w:rPr>
          <w:rFonts w:ascii="Arial Narrow" w:eastAsia="Times New Roman" w:hAnsi="Arial Narrow"/>
          <w:i/>
          <w:sz w:val="18"/>
          <w:szCs w:val="18"/>
        </w:rPr>
        <w:t>55,000 to &lt; $</w:t>
      </w:r>
      <w:r w:rsidR="00470538">
        <w:rPr>
          <w:rFonts w:ascii="Arial Narrow" w:eastAsia="Times New Roman" w:hAnsi="Arial Narrow"/>
          <w:i/>
          <w:sz w:val="18"/>
          <w:szCs w:val="18"/>
        </w:rPr>
        <w:t>6</w:t>
      </w:r>
      <w:r w:rsidR="00470538" w:rsidRPr="00470538">
        <w:rPr>
          <w:rFonts w:ascii="Arial Narrow" w:eastAsia="Times New Roman" w:hAnsi="Arial Narrow"/>
          <w:i/>
          <w:sz w:val="18"/>
          <w:szCs w:val="18"/>
        </w:rPr>
        <w:t>55,000</w:t>
      </w:r>
    </w:p>
    <w:p w14:paraId="50D00377" w14:textId="5236A7D1" w:rsidR="002D40CE" w:rsidRPr="00DD72AC" w:rsidRDefault="00C76AD0" w:rsidP="00977CAD">
      <w:pPr>
        <w:spacing w:after="120"/>
        <w:contextualSpacing/>
        <w:rPr>
          <w:rFonts w:ascii="Arial Narrow" w:eastAsia="Times New Roman" w:hAnsi="Arial Narrow"/>
          <w:snapToGrid w:val="0"/>
          <w:sz w:val="18"/>
          <w:szCs w:val="22"/>
        </w:rPr>
      </w:pPr>
      <w:r>
        <w:rPr>
          <w:rFonts w:ascii="Arial Narrow" w:eastAsia="Times New Roman" w:hAnsi="Arial Narrow"/>
          <w:i/>
          <w:sz w:val="18"/>
          <w:szCs w:val="18"/>
          <w:vertAlign w:val="superscript"/>
        </w:rPr>
        <w:lastRenderedPageBreak/>
        <w:t>6</w:t>
      </w:r>
      <w:r>
        <w:rPr>
          <w:rFonts w:ascii="Arial Narrow" w:eastAsia="Times New Roman" w:hAnsi="Arial Narrow"/>
          <w:i/>
          <w:sz w:val="18"/>
          <w:szCs w:val="18"/>
        </w:rPr>
        <w:t xml:space="preserve"> </w:t>
      </w:r>
      <w:r w:rsidR="00470538" w:rsidRPr="00470538">
        <w:rPr>
          <w:rFonts w:ascii="Arial Narrow" w:eastAsia="Times New Roman" w:hAnsi="Arial Narrow"/>
          <w:i/>
          <w:sz w:val="18"/>
          <w:szCs w:val="18"/>
        </w:rPr>
        <w:t>$</w:t>
      </w:r>
      <w:r w:rsidR="00470538">
        <w:rPr>
          <w:rFonts w:ascii="Arial Narrow" w:eastAsia="Times New Roman" w:hAnsi="Arial Narrow"/>
          <w:i/>
          <w:sz w:val="18"/>
          <w:szCs w:val="18"/>
        </w:rPr>
        <w:t>6</w:t>
      </w:r>
      <w:r w:rsidR="00470538" w:rsidRPr="00470538">
        <w:rPr>
          <w:rFonts w:ascii="Arial Narrow" w:eastAsia="Times New Roman" w:hAnsi="Arial Narrow"/>
          <w:i/>
          <w:sz w:val="18"/>
          <w:szCs w:val="18"/>
        </w:rPr>
        <w:t>55,000 to &lt; $</w:t>
      </w:r>
      <w:r w:rsidR="00470538">
        <w:rPr>
          <w:rFonts w:ascii="Arial Narrow" w:eastAsia="Times New Roman" w:hAnsi="Arial Narrow"/>
          <w:i/>
          <w:sz w:val="18"/>
          <w:szCs w:val="18"/>
        </w:rPr>
        <w:t>7</w:t>
      </w:r>
      <w:r w:rsidR="00470538" w:rsidRPr="00470538">
        <w:rPr>
          <w:rFonts w:ascii="Arial Narrow" w:eastAsia="Times New Roman" w:hAnsi="Arial Narrow"/>
          <w:i/>
          <w:sz w:val="18"/>
          <w:szCs w:val="18"/>
        </w:rPr>
        <w:t>55,000</w:t>
      </w:r>
    </w:p>
    <w:p w14:paraId="40F0AEFE" w14:textId="030A0694" w:rsidR="00BD42E3" w:rsidRPr="00DD72AC" w:rsidRDefault="00BD42E3" w:rsidP="00EB6AD4">
      <w:pPr>
        <w:numPr>
          <w:ilvl w:val="1"/>
          <w:numId w:val="1"/>
        </w:numPr>
        <w:spacing w:after="120"/>
        <w:rPr>
          <w:rFonts w:ascii="Arial Narrow" w:eastAsia="Times New Roman" w:hAnsi="Arial Narrow"/>
          <w:snapToGrid w:val="0"/>
          <w:sz w:val="18"/>
          <w:szCs w:val="22"/>
        </w:rPr>
      </w:pPr>
      <w:r w:rsidRPr="00DD72AC">
        <w:rPr>
          <w:rFonts w:asciiTheme="minorHAnsi" w:eastAsia="Times New Roman" w:hAnsiTheme="minorHAnsi"/>
          <w:snapToGrid w:val="0"/>
        </w:rPr>
        <w:t xml:space="preserve">The submission stated that decreasing the discount rate to 1.5% as recommended in the Medicines Australia submission would reduce the ICER to </w:t>
      </w:r>
      <w:r w:rsidR="00470538" w:rsidRPr="00470538">
        <w:rPr>
          <w:rFonts w:asciiTheme="minorHAnsi" w:eastAsia="Times New Roman" w:hAnsiTheme="minorHAnsi"/>
          <w:snapToGrid w:val="0"/>
        </w:rPr>
        <w:t>$355,000 to &lt; $455,000</w:t>
      </w:r>
      <w:r w:rsidR="00470538">
        <w:rPr>
          <w:rFonts w:asciiTheme="minorHAnsi" w:eastAsia="Times New Roman" w:hAnsiTheme="minorHAnsi"/>
          <w:snapToGrid w:val="0"/>
        </w:rPr>
        <w:t xml:space="preserve"> </w:t>
      </w:r>
      <w:r w:rsidRPr="00DD72AC">
        <w:rPr>
          <w:rFonts w:asciiTheme="minorHAnsi" w:eastAsia="Times New Roman" w:hAnsiTheme="minorHAnsi"/>
          <w:snapToGrid w:val="0"/>
        </w:rPr>
        <w:t xml:space="preserve">and into a range which the PBAC can consider acceptable for a rare condition like achondroplasia. </w:t>
      </w:r>
      <w:r w:rsidR="00761247" w:rsidRPr="00DD72AC">
        <w:rPr>
          <w:rFonts w:asciiTheme="minorHAnsi" w:eastAsia="Times New Roman" w:hAnsiTheme="minorHAnsi"/>
          <w:snapToGrid w:val="0"/>
        </w:rPr>
        <w:t>T</w:t>
      </w:r>
      <w:r w:rsidRPr="00DD72AC">
        <w:rPr>
          <w:rFonts w:asciiTheme="minorHAnsi" w:eastAsia="Times New Roman" w:hAnsiTheme="minorHAnsi"/>
          <w:snapToGrid w:val="0"/>
        </w:rPr>
        <w:t>he ICER decrease</w:t>
      </w:r>
      <w:r w:rsidR="00761247" w:rsidRPr="00DD72AC">
        <w:rPr>
          <w:rFonts w:asciiTheme="minorHAnsi" w:eastAsia="Times New Roman" w:hAnsiTheme="minorHAnsi"/>
          <w:snapToGrid w:val="0"/>
        </w:rPr>
        <w:t>d</w:t>
      </w:r>
      <w:r w:rsidRPr="00DD72AC">
        <w:rPr>
          <w:rFonts w:asciiTheme="minorHAnsi" w:eastAsia="Times New Roman" w:hAnsiTheme="minorHAnsi"/>
          <w:snapToGrid w:val="0"/>
        </w:rPr>
        <w:t xml:space="preserve"> to </w:t>
      </w:r>
      <w:r w:rsidR="00470538" w:rsidRPr="00470538">
        <w:rPr>
          <w:rFonts w:asciiTheme="minorHAnsi" w:eastAsia="Times New Roman" w:hAnsiTheme="minorHAnsi"/>
          <w:snapToGrid w:val="0"/>
        </w:rPr>
        <w:t>$155,000 to &lt; $255,000</w:t>
      </w:r>
      <w:r w:rsidRPr="00DD72AC">
        <w:rPr>
          <w:rFonts w:asciiTheme="minorHAnsi" w:eastAsia="Times New Roman" w:hAnsiTheme="minorHAnsi"/>
          <w:snapToGrid w:val="0"/>
        </w:rPr>
        <w:t xml:space="preserve">/QALY and </w:t>
      </w:r>
      <w:r w:rsidR="00470538" w:rsidRPr="00470538">
        <w:rPr>
          <w:rFonts w:asciiTheme="minorHAnsi" w:eastAsia="Times New Roman" w:hAnsiTheme="minorHAnsi"/>
          <w:snapToGrid w:val="0"/>
        </w:rPr>
        <w:t>$555,000 to &lt; $655,000</w:t>
      </w:r>
      <w:r w:rsidRPr="00DD72AC">
        <w:rPr>
          <w:rFonts w:asciiTheme="minorHAnsi" w:eastAsia="Times New Roman" w:hAnsiTheme="minorHAnsi"/>
          <w:snapToGrid w:val="0"/>
        </w:rPr>
        <w:t>/QALY when the discount rates of 0% and 3.5% were applied respectively.</w:t>
      </w:r>
    </w:p>
    <w:p w14:paraId="0DA0AAFD" w14:textId="28B04295" w:rsidR="002D40CE" w:rsidRPr="00DD72AC" w:rsidRDefault="003E70CB"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ESC noted the ICER was sensitive to QoL estimation. </w:t>
      </w:r>
      <w:r w:rsidR="0014489C" w:rsidRPr="00DD72AC">
        <w:rPr>
          <w:rFonts w:asciiTheme="minorHAnsi" w:eastAsia="Times New Roman" w:hAnsiTheme="minorHAnsi"/>
          <w:snapToGrid w:val="0"/>
        </w:rPr>
        <w:t>The ICER increase</w:t>
      </w:r>
      <w:r w:rsidR="009669D2" w:rsidRPr="00DD72AC">
        <w:rPr>
          <w:rFonts w:asciiTheme="minorHAnsi" w:eastAsia="Times New Roman" w:hAnsiTheme="minorHAnsi"/>
          <w:snapToGrid w:val="0"/>
        </w:rPr>
        <w:t>d</w:t>
      </w:r>
      <w:r w:rsidR="0014489C" w:rsidRPr="00DD72AC">
        <w:rPr>
          <w:rFonts w:asciiTheme="minorHAnsi" w:eastAsia="Times New Roman" w:hAnsiTheme="minorHAnsi"/>
          <w:snapToGrid w:val="0"/>
        </w:rPr>
        <w:t xml:space="preserve"> to </w:t>
      </w:r>
      <w:r w:rsidR="00470538" w:rsidRPr="00470538">
        <w:rPr>
          <w:rFonts w:asciiTheme="minorHAnsi" w:eastAsia="Times New Roman" w:hAnsiTheme="minorHAnsi"/>
          <w:snapToGrid w:val="0"/>
        </w:rPr>
        <w:t>&gt; $1,055,000</w:t>
      </w:r>
      <w:r w:rsidR="00335793">
        <w:rPr>
          <w:rFonts w:asciiTheme="minorHAnsi" w:eastAsia="Times New Roman" w:hAnsiTheme="minorHAnsi"/>
          <w:snapToGrid w:val="0"/>
        </w:rPr>
        <w:t xml:space="preserve"> </w:t>
      </w:r>
      <w:r w:rsidR="0014489C" w:rsidRPr="00DD72AC">
        <w:rPr>
          <w:rFonts w:asciiTheme="minorHAnsi" w:eastAsia="Times New Roman" w:hAnsiTheme="minorHAnsi"/>
          <w:snapToGrid w:val="0"/>
        </w:rPr>
        <w:t>when a 20% decrease in the height-based utility values are used. The ICER decrease</w:t>
      </w:r>
      <w:r w:rsidR="009669D2" w:rsidRPr="00DD72AC">
        <w:rPr>
          <w:rFonts w:asciiTheme="minorHAnsi" w:eastAsia="Times New Roman" w:hAnsiTheme="minorHAnsi"/>
          <w:snapToGrid w:val="0"/>
        </w:rPr>
        <w:t>d</w:t>
      </w:r>
      <w:r w:rsidR="0014489C" w:rsidRPr="00DD72AC">
        <w:rPr>
          <w:rFonts w:asciiTheme="minorHAnsi" w:eastAsia="Times New Roman" w:hAnsiTheme="minorHAnsi"/>
          <w:snapToGrid w:val="0"/>
        </w:rPr>
        <w:t xml:space="preserve"> to </w:t>
      </w:r>
      <w:r w:rsidR="00470538" w:rsidRPr="00470538">
        <w:rPr>
          <w:rFonts w:asciiTheme="minorHAnsi" w:eastAsia="Times New Roman" w:hAnsiTheme="minorHAnsi"/>
          <w:snapToGrid w:val="0"/>
        </w:rPr>
        <w:t>$355,000 to &lt; $455,000</w:t>
      </w:r>
      <w:r w:rsidR="0014489C" w:rsidRPr="00DD72AC">
        <w:rPr>
          <w:rFonts w:asciiTheme="minorHAnsi" w:eastAsia="Times New Roman" w:hAnsiTheme="minorHAnsi"/>
          <w:snapToGrid w:val="0"/>
        </w:rPr>
        <w:t xml:space="preserve">/QALY with cubic extrapolation of utility values, and </w:t>
      </w:r>
      <w:r w:rsidR="00470538" w:rsidRPr="00470538">
        <w:rPr>
          <w:rFonts w:asciiTheme="minorHAnsi" w:eastAsia="Times New Roman" w:hAnsiTheme="minorHAnsi"/>
          <w:snapToGrid w:val="0"/>
        </w:rPr>
        <w:t>$655,000 to &lt; $755,000</w:t>
      </w:r>
      <w:r w:rsidR="0014489C" w:rsidRPr="00DD72AC">
        <w:rPr>
          <w:rFonts w:asciiTheme="minorHAnsi" w:eastAsia="Times New Roman" w:hAnsiTheme="minorHAnsi"/>
          <w:snapToGrid w:val="0"/>
        </w:rPr>
        <w:t xml:space="preserve">/QALY when linear extrapolation was applied. </w:t>
      </w:r>
      <w:r w:rsidRPr="00DD72AC">
        <w:rPr>
          <w:rFonts w:asciiTheme="minorHAnsi" w:eastAsia="Times New Roman" w:hAnsiTheme="minorHAnsi"/>
          <w:snapToGrid w:val="0"/>
        </w:rPr>
        <w:t xml:space="preserve">As outlined in paragraph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_Ref105753277 \r \h </w:instrText>
      </w:r>
      <w:r w:rsidR="0014489C" w:rsidRPr="00DD72AC">
        <w:rPr>
          <w:rFonts w:asciiTheme="minorHAnsi" w:eastAsia="Times New Roman" w:hAnsiTheme="minorHAnsi"/>
          <w:snapToGrid w:val="0"/>
        </w:rPr>
        <w:instrText xml:space="preserve">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0F61A3" w:rsidRPr="00DD72AC">
        <w:rPr>
          <w:rFonts w:asciiTheme="minorHAnsi" w:eastAsia="Times New Roman" w:hAnsiTheme="minorHAnsi"/>
          <w:snapToGrid w:val="0"/>
        </w:rPr>
        <w:t>6.35</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and paragraph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_Ref105753298 \r \h </w:instrText>
      </w:r>
      <w:r w:rsidR="00E745AD" w:rsidRPr="00DD72AC">
        <w:rPr>
          <w:rFonts w:asciiTheme="minorHAnsi" w:eastAsia="Times New Roman" w:hAnsiTheme="minorHAnsi"/>
          <w:snapToGrid w:val="0"/>
        </w:rPr>
        <w:instrText xml:space="preserve">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0F61A3" w:rsidRPr="00DD72AC">
        <w:rPr>
          <w:rFonts w:asciiTheme="minorHAnsi" w:eastAsia="Times New Roman" w:hAnsiTheme="minorHAnsi"/>
          <w:snapToGrid w:val="0"/>
        </w:rPr>
        <w:t>6.38</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the ESC considered the height based QoL benefits applied in the model highly uncertain. </w:t>
      </w:r>
    </w:p>
    <w:p w14:paraId="6C76103A" w14:textId="2A32FB41" w:rsidR="00BD42E3" w:rsidRPr="00DD72AC" w:rsidRDefault="00BD42E3" w:rsidP="00FC2E66">
      <w:pPr>
        <w:pStyle w:val="4-SubsectionHeading"/>
      </w:pPr>
      <w:bookmarkStart w:id="66" w:name="_Toc22897646"/>
      <w:bookmarkStart w:id="67" w:name="_Toc103776186"/>
      <w:r w:rsidRPr="00DD72AC">
        <w:t>Drug cost/patient/year</w:t>
      </w:r>
      <w:bookmarkEnd w:id="66"/>
      <w:bookmarkEnd w:id="67"/>
    </w:p>
    <w:p w14:paraId="085965A1" w14:textId="01E50C54"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drug cost per patient per year is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_Ref100584744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Table 16</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based on the proposed effective price. The estimated the cost of treatment with vosoritide per patient per year to be approximately $</w:t>
      </w:r>
      <w:r w:rsidR="00C97261" w:rsidRPr="00DA600A">
        <w:rPr>
          <w:rFonts w:asciiTheme="minorHAnsi" w:eastAsia="Times New Roman" w:hAnsiTheme="minorHAnsi"/>
          <w:snapToGrid w:val="0"/>
          <w:color w:val="000000"/>
          <w:w w:val="15"/>
          <w:shd w:val="solid" w:color="000000" w:fill="000000"/>
          <w:fitText w:val="-20" w:id="-1435791872"/>
          <w14:textFill>
            <w14:solidFill>
              <w14:srgbClr w14:val="000000">
                <w14:alpha w14:val="100000"/>
              </w14:srgbClr>
            </w14:solidFill>
          </w14:textFill>
        </w:rPr>
        <w:t xml:space="preserve">|  </w:t>
      </w:r>
      <w:r w:rsidR="00C97261" w:rsidRPr="00DA600A">
        <w:rPr>
          <w:rFonts w:asciiTheme="minorHAnsi" w:eastAsia="Times New Roman" w:hAnsiTheme="minorHAnsi"/>
          <w:snapToGrid w:val="0"/>
          <w:color w:val="000000"/>
          <w:spacing w:val="-69"/>
          <w:w w:val="15"/>
          <w:shd w:val="solid" w:color="000000" w:fill="000000"/>
          <w:fitText w:val="-20" w:id="-1435791872"/>
          <w14:textFill>
            <w14:solidFill>
              <w14:srgbClr w14:val="000000">
                <w14:alpha w14:val="100000"/>
              </w14:srgbClr>
            </w14:solidFill>
          </w14:textFill>
        </w:rPr>
        <w:t>|</w:t>
      </w:r>
      <w:r w:rsidRPr="00DD72AC">
        <w:rPr>
          <w:rFonts w:asciiTheme="minorHAnsi" w:eastAsia="Times New Roman" w:hAnsiTheme="minorHAnsi"/>
          <w:snapToGrid w:val="0"/>
        </w:rPr>
        <w:t xml:space="preserve"> (at 98.8% compliance rate). The vosoritide cost per day is approximately $</w:t>
      </w:r>
      <w:r w:rsidR="00C97261" w:rsidRPr="00DA600A">
        <w:rPr>
          <w:rFonts w:asciiTheme="minorHAnsi" w:eastAsia="Times New Roman" w:hAnsiTheme="minorHAnsi"/>
          <w:snapToGrid w:val="0"/>
          <w:color w:val="000000"/>
          <w:w w:val="15"/>
          <w:shd w:val="solid" w:color="000000" w:fill="000000"/>
          <w:fitText w:val="-20" w:id="-1435791871"/>
          <w14:textFill>
            <w14:solidFill>
              <w14:srgbClr w14:val="000000">
                <w14:alpha w14:val="100000"/>
              </w14:srgbClr>
            </w14:solidFill>
          </w14:textFill>
        </w:rPr>
        <w:t xml:space="preserve">|  </w:t>
      </w:r>
      <w:r w:rsidR="00C97261" w:rsidRPr="00DA600A">
        <w:rPr>
          <w:rFonts w:asciiTheme="minorHAnsi" w:eastAsia="Times New Roman" w:hAnsiTheme="minorHAnsi"/>
          <w:snapToGrid w:val="0"/>
          <w:color w:val="000000"/>
          <w:spacing w:val="-69"/>
          <w:w w:val="15"/>
          <w:shd w:val="solid" w:color="000000" w:fill="000000"/>
          <w:fitText w:val="-20" w:id="-1435791871"/>
          <w14:textFill>
            <w14:solidFill>
              <w14:srgbClr w14:val="000000">
                <w14:alpha w14:val="100000"/>
              </w14:srgbClr>
            </w14:solidFill>
          </w14:textFill>
        </w:rPr>
        <w:t>|</w:t>
      </w:r>
      <w:r w:rsidRPr="00DD72AC">
        <w:rPr>
          <w:rFonts w:asciiTheme="minorHAnsi" w:eastAsia="Times New Roman" w:hAnsiTheme="minorHAnsi"/>
          <w:snapToGrid w:val="0"/>
        </w:rPr>
        <w:t>.</w:t>
      </w:r>
    </w:p>
    <w:p w14:paraId="689C7BF8" w14:textId="4166790F" w:rsidR="00BD42E3" w:rsidRPr="00DD72AC" w:rsidRDefault="00BD42E3" w:rsidP="00977CAD">
      <w:pPr>
        <w:keepNext/>
        <w:jc w:val="left"/>
        <w:rPr>
          <w:rFonts w:ascii="Arial Narrow" w:eastAsiaTheme="majorEastAsia" w:hAnsi="Arial Narrow" w:cstheme="majorBidi"/>
          <w:b/>
          <w:sz w:val="20"/>
        </w:rPr>
      </w:pPr>
      <w:bookmarkStart w:id="68" w:name="_Ref100584744"/>
      <w:r w:rsidRPr="00DD72AC">
        <w:rPr>
          <w:rFonts w:ascii="Arial Narrow" w:eastAsiaTheme="majorEastAsia" w:hAnsi="Arial Narrow" w:cstheme="majorBidi"/>
          <w:b/>
          <w:sz w:val="20"/>
        </w:rPr>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16</w:t>
      </w:r>
      <w:r w:rsidRPr="00DD72AC">
        <w:rPr>
          <w:rFonts w:ascii="Arial Narrow" w:eastAsiaTheme="majorEastAsia" w:hAnsi="Arial Narrow" w:cstheme="majorBidi"/>
          <w:b/>
          <w:sz w:val="20"/>
        </w:rPr>
        <w:fldChar w:fldCharType="end"/>
      </w:r>
      <w:bookmarkEnd w:id="68"/>
      <w:r w:rsidRPr="00DD72AC">
        <w:rPr>
          <w:rFonts w:ascii="Arial Narrow" w:eastAsiaTheme="majorEastAsia" w:hAnsi="Arial Narrow" w:cstheme="majorBidi"/>
          <w:b/>
          <w:sz w:val="20"/>
        </w:rPr>
        <w:t>: Drug cost per patient for proposed and comparator drugs (proposed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Drug cost per patient for proposed and comparator drugs (proposed effective price)"/>
      </w:tblPr>
      <w:tblGrid>
        <w:gridCol w:w="420"/>
        <w:gridCol w:w="3019"/>
        <w:gridCol w:w="1801"/>
        <w:gridCol w:w="1755"/>
        <w:gridCol w:w="2021"/>
      </w:tblGrid>
      <w:tr w:rsidR="008141FE" w:rsidRPr="00DD72AC" w14:paraId="5153103B" w14:textId="77777777" w:rsidTr="008141FE">
        <w:trPr>
          <w:cantSplit/>
          <w:tblHeader/>
        </w:trPr>
        <w:tc>
          <w:tcPr>
            <w:tcW w:w="1907" w:type="pct"/>
            <w:gridSpan w:val="2"/>
          </w:tcPr>
          <w:p w14:paraId="5D2AAAED" w14:textId="77777777" w:rsidR="008141FE" w:rsidRPr="00DD72AC" w:rsidRDefault="008141FE" w:rsidP="00977CAD">
            <w:pPr>
              <w:keepNext/>
              <w:jc w:val="center"/>
              <w:rPr>
                <w:rFonts w:ascii="Arial Narrow" w:eastAsiaTheme="majorEastAsia" w:hAnsi="Arial Narrow" w:cs="Times New Roman"/>
                <w:b/>
                <w:sz w:val="20"/>
              </w:rPr>
            </w:pPr>
          </w:p>
        </w:tc>
        <w:tc>
          <w:tcPr>
            <w:tcW w:w="999" w:type="pct"/>
            <w:shd w:val="clear" w:color="auto" w:fill="auto"/>
            <w:vAlign w:val="center"/>
          </w:tcPr>
          <w:p w14:paraId="48EC3418" w14:textId="77777777" w:rsidR="008141FE" w:rsidRPr="00DD72AC" w:rsidRDefault="008141FE"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Vosoritide</w:t>
            </w:r>
          </w:p>
          <w:p w14:paraId="28974913" w14:textId="77777777" w:rsidR="008141FE" w:rsidRPr="00DD72AC" w:rsidRDefault="008141FE"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Trial dose and duration</w:t>
            </w:r>
          </w:p>
        </w:tc>
        <w:tc>
          <w:tcPr>
            <w:tcW w:w="973" w:type="pct"/>
            <w:shd w:val="clear" w:color="auto" w:fill="auto"/>
            <w:vAlign w:val="center"/>
          </w:tcPr>
          <w:p w14:paraId="4EDB14E6" w14:textId="77777777" w:rsidR="008141FE" w:rsidRPr="00DD72AC" w:rsidRDefault="008141FE"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Vosoritide</w:t>
            </w:r>
          </w:p>
          <w:p w14:paraId="45BDA1D5" w14:textId="77777777" w:rsidR="008141FE" w:rsidRPr="00DD72AC" w:rsidRDefault="008141FE"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Model</w:t>
            </w:r>
          </w:p>
        </w:tc>
        <w:tc>
          <w:tcPr>
            <w:tcW w:w="1121" w:type="pct"/>
            <w:shd w:val="clear" w:color="auto" w:fill="auto"/>
            <w:vAlign w:val="center"/>
          </w:tcPr>
          <w:p w14:paraId="16F63FE6" w14:textId="77777777" w:rsidR="008141FE" w:rsidRPr="00DD72AC" w:rsidRDefault="008141FE"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Vosoritide</w:t>
            </w:r>
          </w:p>
          <w:p w14:paraId="7FFE1405" w14:textId="77777777" w:rsidR="008141FE" w:rsidRPr="00DD72AC" w:rsidRDefault="008141FE"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Financial estimates</w:t>
            </w:r>
          </w:p>
        </w:tc>
      </w:tr>
      <w:tr w:rsidR="00BD42E3" w:rsidRPr="00DD72AC" w14:paraId="4973B446" w14:textId="77777777" w:rsidTr="008141FE">
        <w:trPr>
          <w:cantSplit/>
        </w:trPr>
        <w:tc>
          <w:tcPr>
            <w:tcW w:w="233" w:type="pct"/>
            <w:vAlign w:val="center"/>
          </w:tcPr>
          <w:p w14:paraId="7AA2908E" w14:textId="77777777" w:rsidR="00BD42E3" w:rsidRPr="00DD72AC" w:rsidRDefault="00BD42E3" w:rsidP="008141FE">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A</w:t>
            </w:r>
          </w:p>
        </w:tc>
        <w:tc>
          <w:tcPr>
            <w:tcW w:w="1674" w:type="pct"/>
            <w:shd w:val="clear" w:color="auto" w:fill="auto"/>
            <w:vAlign w:val="center"/>
          </w:tcPr>
          <w:p w14:paraId="499091B8"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Mean dose (daily) </w:t>
            </w:r>
            <w:r w:rsidRPr="00DD72AC">
              <w:rPr>
                <w:rFonts w:ascii="Arial Narrow" w:eastAsiaTheme="majorEastAsia" w:hAnsi="Arial Narrow" w:cstheme="majorBidi"/>
                <w:bCs/>
                <w:sz w:val="20"/>
                <w:vertAlign w:val="superscript"/>
              </w:rPr>
              <w:t>a</w:t>
            </w:r>
          </w:p>
        </w:tc>
        <w:tc>
          <w:tcPr>
            <w:tcW w:w="999" w:type="pct"/>
            <w:shd w:val="clear" w:color="auto" w:fill="auto"/>
            <w:vAlign w:val="center"/>
          </w:tcPr>
          <w:p w14:paraId="25E01B13" w14:textId="74D68573" w:rsidR="00BD42E3" w:rsidRPr="00DD72AC" w:rsidRDefault="00BD42E3" w:rsidP="00EB6AD4">
            <w:pPr>
              <w:keepNext/>
              <w:rPr>
                <w:rFonts w:ascii="Arial Narrow" w:eastAsiaTheme="majorEastAsia" w:hAnsi="Arial Narrow" w:cstheme="majorBidi"/>
                <w:b/>
                <w:bCs/>
                <w:sz w:val="20"/>
              </w:rPr>
            </w:pPr>
            <w:r w:rsidRPr="00DD72AC">
              <w:rPr>
                <w:rFonts w:ascii="Arial Narrow" w:eastAsiaTheme="majorEastAsia" w:hAnsi="Arial Narrow" w:cstheme="majorBidi"/>
                <w:bCs/>
                <w:sz w:val="20"/>
              </w:rPr>
              <w:t xml:space="preserve">15 </w:t>
            </w:r>
            <w:r w:rsidRPr="00DD72AC">
              <w:rPr>
                <w:rFonts w:ascii="Arial Narrow" w:eastAsiaTheme="majorEastAsia" w:hAnsi="Arial Narrow" w:cs="Calibri"/>
                <w:bCs/>
                <w:sz w:val="20"/>
              </w:rPr>
              <w:t>µ</w:t>
            </w:r>
            <w:r w:rsidRPr="00DD72AC">
              <w:rPr>
                <w:rFonts w:ascii="Arial Narrow" w:eastAsiaTheme="majorEastAsia" w:hAnsi="Arial Narrow" w:cstheme="majorBidi"/>
                <w:bCs/>
                <w:sz w:val="20"/>
              </w:rPr>
              <w:t>g/kg (for &gt;2 years)</w:t>
            </w:r>
          </w:p>
        </w:tc>
        <w:tc>
          <w:tcPr>
            <w:tcW w:w="973" w:type="pct"/>
            <w:shd w:val="clear" w:color="auto" w:fill="auto"/>
            <w:vAlign w:val="center"/>
          </w:tcPr>
          <w:p w14:paraId="217B75E8" w14:textId="77777777" w:rsidR="00BD42E3" w:rsidRPr="00DD72AC" w:rsidRDefault="00BD42E3" w:rsidP="00977CAD">
            <w:pPr>
              <w:keepNext/>
              <w:jc w:val="center"/>
              <w:rPr>
                <w:rFonts w:ascii="Arial Narrow" w:eastAsiaTheme="majorEastAsia" w:hAnsi="Arial Narrow" w:cstheme="majorBidi"/>
                <w:b/>
                <w:bCs/>
                <w:sz w:val="20"/>
              </w:rPr>
            </w:pPr>
            <w:r w:rsidRPr="00DD72AC">
              <w:rPr>
                <w:rFonts w:ascii="Arial Narrow" w:eastAsiaTheme="majorEastAsia" w:hAnsi="Arial Narrow" w:cstheme="majorBidi"/>
                <w:bCs/>
                <w:sz w:val="20"/>
              </w:rPr>
              <w:t xml:space="preserve">15 </w:t>
            </w:r>
            <w:r w:rsidRPr="00DD72AC">
              <w:rPr>
                <w:rFonts w:ascii="Arial Narrow" w:eastAsiaTheme="majorEastAsia" w:hAnsi="Arial Narrow" w:cs="Calibri"/>
                <w:bCs/>
                <w:sz w:val="20"/>
              </w:rPr>
              <w:t>µ</w:t>
            </w:r>
            <w:r w:rsidRPr="00DD72AC">
              <w:rPr>
                <w:rFonts w:ascii="Arial Narrow" w:eastAsiaTheme="majorEastAsia" w:hAnsi="Arial Narrow" w:cstheme="majorBidi"/>
                <w:bCs/>
                <w:sz w:val="20"/>
              </w:rPr>
              <w:t>g/kg (for &gt;2 years)</w:t>
            </w:r>
          </w:p>
        </w:tc>
        <w:tc>
          <w:tcPr>
            <w:tcW w:w="1121" w:type="pct"/>
            <w:shd w:val="clear" w:color="auto" w:fill="auto"/>
            <w:vAlign w:val="center"/>
          </w:tcPr>
          <w:p w14:paraId="1866FC22"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30 </w:t>
            </w:r>
            <w:r w:rsidRPr="00DD72AC">
              <w:rPr>
                <w:rFonts w:ascii="Arial Narrow" w:eastAsiaTheme="majorEastAsia" w:hAnsi="Arial Narrow" w:cs="Calibri"/>
                <w:bCs/>
                <w:sz w:val="20"/>
              </w:rPr>
              <w:t>µ</w:t>
            </w:r>
            <w:r w:rsidRPr="00DD72AC">
              <w:rPr>
                <w:rFonts w:ascii="Arial Narrow" w:eastAsiaTheme="majorEastAsia" w:hAnsi="Arial Narrow" w:cstheme="majorBidi"/>
                <w:bCs/>
                <w:sz w:val="20"/>
              </w:rPr>
              <w:t>g/kg (for &lt;2 years; off-label use</w:t>
            </w:r>
            <w:r w:rsidRPr="00DD72AC">
              <w:rPr>
                <w:rFonts w:ascii="Arial Narrow" w:eastAsiaTheme="majorEastAsia" w:hAnsi="Arial Narrow" w:cstheme="majorBidi"/>
                <w:bCs/>
                <w:sz w:val="20"/>
                <w:vertAlign w:val="superscript"/>
              </w:rPr>
              <w:t>d</w:t>
            </w:r>
            <w:r w:rsidRPr="00DD72AC">
              <w:rPr>
                <w:rFonts w:ascii="Arial Narrow" w:eastAsiaTheme="majorEastAsia" w:hAnsi="Arial Narrow" w:cstheme="majorBidi"/>
                <w:bCs/>
                <w:sz w:val="20"/>
              </w:rPr>
              <w:t>)</w:t>
            </w:r>
          </w:p>
          <w:p w14:paraId="41E35654" w14:textId="77777777" w:rsidR="00BD42E3" w:rsidRPr="00DD72AC" w:rsidRDefault="00BD42E3" w:rsidP="00977CAD">
            <w:pPr>
              <w:keepNext/>
              <w:jc w:val="center"/>
              <w:rPr>
                <w:rFonts w:ascii="Arial Narrow" w:eastAsiaTheme="majorEastAsia" w:hAnsi="Arial Narrow" w:cstheme="majorBidi"/>
                <w:b/>
                <w:bCs/>
                <w:sz w:val="20"/>
              </w:rPr>
            </w:pPr>
            <w:r w:rsidRPr="00DD72AC">
              <w:rPr>
                <w:rFonts w:ascii="Arial Narrow" w:eastAsiaTheme="majorEastAsia" w:hAnsi="Arial Narrow" w:cstheme="majorBidi"/>
                <w:bCs/>
                <w:sz w:val="20"/>
              </w:rPr>
              <w:t xml:space="preserve">15 </w:t>
            </w:r>
            <w:r w:rsidRPr="00DD72AC">
              <w:rPr>
                <w:rFonts w:ascii="Arial Narrow" w:eastAsiaTheme="majorEastAsia" w:hAnsi="Arial Narrow" w:cs="Calibri"/>
                <w:bCs/>
                <w:sz w:val="20"/>
              </w:rPr>
              <w:t>µ</w:t>
            </w:r>
            <w:r w:rsidRPr="00DD72AC">
              <w:rPr>
                <w:rFonts w:ascii="Arial Narrow" w:eastAsiaTheme="majorEastAsia" w:hAnsi="Arial Narrow" w:cstheme="majorBidi"/>
                <w:bCs/>
                <w:sz w:val="20"/>
              </w:rPr>
              <w:t>g/kg (for &gt;2 years)</w:t>
            </w:r>
          </w:p>
        </w:tc>
      </w:tr>
      <w:tr w:rsidR="00BD42E3" w:rsidRPr="00DD72AC" w14:paraId="6A774B55" w14:textId="77777777" w:rsidTr="00E72443">
        <w:trPr>
          <w:cantSplit/>
        </w:trPr>
        <w:tc>
          <w:tcPr>
            <w:tcW w:w="233" w:type="pct"/>
          </w:tcPr>
          <w:p w14:paraId="76D7C083"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B</w:t>
            </w:r>
          </w:p>
        </w:tc>
        <w:tc>
          <w:tcPr>
            <w:tcW w:w="1674" w:type="pct"/>
            <w:shd w:val="clear" w:color="auto" w:fill="auto"/>
            <w:vAlign w:val="center"/>
          </w:tcPr>
          <w:p w14:paraId="4E014EAF"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Cost/script (DPMQ)</w:t>
            </w:r>
          </w:p>
        </w:tc>
        <w:tc>
          <w:tcPr>
            <w:tcW w:w="999" w:type="pct"/>
            <w:shd w:val="clear" w:color="auto" w:fill="auto"/>
            <w:vAlign w:val="center"/>
          </w:tcPr>
          <w:p w14:paraId="23347B66" w14:textId="798D1933" w:rsidR="00BD42E3" w:rsidRPr="00DD72AC" w:rsidRDefault="00BD42E3" w:rsidP="00977CAD">
            <w:pPr>
              <w:keepNext/>
              <w:jc w:val="center"/>
              <w:rPr>
                <w:rFonts w:ascii="Arial Narrow" w:eastAsiaTheme="majorEastAsia" w:hAnsi="Arial Narrow" w:cstheme="majorBidi"/>
                <w:b/>
                <w:bCs/>
                <w:sz w:val="20"/>
              </w:rPr>
            </w:pPr>
            <w:r w:rsidRPr="00DD72AC">
              <w:rPr>
                <w:rFonts w:ascii="Arial Narrow" w:eastAsiaTheme="majorEastAsia" w:hAnsi="Arial Narrow" w:cstheme="majorBidi"/>
                <w:bCs/>
                <w:sz w:val="20"/>
              </w:rPr>
              <w:t>$</w:t>
            </w:r>
            <w:r w:rsidR="00C97261" w:rsidRPr="00DA600A">
              <w:rPr>
                <w:rFonts w:ascii="Arial Narrow" w:eastAsiaTheme="majorEastAsia" w:hAnsi="Arial Narrow" w:cstheme="majorBidi" w:hint="eastAsia"/>
                <w:bCs/>
                <w:color w:val="000000"/>
                <w:w w:val="15"/>
                <w:sz w:val="20"/>
                <w:shd w:val="solid" w:color="000000" w:fill="000000"/>
                <w:fitText w:val="10" w:id="-1435791870"/>
                <w14:textFill>
                  <w14:solidFill>
                    <w14:srgbClr w14:val="000000">
                      <w14:alpha w14:val="100000"/>
                    </w14:srgbClr>
                  </w14:solidFill>
                </w14:textFill>
              </w:rPr>
              <w:t xml:space="preserve">　</w:t>
            </w:r>
            <w:r w:rsidR="00C97261" w:rsidRPr="00DA600A">
              <w:rPr>
                <w:rFonts w:ascii="Arial Narrow" w:eastAsiaTheme="majorEastAsia" w:hAnsi="Arial Narrow" w:cstheme="majorBidi"/>
                <w:bCs/>
                <w:color w:val="000000"/>
                <w:w w:val="15"/>
                <w:sz w:val="20"/>
                <w:shd w:val="solid" w:color="000000" w:fill="000000"/>
                <w:fitText w:val="10" w:id="-1435791870"/>
                <w14:textFill>
                  <w14:solidFill>
                    <w14:srgbClr w14:val="000000">
                      <w14:alpha w14:val="100000"/>
                    </w14:srgbClr>
                  </w14:solidFill>
                </w14:textFill>
              </w:rPr>
              <w:t>|</w:t>
            </w:r>
            <w:r w:rsidR="00C97261" w:rsidRPr="00DA600A">
              <w:rPr>
                <w:rFonts w:ascii="Arial Narrow" w:eastAsiaTheme="majorEastAsia" w:hAnsi="Arial Narrow" w:cstheme="majorBidi" w:hint="eastAsia"/>
                <w:bCs/>
                <w:color w:val="000000"/>
                <w:spacing w:val="-55"/>
                <w:w w:val="15"/>
                <w:sz w:val="20"/>
                <w:shd w:val="solid" w:color="000000" w:fill="000000"/>
                <w:fitText w:val="10" w:id="-1435791870"/>
                <w14:textFill>
                  <w14:solidFill>
                    <w14:srgbClr w14:val="000000">
                      <w14:alpha w14:val="100000"/>
                    </w14:srgbClr>
                  </w14:solidFill>
                </w14:textFill>
              </w:rPr>
              <w:t xml:space="preserve">　</w:t>
            </w:r>
          </w:p>
        </w:tc>
        <w:tc>
          <w:tcPr>
            <w:tcW w:w="973" w:type="pct"/>
            <w:shd w:val="clear" w:color="auto" w:fill="auto"/>
            <w:vAlign w:val="center"/>
          </w:tcPr>
          <w:p w14:paraId="2F6EBA25" w14:textId="7E2F8B35" w:rsidR="00BD42E3" w:rsidRPr="00E17AAD" w:rsidRDefault="00BD42E3" w:rsidP="00977CAD">
            <w:pPr>
              <w:keepNext/>
              <w:jc w:val="center"/>
              <w:rPr>
                <w:rFonts w:ascii="Arial Narrow" w:eastAsiaTheme="majorEastAsia" w:hAnsi="Arial Narrow" w:cstheme="majorBidi"/>
                <w:b/>
                <w:bCs/>
                <w:sz w:val="20"/>
                <w:highlight w:val="darkGray"/>
              </w:rPr>
            </w:pPr>
            <w:r w:rsidRPr="00E17AAD">
              <w:rPr>
                <w:rFonts w:ascii="Arial Narrow" w:eastAsiaTheme="majorEastAsia" w:hAnsi="Arial Narrow" w:cstheme="majorBidi"/>
                <w:bCs/>
                <w:sz w:val="20"/>
              </w:rPr>
              <w:t>$</w:t>
            </w:r>
            <w:r w:rsidR="00C97261" w:rsidRPr="00C97261">
              <w:rPr>
                <w:rFonts w:ascii="Arial Narrow" w:eastAsiaTheme="majorEastAsia" w:hAnsi="Arial Narrow" w:cstheme="majorBidi" w:hint="eastAsia"/>
                <w:bCs/>
                <w:color w:val="000000"/>
                <w:w w:val="15"/>
                <w:sz w:val="20"/>
                <w:shd w:val="solid" w:color="000000" w:fill="000000"/>
                <w:fitText w:val="30" w:id="-1435791869"/>
                <w14:textFill>
                  <w14:solidFill>
                    <w14:srgbClr w14:val="000000">
                      <w14:alpha w14:val="100000"/>
                    </w14:srgbClr>
                  </w14:solidFill>
                </w14:textFill>
              </w:rPr>
              <w:t xml:space="preserve">　</w:t>
            </w:r>
            <w:r w:rsidR="00C97261" w:rsidRPr="00C97261">
              <w:rPr>
                <w:rFonts w:ascii="Arial Narrow" w:eastAsiaTheme="majorEastAsia" w:hAnsi="Arial Narrow" w:cstheme="majorBidi"/>
                <w:bCs/>
                <w:color w:val="000000"/>
                <w:w w:val="15"/>
                <w:sz w:val="20"/>
                <w:shd w:val="solid" w:color="000000" w:fill="000000"/>
                <w:fitText w:val="30" w:id="-1435791869"/>
                <w14:textFill>
                  <w14:solidFill>
                    <w14:srgbClr w14:val="000000">
                      <w14:alpha w14:val="100000"/>
                    </w14:srgbClr>
                  </w14:solidFill>
                </w14:textFill>
              </w:rPr>
              <w:t>|</w:t>
            </w:r>
            <w:r w:rsidR="00C97261" w:rsidRPr="00C97261">
              <w:rPr>
                <w:rFonts w:ascii="Arial Narrow" w:eastAsiaTheme="majorEastAsia" w:hAnsi="Arial Narrow" w:cstheme="majorBidi" w:hint="eastAsia"/>
                <w:bCs/>
                <w:color w:val="000000"/>
                <w:spacing w:val="-35"/>
                <w:w w:val="15"/>
                <w:sz w:val="20"/>
                <w:shd w:val="solid" w:color="000000" w:fill="000000"/>
                <w:fitText w:val="30" w:id="-1435791869"/>
                <w14:textFill>
                  <w14:solidFill>
                    <w14:srgbClr w14:val="000000">
                      <w14:alpha w14:val="100000"/>
                    </w14:srgbClr>
                  </w14:solidFill>
                </w14:textFill>
              </w:rPr>
              <w:t xml:space="preserve">　</w:t>
            </w:r>
          </w:p>
        </w:tc>
        <w:tc>
          <w:tcPr>
            <w:tcW w:w="1121" w:type="pct"/>
            <w:shd w:val="clear" w:color="auto" w:fill="auto"/>
            <w:vAlign w:val="center"/>
          </w:tcPr>
          <w:p w14:paraId="45E7D8DC" w14:textId="3B44448A" w:rsidR="00BD42E3" w:rsidRPr="00E17AAD" w:rsidRDefault="00BD42E3" w:rsidP="00977CAD">
            <w:pPr>
              <w:keepNext/>
              <w:jc w:val="center"/>
              <w:rPr>
                <w:rFonts w:ascii="Arial Narrow" w:eastAsiaTheme="majorEastAsia" w:hAnsi="Arial Narrow" w:cstheme="majorBidi"/>
                <w:b/>
                <w:bCs/>
                <w:sz w:val="20"/>
                <w:highlight w:val="darkGray"/>
              </w:rPr>
            </w:pPr>
            <w:r w:rsidRPr="00E17AAD">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BD42E3" w:rsidRPr="00DD72AC" w14:paraId="53031003" w14:textId="77777777" w:rsidTr="00E72443">
        <w:trPr>
          <w:cantSplit/>
        </w:trPr>
        <w:tc>
          <w:tcPr>
            <w:tcW w:w="233" w:type="pct"/>
          </w:tcPr>
          <w:p w14:paraId="7D91ECCB"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C</w:t>
            </w:r>
          </w:p>
        </w:tc>
        <w:tc>
          <w:tcPr>
            <w:tcW w:w="1674" w:type="pct"/>
            <w:shd w:val="clear" w:color="auto" w:fill="auto"/>
            <w:vAlign w:val="center"/>
          </w:tcPr>
          <w:p w14:paraId="62361DAE"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Doses per year (full compliance)</w:t>
            </w:r>
          </w:p>
        </w:tc>
        <w:tc>
          <w:tcPr>
            <w:tcW w:w="999" w:type="pct"/>
            <w:shd w:val="clear" w:color="auto" w:fill="auto"/>
            <w:vAlign w:val="center"/>
          </w:tcPr>
          <w:p w14:paraId="511D98D1"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365.25</w:t>
            </w:r>
          </w:p>
        </w:tc>
        <w:tc>
          <w:tcPr>
            <w:tcW w:w="973" w:type="pct"/>
            <w:shd w:val="clear" w:color="auto" w:fill="auto"/>
            <w:vAlign w:val="center"/>
          </w:tcPr>
          <w:p w14:paraId="777C6662"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365.25</w:t>
            </w:r>
          </w:p>
        </w:tc>
        <w:tc>
          <w:tcPr>
            <w:tcW w:w="1121" w:type="pct"/>
            <w:shd w:val="clear" w:color="auto" w:fill="auto"/>
            <w:vAlign w:val="center"/>
          </w:tcPr>
          <w:p w14:paraId="7A70C358" w14:textId="77777777" w:rsidR="00BD42E3" w:rsidRPr="00DD72AC" w:rsidRDefault="00BD42E3" w:rsidP="00977CAD">
            <w:pPr>
              <w:keepNext/>
              <w:jc w:val="center"/>
              <w:rPr>
                <w:rFonts w:ascii="Arial Narrow" w:eastAsiaTheme="majorEastAsia" w:hAnsi="Arial Narrow" w:cstheme="majorBidi"/>
                <w:b/>
                <w:bCs/>
                <w:sz w:val="20"/>
              </w:rPr>
            </w:pPr>
            <w:r w:rsidRPr="00DD72AC">
              <w:rPr>
                <w:rFonts w:ascii="Arial Narrow" w:eastAsiaTheme="majorEastAsia" w:hAnsi="Arial Narrow" w:cstheme="majorBidi"/>
                <w:bCs/>
                <w:sz w:val="20"/>
              </w:rPr>
              <w:t>365.25</w:t>
            </w:r>
          </w:p>
        </w:tc>
      </w:tr>
      <w:tr w:rsidR="00BD42E3" w:rsidRPr="00DD72AC" w14:paraId="0AC550AE" w14:textId="77777777" w:rsidTr="00E72443">
        <w:trPr>
          <w:cantSplit/>
        </w:trPr>
        <w:tc>
          <w:tcPr>
            <w:tcW w:w="233" w:type="pct"/>
          </w:tcPr>
          <w:p w14:paraId="378A2579"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D</w:t>
            </w:r>
          </w:p>
        </w:tc>
        <w:tc>
          <w:tcPr>
            <w:tcW w:w="1674" w:type="pct"/>
            <w:shd w:val="clear" w:color="auto" w:fill="auto"/>
            <w:vAlign w:val="center"/>
          </w:tcPr>
          <w:p w14:paraId="49CC5964"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Annual compliance</w:t>
            </w:r>
          </w:p>
        </w:tc>
        <w:tc>
          <w:tcPr>
            <w:tcW w:w="999" w:type="pct"/>
            <w:shd w:val="clear" w:color="auto" w:fill="auto"/>
            <w:vAlign w:val="center"/>
          </w:tcPr>
          <w:p w14:paraId="3F8E2147"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98.8%</w:t>
            </w:r>
          </w:p>
        </w:tc>
        <w:tc>
          <w:tcPr>
            <w:tcW w:w="973" w:type="pct"/>
            <w:shd w:val="clear" w:color="auto" w:fill="auto"/>
            <w:vAlign w:val="center"/>
          </w:tcPr>
          <w:p w14:paraId="4A9F735D"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98.8%</w:t>
            </w:r>
          </w:p>
        </w:tc>
        <w:tc>
          <w:tcPr>
            <w:tcW w:w="1121" w:type="pct"/>
            <w:shd w:val="clear" w:color="auto" w:fill="auto"/>
            <w:vAlign w:val="center"/>
          </w:tcPr>
          <w:p w14:paraId="62199711" w14:textId="77777777" w:rsidR="00BD42E3" w:rsidRPr="00DD72AC" w:rsidRDefault="00BD42E3" w:rsidP="00977CAD">
            <w:pPr>
              <w:keepNext/>
              <w:jc w:val="center"/>
              <w:rPr>
                <w:rFonts w:ascii="Arial Narrow" w:eastAsiaTheme="majorEastAsia" w:hAnsi="Arial Narrow" w:cstheme="majorBidi"/>
                <w:b/>
                <w:bCs/>
                <w:sz w:val="20"/>
              </w:rPr>
            </w:pPr>
            <w:r w:rsidRPr="00DD72AC">
              <w:rPr>
                <w:rFonts w:ascii="Arial Narrow" w:eastAsiaTheme="majorEastAsia" w:hAnsi="Arial Narrow" w:cstheme="majorBidi"/>
                <w:bCs/>
                <w:sz w:val="20"/>
              </w:rPr>
              <w:t>98.8%</w:t>
            </w:r>
          </w:p>
        </w:tc>
      </w:tr>
      <w:tr w:rsidR="00BD42E3" w:rsidRPr="00DD72AC" w14:paraId="70EE81EA" w14:textId="77777777" w:rsidTr="00E72443">
        <w:trPr>
          <w:cantSplit/>
        </w:trPr>
        <w:tc>
          <w:tcPr>
            <w:tcW w:w="233" w:type="pct"/>
          </w:tcPr>
          <w:p w14:paraId="4EB4CD18"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E</w:t>
            </w:r>
          </w:p>
        </w:tc>
        <w:tc>
          <w:tcPr>
            <w:tcW w:w="1674" w:type="pct"/>
            <w:shd w:val="clear" w:color="auto" w:fill="auto"/>
            <w:vAlign w:val="center"/>
          </w:tcPr>
          <w:p w14:paraId="092D002B"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Doses per year (compliance adjusted) </w:t>
            </w:r>
            <w:r w:rsidRPr="00DD72AC">
              <w:rPr>
                <w:rFonts w:ascii="Arial Narrow" w:eastAsiaTheme="majorEastAsia" w:hAnsi="Arial Narrow" w:cstheme="majorBidi"/>
                <w:bCs/>
                <w:sz w:val="20"/>
                <w:vertAlign w:val="superscript"/>
              </w:rPr>
              <w:t>b</w:t>
            </w:r>
          </w:p>
        </w:tc>
        <w:tc>
          <w:tcPr>
            <w:tcW w:w="999" w:type="pct"/>
            <w:shd w:val="clear" w:color="auto" w:fill="auto"/>
            <w:vAlign w:val="center"/>
          </w:tcPr>
          <w:p w14:paraId="1E6C1B0F"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360.7</w:t>
            </w:r>
          </w:p>
        </w:tc>
        <w:tc>
          <w:tcPr>
            <w:tcW w:w="973" w:type="pct"/>
            <w:shd w:val="clear" w:color="auto" w:fill="auto"/>
            <w:vAlign w:val="center"/>
          </w:tcPr>
          <w:p w14:paraId="3456D316"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360.7</w:t>
            </w:r>
          </w:p>
        </w:tc>
        <w:tc>
          <w:tcPr>
            <w:tcW w:w="1121" w:type="pct"/>
            <w:shd w:val="clear" w:color="auto" w:fill="auto"/>
            <w:vAlign w:val="center"/>
          </w:tcPr>
          <w:p w14:paraId="01ECB528"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360.7</w:t>
            </w:r>
          </w:p>
        </w:tc>
      </w:tr>
      <w:tr w:rsidR="00BD42E3" w:rsidRPr="00DD72AC" w14:paraId="689B8875" w14:textId="77777777" w:rsidTr="00E72443">
        <w:trPr>
          <w:cantSplit/>
        </w:trPr>
        <w:tc>
          <w:tcPr>
            <w:tcW w:w="233" w:type="pct"/>
          </w:tcPr>
          <w:p w14:paraId="08FAEBAB"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F</w:t>
            </w:r>
          </w:p>
        </w:tc>
        <w:tc>
          <w:tcPr>
            <w:tcW w:w="1674" w:type="pct"/>
            <w:shd w:val="clear" w:color="auto" w:fill="auto"/>
            <w:vAlign w:val="center"/>
          </w:tcPr>
          <w:p w14:paraId="1D2FBAB1"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Doses per script</w:t>
            </w:r>
          </w:p>
        </w:tc>
        <w:tc>
          <w:tcPr>
            <w:tcW w:w="999" w:type="pct"/>
            <w:shd w:val="clear" w:color="auto" w:fill="auto"/>
            <w:vAlign w:val="center"/>
          </w:tcPr>
          <w:p w14:paraId="4B19DB49"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30</w:t>
            </w:r>
          </w:p>
        </w:tc>
        <w:tc>
          <w:tcPr>
            <w:tcW w:w="973" w:type="pct"/>
            <w:shd w:val="clear" w:color="auto" w:fill="auto"/>
            <w:vAlign w:val="center"/>
          </w:tcPr>
          <w:p w14:paraId="39FE6832"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30</w:t>
            </w:r>
          </w:p>
        </w:tc>
        <w:tc>
          <w:tcPr>
            <w:tcW w:w="1121" w:type="pct"/>
            <w:shd w:val="clear" w:color="auto" w:fill="auto"/>
            <w:vAlign w:val="center"/>
          </w:tcPr>
          <w:p w14:paraId="6FF0167C"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30</w:t>
            </w:r>
          </w:p>
        </w:tc>
      </w:tr>
      <w:tr w:rsidR="00BD42E3" w:rsidRPr="00DD72AC" w14:paraId="57A2963C" w14:textId="77777777" w:rsidTr="00E72443">
        <w:trPr>
          <w:cantSplit/>
        </w:trPr>
        <w:tc>
          <w:tcPr>
            <w:tcW w:w="233" w:type="pct"/>
          </w:tcPr>
          <w:p w14:paraId="31CEE29F"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G</w:t>
            </w:r>
          </w:p>
        </w:tc>
        <w:tc>
          <w:tcPr>
            <w:tcW w:w="1674" w:type="pct"/>
            <w:shd w:val="clear" w:color="auto" w:fill="auto"/>
            <w:vAlign w:val="center"/>
          </w:tcPr>
          <w:p w14:paraId="68D8B9BD"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Scripts per year </w:t>
            </w:r>
            <w:r w:rsidRPr="00DD72AC">
              <w:rPr>
                <w:rFonts w:ascii="Arial Narrow" w:eastAsiaTheme="majorEastAsia" w:hAnsi="Arial Narrow" w:cstheme="majorBidi"/>
                <w:bCs/>
                <w:sz w:val="20"/>
                <w:vertAlign w:val="superscript"/>
              </w:rPr>
              <w:t>c</w:t>
            </w:r>
          </w:p>
        </w:tc>
        <w:tc>
          <w:tcPr>
            <w:tcW w:w="999" w:type="pct"/>
            <w:shd w:val="clear" w:color="auto" w:fill="auto"/>
            <w:vAlign w:val="center"/>
          </w:tcPr>
          <w:p w14:paraId="5D5A688A"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12.02</w:t>
            </w:r>
          </w:p>
        </w:tc>
        <w:tc>
          <w:tcPr>
            <w:tcW w:w="973" w:type="pct"/>
            <w:shd w:val="clear" w:color="auto" w:fill="auto"/>
            <w:vAlign w:val="center"/>
          </w:tcPr>
          <w:p w14:paraId="70697103"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12.02</w:t>
            </w:r>
          </w:p>
        </w:tc>
        <w:tc>
          <w:tcPr>
            <w:tcW w:w="1121" w:type="pct"/>
            <w:shd w:val="clear" w:color="auto" w:fill="auto"/>
            <w:vAlign w:val="center"/>
          </w:tcPr>
          <w:p w14:paraId="18217C19"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12.02</w:t>
            </w:r>
          </w:p>
        </w:tc>
      </w:tr>
      <w:tr w:rsidR="00BD42E3" w:rsidRPr="00DD72AC" w14:paraId="636DC504" w14:textId="77777777" w:rsidTr="00E72443">
        <w:trPr>
          <w:cantSplit/>
        </w:trPr>
        <w:tc>
          <w:tcPr>
            <w:tcW w:w="233" w:type="pct"/>
          </w:tcPr>
          <w:p w14:paraId="136A5CC2"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H</w:t>
            </w:r>
          </w:p>
        </w:tc>
        <w:tc>
          <w:tcPr>
            <w:tcW w:w="1674" w:type="pct"/>
            <w:shd w:val="clear" w:color="auto" w:fill="auto"/>
            <w:vAlign w:val="center"/>
          </w:tcPr>
          <w:p w14:paraId="72753399"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Cost/patient/month</w:t>
            </w:r>
          </w:p>
        </w:tc>
        <w:tc>
          <w:tcPr>
            <w:tcW w:w="999" w:type="pct"/>
            <w:shd w:val="clear" w:color="auto" w:fill="auto"/>
            <w:vAlign w:val="center"/>
          </w:tcPr>
          <w:p w14:paraId="15496C78" w14:textId="4CF4E0A5"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DA600A">
              <w:rPr>
                <w:rFonts w:ascii="Arial Narrow" w:eastAsiaTheme="majorEastAsia" w:hAnsi="Arial Narrow" w:cstheme="majorBidi" w:hint="eastAsia"/>
                <w:bCs/>
                <w:color w:val="000000"/>
                <w:w w:val="15"/>
                <w:sz w:val="20"/>
                <w:shd w:val="solid" w:color="000000" w:fill="000000"/>
                <w:fitText w:val="10" w:id="-1435791868"/>
                <w14:textFill>
                  <w14:solidFill>
                    <w14:srgbClr w14:val="000000">
                      <w14:alpha w14:val="100000"/>
                    </w14:srgbClr>
                  </w14:solidFill>
                </w14:textFill>
              </w:rPr>
              <w:t xml:space="preserve">　</w:t>
            </w:r>
            <w:r w:rsidR="00C97261" w:rsidRPr="00DA600A">
              <w:rPr>
                <w:rFonts w:ascii="Arial Narrow" w:eastAsiaTheme="majorEastAsia" w:hAnsi="Arial Narrow" w:cstheme="majorBidi"/>
                <w:bCs/>
                <w:color w:val="000000"/>
                <w:w w:val="15"/>
                <w:sz w:val="20"/>
                <w:shd w:val="solid" w:color="000000" w:fill="000000"/>
                <w:fitText w:val="10" w:id="-1435791868"/>
                <w14:textFill>
                  <w14:solidFill>
                    <w14:srgbClr w14:val="000000">
                      <w14:alpha w14:val="100000"/>
                    </w14:srgbClr>
                  </w14:solidFill>
                </w14:textFill>
              </w:rPr>
              <w:t>|</w:t>
            </w:r>
            <w:r w:rsidR="00C97261" w:rsidRPr="00DA600A">
              <w:rPr>
                <w:rFonts w:ascii="Arial Narrow" w:eastAsiaTheme="majorEastAsia" w:hAnsi="Arial Narrow" w:cstheme="majorBidi" w:hint="eastAsia"/>
                <w:bCs/>
                <w:color w:val="000000"/>
                <w:spacing w:val="-55"/>
                <w:w w:val="15"/>
                <w:sz w:val="20"/>
                <w:shd w:val="solid" w:color="000000" w:fill="000000"/>
                <w:fitText w:val="10" w:id="-1435791868"/>
                <w14:textFill>
                  <w14:solidFill>
                    <w14:srgbClr w14:val="000000">
                      <w14:alpha w14:val="100000"/>
                    </w14:srgbClr>
                  </w14:solidFill>
                </w14:textFill>
              </w:rPr>
              <w:t xml:space="preserve">　</w:t>
            </w:r>
          </w:p>
        </w:tc>
        <w:tc>
          <w:tcPr>
            <w:tcW w:w="973" w:type="pct"/>
            <w:shd w:val="clear" w:color="auto" w:fill="auto"/>
            <w:vAlign w:val="center"/>
          </w:tcPr>
          <w:p w14:paraId="3CD3030C" w14:textId="2A48064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hint="eastAsia"/>
                <w:bCs/>
                <w:color w:val="000000"/>
                <w:w w:val="15"/>
                <w:sz w:val="20"/>
                <w:shd w:val="solid" w:color="000000" w:fill="000000"/>
                <w:fitText w:val="30" w:id="-1435791867"/>
                <w14:textFill>
                  <w14:solidFill>
                    <w14:srgbClr w14:val="000000">
                      <w14:alpha w14:val="100000"/>
                    </w14:srgbClr>
                  </w14:solidFill>
                </w14:textFill>
              </w:rPr>
              <w:t xml:space="preserve">　</w:t>
            </w:r>
            <w:r w:rsidR="00C97261" w:rsidRPr="00C97261">
              <w:rPr>
                <w:rFonts w:ascii="Arial Narrow" w:eastAsiaTheme="majorEastAsia" w:hAnsi="Arial Narrow" w:cstheme="majorBidi"/>
                <w:bCs/>
                <w:color w:val="000000"/>
                <w:w w:val="15"/>
                <w:sz w:val="20"/>
                <w:shd w:val="solid" w:color="000000" w:fill="000000"/>
                <w:fitText w:val="30" w:id="-1435791867"/>
                <w14:textFill>
                  <w14:solidFill>
                    <w14:srgbClr w14:val="000000">
                      <w14:alpha w14:val="100000"/>
                    </w14:srgbClr>
                  </w14:solidFill>
                </w14:textFill>
              </w:rPr>
              <w:t>|</w:t>
            </w:r>
            <w:r w:rsidR="00C97261" w:rsidRPr="00C97261">
              <w:rPr>
                <w:rFonts w:ascii="Arial Narrow" w:eastAsiaTheme="majorEastAsia" w:hAnsi="Arial Narrow" w:cstheme="majorBidi" w:hint="eastAsia"/>
                <w:bCs/>
                <w:color w:val="000000"/>
                <w:spacing w:val="-35"/>
                <w:w w:val="15"/>
                <w:sz w:val="20"/>
                <w:shd w:val="solid" w:color="000000" w:fill="000000"/>
                <w:fitText w:val="30" w:id="-1435791867"/>
                <w14:textFill>
                  <w14:solidFill>
                    <w14:srgbClr w14:val="000000">
                      <w14:alpha w14:val="100000"/>
                    </w14:srgbClr>
                  </w14:solidFill>
                </w14:textFill>
              </w:rPr>
              <w:t xml:space="preserve">　</w:t>
            </w:r>
          </w:p>
        </w:tc>
        <w:tc>
          <w:tcPr>
            <w:tcW w:w="1121" w:type="pct"/>
            <w:shd w:val="clear" w:color="auto" w:fill="auto"/>
            <w:vAlign w:val="center"/>
          </w:tcPr>
          <w:p w14:paraId="0628B9D5" w14:textId="32F8EA2B"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BD42E3" w:rsidRPr="00DD72AC" w14:paraId="00690A0E" w14:textId="77777777" w:rsidTr="00E72443">
        <w:trPr>
          <w:cantSplit/>
        </w:trPr>
        <w:tc>
          <w:tcPr>
            <w:tcW w:w="233" w:type="pct"/>
          </w:tcPr>
          <w:p w14:paraId="052C23D7"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I</w:t>
            </w:r>
          </w:p>
        </w:tc>
        <w:tc>
          <w:tcPr>
            <w:tcW w:w="1674" w:type="pct"/>
            <w:shd w:val="clear" w:color="auto" w:fill="auto"/>
            <w:vAlign w:val="center"/>
          </w:tcPr>
          <w:p w14:paraId="0967AC7A"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Cost/patient/year </w:t>
            </w:r>
          </w:p>
        </w:tc>
        <w:tc>
          <w:tcPr>
            <w:tcW w:w="999" w:type="pct"/>
            <w:shd w:val="clear" w:color="auto" w:fill="auto"/>
            <w:vAlign w:val="center"/>
          </w:tcPr>
          <w:p w14:paraId="69506EBA" w14:textId="4300D4AA"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DA600A">
              <w:rPr>
                <w:rFonts w:ascii="Arial Narrow" w:eastAsiaTheme="majorEastAsia" w:hAnsi="Arial Narrow" w:cstheme="majorBidi" w:hint="eastAsia"/>
                <w:bCs/>
                <w:color w:val="000000"/>
                <w:w w:val="15"/>
                <w:sz w:val="20"/>
                <w:shd w:val="solid" w:color="000000" w:fill="000000"/>
                <w:fitText w:val="10" w:id="-1435791866"/>
                <w14:textFill>
                  <w14:solidFill>
                    <w14:srgbClr w14:val="000000">
                      <w14:alpha w14:val="100000"/>
                    </w14:srgbClr>
                  </w14:solidFill>
                </w14:textFill>
              </w:rPr>
              <w:t xml:space="preserve">　</w:t>
            </w:r>
            <w:r w:rsidR="00C97261" w:rsidRPr="00DA600A">
              <w:rPr>
                <w:rFonts w:ascii="Arial Narrow" w:eastAsiaTheme="majorEastAsia" w:hAnsi="Arial Narrow" w:cstheme="majorBidi"/>
                <w:bCs/>
                <w:color w:val="000000"/>
                <w:w w:val="15"/>
                <w:sz w:val="20"/>
                <w:shd w:val="solid" w:color="000000" w:fill="000000"/>
                <w:fitText w:val="10" w:id="-1435791866"/>
                <w14:textFill>
                  <w14:solidFill>
                    <w14:srgbClr w14:val="000000">
                      <w14:alpha w14:val="100000"/>
                    </w14:srgbClr>
                  </w14:solidFill>
                </w14:textFill>
              </w:rPr>
              <w:t>|</w:t>
            </w:r>
            <w:r w:rsidR="00C97261" w:rsidRPr="00DA600A">
              <w:rPr>
                <w:rFonts w:ascii="Arial Narrow" w:eastAsiaTheme="majorEastAsia" w:hAnsi="Arial Narrow" w:cstheme="majorBidi" w:hint="eastAsia"/>
                <w:bCs/>
                <w:color w:val="000000"/>
                <w:spacing w:val="-55"/>
                <w:w w:val="15"/>
                <w:sz w:val="20"/>
                <w:shd w:val="solid" w:color="000000" w:fill="000000"/>
                <w:fitText w:val="10" w:id="-1435791866"/>
                <w14:textFill>
                  <w14:solidFill>
                    <w14:srgbClr w14:val="000000">
                      <w14:alpha w14:val="100000"/>
                    </w14:srgbClr>
                  </w14:solidFill>
                </w14:textFill>
              </w:rPr>
              <w:t xml:space="preserve">　</w:t>
            </w:r>
          </w:p>
        </w:tc>
        <w:tc>
          <w:tcPr>
            <w:tcW w:w="973" w:type="pct"/>
            <w:shd w:val="clear" w:color="auto" w:fill="auto"/>
            <w:vAlign w:val="center"/>
          </w:tcPr>
          <w:p w14:paraId="4DB4CE6E" w14:textId="537D972F"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hint="eastAsia"/>
                <w:bCs/>
                <w:color w:val="000000"/>
                <w:w w:val="15"/>
                <w:sz w:val="20"/>
                <w:shd w:val="solid" w:color="000000" w:fill="000000"/>
                <w:fitText w:val="30" w:id="-1435791865"/>
                <w14:textFill>
                  <w14:solidFill>
                    <w14:srgbClr w14:val="000000">
                      <w14:alpha w14:val="100000"/>
                    </w14:srgbClr>
                  </w14:solidFill>
                </w14:textFill>
              </w:rPr>
              <w:t xml:space="preserve">　</w:t>
            </w:r>
            <w:r w:rsidR="00C97261" w:rsidRPr="00C97261">
              <w:rPr>
                <w:rFonts w:ascii="Arial Narrow" w:eastAsiaTheme="majorEastAsia" w:hAnsi="Arial Narrow" w:cstheme="majorBidi"/>
                <w:bCs/>
                <w:color w:val="000000"/>
                <w:w w:val="15"/>
                <w:sz w:val="20"/>
                <w:shd w:val="solid" w:color="000000" w:fill="000000"/>
                <w:fitText w:val="30" w:id="-1435791865"/>
                <w14:textFill>
                  <w14:solidFill>
                    <w14:srgbClr w14:val="000000">
                      <w14:alpha w14:val="100000"/>
                    </w14:srgbClr>
                  </w14:solidFill>
                </w14:textFill>
              </w:rPr>
              <w:t>|</w:t>
            </w:r>
            <w:r w:rsidR="00C97261" w:rsidRPr="00C97261">
              <w:rPr>
                <w:rFonts w:ascii="Arial Narrow" w:eastAsiaTheme="majorEastAsia" w:hAnsi="Arial Narrow" w:cstheme="majorBidi" w:hint="eastAsia"/>
                <w:bCs/>
                <w:color w:val="000000"/>
                <w:spacing w:val="-35"/>
                <w:w w:val="15"/>
                <w:sz w:val="20"/>
                <w:shd w:val="solid" w:color="000000" w:fill="000000"/>
                <w:fitText w:val="30" w:id="-1435791865"/>
                <w14:textFill>
                  <w14:solidFill>
                    <w14:srgbClr w14:val="000000">
                      <w14:alpha w14:val="100000"/>
                    </w14:srgbClr>
                  </w14:solidFill>
                </w14:textFill>
              </w:rPr>
              <w:t xml:space="preserve">　</w:t>
            </w:r>
          </w:p>
        </w:tc>
        <w:tc>
          <w:tcPr>
            <w:tcW w:w="1121" w:type="pct"/>
            <w:shd w:val="clear" w:color="auto" w:fill="auto"/>
            <w:vAlign w:val="center"/>
          </w:tcPr>
          <w:p w14:paraId="2C602B47" w14:textId="485AEF4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bl>
    <w:p w14:paraId="58B36498"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Compiled during evaluation based on data from the submission and Table 93, p193 of the submission.</w:t>
      </w:r>
    </w:p>
    <w:p w14:paraId="75270D2F"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Abbreviations: BSC = best supportive care; DPMQ = dispensed price per maximum quantity; N/A = not applicable; </w:t>
      </w:r>
      <w:r w:rsidRPr="00DD72AC">
        <w:rPr>
          <w:rFonts w:ascii="Arial Narrow" w:eastAsia="Times New Roman" w:hAnsi="Arial Narrow" w:cs="Calibri"/>
          <w:snapToGrid w:val="0"/>
          <w:sz w:val="18"/>
          <w:szCs w:val="22"/>
        </w:rPr>
        <w:t>µ</w:t>
      </w:r>
      <w:r w:rsidRPr="00DD72AC">
        <w:rPr>
          <w:rFonts w:ascii="Arial Narrow" w:eastAsia="Times New Roman" w:hAnsi="Arial Narrow"/>
          <w:snapToGrid w:val="0"/>
          <w:sz w:val="18"/>
          <w:szCs w:val="22"/>
        </w:rPr>
        <w:t xml:space="preserve">g = microgram. </w:t>
      </w:r>
    </w:p>
    <w:p w14:paraId="581CFCA1" w14:textId="77777777" w:rsidR="00F24CD0"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Notes: </w:t>
      </w:r>
    </w:p>
    <w:p w14:paraId="7631B6DD" w14:textId="0CF70BCC"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a. Weight band dosing is recommended for vosoritide based on a usual dose of 30 µg/kg for patients aged less than two years old and </w:t>
      </w:r>
      <w:r w:rsidR="000811D1" w:rsidRPr="00DD72AC">
        <w:rPr>
          <w:rFonts w:ascii="Arial Narrow" w:eastAsia="Times New Roman" w:hAnsi="Arial Narrow"/>
          <w:snapToGrid w:val="0"/>
          <w:sz w:val="18"/>
          <w:szCs w:val="22"/>
        </w:rPr>
        <w:t>15</w:t>
      </w:r>
      <w:r w:rsidR="000811D1">
        <w:rPr>
          <w:rFonts w:ascii="Arial Narrow" w:eastAsia="Times New Roman" w:hAnsi="Arial Narrow"/>
          <w:snapToGrid w:val="0"/>
          <w:sz w:val="18"/>
          <w:szCs w:val="22"/>
        </w:rPr>
        <w:t> </w:t>
      </w:r>
      <w:r w:rsidRPr="00DD72AC">
        <w:rPr>
          <w:rFonts w:ascii="Arial Narrow" w:eastAsia="Times New Roman" w:hAnsi="Arial Narrow"/>
          <w:snapToGrid w:val="0"/>
          <w:sz w:val="18"/>
          <w:szCs w:val="22"/>
        </w:rPr>
        <w:t xml:space="preserve">µg/kg for patients aged two and above. </w:t>
      </w:r>
    </w:p>
    <w:p w14:paraId="6C41209D"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b. C*D.</w:t>
      </w:r>
    </w:p>
    <w:p w14:paraId="198D0945"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c. E/F</w:t>
      </w:r>
    </w:p>
    <w:p w14:paraId="52A954A3"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d. The proposed TGA indication for vosoritide is for the treatment of achondroplasia in patients 2 years of age and older whose epiphyses are not closed.</w:t>
      </w:r>
    </w:p>
    <w:p w14:paraId="4520D060" w14:textId="77777777" w:rsidR="00BD42E3" w:rsidRPr="00DD72AC" w:rsidRDefault="00BD42E3" w:rsidP="00FC2E66">
      <w:pPr>
        <w:pStyle w:val="4-SubsectionHeading"/>
      </w:pPr>
      <w:bookmarkStart w:id="69" w:name="_Toc22897647"/>
      <w:bookmarkStart w:id="70" w:name="_Toc103776187"/>
      <w:r w:rsidRPr="00DD72AC">
        <w:t>Estimated PBS usage &amp; financial implications</w:t>
      </w:r>
      <w:bookmarkEnd w:id="69"/>
      <w:bookmarkEnd w:id="70"/>
    </w:p>
    <w:p w14:paraId="5E8F3994" w14:textId="179C503E" w:rsidR="00485FE1" w:rsidRPr="00DD72AC" w:rsidRDefault="00485FE1" w:rsidP="00485FE1">
      <w:pPr>
        <w:numPr>
          <w:ilvl w:val="1"/>
          <w:numId w:val="1"/>
        </w:numPr>
        <w:spacing w:after="120"/>
        <w:rPr>
          <w:rFonts w:asciiTheme="minorHAnsi" w:eastAsia="Times New Roman" w:hAnsiTheme="minorHAnsi"/>
          <w:snapToGrid w:val="0"/>
        </w:rPr>
      </w:pPr>
      <w:bookmarkStart w:id="71" w:name="_Toc22897648"/>
      <w:bookmarkStart w:id="72" w:name="_Toc103776188"/>
      <w:r w:rsidRPr="00DD72AC">
        <w:rPr>
          <w:rFonts w:asciiTheme="minorHAnsi" w:eastAsia="Times New Roman" w:hAnsiTheme="minorHAnsi"/>
          <w:snapToGrid w:val="0"/>
        </w:rPr>
        <w:t>This submission was considered by DUSC.</w:t>
      </w:r>
    </w:p>
    <w:p w14:paraId="37A0BA82" w14:textId="5DFEFB72" w:rsidR="00485FE1" w:rsidRPr="00DD72AC" w:rsidRDefault="00485FE1" w:rsidP="00485FE1">
      <w:pPr>
        <w:numPr>
          <w:ilvl w:val="1"/>
          <w:numId w:val="1"/>
        </w:numPr>
        <w:spacing w:after="120"/>
        <w:rPr>
          <w:rFonts w:asciiTheme="minorHAnsi" w:eastAsia="Times New Roman" w:hAnsiTheme="minorHAnsi"/>
          <w:snapToGrid w:val="0"/>
          <w:color w:val="0066FF"/>
        </w:rPr>
      </w:pPr>
      <w:r w:rsidRPr="00DD72AC">
        <w:rPr>
          <w:rFonts w:asciiTheme="minorHAnsi" w:eastAsia="Times New Roman" w:hAnsiTheme="minorHAnsi"/>
          <w:snapToGrid w:val="0"/>
        </w:rPr>
        <w:lastRenderedPageBreak/>
        <w:t xml:space="preserve">The submission used an epidemiological approach to estimate the financial implications associated with the proposed listing of vosoritide, for the treatment of patients with achondroplasia, prior to growth plate closure. </w:t>
      </w:r>
      <w:r w:rsidR="005945A8" w:rsidRPr="00DD72AC">
        <w:rPr>
          <w:rFonts w:asciiTheme="minorHAnsi" w:eastAsia="Times New Roman" w:hAnsiTheme="minorHAnsi"/>
          <w:snapToGrid w:val="0"/>
        </w:rPr>
        <w:t>The evaluation considered t</w:t>
      </w:r>
      <w:r w:rsidRPr="00DD72AC">
        <w:rPr>
          <w:rFonts w:asciiTheme="minorHAnsi" w:eastAsia="Times New Roman" w:hAnsiTheme="minorHAnsi"/>
          <w:snapToGrid w:val="0"/>
        </w:rPr>
        <w:t xml:space="preserve">his </w:t>
      </w:r>
      <w:r w:rsidR="005945A8" w:rsidRPr="00DD72AC">
        <w:rPr>
          <w:rFonts w:asciiTheme="minorHAnsi" w:eastAsia="Times New Roman" w:hAnsiTheme="minorHAnsi"/>
          <w:snapToGrid w:val="0"/>
        </w:rPr>
        <w:t>wa</w:t>
      </w:r>
      <w:r w:rsidRPr="00DD72AC">
        <w:rPr>
          <w:rFonts w:asciiTheme="minorHAnsi" w:eastAsia="Times New Roman" w:hAnsiTheme="minorHAnsi"/>
          <w:snapToGrid w:val="0"/>
        </w:rPr>
        <w:t xml:space="preserve">s appropriate, given that no medicines are currently listed on the PBS for use in achondroplasia.  </w:t>
      </w:r>
    </w:p>
    <w:p w14:paraId="2C1FDB9A" w14:textId="1A012CA4" w:rsidR="00485FE1" w:rsidRPr="00DD72AC" w:rsidRDefault="00485FE1" w:rsidP="00485FE1">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key inputs used by the submission to inform the financial estimates are summarised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_Ref100702379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Table 17</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w:t>
      </w:r>
    </w:p>
    <w:p w14:paraId="5D387CA2" w14:textId="2D138B12" w:rsidR="00485FE1" w:rsidRPr="00DD72AC" w:rsidRDefault="00485FE1" w:rsidP="00485FE1">
      <w:pPr>
        <w:keepNext/>
        <w:jc w:val="left"/>
        <w:rPr>
          <w:rFonts w:ascii="Arial Narrow" w:eastAsiaTheme="majorEastAsia" w:hAnsi="Arial Narrow" w:cstheme="majorBidi"/>
          <w:b/>
          <w:sz w:val="20"/>
        </w:rPr>
      </w:pPr>
      <w:bookmarkStart w:id="73" w:name="_Ref100702379"/>
      <w:r w:rsidRPr="00DD72AC">
        <w:rPr>
          <w:rFonts w:ascii="Arial Narrow" w:eastAsiaTheme="majorEastAsia" w:hAnsi="Arial Narrow" w:cstheme="majorBidi"/>
          <w:b/>
          <w:sz w:val="20"/>
        </w:rPr>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17</w:t>
      </w:r>
      <w:r w:rsidRPr="00DD72AC">
        <w:rPr>
          <w:rFonts w:ascii="Arial Narrow" w:eastAsiaTheme="majorEastAsia" w:hAnsi="Arial Narrow" w:cstheme="majorBidi"/>
          <w:b/>
          <w:sz w:val="20"/>
        </w:rPr>
        <w:fldChar w:fldCharType="end"/>
      </w:r>
      <w:bookmarkEnd w:id="73"/>
      <w:r w:rsidRPr="00DD72AC">
        <w:rPr>
          <w:rFonts w:ascii="Arial Narrow" w:eastAsiaTheme="majorEastAsia" w:hAnsi="Arial Narrow" w:cstheme="majorBidi"/>
          <w:b/>
          <w:sz w:val="20"/>
        </w:rPr>
        <w:t>: Data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Data sources and parameter values applied in the utilisation and financial estimates"/>
      </w:tblPr>
      <w:tblGrid>
        <w:gridCol w:w="2122"/>
        <w:gridCol w:w="2409"/>
        <w:gridCol w:w="1560"/>
        <w:gridCol w:w="3089"/>
      </w:tblGrid>
      <w:tr w:rsidR="00485FE1" w:rsidRPr="00DD72AC" w14:paraId="6F1C9145" w14:textId="77777777" w:rsidTr="005945A8">
        <w:trPr>
          <w:cantSplit/>
          <w:tblHeader/>
        </w:trPr>
        <w:tc>
          <w:tcPr>
            <w:tcW w:w="2122" w:type="dxa"/>
            <w:vAlign w:val="center"/>
          </w:tcPr>
          <w:p w14:paraId="5B123CF3" w14:textId="77777777" w:rsidR="00485FE1" w:rsidRPr="00DD72AC" w:rsidRDefault="00485FE1" w:rsidP="00A96DD0">
            <w:pPr>
              <w:keepNext/>
              <w:jc w:val="left"/>
              <w:rPr>
                <w:rFonts w:ascii="Arial Narrow" w:eastAsiaTheme="majorEastAsia" w:hAnsi="Arial Narrow" w:cs="Times New Roman"/>
                <w:b/>
                <w:sz w:val="20"/>
                <w:szCs w:val="20"/>
              </w:rPr>
            </w:pPr>
            <w:r w:rsidRPr="00DD72AC">
              <w:rPr>
                <w:rFonts w:ascii="Arial Narrow" w:eastAsiaTheme="majorEastAsia" w:hAnsi="Arial Narrow" w:cs="Times New Roman"/>
                <w:b/>
                <w:sz w:val="20"/>
                <w:szCs w:val="20"/>
              </w:rPr>
              <w:t>Data</w:t>
            </w:r>
          </w:p>
        </w:tc>
        <w:tc>
          <w:tcPr>
            <w:tcW w:w="2409" w:type="dxa"/>
            <w:vAlign w:val="center"/>
          </w:tcPr>
          <w:p w14:paraId="65B917E8" w14:textId="77777777" w:rsidR="00485FE1" w:rsidRPr="00DD72AC" w:rsidRDefault="00485FE1" w:rsidP="00A96DD0">
            <w:pPr>
              <w:keepNext/>
              <w:jc w:val="left"/>
              <w:rPr>
                <w:rFonts w:ascii="Arial Narrow" w:eastAsiaTheme="majorEastAsia" w:hAnsi="Arial Narrow" w:cs="Times New Roman"/>
                <w:b/>
                <w:sz w:val="20"/>
                <w:szCs w:val="20"/>
              </w:rPr>
            </w:pPr>
            <w:r w:rsidRPr="00DD72AC">
              <w:rPr>
                <w:rFonts w:ascii="Arial Narrow" w:eastAsiaTheme="majorEastAsia" w:hAnsi="Arial Narrow" w:cs="Times New Roman"/>
                <w:b/>
                <w:sz w:val="20"/>
                <w:szCs w:val="20"/>
              </w:rPr>
              <w:t>Value</w:t>
            </w:r>
          </w:p>
        </w:tc>
        <w:tc>
          <w:tcPr>
            <w:tcW w:w="1560" w:type="dxa"/>
            <w:vAlign w:val="center"/>
          </w:tcPr>
          <w:p w14:paraId="08D71320" w14:textId="77777777" w:rsidR="00485FE1" w:rsidRPr="00DD72AC" w:rsidRDefault="00485FE1" w:rsidP="00A96DD0">
            <w:pPr>
              <w:keepNext/>
              <w:jc w:val="left"/>
              <w:rPr>
                <w:rFonts w:ascii="Arial Narrow" w:eastAsiaTheme="majorEastAsia" w:hAnsi="Arial Narrow" w:cs="Times New Roman"/>
                <w:b/>
                <w:sz w:val="20"/>
                <w:szCs w:val="20"/>
              </w:rPr>
            </w:pPr>
            <w:r w:rsidRPr="00DD72AC">
              <w:rPr>
                <w:rFonts w:ascii="Arial Narrow" w:eastAsiaTheme="majorEastAsia" w:hAnsi="Arial Narrow" w:cs="Times New Roman"/>
                <w:b/>
                <w:sz w:val="20"/>
                <w:szCs w:val="20"/>
              </w:rPr>
              <w:t>Source</w:t>
            </w:r>
          </w:p>
        </w:tc>
        <w:tc>
          <w:tcPr>
            <w:tcW w:w="3089" w:type="dxa"/>
            <w:vAlign w:val="center"/>
          </w:tcPr>
          <w:p w14:paraId="3E055F0F" w14:textId="77777777" w:rsidR="00485FE1" w:rsidRPr="00DD72AC" w:rsidRDefault="00485FE1" w:rsidP="00A96DD0">
            <w:pPr>
              <w:keepNext/>
              <w:jc w:val="left"/>
              <w:rPr>
                <w:rFonts w:ascii="Arial Narrow" w:eastAsiaTheme="majorEastAsia" w:hAnsi="Arial Narrow" w:cs="Times New Roman"/>
                <w:b/>
                <w:sz w:val="20"/>
                <w:szCs w:val="20"/>
              </w:rPr>
            </w:pPr>
            <w:r w:rsidRPr="00DD72AC">
              <w:rPr>
                <w:rFonts w:ascii="Arial Narrow" w:eastAsiaTheme="majorEastAsia" w:hAnsi="Arial Narrow" w:cs="Times New Roman"/>
                <w:b/>
                <w:sz w:val="20"/>
                <w:szCs w:val="20"/>
              </w:rPr>
              <w:t>Comment</w:t>
            </w:r>
          </w:p>
        </w:tc>
      </w:tr>
      <w:tr w:rsidR="00485FE1" w:rsidRPr="00DD72AC" w14:paraId="6D75171F" w14:textId="77777777" w:rsidTr="00A96DD0">
        <w:trPr>
          <w:cantSplit/>
        </w:trPr>
        <w:tc>
          <w:tcPr>
            <w:tcW w:w="9180" w:type="dxa"/>
            <w:gridSpan w:val="4"/>
            <w:vAlign w:val="center"/>
          </w:tcPr>
          <w:p w14:paraId="35FE0791" w14:textId="77777777" w:rsidR="00485FE1" w:rsidRPr="00DD72AC" w:rsidRDefault="00485FE1" w:rsidP="00A96DD0">
            <w:pPr>
              <w:keepNext/>
              <w:spacing w:after="120"/>
              <w:contextualSpacing/>
              <w:rPr>
                <w:rFonts w:ascii="Arial Narrow" w:eastAsia="Times New Roman" w:hAnsi="Arial Narrow"/>
                <w:b/>
                <w:bCs/>
                <w:snapToGrid w:val="0"/>
                <w:sz w:val="20"/>
                <w:szCs w:val="20"/>
              </w:rPr>
            </w:pPr>
            <w:r w:rsidRPr="00DD72AC">
              <w:rPr>
                <w:rFonts w:ascii="Arial Narrow" w:eastAsia="Times New Roman" w:hAnsi="Arial Narrow"/>
                <w:b/>
                <w:bCs/>
                <w:snapToGrid w:val="0"/>
                <w:sz w:val="20"/>
                <w:szCs w:val="20"/>
              </w:rPr>
              <w:t>Eligible population</w:t>
            </w:r>
          </w:p>
        </w:tc>
      </w:tr>
      <w:tr w:rsidR="00485FE1" w:rsidRPr="00DD72AC" w14:paraId="0E86AF17" w14:textId="77777777" w:rsidTr="005945A8">
        <w:trPr>
          <w:cantSplit/>
          <w:trHeight w:val="2540"/>
        </w:trPr>
        <w:tc>
          <w:tcPr>
            <w:tcW w:w="2122" w:type="dxa"/>
          </w:tcPr>
          <w:p w14:paraId="4004EB1C" w14:textId="77777777" w:rsidR="00485FE1" w:rsidRPr="00DD72AC" w:rsidRDefault="00485FE1" w:rsidP="005945A8">
            <w:pPr>
              <w:keepNext/>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Approach taken (epidemiological approach)</w:t>
            </w:r>
          </w:p>
        </w:tc>
        <w:tc>
          <w:tcPr>
            <w:tcW w:w="2409" w:type="dxa"/>
            <w:vAlign w:val="center"/>
          </w:tcPr>
          <w:p w14:paraId="17BC6BEA" w14:textId="77777777" w:rsidR="00485FE1" w:rsidRPr="00DD72AC" w:rsidRDefault="00485FE1" w:rsidP="00A96DD0">
            <w:pPr>
              <w:pStyle w:val="PBACTblFignote"/>
              <w:spacing w:after="0"/>
              <w:rPr>
                <w:rFonts w:eastAsia="Times New Roman"/>
                <w:snapToGrid w:val="0"/>
                <w:sz w:val="20"/>
                <w:szCs w:val="20"/>
              </w:rPr>
            </w:pPr>
            <w:r w:rsidRPr="00DD72AC">
              <w:rPr>
                <w:rFonts w:eastAsia="Times New Roman"/>
                <w:snapToGrid w:val="0"/>
                <w:sz w:val="20"/>
                <w:szCs w:val="20"/>
              </w:rPr>
              <w:t xml:space="preserve">Year 1: </w:t>
            </w:r>
          </w:p>
          <w:p w14:paraId="3284A236" w14:textId="77777777" w:rsidR="00485FE1" w:rsidRPr="00DD72AC" w:rsidRDefault="00485FE1" w:rsidP="00485FE1">
            <w:pPr>
              <w:pStyle w:val="PBACTblFignote"/>
              <w:numPr>
                <w:ilvl w:val="0"/>
                <w:numId w:val="22"/>
              </w:numPr>
              <w:spacing w:after="0"/>
              <w:rPr>
                <w:sz w:val="20"/>
                <w:szCs w:val="20"/>
              </w:rPr>
            </w:pPr>
            <w:r w:rsidRPr="00DD72AC">
              <w:rPr>
                <w:rFonts w:eastAsia="Times New Roman"/>
                <w:snapToGrid w:val="0"/>
                <w:sz w:val="20"/>
                <w:szCs w:val="20"/>
              </w:rPr>
              <w:t>Grandfathered patients aged 0-16 years, plus</w:t>
            </w:r>
          </w:p>
          <w:p w14:paraId="254FBFEB" w14:textId="77777777" w:rsidR="00485FE1" w:rsidRPr="00DD72AC" w:rsidRDefault="00485FE1" w:rsidP="00485FE1">
            <w:pPr>
              <w:pStyle w:val="PBACTblFignote"/>
              <w:numPr>
                <w:ilvl w:val="0"/>
                <w:numId w:val="22"/>
              </w:numPr>
              <w:spacing w:after="0"/>
              <w:rPr>
                <w:sz w:val="20"/>
                <w:szCs w:val="20"/>
              </w:rPr>
            </w:pPr>
            <w:r w:rsidRPr="00DD72AC">
              <w:rPr>
                <w:rFonts w:eastAsia="Times New Roman"/>
                <w:snapToGrid w:val="0"/>
                <w:sz w:val="20"/>
                <w:szCs w:val="20"/>
              </w:rPr>
              <w:t>Achondroplasia prevalence among patients aged 0-16 years (t</w:t>
            </w:r>
            <w:r w:rsidRPr="00DD72AC">
              <w:rPr>
                <w:sz w:val="20"/>
                <w:szCs w:val="20"/>
              </w:rPr>
              <w:t>otal prevalence patients minus patients currently enrolled in clinical trials).</w:t>
            </w:r>
          </w:p>
          <w:p w14:paraId="7F826D17" w14:textId="77777777" w:rsidR="00485FE1" w:rsidRPr="00DD72AC" w:rsidRDefault="00485FE1" w:rsidP="00A96DD0">
            <w:pPr>
              <w:pStyle w:val="PBACTblFignote"/>
              <w:spacing w:after="0"/>
              <w:rPr>
                <w:sz w:val="20"/>
                <w:szCs w:val="20"/>
              </w:rPr>
            </w:pPr>
          </w:p>
          <w:p w14:paraId="499FF993" w14:textId="77777777" w:rsidR="00485FE1" w:rsidRPr="00DD72AC" w:rsidRDefault="00485FE1" w:rsidP="00A96DD0">
            <w:pPr>
              <w:pStyle w:val="PBACTblFignote"/>
              <w:spacing w:after="0"/>
              <w:rPr>
                <w:rFonts w:eastAsia="Times New Roman"/>
                <w:snapToGrid w:val="0"/>
                <w:sz w:val="20"/>
                <w:szCs w:val="20"/>
              </w:rPr>
            </w:pPr>
            <w:r w:rsidRPr="00DD72AC">
              <w:rPr>
                <w:rFonts w:eastAsia="Times New Roman"/>
                <w:snapToGrid w:val="0"/>
                <w:sz w:val="20"/>
                <w:szCs w:val="20"/>
              </w:rPr>
              <w:t xml:space="preserve">Years 2-6: </w:t>
            </w:r>
          </w:p>
          <w:p w14:paraId="19365DBD" w14:textId="77777777" w:rsidR="00485FE1" w:rsidRPr="00DD72AC" w:rsidRDefault="00485FE1" w:rsidP="00485FE1">
            <w:pPr>
              <w:pStyle w:val="PBACTblFignote"/>
              <w:numPr>
                <w:ilvl w:val="0"/>
                <w:numId w:val="23"/>
              </w:numPr>
              <w:spacing w:after="0"/>
              <w:ind w:left="357" w:hanging="357"/>
              <w:rPr>
                <w:rFonts w:eastAsia="Times New Roman"/>
                <w:snapToGrid w:val="0"/>
                <w:sz w:val="20"/>
                <w:szCs w:val="20"/>
              </w:rPr>
            </w:pPr>
            <w:r w:rsidRPr="00DD72AC">
              <w:rPr>
                <w:rFonts w:eastAsia="Times New Roman"/>
                <w:snapToGrid w:val="0"/>
                <w:sz w:val="20"/>
                <w:szCs w:val="20"/>
              </w:rPr>
              <w:t>Birth prevalence of achondroplasia (patients aged 0-4 years)</w:t>
            </w:r>
          </w:p>
        </w:tc>
        <w:tc>
          <w:tcPr>
            <w:tcW w:w="1560" w:type="dxa"/>
          </w:tcPr>
          <w:p w14:paraId="55B6CD43" w14:textId="77777777" w:rsidR="00485FE1" w:rsidRPr="00DD72AC" w:rsidRDefault="00485FE1" w:rsidP="00A96DD0">
            <w:pPr>
              <w:keepNext/>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N/A</w:t>
            </w:r>
          </w:p>
        </w:tc>
        <w:tc>
          <w:tcPr>
            <w:tcW w:w="3089" w:type="dxa"/>
          </w:tcPr>
          <w:p w14:paraId="60ED669E" w14:textId="46ED802C" w:rsidR="00485FE1" w:rsidRPr="00DD72AC" w:rsidRDefault="00485FE1" w:rsidP="005945A8">
            <w:pPr>
              <w:keepNext/>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Achondroplasia prevalence among people aged less than 18 is used to estimate the total eligible patient population. The budget impact model assumes patients aged 17 and above will neither initiate nor continue treatment with vosoritide. T</w:t>
            </w:r>
            <w:r w:rsidR="005945A8"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was reasonable. </w:t>
            </w:r>
          </w:p>
        </w:tc>
      </w:tr>
      <w:tr w:rsidR="00485FE1" w:rsidRPr="00DD72AC" w14:paraId="0B30C4DF" w14:textId="77777777" w:rsidTr="005945A8">
        <w:trPr>
          <w:cantSplit/>
        </w:trPr>
        <w:tc>
          <w:tcPr>
            <w:tcW w:w="2122" w:type="dxa"/>
          </w:tcPr>
          <w:p w14:paraId="5FF7CA37"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Births in Australia</w:t>
            </w:r>
          </w:p>
        </w:tc>
        <w:tc>
          <w:tcPr>
            <w:tcW w:w="2409" w:type="dxa"/>
            <w:vAlign w:val="center"/>
          </w:tcPr>
          <w:p w14:paraId="4015770C"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1: 353,462</w:t>
            </w:r>
          </w:p>
          <w:p w14:paraId="1284E3C0"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2: 358,304</w:t>
            </w:r>
          </w:p>
          <w:p w14:paraId="0F21EECE"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3: 362,706</w:t>
            </w:r>
          </w:p>
          <w:p w14:paraId="23D31534"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4: 366,687</w:t>
            </w:r>
          </w:p>
          <w:p w14:paraId="73E1207D"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5: 370,252</w:t>
            </w:r>
          </w:p>
          <w:p w14:paraId="1EA848E2"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6: 373,433</w:t>
            </w:r>
          </w:p>
        </w:tc>
        <w:tc>
          <w:tcPr>
            <w:tcW w:w="1560" w:type="dxa"/>
          </w:tcPr>
          <w:p w14:paraId="3900C81D"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ABS</w:t>
            </w:r>
          </w:p>
        </w:tc>
        <w:tc>
          <w:tcPr>
            <w:tcW w:w="3089" w:type="dxa"/>
          </w:tcPr>
          <w:p w14:paraId="6E09DB59" w14:textId="3A1A5C75" w:rsidR="00485FE1" w:rsidRPr="00DD72AC" w:rsidRDefault="00485FE1" w:rsidP="005945A8">
            <w:pPr>
              <w:keepNext/>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5945A8"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t>
            </w:r>
            <w:r w:rsidR="005945A8" w:rsidRPr="00DD72AC">
              <w:rPr>
                <w:rFonts w:ascii="Arial Narrow" w:eastAsia="Times New Roman" w:hAnsi="Arial Narrow"/>
                <w:snapToGrid w:val="0"/>
                <w:sz w:val="20"/>
                <w:szCs w:val="20"/>
              </w:rPr>
              <w:t>wa</w:t>
            </w:r>
            <w:r w:rsidRPr="00DD72AC">
              <w:rPr>
                <w:rFonts w:ascii="Arial Narrow" w:eastAsia="Times New Roman" w:hAnsi="Arial Narrow"/>
                <w:snapToGrid w:val="0"/>
                <w:sz w:val="20"/>
                <w:szCs w:val="20"/>
              </w:rPr>
              <w:t>s appropriate.</w:t>
            </w:r>
          </w:p>
        </w:tc>
      </w:tr>
      <w:tr w:rsidR="00485FE1" w:rsidRPr="00DD72AC" w14:paraId="7CF38831" w14:textId="77777777" w:rsidTr="005945A8">
        <w:trPr>
          <w:cantSplit/>
        </w:trPr>
        <w:tc>
          <w:tcPr>
            <w:tcW w:w="2122" w:type="dxa"/>
          </w:tcPr>
          <w:p w14:paraId="68FD42E6" w14:textId="77777777" w:rsidR="00485FE1" w:rsidRPr="00DD72AC" w:rsidRDefault="00485FE1" w:rsidP="005945A8">
            <w:pPr>
              <w:keepNext/>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Prevalence of achondroplasia, per 100,000</w:t>
            </w:r>
          </w:p>
        </w:tc>
        <w:tc>
          <w:tcPr>
            <w:tcW w:w="2409" w:type="dxa"/>
          </w:tcPr>
          <w:p w14:paraId="56FC71FB"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1: 5.2 per 100,000</w:t>
            </w:r>
          </w:p>
          <w:p w14:paraId="2DAD90C3"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2: 5.3 per 100,000</w:t>
            </w:r>
          </w:p>
          <w:p w14:paraId="769755DD"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3: 5.3 per 100,000</w:t>
            </w:r>
          </w:p>
          <w:p w14:paraId="26C5F500"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4: 5.3 per 100,000</w:t>
            </w:r>
          </w:p>
          <w:p w14:paraId="1354C244"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5: 5.3 per 100,000</w:t>
            </w:r>
          </w:p>
          <w:p w14:paraId="35AD6632"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6: 5.3 per 100,000</w:t>
            </w:r>
          </w:p>
        </w:tc>
        <w:tc>
          <w:tcPr>
            <w:tcW w:w="1560" w:type="dxa"/>
          </w:tcPr>
          <w:p w14:paraId="58366E8B"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Tofts 2021</w:t>
            </w:r>
          </w:p>
        </w:tc>
        <w:tc>
          <w:tcPr>
            <w:tcW w:w="3089" w:type="dxa"/>
          </w:tcPr>
          <w:p w14:paraId="3B3BB74B" w14:textId="77777777" w:rsidR="00485FE1" w:rsidRPr="00DD72AC" w:rsidRDefault="00485FE1" w:rsidP="005945A8">
            <w:pPr>
              <w:keepNext/>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In Year 1, the submission applied a prevalence of 5.2 per 100,000; which corresponds to childhood prevalence as reported in the study; for all patients including patients at age 0. The birth prevalence rate of 5.3 per 100,000 would have been more appropriate for those patients at age 0.   </w:t>
            </w:r>
          </w:p>
        </w:tc>
      </w:tr>
      <w:tr w:rsidR="00485FE1" w:rsidRPr="00DD72AC" w14:paraId="44D14ED9" w14:textId="77777777" w:rsidTr="005945A8">
        <w:trPr>
          <w:cantSplit/>
        </w:trPr>
        <w:tc>
          <w:tcPr>
            <w:tcW w:w="2122" w:type="dxa"/>
          </w:tcPr>
          <w:p w14:paraId="25BCB8BD"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Eligible patients, n</w:t>
            </w:r>
          </w:p>
        </w:tc>
        <w:tc>
          <w:tcPr>
            <w:tcW w:w="2409" w:type="dxa"/>
            <w:vAlign w:val="center"/>
          </w:tcPr>
          <w:p w14:paraId="5407E4BB"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1: 299</w:t>
            </w:r>
          </w:p>
          <w:p w14:paraId="4DDEAB01"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2: 19</w:t>
            </w:r>
          </w:p>
          <w:p w14:paraId="725333BB"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3: 19</w:t>
            </w:r>
          </w:p>
          <w:p w14:paraId="7CF47C20"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4: 19</w:t>
            </w:r>
          </w:p>
          <w:p w14:paraId="4A4AC6BE"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5: 20</w:t>
            </w:r>
          </w:p>
          <w:p w14:paraId="31B74F40" w14:textId="77777777" w:rsidR="00485FE1" w:rsidRPr="00DD72AC" w:rsidRDefault="00485FE1" w:rsidP="00A96DD0">
            <w:pPr>
              <w:keepNext/>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6: 20</w:t>
            </w:r>
          </w:p>
        </w:tc>
        <w:tc>
          <w:tcPr>
            <w:tcW w:w="1560" w:type="dxa"/>
          </w:tcPr>
          <w:p w14:paraId="60681720"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Calculated by the submission </w:t>
            </w:r>
          </w:p>
        </w:tc>
        <w:tc>
          <w:tcPr>
            <w:tcW w:w="3089" w:type="dxa"/>
          </w:tcPr>
          <w:p w14:paraId="144C0E67" w14:textId="2059B5EB" w:rsidR="00485FE1" w:rsidRPr="00DD72AC" w:rsidRDefault="00485FE1" w:rsidP="005945A8">
            <w:pPr>
              <w:keepNext/>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5945A8"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t>
            </w:r>
            <w:r w:rsidR="005945A8" w:rsidRPr="00DD72AC">
              <w:rPr>
                <w:rFonts w:ascii="Arial Narrow" w:eastAsia="Times New Roman" w:hAnsi="Arial Narrow"/>
                <w:snapToGrid w:val="0"/>
                <w:sz w:val="20"/>
                <w:szCs w:val="20"/>
              </w:rPr>
              <w:t>wa</w:t>
            </w:r>
            <w:r w:rsidRPr="00DD72AC">
              <w:rPr>
                <w:rFonts w:ascii="Arial Narrow" w:eastAsia="Times New Roman" w:hAnsi="Arial Narrow"/>
                <w:snapToGrid w:val="0"/>
                <w:sz w:val="20"/>
                <w:szCs w:val="20"/>
              </w:rPr>
              <w:t>s appropriate.</w:t>
            </w:r>
          </w:p>
        </w:tc>
      </w:tr>
      <w:tr w:rsidR="00485FE1" w:rsidRPr="00DD72AC" w14:paraId="778D7BA3" w14:textId="77777777" w:rsidTr="00A96DD0">
        <w:trPr>
          <w:cantSplit/>
        </w:trPr>
        <w:tc>
          <w:tcPr>
            <w:tcW w:w="9180" w:type="dxa"/>
            <w:gridSpan w:val="4"/>
            <w:vAlign w:val="center"/>
          </w:tcPr>
          <w:p w14:paraId="2CCAB4F9" w14:textId="77777777" w:rsidR="00485FE1" w:rsidRPr="00DD72AC" w:rsidRDefault="00485FE1" w:rsidP="00A96DD0">
            <w:pPr>
              <w:spacing w:after="120"/>
              <w:contextualSpacing/>
              <w:rPr>
                <w:rFonts w:ascii="Arial Narrow" w:eastAsia="Times New Roman" w:hAnsi="Arial Narrow"/>
                <w:b/>
                <w:snapToGrid w:val="0"/>
                <w:sz w:val="20"/>
                <w:szCs w:val="20"/>
              </w:rPr>
            </w:pPr>
            <w:r w:rsidRPr="00DD72AC">
              <w:rPr>
                <w:rFonts w:ascii="Arial Narrow" w:eastAsia="Times New Roman" w:hAnsi="Arial Narrow"/>
                <w:b/>
                <w:snapToGrid w:val="0"/>
                <w:sz w:val="20"/>
                <w:szCs w:val="20"/>
              </w:rPr>
              <w:t>Treatment utilisation</w:t>
            </w:r>
          </w:p>
        </w:tc>
      </w:tr>
      <w:tr w:rsidR="00485FE1" w:rsidRPr="00DD72AC" w14:paraId="6833079E" w14:textId="77777777" w:rsidTr="005945A8">
        <w:trPr>
          <w:cantSplit/>
        </w:trPr>
        <w:tc>
          <w:tcPr>
            <w:tcW w:w="2122" w:type="dxa"/>
            <w:vAlign w:val="center"/>
          </w:tcPr>
          <w:p w14:paraId="09CD0B7D"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lastRenderedPageBreak/>
              <w:t>Uptake rate</w:t>
            </w:r>
          </w:p>
        </w:tc>
        <w:tc>
          <w:tcPr>
            <w:tcW w:w="2409" w:type="dxa"/>
          </w:tcPr>
          <w:p w14:paraId="1A3E63D9" w14:textId="77777777" w:rsidR="00485FE1" w:rsidRPr="00DD72AC" w:rsidRDefault="00485FE1" w:rsidP="005945A8">
            <w:pPr>
              <w:spacing w:after="120"/>
              <w:contextualSpacing/>
              <w:jc w:val="left"/>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1: (total uptake)</w:t>
            </w:r>
          </w:p>
          <w:p w14:paraId="66894077" w14:textId="2098D8F2" w:rsidR="00485FE1" w:rsidRPr="000811D1" w:rsidRDefault="00C97261" w:rsidP="005945A8">
            <w:pPr>
              <w:spacing w:after="120"/>
              <w:contextualSpacing/>
              <w:jc w:val="left"/>
              <w:rPr>
                <w:rFonts w:ascii="Arial Narrow" w:eastAsia="Times New Roman" w:hAnsi="Arial Narrow"/>
                <w:snapToGrid w:val="0"/>
                <w:sz w:val="20"/>
                <w:szCs w:val="20"/>
              </w:rPr>
            </w:pPr>
            <w:r w:rsidRPr="00C97261">
              <w:rPr>
                <w:rFonts w:ascii="Arial Narrow" w:eastAsia="Times New Roman" w:hAnsi="Arial Narrow"/>
                <w:snapToGrid w:val="0"/>
                <w:color w:val="000000"/>
                <w:spacing w:val="48"/>
                <w:sz w:val="20"/>
                <w:szCs w:val="20"/>
                <w:shd w:val="solid" w:color="000000" w:fill="000000"/>
                <w:fitText w:val="500" w:id="-1435791864"/>
                <w14:textFill>
                  <w14:solidFill>
                    <w14:srgbClr w14:val="000000">
                      <w14:alpha w14:val="100000"/>
                    </w14:srgbClr>
                  </w14:solidFill>
                </w14:textFill>
              </w:rPr>
              <w:t>|||||</w:t>
            </w:r>
            <w:r w:rsidRPr="00C97261">
              <w:rPr>
                <w:rFonts w:ascii="Arial Narrow" w:eastAsia="Times New Roman" w:hAnsi="Arial Narrow"/>
                <w:snapToGrid w:val="0"/>
                <w:color w:val="000000"/>
                <w:spacing w:val="5"/>
                <w:sz w:val="20"/>
                <w:szCs w:val="20"/>
                <w:shd w:val="solid" w:color="000000" w:fill="000000"/>
                <w:fitText w:val="500" w:id="-1435791864"/>
                <w14:textFill>
                  <w14:solidFill>
                    <w14:srgbClr w14:val="000000">
                      <w14:alpha w14:val="100000"/>
                    </w14:srgbClr>
                  </w14:solidFill>
                </w14:textFill>
              </w:rPr>
              <w:t>|</w:t>
            </w:r>
            <w:r w:rsidR="00485FE1" w:rsidRPr="000811D1">
              <w:rPr>
                <w:rFonts w:ascii="Arial Narrow" w:eastAsia="Times New Roman" w:hAnsi="Arial Narrow"/>
                <w:snapToGrid w:val="0"/>
                <w:sz w:val="20"/>
                <w:szCs w:val="20"/>
              </w:rPr>
              <w:t xml:space="preserve">% for grandfathered patients </w:t>
            </w:r>
            <w:r w:rsidR="00485FE1" w:rsidRPr="000811D1">
              <w:rPr>
                <w:rFonts w:ascii="Arial Narrow" w:eastAsia="Times New Roman" w:hAnsi="Arial Narrow"/>
                <w:snapToGrid w:val="0"/>
                <w:sz w:val="20"/>
                <w:szCs w:val="20"/>
                <w:vertAlign w:val="superscript"/>
              </w:rPr>
              <w:t>a</w:t>
            </w:r>
          </w:p>
          <w:p w14:paraId="3A7AFDC2" w14:textId="61993B0C" w:rsidR="00485FE1" w:rsidRPr="000811D1" w:rsidRDefault="00C97261" w:rsidP="005945A8">
            <w:pPr>
              <w:spacing w:after="120"/>
              <w:contextualSpacing/>
              <w:jc w:val="left"/>
              <w:rPr>
                <w:rFonts w:ascii="Arial Narrow" w:eastAsia="Times New Roman" w:hAnsi="Arial Narrow"/>
                <w:snapToGrid w:val="0"/>
                <w:sz w:val="20"/>
                <w:szCs w:val="20"/>
              </w:rPr>
            </w:pPr>
            <w:r w:rsidRPr="00C97261">
              <w:rPr>
                <w:rFonts w:ascii="Arial Narrow" w:eastAsia="Times New Roman" w:hAnsi="Arial Narrow"/>
                <w:snapToGrid w:val="0"/>
                <w:color w:val="000000"/>
                <w:spacing w:val="48"/>
                <w:sz w:val="20"/>
                <w:szCs w:val="20"/>
                <w:shd w:val="solid" w:color="000000" w:fill="000000"/>
                <w:fitText w:val="500" w:id="-1435791863"/>
                <w14:textFill>
                  <w14:solidFill>
                    <w14:srgbClr w14:val="000000">
                      <w14:alpha w14:val="100000"/>
                    </w14:srgbClr>
                  </w14:solidFill>
                </w14:textFill>
              </w:rPr>
              <w:t>|||||</w:t>
            </w:r>
            <w:r w:rsidRPr="00C97261">
              <w:rPr>
                <w:rFonts w:ascii="Arial Narrow" w:eastAsia="Times New Roman" w:hAnsi="Arial Narrow"/>
                <w:snapToGrid w:val="0"/>
                <w:color w:val="000000"/>
                <w:spacing w:val="5"/>
                <w:sz w:val="20"/>
                <w:szCs w:val="20"/>
                <w:shd w:val="solid" w:color="000000" w:fill="000000"/>
                <w:fitText w:val="500" w:id="-1435791863"/>
                <w14:textFill>
                  <w14:solidFill>
                    <w14:srgbClr w14:val="000000">
                      <w14:alpha w14:val="100000"/>
                    </w14:srgbClr>
                  </w14:solidFill>
                </w14:textFill>
              </w:rPr>
              <w:t>|</w:t>
            </w:r>
            <w:r w:rsidR="00485FE1" w:rsidRPr="000811D1">
              <w:rPr>
                <w:rFonts w:ascii="Arial Narrow" w:eastAsia="Times New Roman" w:hAnsi="Arial Narrow"/>
                <w:snapToGrid w:val="0"/>
                <w:sz w:val="20"/>
                <w:szCs w:val="20"/>
              </w:rPr>
              <w:t xml:space="preserve">% for prevalent patients </w:t>
            </w:r>
            <w:r w:rsidR="00485FE1" w:rsidRPr="000811D1">
              <w:rPr>
                <w:rFonts w:ascii="Arial Narrow" w:eastAsia="Times New Roman" w:hAnsi="Arial Narrow"/>
                <w:snapToGrid w:val="0"/>
                <w:sz w:val="20"/>
                <w:szCs w:val="20"/>
                <w:vertAlign w:val="superscript"/>
              </w:rPr>
              <w:t>b</w:t>
            </w:r>
          </w:p>
          <w:p w14:paraId="1B65BDDE" w14:textId="4C211A71" w:rsidR="00485FE1" w:rsidRPr="000811D1" w:rsidRDefault="00485FE1" w:rsidP="005945A8">
            <w:pPr>
              <w:spacing w:after="120"/>
              <w:contextualSpacing/>
              <w:jc w:val="left"/>
              <w:rPr>
                <w:rFonts w:ascii="Arial Narrow" w:eastAsia="Times New Roman" w:hAnsi="Arial Narrow"/>
                <w:snapToGrid w:val="0"/>
                <w:sz w:val="20"/>
                <w:szCs w:val="20"/>
              </w:rPr>
            </w:pPr>
            <w:proofErr w:type="spellStart"/>
            <w:r w:rsidRPr="000811D1">
              <w:rPr>
                <w:rFonts w:ascii="Arial Narrow" w:eastAsia="Times New Roman" w:hAnsi="Arial Narrow"/>
                <w:snapToGrid w:val="0"/>
                <w:sz w:val="20"/>
                <w:szCs w:val="20"/>
              </w:rPr>
              <w:t>Yr</w:t>
            </w:r>
            <w:proofErr w:type="spellEnd"/>
            <w:r w:rsidRPr="000811D1">
              <w:rPr>
                <w:rFonts w:ascii="Arial Narrow" w:eastAsia="Times New Roman" w:hAnsi="Arial Narrow"/>
                <w:snapToGrid w:val="0"/>
                <w:sz w:val="20"/>
                <w:szCs w:val="20"/>
              </w:rPr>
              <w:t xml:space="preserve"> 2: </w:t>
            </w:r>
            <w:r w:rsidR="00C97261" w:rsidRPr="00C97261">
              <w:rPr>
                <w:rFonts w:ascii="Arial Narrow" w:eastAsia="Times New Roman" w:hAnsi="Arial Narrow"/>
                <w:snapToGrid w:val="0"/>
                <w:color w:val="000000"/>
                <w:spacing w:val="48"/>
                <w:sz w:val="20"/>
                <w:szCs w:val="20"/>
                <w:shd w:val="solid" w:color="000000" w:fill="000000"/>
                <w:fitText w:val="500" w:id="-1435791862"/>
                <w14:textFill>
                  <w14:solidFill>
                    <w14:srgbClr w14:val="000000">
                      <w14:alpha w14:val="100000"/>
                    </w14:srgbClr>
                  </w14:solidFill>
                </w14:textFill>
              </w:rPr>
              <w:t>|||||</w:t>
            </w:r>
            <w:r w:rsidR="00C97261" w:rsidRPr="00C97261">
              <w:rPr>
                <w:rFonts w:ascii="Arial Narrow" w:eastAsia="Times New Roman" w:hAnsi="Arial Narrow"/>
                <w:snapToGrid w:val="0"/>
                <w:color w:val="000000"/>
                <w:spacing w:val="5"/>
                <w:sz w:val="20"/>
                <w:szCs w:val="20"/>
                <w:shd w:val="solid" w:color="000000" w:fill="000000"/>
                <w:fitText w:val="500" w:id="-1435791862"/>
                <w14:textFill>
                  <w14:solidFill>
                    <w14:srgbClr w14:val="000000">
                      <w14:alpha w14:val="100000"/>
                    </w14:srgbClr>
                  </w14:solidFill>
                </w14:textFill>
              </w:rPr>
              <w:t>|</w:t>
            </w:r>
            <w:r w:rsidRPr="000811D1">
              <w:rPr>
                <w:rFonts w:ascii="Arial Narrow" w:eastAsia="Times New Roman" w:hAnsi="Arial Narrow"/>
                <w:snapToGrid w:val="0"/>
                <w:sz w:val="20"/>
                <w:szCs w:val="20"/>
              </w:rPr>
              <w:t>% (total uptake)</w:t>
            </w:r>
          </w:p>
          <w:p w14:paraId="29319E94" w14:textId="371496DB" w:rsidR="00485FE1" w:rsidRPr="000811D1" w:rsidRDefault="00485FE1" w:rsidP="005945A8">
            <w:pPr>
              <w:spacing w:after="120"/>
              <w:contextualSpacing/>
              <w:jc w:val="left"/>
              <w:rPr>
                <w:rFonts w:ascii="Arial Narrow" w:eastAsia="Times New Roman" w:hAnsi="Arial Narrow"/>
                <w:snapToGrid w:val="0"/>
                <w:sz w:val="20"/>
                <w:szCs w:val="20"/>
              </w:rPr>
            </w:pPr>
            <w:proofErr w:type="spellStart"/>
            <w:r w:rsidRPr="000811D1">
              <w:rPr>
                <w:rFonts w:ascii="Arial Narrow" w:eastAsia="Times New Roman" w:hAnsi="Arial Narrow"/>
                <w:snapToGrid w:val="0"/>
                <w:sz w:val="20"/>
                <w:szCs w:val="20"/>
              </w:rPr>
              <w:t>Yr</w:t>
            </w:r>
            <w:proofErr w:type="spellEnd"/>
            <w:r w:rsidRPr="000811D1">
              <w:rPr>
                <w:rFonts w:ascii="Arial Narrow" w:eastAsia="Times New Roman" w:hAnsi="Arial Narrow"/>
                <w:snapToGrid w:val="0"/>
                <w:sz w:val="20"/>
                <w:szCs w:val="20"/>
              </w:rPr>
              <w:t xml:space="preserve"> 3: </w:t>
            </w:r>
            <w:r w:rsidR="00C97261" w:rsidRPr="00C97261">
              <w:rPr>
                <w:rFonts w:ascii="Arial Narrow" w:eastAsia="Times New Roman" w:hAnsi="Arial Narrow"/>
                <w:snapToGrid w:val="0"/>
                <w:color w:val="000000"/>
                <w:spacing w:val="48"/>
                <w:sz w:val="20"/>
                <w:szCs w:val="20"/>
                <w:shd w:val="solid" w:color="000000" w:fill="000000"/>
                <w:fitText w:val="500" w:id="-1435791861"/>
                <w14:textFill>
                  <w14:solidFill>
                    <w14:srgbClr w14:val="000000">
                      <w14:alpha w14:val="100000"/>
                    </w14:srgbClr>
                  </w14:solidFill>
                </w14:textFill>
              </w:rPr>
              <w:t>|||||</w:t>
            </w:r>
            <w:r w:rsidR="00C97261" w:rsidRPr="00C97261">
              <w:rPr>
                <w:rFonts w:ascii="Arial Narrow" w:eastAsia="Times New Roman" w:hAnsi="Arial Narrow"/>
                <w:snapToGrid w:val="0"/>
                <w:color w:val="000000"/>
                <w:spacing w:val="5"/>
                <w:sz w:val="20"/>
                <w:szCs w:val="20"/>
                <w:shd w:val="solid" w:color="000000" w:fill="000000"/>
                <w:fitText w:val="500" w:id="-1435791861"/>
                <w14:textFill>
                  <w14:solidFill>
                    <w14:srgbClr w14:val="000000">
                      <w14:alpha w14:val="100000"/>
                    </w14:srgbClr>
                  </w14:solidFill>
                </w14:textFill>
              </w:rPr>
              <w:t>|</w:t>
            </w:r>
            <w:r w:rsidRPr="000811D1">
              <w:rPr>
                <w:rFonts w:ascii="Arial Narrow" w:eastAsia="Times New Roman" w:hAnsi="Arial Narrow"/>
                <w:snapToGrid w:val="0"/>
                <w:sz w:val="20"/>
                <w:szCs w:val="20"/>
              </w:rPr>
              <w:t>% (total uptake)</w:t>
            </w:r>
          </w:p>
          <w:p w14:paraId="6F9D5EB1" w14:textId="0995A803" w:rsidR="00485FE1" w:rsidRPr="000811D1" w:rsidRDefault="00485FE1" w:rsidP="005945A8">
            <w:pPr>
              <w:spacing w:after="120"/>
              <w:contextualSpacing/>
              <w:jc w:val="left"/>
              <w:rPr>
                <w:rFonts w:ascii="Arial Narrow" w:eastAsia="Times New Roman" w:hAnsi="Arial Narrow"/>
                <w:snapToGrid w:val="0"/>
                <w:sz w:val="20"/>
                <w:szCs w:val="20"/>
              </w:rPr>
            </w:pPr>
            <w:proofErr w:type="spellStart"/>
            <w:r w:rsidRPr="000811D1">
              <w:rPr>
                <w:rFonts w:ascii="Arial Narrow" w:eastAsia="Times New Roman" w:hAnsi="Arial Narrow"/>
                <w:snapToGrid w:val="0"/>
                <w:sz w:val="20"/>
                <w:szCs w:val="20"/>
              </w:rPr>
              <w:t>Yr</w:t>
            </w:r>
            <w:proofErr w:type="spellEnd"/>
            <w:r w:rsidRPr="000811D1">
              <w:rPr>
                <w:rFonts w:ascii="Arial Narrow" w:eastAsia="Times New Roman" w:hAnsi="Arial Narrow"/>
                <w:snapToGrid w:val="0"/>
                <w:sz w:val="20"/>
                <w:szCs w:val="20"/>
              </w:rPr>
              <w:t xml:space="preserve"> 4: </w:t>
            </w:r>
            <w:r w:rsidR="00C97261" w:rsidRPr="00C97261">
              <w:rPr>
                <w:rFonts w:ascii="Arial Narrow" w:eastAsia="Times New Roman" w:hAnsi="Arial Narrow"/>
                <w:snapToGrid w:val="0"/>
                <w:color w:val="000000"/>
                <w:spacing w:val="48"/>
                <w:sz w:val="20"/>
                <w:szCs w:val="20"/>
                <w:shd w:val="solid" w:color="000000" w:fill="000000"/>
                <w:fitText w:val="500" w:id="-1435791860"/>
                <w14:textFill>
                  <w14:solidFill>
                    <w14:srgbClr w14:val="000000">
                      <w14:alpha w14:val="100000"/>
                    </w14:srgbClr>
                  </w14:solidFill>
                </w14:textFill>
              </w:rPr>
              <w:t>|||||</w:t>
            </w:r>
            <w:r w:rsidR="00C97261" w:rsidRPr="00C97261">
              <w:rPr>
                <w:rFonts w:ascii="Arial Narrow" w:eastAsia="Times New Roman" w:hAnsi="Arial Narrow"/>
                <w:snapToGrid w:val="0"/>
                <w:color w:val="000000"/>
                <w:spacing w:val="5"/>
                <w:sz w:val="20"/>
                <w:szCs w:val="20"/>
                <w:shd w:val="solid" w:color="000000" w:fill="000000"/>
                <w:fitText w:val="500" w:id="-1435791860"/>
                <w14:textFill>
                  <w14:solidFill>
                    <w14:srgbClr w14:val="000000">
                      <w14:alpha w14:val="100000"/>
                    </w14:srgbClr>
                  </w14:solidFill>
                </w14:textFill>
              </w:rPr>
              <w:t>|</w:t>
            </w:r>
            <w:r w:rsidRPr="000811D1">
              <w:rPr>
                <w:rFonts w:ascii="Arial Narrow" w:eastAsia="Times New Roman" w:hAnsi="Arial Narrow"/>
                <w:snapToGrid w:val="0"/>
                <w:sz w:val="20"/>
                <w:szCs w:val="20"/>
              </w:rPr>
              <w:t>% (total uptake)</w:t>
            </w:r>
          </w:p>
          <w:p w14:paraId="03469EB8" w14:textId="0C37DC3F" w:rsidR="00485FE1" w:rsidRPr="000811D1" w:rsidRDefault="00485FE1" w:rsidP="005945A8">
            <w:pPr>
              <w:spacing w:after="120"/>
              <w:contextualSpacing/>
              <w:jc w:val="left"/>
              <w:rPr>
                <w:rFonts w:ascii="Arial Narrow" w:eastAsia="Times New Roman" w:hAnsi="Arial Narrow"/>
                <w:snapToGrid w:val="0"/>
                <w:sz w:val="20"/>
                <w:szCs w:val="20"/>
              </w:rPr>
            </w:pPr>
            <w:proofErr w:type="spellStart"/>
            <w:r w:rsidRPr="000811D1">
              <w:rPr>
                <w:rFonts w:ascii="Arial Narrow" w:eastAsia="Times New Roman" w:hAnsi="Arial Narrow"/>
                <w:snapToGrid w:val="0"/>
                <w:sz w:val="20"/>
                <w:szCs w:val="20"/>
              </w:rPr>
              <w:t>Yr</w:t>
            </w:r>
            <w:proofErr w:type="spellEnd"/>
            <w:r w:rsidRPr="000811D1">
              <w:rPr>
                <w:rFonts w:ascii="Arial Narrow" w:eastAsia="Times New Roman" w:hAnsi="Arial Narrow"/>
                <w:snapToGrid w:val="0"/>
                <w:sz w:val="20"/>
                <w:szCs w:val="20"/>
              </w:rPr>
              <w:t xml:space="preserve"> 5: </w:t>
            </w:r>
            <w:r w:rsidR="00C97261" w:rsidRPr="00C97261">
              <w:rPr>
                <w:rFonts w:ascii="Arial Narrow" w:eastAsia="Times New Roman" w:hAnsi="Arial Narrow"/>
                <w:snapToGrid w:val="0"/>
                <w:color w:val="000000"/>
                <w:spacing w:val="48"/>
                <w:sz w:val="20"/>
                <w:szCs w:val="20"/>
                <w:shd w:val="solid" w:color="000000" w:fill="000000"/>
                <w:fitText w:val="500" w:id="-1435791859"/>
                <w14:textFill>
                  <w14:solidFill>
                    <w14:srgbClr w14:val="000000">
                      <w14:alpha w14:val="100000"/>
                    </w14:srgbClr>
                  </w14:solidFill>
                </w14:textFill>
              </w:rPr>
              <w:t>|||||</w:t>
            </w:r>
            <w:r w:rsidR="00C97261" w:rsidRPr="00C97261">
              <w:rPr>
                <w:rFonts w:ascii="Arial Narrow" w:eastAsia="Times New Roman" w:hAnsi="Arial Narrow"/>
                <w:snapToGrid w:val="0"/>
                <w:color w:val="000000"/>
                <w:spacing w:val="5"/>
                <w:sz w:val="20"/>
                <w:szCs w:val="20"/>
                <w:shd w:val="solid" w:color="000000" w:fill="000000"/>
                <w:fitText w:val="500" w:id="-1435791859"/>
                <w14:textFill>
                  <w14:solidFill>
                    <w14:srgbClr w14:val="000000">
                      <w14:alpha w14:val="100000"/>
                    </w14:srgbClr>
                  </w14:solidFill>
                </w14:textFill>
              </w:rPr>
              <w:t>|</w:t>
            </w:r>
            <w:r w:rsidRPr="000811D1">
              <w:rPr>
                <w:rFonts w:ascii="Arial Narrow" w:eastAsia="Times New Roman" w:hAnsi="Arial Narrow"/>
                <w:snapToGrid w:val="0"/>
                <w:sz w:val="20"/>
                <w:szCs w:val="20"/>
              </w:rPr>
              <w:t>% (total uptake)</w:t>
            </w:r>
          </w:p>
          <w:p w14:paraId="4743BA68" w14:textId="5E090FED" w:rsidR="00485FE1" w:rsidRPr="00DD72AC" w:rsidRDefault="00485FE1" w:rsidP="005945A8">
            <w:pPr>
              <w:spacing w:after="120"/>
              <w:contextualSpacing/>
              <w:jc w:val="left"/>
              <w:rPr>
                <w:rFonts w:ascii="Arial Narrow" w:eastAsia="Times New Roman" w:hAnsi="Arial Narrow"/>
                <w:snapToGrid w:val="0"/>
                <w:sz w:val="20"/>
                <w:szCs w:val="20"/>
              </w:rPr>
            </w:pPr>
            <w:proofErr w:type="spellStart"/>
            <w:r w:rsidRPr="000811D1">
              <w:rPr>
                <w:rFonts w:ascii="Arial Narrow" w:eastAsia="Times New Roman" w:hAnsi="Arial Narrow"/>
                <w:snapToGrid w:val="0"/>
                <w:sz w:val="20"/>
                <w:szCs w:val="20"/>
              </w:rPr>
              <w:t>Yr</w:t>
            </w:r>
            <w:proofErr w:type="spellEnd"/>
            <w:r w:rsidRPr="000811D1">
              <w:rPr>
                <w:rFonts w:ascii="Arial Narrow" w:eastAsia="Times New Roman" w:hAnsi="Arial Narrow"/>
                <w:snapToGrid w:val="0"/>
                <w:sz w:val="20"/>
                <w:szCs w:val="20"/>
              </w:rPr>
              <w:t xml:space="preserve"> 6: </w:t>
            </w:r>
            <w:r w:rsidR="00C97261" w:rsidRPr="00C97261">
              <w:rPr>
                <w:rFonts w:ascii="Arial Narrow" w:eastAsia="Times New Roman" w:hAnsi="Arial Narrow"/>
                <w:snapToGrid w:val="0"/>
                <w:color w:val="000000"/>
                <w:spacing w:val="48"/>
                <w:sz w:val="20"/>
                <w:szCs w:val="20"/>
                <w:shd w:val="solid" w:color="000000" w:fill="000000"/>
                <w:fitText w:val="500" w:id="-1435791858"/>
                <w14:textFill>
                  <w14:solidFill>
                    <w14:srgbClr w14:val="000000">
                      <w14:alpha w14:val="100000"/>
                    </w14:srgbClr>
                  </w14:solidFill>
                </w14:textFill>
              </w:rPr>
              <w:t>|||||</w:t>
            </w:r>
            <w:r w:rsidR="00C97261" w:rsidRPr="00C97261">
              <w:rPr>
                <w:rFonts w:ascii="Arial Narrow" w:eastAsia="Times New Roman" w:hAnsi="Arial Narrow"/>
                <w:snapToGrid w:val="0"/>
                <w:color w:val="000000"/>
                <w:spacing w:val="5"/>
                <w:sz w:val="20"/>
                <w:szCs w:val="20"/>
                <w:shd w:val="solid" w:color="000000" w:fill="000000"/>
                <w:fitText w:val="500" w:id="-1435791858"/>
                <w14:textFill>
                  <w14:solidFill>
                    <w14:srgbClr w14:val="000000">
                      <w14:alpha w14:val="100000"/>
                    </w14:srgbClr>
                  </w14:solidFill>
                </w14:textFill>
              </w:rPr>
              <w:t>|</w:t>
            </w:r>
            <w:r w:rsidRPr="000811D1">
              <w:rPr>
                <w:rFonts w:ascii="Arial Narrow" w:eastAsia="Times New Roman" w:hAnsi="Arial Narrow"/>
                <w:snapToGrid w:val="0"/>
                <w:sz w:val="20"/>
                <w:szCs w:val="20"/>
              </w:rPr>
              <w:t>% (total uptake)</w:t>
            </w:r>
          </w:p>
        </w:tc>
        <w:tc>
          <w:tcPr>
            <w:tcW w:w="1560" w:type="dxa"/>
            <w:vAlign w:val="center"/>
          </w:tcPr>
          <w:p w14:paraId="0C52FF27"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Submission assumption</w:t>
            </w:r>
          </w:p>
        </w:tc>
        <w:tc>
          <w:tcPr>
            <w:tcW w:w="3089" w:type="dxa"/>
          </w:tcPr>
          <w:p w14:paraId="67133DB4" w14:textId="207CE138" w:rsidR="00485FE1" w:rsidRPr="00DD72AC" w:rsidRDefault="00485FE1" w:rsidP="005945A8">
            <w:pPr>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The assumptions used to estimate the uptake rates were not appropriately justified by the submission. </w:t>
            </w:r>
            <w:r w:rsidR="00F24CD0" w:rsidRPr="00DD72AC">
              <w:rPr>
                <w:rFonts w:ascii="Arial Narrow" w:eastAsia="Times New Roman" w:hAnsi="Arial Narrow"/>
                <w:snapToGrid w:val="0"/>
                <w:sz w:val="20"/>
                <w:szCs w:val="20"/>
              </w:rPr>
              <w:t>DUSC considered the uptake rates uncertain and maybe underestimated.</w:t>
            </w:r>
          </w:p>
        </w:tc>
      </w:tr>
      <w:tr w:rsidR="00485FE1" w:rsidRPr="00DD72AC" w14:paraId="357D98F8" w14:textId="77777777" w:rsidTr="005945A8">
        <w:trPr>
          <w:cantSplit/>
        </w:trPr>
        <w:tc>
          <w:tcPr>
            <w:tcW w:w="2122" w:type="dxa"/>
            <w:vAlign w:val="center"/>
          </w:tcPr>
          <w:p w14:paraId="08B82174"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Total patients initiating treatment</w:t>
            </w:r>
          </w:p>
        </w:tc>
        <w:tc>
          <w:tcPr>
            <w:tcW w:w="2409" w:type="dxa"/>
            <w:vAlign w:val="center"/>
          </w:tcPr>
          <w:p w14:paraId="1AE80595" w14:textId="6E23B4BF"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1: </w:t>
            </w:r>
            <w:r w:rsidR="00C97261" w:rsidRPr="00C97261">
              <w:rPr>
                <w:rFonts w:ascii="Arial Narrow" w:eastAsia="Times New Roman" w:hAnsi="Arial Narrow"/>
                <w:snapToGrid w:val="0"/>
                <w:color w:val="000000"/>
                <w:spacing w:val="19"/>
                <w:sz w:val="20"/>
                <w:szCs w:val="20"/>
                <w:shd w:val="solid" w:color="000000" w:fill="000000"/>
                <w:fitText w:val="480" w:id="-1435791857"/>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57"/>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r w:rsidRPr="00DD72AC">
              <w:rPr>
                <w:rFonts w:ascii="Arial Narrow" w:eastAsia="Times New Roman" w:hAnsi="Arial Narrow"/>
                <w:snapToGrid w:val="0"/>
                <w:sz w:val="20"/>
                <w:szCs w:val="20"/>
              </w:rPr>
              <w:t xml:space="preserve"> (grandfathered + prevalent patients)</w:t>
            </w:r>
          </w:p>
          <w:p w14:paraId="522ADF92" w14:textId="6BF96B8D"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2: </w:t>
            </w:r>
            <w:r w:rsidR="00C97261" w:rsidRPr="00C97261">
              <w:rPr>
                <w:rFonts w:ascii="Arial Narrow" w:eastAsia="Times New Roman" w:hAnsi="Arial Narrow"/>
                <w:snapToGrid w:val="0"/>
                <w:color w:val="000000"/>
                <w:spacing w:val="19"/>
                <w:sz w:val="20"/>
                <w:szCs w:val="20"/>
                <w:shd w:val="solid" w:color="000000" w:fill="000000"/>
                <w:fitText w:val="480" w:id="-1435791856"/>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56"/>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51CFD7F4" w14:textId="2FFAD4E3"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3: </w:t>
            </w:r>
            <w:r w:rsidR="00C97261" w:rsidRPr="00C97261">
              <w:rPr>
                <w:rFonts w:ascii="Arial Narrow" w:eastAsia="Times New Roman" w:hAnsi="Arial Narrow"/>
                <w:snapToGrid w:val="0"/>
                <w:color w:val="000000"/>
                <w:spacing w:val="19"/>
                <w:sz w:val="20"/>
                <w:szCs w:val="20"/>
                <w:shd w:val="solid" w:color="000000" w:fill="000000"/>
                <w:fitText w:val="480" w:id="-1435791872"/>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72"/>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2D9C8568" w14:textId="5E471FC5"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4: </w:t>
            </w:r>
            <w:r w:rsidR="00C97261" w:rsidRPr="00C97261">
              <w:rPr>
                <w:rFonts w:ascii="Arial Narrow" w:eastAsia="Times New Roman" w:hAnsi="Arial Narrow"/>
                <w:snapToGrid w:val="0"/>
                <w:color w:val="000000"/>
                <w:spacing w:val="19"/>
                <w:sz w:val="20"/>
                <w:szCs w:val="20"/>
                <w:shd w:val="solid" w:color="000000" w:fill="000000"/>
                <w:fitText w:val="480" w:id="-1435791871"/>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71"/>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68B6B17C" w14:textId="3BA0A319"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5: </w:t>
            </w:r>
            <w:r w:rsidR="00C97261" w:rsidRPr="00C97261">
              <w:rPr>
                <w:rFonts w:ascii="Arial Narrow" w:eastAsia="Times New Roman" w:hAnsi="Arial Narrow"/>
                <w:snapToGrid w:val="0"/>
                <w:color w:val="000000"/>
                <w:spacing w:val="19"/>
                <w:sz w:val="20"/>
                <w:szCs w:val="20"/>
                <w:shd w:val="solid" w:color="000000" w:fill="000000"/>
                <w:fitText w:val="480" w:id="-1435791870"/>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70"/>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43C3BF8F" w14:textId="7ECCE56A"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6: </w:t>
            </w:r>
            <w:r w:rsidR="00C97261" w:rsidRPr="00C97261">
              <w:rPr>
                <w:rFonts w:ascii="Arial Narrow" w:eastAsia="Times New Roman" w:hAnsi="Arial Narrow"/>
                <w:snapToGrid w:val="0"/>
                <w:color w:val="000000"/>
                <w:spacing w:val="19"/>
                <w:sz w:val="20"/>
                <w:szCs w:val="20"/>
                <w:shd w:val="solid" w:color="000000" w:fill="000000"/>
                <w:fitText w:val="480" w:id="-1435791869"/>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9"/>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tc>
        <w:tc>
          <w:tcPr>
            <w:tcW w:w="1560" w:type="dxa"/>
            <w:vAlign w:val="center"/>
          </w:tcPr>
          <w:p w14:paraId="47989ECD"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Calculated by the submission </w:t>
            </w:r>
            <w:r w:rsidRPr="00DD72AC">
              <w:rPr>
                <w:rFonts w:ascii="Arial Narrow" w:eastAsia="Times New Roman" w:hAnsi="Arial Narrow"/>
                <w:snapToGrid w:val="0"/>
                <w:sz w:val="20"/>
                <w:szCs w:val="20"/>
                <w:vertAlign w:val="superscript"/>
              </w:rPr>
              <w:t xml:space="preserve">c </w:t>
            </w:r>
          </w:p>
        </w:tc>
        <w:tc>
          <w:tcPr>
            <w:tcW w:w="3089" w:type="dxa"/>
          </w:tcPr>
          <w:p w14:paraId="4510EDBF" w14:textId="1E8361A2" w:rsidR="00485FE1" w:rsidRPr="00DD72AC" w:rsidRDefault="00485FE1" w:rsidP="005945A8">
            <w:pPr>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5945A8"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t>
            </w:r>
            <w:r w:rsidR="005945A8" w:rsidRPr="00DD72AC">
              <w:rPr>
                <w:rFonts w:ascii="Arial Narrow" w:eastAsia="Times New Roman" w:hAnsi="Arial Narrow"/>
                <w:snapToGrid w:val="0"/>
                <w:sz w:val="20"/>
                <w:szCs w:val="20"/>
              </w:rPr>
              <w:t>wa</w:t>
            </w:r>
            <w:r w:rsidRPr="00DD72AC">
              <w:rPr>
                <w:rFonts w:ascii="Arial Narrow" w:eastAsia="Times New Roman" w:hAnsi="Arial Narrow"/>
                <w:snapToGrid w:val="0"/>
                <w:sz w:val="20"/>
                <w:szCs w:val="20"/>
              </w:rPr>
              <w:t xml:space="preserve">s appropriate. The submission subtracted the </w:t>
            </w:r>
            <w:r w:rsidR="00C97261" w:rsidRPr="00C97261">
              <w:rPr>
                <w:rFonts w:ascii="Arial Narrow" w:eastAsia="Times New Roman" w:hAnsi="Arial Narrow"/>
                <w:snapToGrid w:val="0"/>
                <w:color w:val="000000"/>
                <w:spacing w:val="48"/>
                <w:sz w:val="20"/>
                <w:szCs w:val="20"/>
                <w:shd w:val="solid" w:color="000000" w:fill="000000"/>
                <w:fitText w:val="500" w:id="-1435791868"/>
                <w14:textFill>
                  <w14:solidFill>
                    <w14:srgbClr w14:val="000000">
                      <w14:alpha w14:val="100000"/>
                    </w14:srgbClr>
                  </w14:solidFill>
                </w14:textFill>
              </w:rPr>
              <w:t>|||||</w:t>
            </w:r>
            <w:r w:rsidR="00C97261" w:rsidRPr="00C97261">
              <w:rPr>
                <w:rFonts w:ascii="Arial Narrow" w:eastAsia="Times New Roman" w:hAnsi="Arial Narrow"/>
                <w:snapToGrid w:val="0"/>
                <w:color w:val="000000"/>
                <w:spacing w:val="5"/>
                <w:sz w:val="20"/>
                <w:szCs w:val="20"/>
                <w:shd w:val="solid" w:color="000000" w:fill="000000"/>
                <w:fitText w:val="500" w:id="-1435791868"/>
                <w14:textFill>
                  <w14:solidFill>
                    <w14:srgbClr w14:val="000000">
                      <w14:alpha w14:val="100000"/>
                    </w14:srgbClr>
                  </w14:solidFill>
                </w14:textFill>
              </w:rPr>
              <w:t>|</w:t>
            </w:r>
            <w:r w:rsidR="004E04F6" w:rsidRPr="004E04F6">
              <w:rPr>
                <w:rFonts w:ascii="Arial Narrow" w:eastAsia="Times New Roman" w:hAnsi="Arial Narrow"/>
                <w:snapToGrid w:val="0"/>
                <w:sz w:val="20"/>
                <w:szCs w:val="20"/>
                <w:vertAlign w:val="superscript"/>
              </w:rPr>
              <w:t>1</w:t>
            </w:r>
            <w:r w:rsidRPr="00DD72AC">
              <w:rPr>
                <w:rFonts w:ascii="Arial Narrow" w:eastAsia="Times New Roman" w:hAnsi="Arial Narrow"/>
                <w:snapToGrid w:val="0"/>
                <w:sz w:val="20"/>
                <w:szCs w:val="20"/>
              </w:rPr>
              <w:t xml:space="preserve"> patients expected to </w:t>
            </w:r>
            <w:r w:rsidR="005945A8" w:rsidRPr="00DD72AC">
              <w:rPr>
                <w:rFonts w:ascii="Arial Narrow" w:eastAsia="Times New Roman" w:hAnsi="Arial Narrow"/>
                <w:snapToGrid w:val="0"/>
                <w:sz w:val="20"/>
                <w:szCs w:val="20"/>
              </w:rPr>
              <w:t xml:space="preserve">be </w:t>
            </w:r>
            <w:r w:rsidRPr="00DD72AC">
              <w:rPr>
                <w:rFonts w:ascii="Arial Narrow" w:eastAsia="Times New Roman" w:hAnsi="Arial Narrow"/>
                <w:snapToGrid w:val="0"/>
                <w:sz w:val="20"/>
                <w:szCs w:val="20"/>
              </w:rPr>
              <w:t>eligible for grandfathering from the total projected prevalent achondroplasia population to avoid double counting.</w:t>
            </w:r>
          </w:p>
        </w:tc>
      </w:tr>
      <w:tr w:rsidR="00485FE1" w:rsidRPr="00DD72AC" w14:paraId="0F6E9D2E" w14:textId="77777777" w:rsidTr="005945A8">
        <w:trPr>
          <w:cantSplit/>
        </w:trPr>
        <w:tc>
          <w:tcPr>
            <w:tcW w:w="2122" w:type="dxa"/>
            <w:vAlign w:val="center"/>
          </w:tcPr>
          <w:p w14:paraId="2E62411B"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Number treated (initiating and continuing) </w:t>
            </w:r>
            <w:r w:rsidRPr="00DD72AC">
              <w:rPr>
                <w:rFonts w:ascii="Arial Narrow" w:eastAsia="Times New Roman" w:hAnsi="Arial Narrow"/>
                <w:snapToGrid w:val="0"/>
                <w:sz w:val="20"/>
                <w:szCs w:val="20"/>
                <w:vertAlign w:val="superscript"/>
              </w:rPr>
              <w:t>d</w:t>
            </w:r>
          </w:p>
        </w:tc>
        <w:tc>
          <w:tcPr>
            <w:tcW w:w="2409" w:type="dxa"/>
            <w:vAlign w:val="center"/>
          </w:tcPr>
          <w:p w14:paraId="0A686893" w14:textId="36694E7B"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1: </w:t>
            </w:r>
            <w:r w:rsidR="00C97261" w:rsidRPr="00C97261">
              <w:rPr>
                <w:rFonts w:ascii="Arial Narrow" w:eastAsia="Times New Roman" w:hAnsi="Arial Narrow"/>
                <w:snapToGrid w:val="0"/>
                <w:color w:val="000000"/>
                <w:spacing w:val="19"/>
                <w:sz w:val="20"/>
                <w:szCs w:val="20"/>
                <w:shd w:val="solid" w:color="000000" w:fill="000000"/>
                <w:fitText w:val="480" w:id="-1435791867"/>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7"/>
                <w14:textFill>
                  <w14:solidFill>
                    <w14:srgbClr w14:val="000000">
                      <w14:alpha w14:val="100000"/>
                    </w14:srgbClr>
                  </w14:solidFill>
                </w14:textFill>
              </w:rPr>
              <w:t>|</w:t>
            </w:r>
            <w:r w:rsidRPr="00DD72AC">
              <w:rPr>
                <w:rFonts w:ascii="Arial Narrow" w:eastAsia="Times New Roman" w:hAnsi="Arial Narrow"/>
                <w:snapToGrid w:val="0"/>
                <w:sz w:val="20"/>
                <w:szCs w:val="20"/>
              </w:rPr>
              <w:t xml:space="preserve"> (grandfathered + prevalent patients)</w:t>
            </w:r>
          </w:p>
          <w:p w14:paraId="628098FB" w14:textId="7E39DCD1"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2: </w:t>
            </w:r>
            <w:r w:rsidR="00C97261" w:rsidRPr="00C97261">
              <w:rPr>
                <w:rFonts w:ascii="Arial Narrow" w:eastAsia="Times New Roman" w:hAnsi="Arial Narrow"/>
                <w:snapToGrid w:val="0"/>
                <w:color w:val="000000"/>
                <w:spacing w:val="19"/>
                <w:sz w:val="20"/>
                <w:szCs w:val="20"/>
                <w:shd w:val="solid" w:color="000000" w:fill="000000"/>
                <w:fitText w:val="480" w:id="-1435791866"/>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6"/>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7A79BD41" w14:textId="511BF52A"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3: </w:t>
            </w:r>
            <w:r w:rsidR="00C97261" w:rsidRPr="00C97261">
              <w:rPr>
                <w:rFonts w:ascii="Arial Narrow" w:eastAsia="Times New Roman" w:hAnsi="Arial Narrow"/>
                <w:snapToGrid w:val="0"/>
                <w:color w:val="000000"/>
                <w:spacing w:val="19"/>
                <w:sz w:val="20"/>
                <w:szCs w:val="20"/>
                <w:shd w:val="solid" w:color="000000" w:fill="000000"/>
                <w:fitText w:val="480" w:id="-1435791865"/>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5"/>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2B5E7248" w14:textId="6103A162"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4: </w:t>
            </w:r>
            <w:r w:rsidR="00C97261" w:rsidRPr="00C97261">
              <w:rPr>
                <w:rFonts w:ascii="Arial Narrow" w:eastAsia="Times New Roman" w:hAnsi="Arial Narrow"/>
                <w:snapToGrid w:val="0"/>
                <w:color w:val="000000"/>
                <w:spacing w:val="19"/>
                <w:sz w:val="20"/>
                <w:szCs w:val="20"/>
                <w:shd w:val="solid" w:color="000000" w:fill="000000"/>
                <w:fitText w:val="480" w:id="-1435791864"/>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4"/>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6152FDCF" w14:textId="33508D3A"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5: </w:t>
            </w:r>
            <w:r w:rsidR="00C97261" w:rsidRPr="00C97261">
              <w:rPr>
                <w:rFonts w:ascii="Arial Narrow" w:eastAsia="Times New Roman" w:hAnsi="Arial Narrow"/>
                <w:snapToGrid w:val="0"/>
                <w:color w:val="000000"/>
                <w:spacing w:val="19"/>
                <w:sz w:val="20"/>
                <w:szCs w:val="20"/>
                <w:shd w:val="solid" w:color="000000" w:fill="000000"/>
                <w:fitText w:val="480" w:id="-1435791863"/>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3"/>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47DFDD3E" w14:textId="7C7FECBE"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6: </w:t>
            </w:r>
            <w:r w:rsidR="00C97261" w:rsidRPr="00C97261">
              <w:rPr>
                <w:rFonts w:ascii="Arial Narrow" w:eastAsia="Times New Roman" w:hAnsi="Arial Narrow"/>
                <w:snapToGrid w:val="0"/>
                <w:color w:val="000000"/>
                <w:spacing w:val="19"/>
                <w:sz w:val="20"/>
                <w:szCs w:val="20"/>
                <w:shd w:val="solid" w:color="000000" w:fill="000000"/>
                <w:fitText w:val="480" w:id="-1435791862"/>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2"/>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tc>
        <w:tc>
          <w:tcPr>
            <w:tcW w:w="1560" w:type="dxa"/>
            <w:vAlign w:val="center"/>
          </w:tcPr>
          <w:p w14:paraId="723774B4"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Calculated by the submission</w:t>
            </w:r>
            <w:r w:rsidRPr="00DD72AC">
              <w:rPr>
                <w:rFonts w:ascii="Arial Narrow" w:eastAsia="Times New Roman" w:hAnsi="Arial Narrow"/>
                <w:snapToGrid w:val="0"/>
                <w:sz w:val="20"/>
                <w:szCs w:val="20"/>
                <w:vertAlign w:val="superscript"/>
              </w:rPr>
              <w:t xml:space="preserve"> </w:t>
            </w:r>
          </w:p>
        </w:tc>
        <w:tc>
          <w:tcPr>
            <w:tcW w:w="3089" w:type="dxa"/>
            <w:vAlign w:val="center"/>
          </w:tcPr>
          <w:p w14:paraId="54850DC8" w14:textId="299F68FA"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5945A8"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t>
            </w:r>
            <w:r w:rsidR="005945A8" w:rsidRPr="00DD72AC">
              <w:rPr>
                <w:rFonts w:ascii="Arial Narrow" w:eastAsia="Times New Roman" w:hAnsi="Arial Narrow"/>
                <w:snapToGrid w:val="0"/>
                <w:sz w:val="20"/>
                <w:szCs w:val="20"/>
              </w:rPr>
              <w:t>wa</w:t>
            </w:r>
            <w:r w:rsidRPr="00DD72AC">
              <w:rPr>
                <w:rFonts w:ascii="Arial Narrow" w:eastAsia="Times New Roman" w:hAnsi="Arial Narrow"/>
                <w:snapToGrid w:val="0"/>
                <w:sz w:val="20"/>
                <w:szCs w:val="20"/>
              </w:rPr>
              <w:t>s appropriate.</w:t>
            </w:r>
          </w:p>
        </w:tc>
      </w:tr>
      <w:tr w:rsidR="00485FE1" w:rsidRPr="00DD72AC" w14:paraId="7247A390" w14:textId="77777777" w:rsidTr="005945A8">
        <w:trPr>
          <w:cantSplit/>
        </w:trPr>
        <w:tc>
          <w:tcPr>
            <w:tcW w:w="2122" w:type="dxa"/>
            <w:vAlign w:val="center"/>
          </w:tcPr>
          <w:p w14:paraId="2190BA4A"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Utilisation of vosoritide vial volumes, by age</w:t>
            </w:r>
          </w:p>
        </w:tc>
        <w:tc>
          <w:tcPr>
            <w:tcW w:w="2409" w:type="dxa"/>
            <w:vAlign w:val="center"/>
          </w:tcPr>
          <w:p w14:paraId="484774C9"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0.4 mg: 0-10 years</w:t>
            </w:r>
          </w:p>
          <w:p w14:paraId="78581CEE"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0.56 mg: 11-15 years</w:t>
            </w:r>
          </w:p>
          <w:p w14:paraId="675AD576"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1.2 mg: &gt;16 years</w:t>
            </w:r>
          </w:p>
        </w:tc>
        <w:tc>
          <w:tcPr>
            <w:tcW w:w="1560" w:type="dxa"/>
            <w:vAlign w:val="center"/>
          </w:tcPr>
          <w:p w14:paraId="22BC0B93"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Calculated by the submission based on median weight and dose. </w:t>
            </w:r>
            <w:r w:rsidRPr="00DD72AC">
              <w:rPr>
                <w:rFonts w:ascii="Arial Narrow" w:eastAsia="Times New Roman" w:hAnsi="Arial Narrow"/>
                <w:snapToGrid w:val="0"/>
                <w:sz w:val="20"/>
                <w:szCs w:val="20"/>
                <w:vertAlign w:val="superscript"/>
              </w:rPr>
              <w:t xml:space="preserve"> </w:t>
            </w:r>
          </w:p>
        </w:tc>
        <w:tc>
          <w:tcPr>
            <w:tcW w:w="3089" w:type="dxa"/>
            <w:vAlign w:val="center"/>
          </w:tcPr>
          <w:p w14:paraId="2314DBF9" w14:textId="638AFC7C"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5945A8"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t>
            </w:r>
            <w:r w:rsidR="005945A8" w:rsidRPr="00DD72AC">
              <w:rPr>
                <w:rFonts w:ascii="Arial Narrow" w:eastAsia="Times New Roman" w:hAnsi="Arial Narrow"/>
                <w:snapToGrid w:val="0"/>
                <w:sz w:val="20"/>
                <w:szCs w:val="20"/>
              </w:rPr>
              <w:t>wa</w:t>
            </w:r>
            <w:r w:rsidRPr="00DD72AC">
              <w:rPr>
                <w:rFonts w:ascii="Arial Narrow" w:eastAsia="Times New Roman" w:hAnsi="Arial Narrow"/>
                <w:snapToGrid w:val="0"/>
                <w:sz w:val="20"/>
                <w:szCs w:val="20"/>
              </w:rPr>
              <w:t>s appropriate.</w:t>
            </w:r>
          </w:p>
        </w:tc>
      </w:tr>
      <w:tr w:rsidR="00485FE1" w:rsidRPr="00DD72AC" w14:paraId="45591386" w14:textId="77777777" w:rsidTr="005945A8">
        <w:trPr>
          <w:cantSplit/>
        </w:trPr>
        <w:tc>
          <w:tcPr>
            <w:tcW w:w="2122" w:type="dxa"/>
            <w:vAlign w:val="center"/>
          </w:tcPr>
          <w:p w14:paraId="415ACFC9"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Scripts dispensed</w:t>
            </w:r>
          </w:p>
        </w:tc>
        <w:tc>
          <w:tcPr>
            <w:tcW w:w="2409" w:type="dxa"/>
            <w:vAlign w:val="center"/>
          </w:tcPr>
          <w:p w14:paraId="53E23141" w14:textId="1B71796E"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1: </w:t>
            </w:r>
            <w:r w:rsidR="00C97261" w:rsidRPr="00C97261">
              <w:rPr>
                <w:rFonts w:ascii="Arial Narrow" w:eastAsia="Times New Roman" w:hAnsi="Arial Narrow"/>
                <w:snapToGrid w:val="0"/>
                <w:color w:val="000000"/>
                <w:spacing w:val="19"/>
                <w:sz w:val="20"/>
                <w:szCs w:val="20"/>
                <w:shd w:val="solid" w:color="000000" w:fill="000000"/>
                <w:fitText w:val="480" w:id="-1435791861"/>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1"/>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2</w:t>
            </w:r>
          </w:p>
          <w:p w14:paraId="27885F49" w14:textId="3156F1E6"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2: </w:t>
            </w:r>
            <w:r w:rsidR="00C97261" w:rsidRPr="00C97261">
              <w:rPr>
                <w:rFonts w:ascii="Arial Narrow" w:eastAsia="Times New Roman" w:hAnsi="Arial Narrow"/>
                <w:snapToGrid w:val="0"/>
                <w:color w:val="000000"/>
                <w:spacing w:val="19"/>
                <w:sz w:val="20"/>
                <w:szCs w:val="20"/>
                <w:shd w:val="solid" w:color="000000" w:fill="000000"/>
                <w:fitText w:val="480" w:id="-1435791860"/>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0"/>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2</w:t>
            </w:r>
          </w:p>
          <w:p w14:paraId="35BC30BD" w14:textId="1F0A79E0"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3: </w:t>
            </w:r>
            <w:r w:rsidR="00C97261" w:rsidRPr="00C97261">
              <w:rPr>
                <w:rFonts w:ascii="Arial Narrow" w:eastAsia="Times New Roman" w:hAnsi="Arial Narrow"/>
                <w:snapToGrid w:val="0"/>
                <w:color w:val="000000"/>
                <w:spacing w:val="19"/>
                <w:sz w:val="20"/>
                <w:szCs w:val="20"/>
                <w:shd w:val="solid" w:color="000000" w:fill="000000"/>
                <w:fitText w:val="480" w:id="-1435791859"/>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59"/>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2</w:t>
            </w:r>
          </w:p>
          <w:p w14:paraId="0FA68580" w14:textId="377547DB"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4: </w:t>
            </w:r>
            <w:r w:rsidR="00C97261" w:rsidRPr="00C97261">
              <w:rPr>
                <w:rFonts w:ascii="Arial Narrow" w:eastAsia="Times New Roman" w:hAnsi="Arial Narrow"/>
                <w:snapToGrid w:val="0"/>
                <w:color w:val="000000"/>
                <w:spacing w:val="19"/>
                <w:sz w:val="20"/>
                <w:szCs w:val="20"/>
                <w:shd w:val="solid" w:color="000000" w:fill="000000"/>
                <w:fitText w:val="480" w:id="-1435791858"/>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58"/>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2</w:t>
            </w:r>
          </w:p>
          <w:p w14:paraId="025C33E1" w14:textId="54EC9C14"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5: </w:t>
            </w:r>
            <w:r w:rsidR="00C97261" w:rsidRPr="00C97261">
              <w:rPr>
                <w:rFonts w:ascii="Arial Narrow" w:eastAsia="Times New Roman" w:hAnsi="Arial Narrow"/>
                <w:snapToGrid w:val="0"/>
                <w:color w:val="000000"/>
                <w:spacing w:val="19"/>
                <w:sz w:val="20"/>
                <w:szCs w:val="20"/>
                <w:shd w:val="solid" w:color="000000" w:fill="000000"/>
                <w:fitText w:val="480" w:id="-1435791857"/>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57"/>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2</w:t>
            </w:r>
          </w:p>
          <w:p w14:paraId="263EF0F1" w14:textId="2D41E5E5" w:rsidR="00485FE1" w:rsidRPr="00DD72AC" w:rsidRDefault="00485FE1" w:rsidP="00A96DD0">
            <w:pPr>
              <w:spacing w:after="120"/>
              <w:contextualSpacing/>
              <w:rPr>
                <w:rFonts w:ascii="Arial Narrow" w:eastAsia="Times New Roman" w:hAnsi="Arial Narrow"/>
                <w:snapToGrid w:val="0"/>
                <w:sz w:val="20"/>
                <w:szCs w:val="20"/>
              </w:rPr>
            </w:pPr>
            <w:proofErr w:type="spellStart"/>
            <w:r w:rsidRPr="00DD72AC">
              <w:rPr>
                <w:rFonts w:ascii="Arial Narrow" w:eastAsia="Times New Roman" w:hAnsi="Arial Narrow"/>
                <w:snapToGrid w:val="0"/>
                <w:sz w:val="20"/>
                <w:szCs w:val="20"/>
              </w:rPr>
              <w:t>Yr</w:t>
            </w:r>
            <w:proofErr w:type="spellEnd"/>
            <w:r w:rsidRPr="00DD72AC">
              <w:rPr>
                <w:rFonts w:ascii="Arial Narrow" w:eastAsia="Times New Roman" w:hAnsi="Arial Narrow"/>
                <w:snapToGrid w:val="0"/>
                <w:sz w:val="20"/>
                <w:szCs w:val="20"/>
              </w:rPr>
              <w:t xml:space="preserve"> 6: </w:t>
            </w:r>
            <w:r w:rsidR="00C97261" w:rsidRPr="00C97261">
              <w:rPr>
                <w:rFonts w:ascii="Arial Narrow" w:eastAsia="Times New Roman" w:hAnsi="Arial Narrow"/>
                <w:snapToGrid w:val="0"/>
                <w:color w:val="000000"/>
                <w:spacing w:val="19"/>
                <w:sz w:val="20"/>
                <w:szCs w:val="20"/>
                <w:shd w:val="solid" w:color="000000" w:fill="000000"/>
                <w:fitText w:val="480" w:id="-1435791856"/>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56"/>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2</w:t>
            </w:r>
          </w:p>
        </w:tc>
        <w:tc>
          <w:tcPr>
            <w:tcW w:w="1560" w:type="dxa"/>
            <w:vAlign w:val="center"/>
          </w:tcPr>
          <w:p w14:paraId="57AE1BDA"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Calculated by the submission </w:t>
            </w:r>
            <w:r w:rsidRPr="00DD72AC">
              <w:rPr>
                <w:rFonts w:ascii="Arial Narrow" w:eastAsia="Times New Roman" w:hAnsi="Arial Narrow"/>
                <w:snapToGrid w:val="0"/>
                <w:sz w:val="20"/>
                <w:szCs w:val="20"/>
                <w:vertAlign w:val="superscript"/>
              </w:rPr>
              <w:t>e</w:t>
            </w:r>
          </w:p>
        </w:tc>
        <w:tc>
          <w:tcPr>
            <w:tcW w:w="3089" w:type="dxa"/>
            <w:vAlign w:val="center"/>
          </w:tcPr>
          <w:p w14:paraId="4D6F63EB" w14:textId="66050DB1"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5945A8"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t>
            </w:r>
            <w:r w:rsidR="005945A8" w:rsidRPr="00DD72AC">
              <w:rPr>
                <w:rFonts w:ascii="Arial Narrow" w:eastAsia="Times New Roman" w:hAnsi="Arial Narrow"/>
                <w:snapToGrid w:val="0"/>
                <w:sz w:val="20"/>
                <w:szCs w:val="20"/>
              </w:rPr>
              <w:t>wa</w:t>
            </w:r>
            <w:r w:rsidRPr="00DD72AC">
              <w:rPr>
                <w:rFonts w:ascii="Arial Narrow" w:eastAsia="Times New Roman" w:hAnsi="Arial Narrow"/>
                <w:snapToGrid w:val="0"/>
                <w:sz w:val="20"/>
                <w:szCs w:val="20"/>
              </w:rPr>
              <w:t>s appropriate</w:t>
            </w:r>
          </w:p>
        </w:tc>
      </w:tr>
      <w:tr w:rsidR="00485FE1" w:rsidRPr="00DD72AC" w14:paraId="3D9E52C3" w14:textId="77777777" w:rsidTr="00A96DD0">
        <w:trPr>
          <w:cantSplit/>
        </w:trPr>
        <w:tc>
          <w:tcPr>
            <w:tcW w:w="9180" w:type="dxa"/>
            <w:gridSpan w:val="4"/>
            <w:vAlign w:val="center"/>
          </w:tcPr>
          <w:p w14:paraId="054EDDC4" w14:textId="77777777" w:rsidR="00485FE1" w:rsidRPr="00DD72AC" w:rsidRDefault="00485FE1" w:rsidP="00A96DD0">
            <w:pPr>
              <w:spacing w:after="120"/>
              <w:contextualSpacing/>
              <w:rPr>
                <w:rFonts w:ascii="Arial Narrow" w:eastAsia="Times New Roman" w:hAnsi="Arial Narrow"/>
                <w:b/>
                <w:snapToGrid w:val="0"/>
                <w:sz w:val="20"/>
                <w:szCs w:val="20"/>
              </w:rPr>
            </w:pPr>
            <w:r w:rsidRPr="00DD72AC">
              <w:rPr>
                <w:rFonts w:ascii="Arial Narrow" w:eastAsia="Times New Roman" w:hAnsi="Arial Narrow"/>
                <w:b/>
                <w:snapToGrid w:val="0"/>
                <w:sz w:val="20"/>
                <w:szCs w:val="20"/>
              </w:rPr>
              <w:t>Costs</w:t>
            </w:r>
          </w:p>
        </w:tc>
      </w:tr>
      <w:tr w:rsidR="00485FE1" w:rsidRPr="00DD72AC" w14:paraId="42C1E35F" w14:textId="77777777" w:rsidTr="005945A8">
        <w:trPr>
          <w:cantSplit/>
        </w:trPr>
        <w:tc>
          <w:tcPr>
            <w:tcW w:w="2122" w:type="dxa"/>
            <w:vAlign w:val="center"/>
          </w:tcPr>
          <w:p w14:paraId="7DD9E345"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Vosoritide</w:t>
            </w:r>
          </w:p>
        </w:tc>
        <w:tc>
          <w:tcPr>
            <w:tcW w:w="2409" w:type="dxa"/>
            <w:vAlign w:val="center"/>
          </w:tcPr>
          <w:p w14:paraId="2AF0C581" w14:textId="77777777" w:rsidR="00485FE1" w:rsidRPr="00DD72AC" w:rsidRDefault="00485FE1" w:rsidP="00A96DD0">
            <w:pPr>
              <w:spacing w:after="120"/>
              <w:contextualSpacing/>
              <w:rPr>
                <w:rFonts w:ascii="Arial Narrow" w:eastAsia="Times New Roman" w:hAnsi="Arial Narrow"/>
                <w:snapToGrid w:val="0"/>
                <w:sz w:val="20"/>
                <w:szCs w:val="20"/>
                <w:u w:val="single"/>
              </w:rPr>
            </w:pPr>
            <w:r w:rsidRPr="00DD72AC">
              <w:rPr>
                <w:rFonts w:ascii="Arial Narrow" w:eastAsia="Times New Roman" w:hAnsi="Arial Narrow"/>
                <w:snapToGrid w:val="0"/>
                <w:sz w:val="20"/>
                <w:szCs w:val="20"/>
                <w:u w:val="single"/>
              </w:rPr>
              <w:t>Published pricing:</w:t>
            </w:r>
          </w:p>
          <w:p w14:paraId="71D5AE04"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All strengths: </w:t>
            </w:r>
          </w:p>
          <w:p w14:paraId="2D81CC96" w14:textId="7A208E0C"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w:t>
            </w:r>
            <w:r w:rsidR="001B1FB6" w:rsidRPr="001B1FB6">
              <w:rPr>
                <w:rFonts w:ascii="Arial Narrow" w:eastAsia="Times New Roman" w:hAnsi="Arial Narrow"/>
                <w:snapToGrid w:val="0"/>
                <w:color w:val="000000"/>
                <w:spacing w:val="20"/>
                <w:sz w:val="20"/>
                <w:szCs w:val="20"/>
                <w:shd w:val="solid" w:color="000000" w:fill="000000"/>
                <w:fitText w:val="620" w:id="-1432731136"/>
                <w14:textFill>
                  <w14:solidFill>
                    <w14:srgbClr w14:val="000000">
                      <w14:alpha w14:val="100000"/>
                    </w14:srgbClr>
                  </w14:solidFill>
                </w14:textFill>
              </w:rPr>
              <w:t>||||  |||</w:t>
            </w:r>
            <w:r w:rsidR="001B1FB6" w:rsidRPr="001B1FB6">
              <w:rPr>
                <w:rFonts w:ascii="Arial Narrow" w:eastAsia="Times New Roman" w:hAnsi="Arial Narrow"/>
                <w:snapToGrid w:val="0"/>
                <w:color w:val="000000"/>
                <w:spacing w:val="9"/>
                <w:sz w:val="20"/>
                <w:szCs w:val="20"/>
                <w:shd w:val="solid" w:color="000000" w:fill="000000"/>
                <w:fitText w:val="620" w:id="-1432731136"/>
                <w14:textFill>
                  <w14:solidFill>
                    <w14:srgbClr w14:val="000000">
                      <w14:alpha w14:val="100000"/>
                    </w14:srgbClr>
                  </w14:solidFill>
                </w14:textFill>
              </w:rPr>
              <w:t>|</w:t>
            </w:r>
            <w:r w:rsidR="001B1FB6">
              <w:rPr>
                <w:rFonts w:ascii="Arial Narrow" w:eastAsia="Times New Roman" w:hAnsi="Arial Narrow"/>
                <w:snapToGrid w:val="0"/>
                <w:sz w:val="20"/>
                <w:szCs w:val="20"/>
              </w:rPr>
              <w:t xml:space="preserve"> </w:t>
            </w:r>
            <w:r w:rsidRPr="00DD72AC">
              <w:rPr>
                <w:rFonts w:ascii="Arial Narrow" w:eastAsia="Times New Roman" w:hAnsi="Arial Narrow"/>
                <w:snapToGrid w:val="0"/>
                <w:sz w:val="20"/>
                <w:szCs w:val="20"/>
              </w:rPr>
              <w:t>(AEMP)</w:t>
            </w:r>
          </w:p>
          <w:p w14:paraId="67925727" w14:textId="5A7C7C61"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w:t>
            </w:r>
            <w:r w:rsidR="001B1FB6" w:rsidRPr="001B1FB6">
              <w:rPr>
                <w:rFonts w:ascii="Arial Narrow" w:eastAsia="Times New Roman" w:hAnsi="Arial Narrow"/>
                <w:snapToGrid w:val="0"/>
                <w:color w:val="000000"/>
                <w:spacing w:val="20"/>
                <w:sz w:val="20"/>
                <w:szCs w:val="20"/>
                <w:shd w:val="solid" w:color="000000" w:fill="000000"/>
                <w:fitText w:val="620" w:id="-1432731135"/>
                <w14:textFill>
                  <w14:solidFill>
                    <w14:srgbClr w14:val="000000">
                      <w14:alpha w14:val="100000"/>
                    </w14:srgbClr>
                  </w14:solidFill>
                </w14:textFill>
              </w:rPr>
              <w:t>||||  |||</w:t>
            </w:r>
            <w:r w:rsidR="001B1FB6" w:rsidRPr="001B1FB6">
              <w:rPr>
                <w:rFonts w:ascii="Arial Narrow" w:eastAsia="Times New Roman" w:hAnsi="Arial Narrow"/>
                <w:snapToGrid w:val="0"/>
                <w:color w:val="000000"/>
                <w:spacing w:val="9"/>
                <w:sz w:val="20"/>
                <w:szCs w:val="20"/>
                <w:shd w:val="solid" w:color="000000" w:fill="000000"/>
                <w:fitText w:val="620" w:id="-1432731135"/>
                <w14:textFill>
                  <w14:solidFill>
                    <w14:srgbClr w14:val="000000">
                      <w14:alpha w14:val="100000"/>
                    </w14:srgbClr>
                  </w14:solidFill>
                </w14:textFill>
              </w:rPr>
              <w:t>|</w:t>
            </w:r>
            <w:r w:rsidRPr="00DD72AC">
              <w:rPr>
                <w:rFonts w:ascii="Arial Narrow" w:eastAsia="Times New Roman" w:hAnsi="Arial Narrow"/>
                <w:snapToGrid w:val="0"/>
                <w:sz w:val="20"/>
                <w:szCs w:val="20"/>
              </w:rPr>
              <w:t xml:space="preserve"> (DPMQ) </w:t>
            </w:r>
          </w:p>
          <w:p w14:paraId="74266A00" w14:textId="77777777" w:rsidR="00485FE1" w:rsidRPr="00DD72AC" w:rsidRDefault="00485FE1" w:rsidP="00A96DD0">
            <w:pPr>
              <w:spacing w:after="120"/>
              <w:contextualSpacing/>
              <w:rPr>
                <w:rFonts w:ascii="Arial Narrow" w:eastAsia="Times New Roman" w:hAnsi="Arial Narrow"/>
                <w:snapToGrid w:val="0"/>
                <w:sz w:val="20"/>
                <w:szCs w:val="20"/>
              </w:rPr>
            </w:pPr>
          </w:p>
          <w:p w14:paraId="00BD855A" w14:textId="77777777" w:rsidR="00485FE1" w:rsidRPr="00DD72AC" w:rsidRDefault="00485FE1" w:rsidP="00A96DD0">
            <w:pPr>
              <w:spacing w:after="120"/>
              <w:contextualSpacing/>
              <w:rPr>
                <w:rFonts w:ascii="Arial Narrow" w:eastAsia="Times New Roman" w:hAnsi="Arial Narrow"/>
                <w:snapToGrid w:val="0"/>
                <w:sz w:val="20"/>
                <w:szCs w:val="20"/>
                <w:u w:val="single"/>
              </w:rPr>
            </w:pPr>
            <w:r w:rsidRPr="00DD72AC">
              <w:rPr>
                <w:rFonts w:ascii="Arial Narrow" w:eastAsia="Times New Roman" w:hAnsi="Arial Narrow"/>
                <w:snapToGrid w:val="0"/>
                <w:sz w:val="20"/>
                <w:szCs w:val="20"/>
                <w:u w:val="single"/>
              </w:rPr>
              <w:t>Effective pricing/SPA</w:t>
            </w:r>
          </w:p>
          <w:p w14:paraId="01B19136"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All strengths: </w:t>
            </w:r>
          </w:p>
          <w:p w14:paraId="141C6AFC" w14:textId="0EC44E12"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w:t>
            </w:r>
            <w:r w:rsidR="00C97261" w:rsidRPr="00C97261">
              <w:rPr>
                <w:rFonts w:ascii="Arial Narrow" w:eastAsia="Times New Roman" w:hAnsi="Arial Narrow"/>
                <w:snapToGrid w:val="0"/>
                <w:color w:val="000000"/>
                <w:spacing w:val="19"/>
                <w:sz w:val="20"/>
                <w:szCs w:val="20"/>
                <w:shd w:val="solid" w:color="000000" w:fill="000000"/>
                <w:fitText w:val="480" w:id="-1435791872"/>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72"/>
                <w14:textFill>
                  <w14:solidFill>
                    <w14:srgbClr w14:val="000000">
                      <w14:alpha w14:val="100000"/>
                    </w14:srgbClr>
                  </w14:solidFill>
                </w14:textFill>
              </w:rPr>
              <w:t>|</w:t>
            </w:r>
            <w:r w:rsidRPr="00DD72AC">
              <w:rPr>
                <w:rFonts w:ascii="Arial Narrow" w:eastAsia="Times New Roman" w:hAnsi="Arial Narrow"/>
                <w:snapToGrid w:val="0"/>
                <w:sz w:val="20"/>
                <w:szCs w:val="20"/>
              </w:rPr>
              <w:t xml:space="preserve"> (AEMP)</w:t>
            </w:r>
          </w:p>
          <w:p w14:paraId="21410486" w14:textId="1DF3B073"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w:t>
            </w:r>
            <w:r w:rsidR="00C97261" w:rsidRPr="00C97261">
              <w:rPr>
                <w:rFonts w:ascii="Arial Narrow" w:eastAsia="Times New Roman" w:hAnsi="Arial Narrow"/>
                <w:snapToGrid w:val="0"/>
                <w:color w:val="000000"/>
                <w:spacing w:val="19"/>
                <w:sz w:val="20"/>
                <w:szCs w:val="20"/>
                <w:shd w:val="solid" w:color="000000" w:fill="000000"/>
                <w:fitText w:val="480" w:id="-1435791871"/>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71"/>
                <w14:textFill>
                  <w14:solidFill>
                    <w14:srgbClr w14:val="000000">
                      <w14:alpha w14:val="100000"/>
                    </w14:srgbClr>
                  </w14:solidFill>
                </w14:textFill>
              </w:rPr>
              <w:t>|</w:t>
            </w:r>
            <w:r w:rsidRPr="00DD72AC">
              <w:rPr>
                <w:rFonts w:ascii="Arial Narrow" w:eastAsia="Times New Roman" w:hAnsi="Arial Narrow"/>
                <w:snapToGrid w:val="0"/>
                <w:sz w:val="20"/>
                <w:szCs w:val="20"/>
              </w:rPr>
              <w:t xml:space="preserve"> (DPMQ)</w:t>
            </w:r>
          </w:p>
        </w:tc>
        <w:tc>
          <w:tcPr>
            <w:tcW w:w="1560" w:type="dxa"/>
            <w:vAlign w:val="center"/>
          </w:tcPr>
          <w:p w14:paraId="565751FF"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Requested price</w:t>
            </w:r>
          </w:p>
        </w:tc>
        <w:tc>
          <w:tcPr>
            <w:tcW w:w="3089" w:type="dxa"/>
            <w:vAlign w:val="center"/>
          </w:tcPr>
          <w:p w14:paraId="6EF18681" w14:textId="6AEB27AC"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This is consistent with the prices presented in </w:t>
            </w:r>
            <w:r w:rsidR="00F24CD0" w:rsidRPr="00DD72AC">
              <w:rPr>
                <w:rFonts w:ascii="Arial Narrow" w:eastAsia="Times New Roman" w:hAnsi="Arial Narrow"/>
                <w:snapToGrid w:val="0"/>
                <w:sz w:val="20"/>
                <w:szCs w:val="20"/>
              </w:rPr>
              <w:t>the economic evaluation</w:t>
            </w:r>
            <w:r w:rsidRPr="00DD72AC">
              <w:rPr>
                <w:rFonts w:ascii="Arial Narrow" w:eastAsia="Times New Roman" w:hAnsi="Arial Narrow"/>
                <w:snapToGrid w:val="0"/>
                <w:sz w:val="20"/>
                <w:szCs w:val="20"/>
              </w:rPr>
              <w:t xml:space="preserve">. Both economic analyses and financials used the effective pricing. </w:t>
            </w:r>
          </w:p>
        </w:tc>
      </w:tr>
      <w:tr w:rsidR="00485FE1" w:rsidRPr="00DD72AC" w14:paraId="64C28A78" w14:textId="77777777" w:rsidTr="00A96DD0">
        <w:trPr>
          <w:cantSplit/>
        </w:trPr>
        <w:tc>
          <w:tcPr>
            <w:tcW w:w="9180" w:type="dxa"/>
            <w:gridSpan w:val="4"/>
            <w:vAlign w:val="center"/>
          </w:tcPr>
          <w:p w14:paraId="233C8B8E" w14:textId="77777777" w:rsidR="00485FE1" w:rsidRPr="00DD72AC" w:rsidRDefault="00485FE1" w:rsidP="00A96DD0">
            <w:pPr>
              <w:spacing w:after="120"/>
              <w:contextualSpacing/>
              <w:rPr>
                <w:rFonts w:ascii="Arial Narrow" w:eastAsia="Times New Roman" w:hAnsi="Arial Narrow"/>
                <w:b/>
                <w:bCs/>
                <w:snapToGrid w:val="0"/>
                <w:sz w:val="20"/>
                <w:szCs w:val="20"/>
              </w:rPr>
            </w:pPr>
            <w:r w:rsidRPr="00DD72AC">
              <w:rPr>
                <w:rFonts w:ascii="Arial Narrow" w:eastAsia="Times New Roman" w:hAnsi="Arial Narrow"/>
                <w:b/>
                <w:snapToGrid w:val="0"/>
                <w:sz w:val="20"/>
                <w:szCs w:val="20"/>
              </w:rPr>
              <w:t>Patient co-payments</w:t>
            </w:r>
          </w:p>
        </w:tc>
      </w:tr>
      <w:tr w:rsidR="00485FE1" w:rsidRPr="00DD72AC" w14:paraId="425D3FDA" w14:textId="77777777" w:rsidTr="00F24CD0">
        <w:trPr>
          <w:cantSplit/>
        </w:trPr>
        <w:tc>
          <w:tcPr>
            <w:tcW w:w="2122" w:type="dxa"/>
            <w:vAlign w:val="center"/>
          </w:tcPr>
          <w:p w14:paraId="16470D2A" w14:textId="77777777" w:rsidR="00485FE1" w:rsidRPr="00DD72AC" w:rsidRDefault="00485FE1" w:rsidP="00F24CD0">
            <w:pPr>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Beneficiary type distribution</w:t>
            </w:r>
          </w:p>
        </w:tc>
        <w:tc>
          <w:tcPr>
            <w:tcW w:w="2409" w:type="dxa"/>
            <w:vAlign w:val="center"/>
          </w:tcPr>
          <w:p w14:paraId="3ED0C97E" w14:textId="77777777" w:rsidR="00485FE1" w:rsidRPr="00DD72AC" w:rsidRDefault="00485FE1" w:rsidP="00A96DD0">
            <w:pPr>
              <w:spacing w:after="120"/>
              <w:contextualSpacing/>
              <w:rPr>
                <w:rFonts w:ascii="Arial Narrow" w:eastAsiaTheme="majorEastAsia" w:hAnsi="Arial Narrow" w:cstheme="majorBidi"/>
                <w:bCs/>
                <w:sz w:val="20"/>
                <w:szCs w:val="20"/>
              </w:rPr>
            </w:pPr>
            <w:r w:rsidRPr="00DD72AC">
              <w:rPr>
                <w:rFonts w:ascii="Arial Narrow" w:eastAsiaTheme="majorEastAsia" w:hAnsi="Arial Narrow" w:cstheme="majorBidi"/>
                <w:bCs/>
                <w:sz w:val="20"/>
                <w:szCs w:val="20"/>
              </w:rPr>
              <w:t>General ordinary: 7.0%</w:t>
            </w:r>
          </w:p>
          <w:p w14:paraId="6ACEBA51" w14:textId="77777777" w:rsidR="00485FE1" w:rsidRPr="00DD72AC" w:rsidRDefault="00485FE1" w:rsidP="00A96DD0">
            <w:pPr>
              <w:spacing w:after="120"/>
              <w:contextualSpacing/>
              <w:rPr>
                <w:rFonts w:ascii="Arial Narrow" w:eastAsiaTheme="majorEastAsia" w:hAnsi="Arial Narrow" w:cstheme="majorBidi"/>
                <w:bCs/>
                <w:sz w:val="20"/>
                <w:szCs w:val="20"/>
              </w:rPr>
            </w:pPr>
            <w:r w:rsidRPr="00DD72AC">
              <w:rPr>
                <w:rFonts w:ascii="Arial Narrow" w:eastAsiaTheme="majorEastAsia" w:hAnsi="Arial Narrow" w:cstheme="majorBidi"/>
                <w:bCs/>
                <w:sz w:val="20"/>
                <w:szCs w:val="20"/>
              </w:rPr>
              <w:t>General safety net: 1.3%</w:t>
            </w:r>
          </w:p>
          <w:p w14:paraId="17CEA393" w14:textId="77777777" w:rsidR="00485FE1" w:rsidRPr="00DD72AC" w:rsidRDefault="00485FE1" w:rsidP="00A96DD0">
            <w:pPr>
              <w:spacing w:after="120"/>
              <w:contextualSpacing/>
              <w:rPr>
                <w:rFonts w:ascii="Arial Narrow" w:eastAsiaTheme="majorEastAsia" w:hAnsi="Arial Narrow" w:cstheme="majorBidi"/>
                <w:bCs/>
                <w:sz w:val="20"/>
                <w:szCs w:val="20"/>
              </w:rPr>
            </w:pPr>
            <w:r w:rsidRPr="00DD72AC">
              <w:rPr>
                <w:rFonts w:ascii="Arial Narrow" w:eastAsiaTheme="majorEastAsia" w:hAnsi="Arial Narrow" w:cstheme="majorBidi"/>
                <w:bCs/>
                <w:sz w:val="20"/>
                <w:szCs w:val="20"/>
              </w:rPr>
              <w:t>Concessional ordinary: 65.6%</w:t>
            </w:r>
          </w:p>
          <w:p w14:paraId="6D65F27A" w14:textId="77777777" w:rsidR="00485FE1" w:rsidRPr="00DD72AC" w:rsidRDefault="00485FE1" w:rsidP="00A96DD0">
            <w:pPr>
              <w:spacing w:after="120"/>
              <w:contextualSpacing/>
              <w:rPr>
                <w:rFonts w:ascii="Arial Narrow" w:eastAsiaTheme="majorEastAsia" w:hAnsi="Arial Narrow" w:cstheme="majorBidi"/>
                <w:bCs/>
                <w:sz w:val="20"/>
                <w:szCs w:val="20"/>
              </w:rPr>
            </w:pPr>
            <w:r w:rsidRPr="00DD72AC">
              <w:rPr>
                <w:rFonts w:ascii="Arial Narrow" w:eastAsiaTheme="majorEastAsia" w:hAnsi="Arial Narrow" w:cstheme="majorBidi"/>
                <w:bCs/>
                <w:sz w:val="20"/>
                <w:szCs w:val="20"/>
              </w:rPr>
              <w:t>Concessional free service: 22.6%</w:t>
            </w:r>
          </w:p>
          <w:p w14:paraId="7B14155F" w14:textId="77777777" w:rsidR="00485FE1" w:rsidRPr="00DD72AC" w:rsidRDefault="00485FE1" w:rsidP="00A96DD0">
            <w:pPr>
              <w:spacing w:after="120"/>
              <w:contextualSpacing/>
              <w:rPr>
                <w:rFonts w:ascii="Arial Narrow" w:eastAsiaTheme="majorEastAsia" w:hAnsi="Arial Narrow" w:cstheme="majorBidi"/>
                <w:bCs/>
                <w:sz w:val="20"/>
                <w:szCs w:val="20"/>
              </w:rPr>
            </w:pPr>
            <w:r w:rsidRPr="00DD72AC">
              <w:rPr>
                <w:rFonts w:ascii="Arial Narrow" w:eastAsiaTheme="majorEastAsia" w:hAnsi="Arial Narrow" w:cstheme="majorBidi"/>
                <w:bCs/>
                <w:sz w:val="20"/>
                <w:szCs w:val="20"/>
              </w:rPr>
              <w:t>RPBS ordinary: 2.5%</w:t>
            </w:r>
          </w:p>
          <w:p w14:paraId="4C84E2CF"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RPBS safety net: 1.2%</w:t>
            </w:r>
          </w:p>
        </w:tc>
        <w:tc>
          <w:tcPr>
            <w:tcW w:w="1560" w:type="dxa"/>
            <w:vAlign w:val="center"/>
          </w:tcPr>
          <w:p w14:paraId="20FDFE6F" w14:textId="77777777" w:rsidR="00485FE1" w:rsidRPr="00DD72AC" w:rsidRDefault="00485FE1" w:rsidP="00A96DD0">
            <w:pPr>
              <w:spacing w:after="120"/>
              <w:contextualSpacing/>
              <w:rPr>
                <w:rFonts w:ascii="Arial Narrow" w:eastAsia="Times New Roman" w:hAnsi="Arial Narrow"/>
                <w:snapToGrid w:val="0"/>
                <w:sz w:val="20"/>
                <w:szCs w:val="20"/>
              </w:rPr>
            </w:pPr>
          </w:p>
        </w:tc>
        <w:tc>
          <w:tcPr>
            <w:tcW w:w="3089" w:type="dxa"/>
            <w:vAlign w:val="center"/>
          </w:tcPr>
          <w:p w14:paraId="4B16BCFE" w14:textId="77777777" w:rsidR="00485FE1" w:rsidRPr="00DD72AC" w:rsidRDefault="00485FE1" w:rsidP="00A96DD0">
            <w:pPr>
              <w:spacing w:after="120"/>
              <w:contextualSpacing/>
              <w:rPr>
                <w:rFonts w:ascii="Arial Narrow" w:eastAsia="Times New Roman" w:hAnsi="Arial Narrow"/>
                <w:i/>
                <w:iCs/>
                <w:snapToGrid w:val="0"/>
                <w:sz w:val="20"/>
                <w:szCs w:val="20"/>
              </w:rPr>
            </w:pPr>
          </w:p>
        </w:tc>
      </w:tr>
      <w:tr w:rsidR="00485FE1" w:rsidRPr="00DD72AC" w14:paraId="1C7F7529" w14:textId="77777777" w:rsidTr="005945A8">
        <w:trPr>
          <w:cantSplit/>
        </w:trPr>
        <w:tc>
          <w:tcPr>
            <w:tcW w:w="2122" w:type="dxa"/>
            <w:vAlign w:val="center"/>
          </w:tcPr>
          <w:p w14:paraId="0E677766"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lastRenderedPageBreak/>
              <w:t>Patient co-payments, %</w:t>
            </w:r>
          </w:p>
        </w:tc>
        <w:tc>
          <w:tcPr>
            <w:tcW w:w="2409" w:type="dxa"/>
            <w:vAlign w:val="center"/>
          </w:tcPr>
          <w:p w14:paraId="325C386E"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96.63% (PBS services)</w:t>
            </w:r>
          </w:p>
          <w:p w14:paraId="16EDAC87"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3.37% (RPBS services)</w:t>
            </w:r>
          </w:p>
        </w:tc>
        <w:tc>
          <w:tcPr>
            <w:tcW w:w="1560" w:type="dxa"/>
            <w:vAlign w:val="center"/>
          </w:tcPr>
          <w:p w14:paraId="37008558"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PBS/RPBS 2021</w:t>
            </w:r>
          </w:p>
        </w:tc>
        <w:tc>
          <w:tcPr>
            <w:tcW w:w="3089" w:type="dxa"/>
            <w:vAlign w:val="center"/>
          </w:tcPr>
          <w:p w14:paraId="2A0853B1" w14:textId="3D78AFDE"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432959"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t>
            </w:r>
            <w:r w:rsidR="00432959" w:rsidRPr="00DD72AC">
              <w:rPr>
                <w:rFonts w:ascii="Arial Narrow" w:eastAsia="Times New Roman" w:hAnsi="Arial Narrow"/>
                <w:snapToGrid w:val="0"/>
                <w:sz w:val="20"/>
                <w:szCs w:val="20"/>
              </w:rPr>
              <w:t>seemed</w:t>
            </w:r>
            <w:r w:rsidRPr="00DD72AC">
              <w:rPr>
                <w:rFonts w:ascii="Arial Narrow" w:eastAsia="Times New Roman" w:hAnsi="Arial Narrow"/>
                <w:snapToGrid w:val="0"/>
                <w:sz w:val="20"/>
                <w:szCs w:val="20"/>
              </w:rPr>
              <w:t xml:space="preserve"> reasonable.</w:t>
            </w:r>
          </w:p>
        </w:tc>
      </w:tr>
      <w:tr w:rsidR="00485FE1" w:rsidRPr="00DD72AC" w14:paraId="17C69485" w14:textId="77777777" w:rsidTr="005945A8">
        <w:trPr>
          <w:cantSplit/>
        </w:trPr>
        <w:tc>
          <w:tcPr>
            <w:tcW w:w="2122" w:type="dxa"/>
            <w:vAlign w:val="center"/>
          </w:tcPr>
          <w:p w14:paraId="60BE60C9"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Patient co-payments, $</w:t>
            </w:r>
          </w:p>
        </w:tc>
        <w:tc>
          <w:tcPr>
            <w:tcW w:w="2409" w:type="dxa"/>
            <w:vAlign w:val="center"/>
          </w:tcPr>
          <w:p w14:paraId="0293F662"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$7.73 (PBS services)</w:t>
            </w:r>
          </w:p>
          <w:p w14:paraId="015FCEA5"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$4.49 (RPBS services)</w:t>
            </w:r>
          </w:p>
        </w:tc>
        <w:tc>
          <w:tcPr>
            <w:tcW w:w="1560" w:type="dxa"/>
            <w:vAlign w:val="center"/>
          </w:tcPr>
          <w:p w14:paraId="53873688"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PBS/RPBS 2021</w:t>
            </w:r>
          </w:p>
        </w:tc>
        <w:tc>
          <w:tcPr>
            <w:tcW w:w="3089" w:type="dxa"/>
            <w:vAlign w:val="center"/>
          </w:tcPr>
          <w:p w14:paraId="0543DECA" w14:textId="61331CED"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432959"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his seem</w:t>
            </w:r>
            <w:r w:rsidR="00432959" w:rsidRPr="00DD72AC">
              <w:rPr>
                <w:rFonts w:ascii="Arial Narrow" w:eastAsia="Times New Roman" w:hAnsi="Arial Narrow"/>
                <w:snapToGrid w:val="0"/>
                <w:sz w:val="20"/>
                <w:szCs w:val="20"/>
              </w:rPr>
              <w:t>ed</w:t>
            </w:r>
            <w:r w:rsidRPr="00DD72AC">
              <w:rPr>
                <w:rFonts w:ascii="Arial Narrow" w:eastAsia="Times New Roman" w:hAnsi="Arial Narrow"/>
                <w:snapToGrid w:val="0"/>
                <w:sz w:val="20"/>
                <w:szCs w:val="20"/>
              </w:rPr>
              <w:t xml:space="preserve"> reasonable.</w:t>
            </w:r>
          </w:p>
        </w:tc>
      </w:tr>
    </w:tbl>
    <w:p w14:paraId="383C8171" w14:textId="77777777"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111, p214, Table 113, p216, Table 114, p217, Table 115, p217, Table 117, p218, Table 121, p220, Table 123, p221, and Table 124, p221 of the submission.</w:t>
      </w:r>
    </w:p>
    <w:p w14:paraId="043E9EB3" w14:textId="77777777"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Abbreviations: ABS = Australian Bureau of statistics; AEMP = approved ex-manufacturer price; DPMQ = dispensed price for maximum quantity; N/A = not applicable; PBS = Pharmaceutical Benefits Scheme; RPBS = Repatriation Pharmaceutical Benefits Scheme; SPA = special pricing arrangement.  </w:t>
      </w:r>
    </w:p>
    <w:p w14:paraId="103DD5FD" w14:textId="77777777" w:rsidR="00F24CD0"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Notes: </w:t>
      </w:r>
    </w:p>
    <w:p w14:paraId="715AF9EA" w14:textId="18F3F2F6" w:rsidR="00485FE1" w:rsidRPr="004E04F6" w:rsidRDefault="00485FE1" w:rsidP="00485FE1">
      <w:pPr>
        <w:spacing w:after="120"/>
        <w:contextualSpacing/>
        <w:rPr>
          <w:rFonts w:ascii="Arial Narrow" w:eastAsia="Times New Roman" w:hAnsi="Arial Narrow"/>
          <w:snapToGrid w:val="0"/>
          <w:sz w:val="18"/>
          <w:szCs w:val="22"/>
        </w:rPr>
      </w:pPr>
      <w:r w:rsidRPr="004E04F6">
        <w:rPr>
          <w:rFonts w:ascii="Arial Narrow" w:eastAsia="Times New Roman" w:hAnsi="Arial Narrow"/>
          <w:snapToGrid w:val="0"/>
          <w:sz w:val="18"/>
          <w:szCs w:val="22"/>
        </w:rPr>
        <w:t xml:space="preserve">a. The submission assumed </w:t>
      </w:r>
      <w:r w:rsidR="00C97261" w:rsidRPr="00C55149">
        <w:rPr>
          <w:rFonts w:ascii="Arial Narrow" w:eastAsia="Times New Roman" w:hAnsi="Arial Narrow"/>
          <w:snapToGrid w:val="0"/>
          <w:color w:val="000000"/>
          <w:spacing w:val="18"/>
          <w:w w:val="97"/>
          <w:sz w:val="18"/>
          <w:szCs w:val="22"/>
          <w:shd w:val="solid" w:color="000000" w:fill="000000"/>
          <w:fitText w:val="430" w:id="-1435791870"/>
          <w14:textFill>
            <w14:solidFill>
              <w14:srgbClr w14:val="000000">
                <w14:alpha w14:val="100000"/>
              </w14:srgbClr>
            </w14:solidFill>
          </w14:textFill>
        </w:rPr>
        <w:t>|||  ||</w:t>
      </w:r>
      <w:r w:rsidR="00C97261" w:rsidRPr="00C55149">
        <w:rPr>
          <w:rFonts w:ascii="Arial Narrow" w:eastAsia="Times New Roman" w:hAnsi="Arial Narrow"/>
          <w:snapToGrid w:val="0"/>
          <w:color w:val="000000"/>
          <w:spacing w:val="2"/>
          <w:w w:val="97"/>
          <w:sz w:val="18"/>
          <w:szCs w:val="22"/>
          <w:shd w:val="solid" w:color="000000" w:fill="000000"/>
          <w:fitText w:val="430" w:id="-1435791870"/>
          <w14:textFill>
            <w14:solidFill>
              <w14:srgbClr w14:val="000000">
                <w14:alpha w14:val="100000"/>
              </w14:srgbClr>
            </w14:solidFill>
          </w14:textFill>
        </w:rPr>
        <w:t>|</w:t>
      </w:r>
      <w:r w:rsidRPr="004E04F6">
        <w:rPr>
          <w:rFonts w:ascii="Arial Narrow" w:eastAsia="Times New Roman" w:hAnsi="Arial Narrow"/>
          <w:snapToGrid w:val="0"/>
          <w:sz w:val="18"/>
          <w:szCs w:val="22"/>
        </w:rPr>
        <w:t>% of patients in clinical trials will transition to PBS setting. The submission noted that weighted average uptake (</w:t>
      </w:r>
      <w:r w:rsidR="00C97261" w:rsidRPr="00C55149">
        <w:rPr>
          <w:rFonts w:ascii="Arial Narrow" w:eastAsia="Times New Roman" w:hAnsi="Arial Narrow"/>
          <w:snapToGrid w:val="0"/>
          <w:color w:val="000000"/>
          <w:spacing w:val="18"/>
          <w:w w:val="97"/>
          <w:sz w:val="18"/>
          <w:szCs w:val="22"/>
          <w:shd w:val="solid" w:color="000000" w:fill="000000"/>
          <w:fitText w:val="430" w:id="-1435791869"/>
          <w14:textFill>
            <w14:solidFill>
              <w14:srgbClr w14:val="000000">
                <w14:alpha w14:val="100000"/>
              </w14:srgbClr>
            </w14:solidFill>
          </w14:textFill>
        </w:rPr>
        <w:t>|||  ||</w:t>
      </w:r>
      <w:r w:rsidR="00C97261" w:rsidRPr="00C55149">
        <w:rPr>
          <w:rFonts w:ascii="Arial Narrow" w:eastAsia="Times New Roman" w:hAnsi="Arial Narrow"/>
          <w:snapToGrid w:val="0"/>
          <w:color w:val="000000"/>
          <w:spacing w:val="2"/>
          <w:w w:val="97"/>
          <w:sz w:val="18"/>
          <w:szCs w:val="22"/>
          <w:shd w:val="solid" w:color="000000" w:fill="000000"/>
          <w:fitText w:val="430" w:id="-1435791869"/>
          <w14:textFill>
            <w14:solidFill>
              <w14:srgbClr w14:val="000000">
                <w14:alpha w14:val="100000"/>
              </w14:srgbClr>
            </w14:solidFill>
          </w14:textFill>
        </w:rPr>
        <w:t>|</w:t>
      </w:r>
      <w:r w:rsidRPr="004E04F6">
        <w:rPr>
          <w:rFonts w:ascii="Arial Narrow" w:eastAsia="Times New Roman" w:hAnsi="Arial Narrow"/>
          <w:snapToGrid w:val="0"/>
          <w:sz w:val="18"/>
          <w:szCs w:val="22"/>
        </w:rPr>
        <w:t xml:space="preserve">%) is not equal to </w:t>
      </w:r>
      <w:r w:rsidR="00C97261" w:rsidRPr="00C55149">
        <w:rPr>
          <w:rFonts w:ascii="Arial Narrow" w:eastAsia="Times New Roman" w:hAnsi="Arial Narrow"/>
          <w:snapToGrid w:val="0"/>
          <w:color w:val="000000"/>
          <w:spacing w:val="18"/>
          <w:w w:val="97"/>
          <w:sz w:val="18"/>
          <w:szCs w:val="22"/>
          <w:shd w:val="solid" w:color="000000" w:fill="000000"/>
          <w:fitText w:val="430" w:id="-1435791868"/>
          <w14:textFill>
            <w14:solidFill>
              <w14:srgbClr w14:val="000000">
                <w14:alpha w14:val="100000"/>
              </w14:srgbClr>
            </w14:solidFill>
          </w14:textFill>
        </w:rPr>
        <w:t>|||  ||</w:t>
      </w:r>
      <w:r w:rsidR="00C97261" w:rsidRPr="00C55149">
        <w:rPr>
          <w:rFonts w:ascii="Arial Narrow" w:eastAsia="Times New Roman" w:hAnsi="Arial Narrow"/>
          <w:snapToGrid w:val="0"/>
          <w:color w:val="000000"/>
          <w:spacing w:val="2"/>
          <w:w w:val="97"/>
          <w:sz w:val="18"/>
          <w:szCs w:val="22"/>
          <w:shd w:val="solid" w:color="000000" w:fill="000000"/>
          <w:fitText w:val="430" w:id="-1435791868"/>
          <w14:textFill>
            <w14:solidFill>
              <w14:srgbClr w14:val="000000">
                <w14:alpha w14:val="100000"/>
              </w14:srgbClr>
            </w14:solidFill>
          </w14:textFill>
        </w:rPr>
        <w:t>|</w:t>
      </w:r>
      <w:r w:rsidRPr="004E04F6">
        <w:rPr>
          <w:rFonts w:ascii="Arial Narrow" w:eastAsia="Times New Roman" w:hAnsi="Arial Narrow"/>
          <w:snapToGrid w:val="0"/>
          <w:sz w:val="18"/>
          <w:szCs w:val="22"/>
        </w:rPr>
        <w:t>% due to rounding.</w:t>
      </w:r>
    </w:p>
    <w:p w14:paraId="4A326B63" w14:textId="372D0B3F" w:rsidR="00485FE1" w:rsidRPr="00DD72AC" w:rsidRDefault="00485FE1" w:rsidP="00485FE1">
      <w:pPr>
        <w:spacing w:after="120"/>
        <w:contextualSpacing/>
        <w:rPr>
          <w:rFonts w:ascii="Arial Narrow" w:eastAsia="Times New Roman" w:hAnsi="Arial Narrow"/>
          <w:snapToGrid w:val="0"/>
          <w:sz w:val="18"/>
          <w:szCs w:val="22"/>
        </w:rPr>
      </w:pPr>
      <w:r w:rsidRPr="004E04F6">
        <w:rPr>
          <w:rFonts w:ascii="Arial Narrow" w:eastAsia="Times New Roman" w:hAnsi="Arial Narrow"/>
          <w:snapToGrid w:val="0"/>
          <w:sz w:val="18"/>
          <w:szCs w:val="22"/>
        </w:rPr>
        <w:t>b. Age based uptake rates among the prevalent pool were based on the submission assumptions (</w:t>
      </w:r>
      <w:r w:rsidR="00C97261" w:rsidRPr="00C55149">
        <w:rPr>
          <w:rFonts w:ascii="Arial Narrow" w:eastAsia="Times New Roman" w:hAnsi="Arial Narrow"/>
          <w:snapToGrid w:val="0"/>
          <w:color w:val="000000"/>
          <w:spacing w:val="18"/>
          <w:w w:val="97"/>
          <w:sz w:val="18"/>
          <w:szCs w:val="22"/>
          <w:shd w:val="solid" w:color="000000" w:fill="000000"/>
          <w:fitText w:val="430" w:id="-1435791867"/>
          <w14:textFill>
            <w14:solidFill>
              <w14:srgbClr w14:val="000000">
                <w14:alpha w14:val="100000"/>
              </w14:srgbClr>
            </w14:solidFill>
          </w14:textFill>
        </w:rPr>
        <w:t>|||  ||</w:t>
      </w:r>
      <w:r w:rsidR="00C97261" w:rsidRPr="00C55149">
        <w:rPr>
          <w:rFonts w:ascii="Arial Narrow" w:eastAsia="Times New Roman" w:hAnsi="Arial Narrow"/>
          <w:snapToGrid w:val="0"/>
          <w:color w:val="000000"/>
          <w:spacing w:val="2"/>
          <w:w w:val="97"/>
          <w:sz w:val="18"/>
          <w:szCs w:val="22"/>
          <w:shd w:val="solid" w:color="000000" w:fill="000000"/>
          <w:fitText w:val="430" w:id="-1435791867"/>
          <w14:textFill>
            <w14:solidFill>
              <w14:srgbClr w14:val="000000">
                <w14:alpha w14:val="100000"/>
              </w14:srgbClr>
            </w14:solidFill>
          </w14:textFill>
        </w:rPr>
        <w:t>|</w:t>
      </w:r>
      <w:r w:rsidRPr="004E04F6">
        <w:rPr>
          <w:rFonts w:ascii="Arial Narrow" w:eastAsia="Times New Roman" w:hAnsi="Arial Narrow"/>
          <w:snapToGrid w:val="0"/>
          <w:sz w:val="18"/>
          <w:szCs w:val="22"/>
        </w:rPr>
        <w:t xml:space="preserve">% for patients aged 0-4; </w:t>
      </w:r>
      <w:r w:rsidR="00C97261" w:rsidRPr="00C55149">
        <w:rPr>
          <w:rFonts w:ascii="Arial Narrow" w:eastAsia="Times New Roman" w:hAnsi="Arial Narrow"/>
          <w:snapToGrid w:val="0"/>
          <w:color w:val="000000"/>
          <w:spacing w:val="17"/>
          <w:w w:val="95"/>
          <w:sz w:val="18"/>
          <w:szCs w:val="22"/>
          <w:shd w:val="solid" w:color="000000" w:fill="000000"/>
          <w:fitText w:val="420" w:id="-1435791866"/>
          <w14:textFill>
            <w14:solidFill>
              <w14:srgbClr w14:val="000000">
                <w14:alpha w14:val="100000"/>
              </w14:srgbClr>
            </w14:solidFill>
          </w14:textFill>
        </w:rPr>
        <w:t>|||  ||</w:t>
      </w:r>
      <w:r w:rsidR="00C97261" w:rsidRPr="00C55149">
        <w:rPr>
          <w:rFonts w:ascii="Arial Narrow" w:eastAsia="Times New Roman" w:hAnsi="Arial Narrow"/>
          <w:snapToGrid w:val="0"/>
          <w:color w:val="000000"/>
          <w:spacing w:val="5"/>
          <w:w w:val="95"/>
          <w:sz w:val="18"/>
          <w:szCs w:val="22"/>
          <w:shd w:val="solid" w:color="000000" w:fill="000000"/>
          <w:fitText w:val="420" w:id="-1435791866"/>
          <w14:textFill>
            <w14:solidFill>
              <w14:srgbClr w14:val="000000">
                <w14:alpha w14:val="100000"/>
              </w14:srgbClr>
            </w14:solidFill>
          </w14:textFill>
        </w:rPr>
        <w:t>|</w:t>
      </w:r>
      <w:r w:rsidRPr="004E04F6">
        <w:rPr>
          <w:rFonts w:ascii="Arial Narrow" w:eastAsia="Times New Roman" w:hAnsi="Arial Narrow"/>
          <w:snapToGrid w:val="0"/>
          <w:sz w:val="18"/>
          <w:szCs w:val="22"/>
        </w:rPr>
        <w:t xml:space="preserve">% for patients aged 5-8; </w:t>
      </w:r>
      <w:r w:rsidR="00C97261" w:rsidRPr="00C55149">
        <w:rPr>
          <w:rFonts w:ascii="Arial Narrow" w:eastAsia="Times New Roman" w:hAnsi="Arial Narrow"/>
          <w:snapToGrid w:val="0"/>
          <w:color w:val="000000"/>
          <w:spacing w:val="18"/>
          <w:w w:val="97"/>
          <w:sz w:val="18"/>
          <w:szCs w:val="22"/>
          <w:shd w:val="solid" w:color="000000" w:fill="000000"/>
          <w:fitText w:val="430" w:id="-1435791865"/>
          <w14:textFill>
            <w14:solidFill>
              <w14:srgbClr w14:val="000000">
                <w14:alpha w14:val="100000"/>
              </w14:srgbClr>
            </w14:solidFill>
          </w14:textFill>
        </w:rPr>
        <w:t>|||  ||</w:t>
      </w:r>
      <w:r w:rsidR="00C97261" w:rsidRPr="00C55149">
        <w:rPr>
          <w:rFonts w:ascii="Arial Narrow" w:eastAsia="Times New Roman" w:hAnsi="Arial Narrow"/>
          <w:snapToGrid w:val="0"/>
          <w:color w:val="000000"/>
          <w:spacing w:val="2"/>
          <w:w w:val="97"/>
          <w:sz w:val="18"/>
          <w:szCs w:val="22"/>
          <w:shd w:val="solid" w:color="000000" w:fill="000000"/>
          <w:fitText w:val="430" w:id="-1435791865"/>
          <w14:textFill>
            <w14:solidFill>
              <w14:srgbClr w14:val="000000">
                <w14:alpha w14:val="100000"/>
              </w14:srgbClr>
            </w14:solidFill>
          </w14:textFill>
        </w:rPr>
        <w:t>|</w:t>
      </w:r>
      <w:r w:rsidRPr="004E04F6">
        <w:rPr>
          <w:rFonts w:ascii="Arial Narrow" w:eastAsia="Times New Roman" w:hAnsi="Arial Narrow"/>
          <w:snapToGrid w:val="0"/>
          <w:sz w:val="18"/>
          <w:szCs w:val="22"/>
        </w:rPr>
        <w:t xml:space="preserve">% for patients aged 9-12; and </w:t>
      </w:r>
      <w:r w:rsidR="00C97261" w:rsidRPr="00C55149">
        <w:rPr>
          <w:rFonts w:ascii="Arial Narrow" w:eastAsia="Times New Roman" w:hAnsi="Arial Narrow"/>
          <w:snapToGrid w:val="0"/>
          <w:color w:val="000000"/>
          <w:spacing w:val="18"/>
          <w:w w:val="97"/>
          <w:sz w:val="18"/>
          <w:szCs w:val="22"/>
          <w:shd w:val="solid" w:color="000000" w:fill="000000"/>
          <w:fitText w:val="430" w:id="-1435791864"/>
          <w14:textFill>
            <w14:solidFill>
              <w14:srgbClr w14:val="000000">
                <w14:alpha w14:val="100000"/>
              </w14:srgbClr>
            </w14:solidFill>
          </w14:textFill>
        </w:rPr>
        <w:t>|||  ||</w:t>
      </w:r>
      <w:r w:rsidR="00C97261" w:rsidRPr="00C55149">
        <w:rPr>
          <w:rFonts w:ascii="Arial Narrow" w:eastAsia="Times New Roman" w:hAnsi="Arial Narrow"/>
          <w:snapToGrid w:val="0"/>
          <w:color w:val="000000"/>
          <w:spacing w:val="2"/>
          <w:w w:val="97"/>
          <w:sz w:val="18"/>
          <w:szCs w:val="22"/>
          <w:shd w:val="solid" w:color="000000" w:fill="000000"/>
          <w:fitText w:val="430" w:id="-1435791864"/>
          <w14:textFill>
            <w14:solidFill>
              <w14:srgbClr w14:val="000000">
                <w14:alpha w14:val="100000"/>
              </w14:srgbClr>
            </w14:solidFill>
          </w14:textFill>
        </w:rPr>
        <w:t>|</w:t>
      </w:r>
      <w:r w:rsidRPr="004E04F6">
        <w:rPr>
          <w:rFonts w:ascii="Arial Narrow" w:eastAsia="Times New Roman" w:hAnsi="Arial Narrow"/>
          <w:snapToGrid w:val="0"/>
          <w:sz w:val="18"/>
          <w:szCs w:val="22"/>
        </w:rPr>
        <w:t>% for patients aged 13 to 16 years).</w:t>
      </w:r>
    </w:p>
    <w:p w14:paraId="0B4E85AB" w14:textId="77777777"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c. Prevalence * uptake rate. Patient uptake estimates are rounded to the nearest whole patient. The submission noted that this approach was considered reasonable due to the low patient numbers at each age.</w:t>
      </w:r>
    </w:p>
    <w:p w14:paraId="5E6A9649" w14:textId="77777777"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d. Financial estimates assume 97.1% of patients on treatment will remain on treatment the following year, until growth plate closure (assumed to occur at 17 years of age).</w:t>
      </w:r>
    </w:p>
    <w:p w14:paraId="3A144BF5" w14:textId="2DE5AA76" w:rsidR="00485FE1"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e. Calculated as a function of patients on treatment, multiplied by scripts per patient per year.</w:t>
      </w:r>
    </w:p>
    <w:p w14:paraId="0C02E4E2" w14:textId="77777777" w:rsidR="004E04F6" w:rsidRPr="009A6D58" w:rsidRDefault="004E04F6" w:rsidP="004E04F6">
      <w:pPr>
        <w:rPr>
          <w:rFonts w:ascii="Arial Narrow" w:eastAsia="Times New Roman" w:hAnsi="Arial Narrow"/>
          <w:i/>
          <w:sz w:val="18"/>
          <w:szCs w:val="18"/>
        </w:rPr>
      </w:pPr>
      <w:r w:rsidRPr="009A6D58">
        <w:rPr>
          <w:rFonts w:ascii="Arial Narrow" w:eastAsia="Times New Roman" w:hAnsi="Arial Narrow"/>
          <w:i/>
          <w:sz w:val="18"/>
          <w:szCs w:val="18"/>
        </w:rPr>
        <w:t xml:space="preserve">The redacted values correspond to the following ranges: </w:t>
      </w:r>
    </w:p>
    <w:p w14:paraId="661378D5" w14:textId="048858EF" w:rsidR="004E04F6" w:rsidRPr="009A6D58" w:rsidRDefault="004E04F6" w:rsidP="004E04F6">
      <w:pPr>
        <w:rPr>
          <w:rFonts w:ascii="Arial Narrow" w:eastAsia="Times New Roman" w:hAnsi="Arial Narrow"/>
          <w:i/>
          <w:sz w:val="18"/>
          <w:szCs w:val="18"/>
        </w:rPr>
      </w:pPr>
      <w:r w:rsidRPr="009A6D58">
        <w:rPr>
          <w:rFonts w:ascii="Arial Narrow" w:eastAsia="Times New Roman" w:hAnsi="Arial Narrow"/>
          <w:i/>
          <w:sz w:val="18"/>
          <w:szCs w:val="18"/>
          <w:vertAlign w:val="superscript"/>
        </w:rPr>
        <w:t>1</w:t>
      </w:r>
      <w:r>
        <w:rPr>
          <w:rFonts w:ascii="Arial Narrow" w:eastAsia="Times New Roman" w:hAnsi="Arial Narrow"/>
          <w:i/>
          <w:sz w:val="18"/>
          <w:szCs w:val="18"/>
        </w:rPr>
        <w:t xml:space="preserve"> &lt; 500</w:t>
      </w:r>
    </w:p>
    <w:p w14:paraId="37B2BCE3" w14:textId="2B26D909" w:rsidR="00485FE1" w:rsidRPr="00DD72AC" w:rsidRDefault="004E04F6" w:rsidP="00485FE1">
      <w:pPr>
        <w:spacing w:after="120"/>
        <w:contextualSpacing/>
        <w:rPr>
          <w:rFonts w:ascii="Arial Narrow" w:eastAsia="Times New Roman" w:hAnsi="Arial Narrow"/>
          <w:snapToGrid w:val="0"/>
          <w:sz w:val="18"/>
          <w:szCs w:val="22"/>
        </w:rPr>
      </w:pPr>
      <w:r w:rsidRPr="009A6D58">
        <w:rPr>
          <w:rFonts w:ascii="Arial Narrow" w:eastAsia="Times New Roman" w:hAnsi="Arial Narrow"/>
          <w:i/>
          <w:sz w:val="18"/>
          <w:szCs w:val="18"/>
          <w:vertAlign w:val="superscript"/>
        </w:rPr>
        <w:t>2</w:t>
      </w:r>
      <w:r>
        <w:rPr>
          <w:rFonts w:ascii="Arial Narrow" w:eastAsia="Times New Roman" w:hAnsi="Arial Narrow"/>
          <w:i/>
          <w:sz w:val="18"/>
          <w:szCs w:val="18"/>
        </w:rPr>
        <w:t xml:space="preserve"> 500 to &lt; 5000</w:t>
      </w:r>
    </w:p>
    <w:p w14:paraId="5F0523DC" w14:textId="77777777" w:rsidR="00485FE1" w:rsidRPr="00DD72AC" w:rsidRDefault="00485FE1" w:rsidP="00485FE1">
      <w:pPr>
        <w:numPr>
          <w:ilvl w:val="1"/>
          <w:numId w:val="1"/>
        </w:numPr>
        <w:spacing w:after="120"/>
        <w:rPr>
          <w:rFonts w:asciiTheme="minorHAnsi" w:eastAsia="Times New Roman" w:hAnsiTheme="minorHAnsi"/>
          <w:i/>
          <w:iCs/>
          <w:snapToGrid w:val="0"/>
        </w:rPr>
      </w:pPr>
      <w:r w:rsidRPr="00DD72AC">
        <w:rPr>
          <w:rFonts w:asciiTheme="minorHAnsi" w:eastAsia="Times New Roman" w:hAnsiTheme="minorHAnsi"/>
          <w:snapToGrid w:val="0"/>
        </w:rPr>
        <w:t>The submission used prevalence of achondroplasia among people aged less than 18 (5.2 per 100,00) and birth prevalence of achondroplasia (5.3 per 100,000) to estimate the total eligible patient population. In Year 1, the submission applied a prevalence of 5.2 per 100,000 that corresponds to childhood prevalence as reported in the study, for all patients including those who at age 0. Achondroplasia birth prevalence rate of 5.3 per 100,000 would have been more applicable for those patients at age 0.  However, this will likely have a minor impact on the total estimated number of patients with achondroplasia; the submission estimated 18 patients with achondroplasia when achondroplasia childhood prevalence (5.2 per 100,000) was used, while this estimate would be 19 patients if achondroplasia birth prevalence (5.3 per 100,00) is applied.</w:t>
      </w:r>
      <w:r w:rsidRPr="00DD72AC">
        <w:rPr>
          <w:rFonts w:asciiTheme="minorHAnsi" w:eastAsia="Times New Roman" w:hAnsiTheme="minorHAnsi"/>
          <w:i/>
          <w:iCs/>
          <w:snapToGrid w:val="0"/>
        </w:rPr>
        <w:t xml:space="preserve"> </w:t>
      </w:r>
      <w:r w:rsidRPr="00DD72AC">
        <w:rPr>
          <w:rFonts w:asciiTheme="minorHAnsi" w:eastAsia="Times New Roman" w:hAnsiTheme="minorHAnsi"/>
          <w:snapToGrid w:val="0"/>
        </w:rPr>
        <w:t xml:space="preserve">   </w:t>
      </w:r>
    </w:p>
    <w:p w14:paraId="633D8F21" w14:textId="00E9A0A5" w:rsidR="00485FE1" w:rsidRPr="00DD72AC" w:rsidRDefault="00485FE1" w:rsidP="00485FE1">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Consistent with the economic model, the budget impact model assumed patients aged 17 and above will neither initiate nor continue treatment with vosoritide. Th</w:t>
      </w:r>
      <w:r w:rsidR="00432959" w:rsidRPr="00DD72AC">
        <w:rPr>
          <w:rFonts w:asciiTheme="minorHAnsi" w:eastAsia="Times New Roman" w:hAnsiTheme="minorHAnsi"/>
          <w:snapToGrid w:val="0"/>
        </w:rPr>
        <w:t>e evaluation considered th</w:t>
      </w:r>
      <w:r w:rsidRPr="00DD72AC">
        <w:rPr>
          <w:rFonts w:asciiTheme="minorHAnsi" w:eastAsia="Times New Roman" w:hAnsiTheme="minorHAnsi"/>
          <w:snapToGrid w:val="0"/>
        </w:rPr>
        <w:t xml:space="preserve">is </w:t>
      </w:r>
      <w:r w:rsidR="00432959" w:rsidRPr="00DD72AC">
        <w:rPr>
          <w:rFonts w:asciiTheme="minorHAnsi" w:eastAsia="Times New Roman" w:hAnsiTheme="minorHAnsi"/>
          <w:snapToGrid w:val="0"/>
        </w:rPr>
        <w:t>wa</w:t>
      </w:r>
      <w:r w:rsidRPr="00DD72AC">
        <w:rPr>
          <w:rFonts w:asciiTheme="minorHAnsi" w:eastAsia="Times New Roman" w:hAnsiTheme="minorHAnsi"/>
          <w:snapToGrid w:val="0"/>
        </w:rPr>
        <w:t>s reasonable.</w:t>
      </w:r>
    </w:p>
    <w:p w14:paraId="4BA8C785" w14:textId="7C70862B" w:rsidR="00485FE1" w:rsidRPr="00DD72AC" w:rsidRDefault="00485FE1" w:rsidP="00485FE1">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submission estimated a total of </w:t>
      </w:r>
      <w:r w:rsidR="004E04F6">
        <w:rPr>
          <w:rFonts w:asciiTheme="minorHAnsi" w:eastAsia="Times New Roman" w:hAnsiTheme="minorHAnsi"/>
          <w:snapToGrid w:val="0"/>
        </w:rPr>
        <w:t>&lt; 500</w:t>
      </w:r>
      <w:r w:rsidR="004E04F6" w:rsidRPr="00DD72AC">
        <w:rPr>
          <w:rFonts w:asciiTheme="minorHAnsi" w:eastAsia="Times New Roman" w:hAnsiTheme="minorHAnsi"/>
          <w:snapToGrid w:val="0"/>
        </w:rPr>
        <w:t xml:space="preserve"> </w:t>
      </w:r>
      <w:r w:rsidRPr="00DD72AC">
        <w:rPr>
          <w:rFonts w:asciiTheme="minorHAnsi" w:eastAsia="Times New Roman" w:hAnsiTheme="minorHAnsi"/>
          <w:snapToGrid w:val="0"/>
        </w:rPr>
        <w:t>patients currently enrolled and receiving vosoritide in a clinical trial setting. The submission stated that it is expected that a proportion of these patients (n=44) will remain on treatment and be eligible to transition to PBS subsidised therapy upon PBS listing of vosoritide. T</w:t>
      </w:r>
      <w:r w:rsidR="00432959" w:rsidRPr="00DD72AC">
        <w:rPr>
          <w:rFonts w:asciiTheme="minorHAnsi" w:eastAsia="Times New Roman" w:hAnsiTheme="minorHAnsi"/>
          <w:snapToGrid w:val="0"/>
        </w:rPr>
        <w:t>he evaluation considered t</w:t>
      </w:r>
      <w:r w:rsidRPr="00DD72AC">
        <w:rPr>
          <w:rFonts w:asciiTheme="minorHAnsi" w:eastAsia="Times New Roman" w:hAnsiTheme="minorHAnsi"/>
          <w:snapToGrid w:val="0"/>
        </w:rPr>
        <w:t>his seem</w:t>
      </w:r>
      <w:r w:rsidR="00432959" w:rsidRPr="00DD72AC">
        <w:rPr>
          <w:rFonts w:asciiTheme="minorHAnsi" w:eastAsia="Times New Roman" w:hAnsiTheme="minorHAnsi"/>
          <w:snapToGrid w:val="0"/>
        </w:rPr>
        <w:t>ed</w:t>
      </w:r>
      <w:r w:rsidRPr="00DD72AC">
        <w:rPr>
          <w:rFonts w:asciiTheme="minorHAnsi" w:eastAsia="Times New Roman" w:hAnsiTheme="minorHAnsi"/>
          <w:snapToGrid w:val="0"/>
        </w:rPr>
        <w:t xml:space="preserve"> reasonable, and the submission subtracted the 44 patients expected to eligible for grandfathering from the total projected prevalent achondroplasia population to avoid double counting.</w:t>
      </w:r>
    </w:p>
    <w:p w14:paraId="24FB0DB0" w14:textId="67D52440" w:rsidR="00485FE1" w:rsidRPr="00252E59" w:rsidRDefault="00485FE1" w:rsidP="00485FE1">
      <w:pPr>
        <w:numPr>
          <w:ilvl w:val="1"/>
          <w:numId w:val="1"/>
        </w:numPr>
        <w:spacing w:before="240" w:after="120"/>
        <w:rPr>
          <w:rFonts w:asciiTheme="minorHAnsi" w:eastAsia="Times New Roman" w:hAnsiTheme="minorHAnsi"/>
          <w:snapToGrid w:val="0"/>
        </w:rPr>
      </w:pPr>
      <w:r w:rsidRPr="00DD72AC">
        <w:rPr>
          <w:rFonts w:asciiTheme="minorHAnsi" w:eastAsia="Times New Roman" w:hAnsiTheme="minorHAnsi"/>
          <w:snapToGrid w:val="0"/>
        </w:rPr>
        <w:t xml:space="preserve">Among prevalent untreated patients in Year 1, base case financial estimates assumed vosoritide uptake of </w:t>
      </w:r>
      <w:r w:rsidR="00C97261" w:rsidRPr="00DA600A">
        <w:rPr>
          <w:rFonts w:asciiTheme="minorHAnsi" w:eastAsia="Times New Roman" w:hAnsiTheme="minorHAnsi"/>
          <w:snapToGrid w:val="0"/>
          <w:color w:val="000000"/>
          <w:w w:val="15"/>
          <w:shd w:val="solid" w:color="000000" w:fill="000000"/>
          <w:fitText w:val="-20" w:id="-1435791863"/>
          <w14:textFill>
            <w14:solidFill>
              <w14:srgbClr w14:val="000000">
                <w14:alpha w14:val="100000"/>
              </w14:srgbClr>
            </w14:solidFill>
          </w14:textFill>
        </w:rPr>
        <w:t xml:space="preserve">|  </w:t>
      </w:r>
      <w:r w:rsidR="00C97261" w:rsidRPr="00DA600A">
        <w:rPr>
          <w:rFonts w:asciiTheme="minorHAnsi" w:eastAsia="Times New Roman" w:hAnsiTheme="minorHAnsi"/>
          <w:snapToGrid w:val="0"/>
          <w:color w:val="000000"/>
          <w:spacing w:val="-69"/>
          <w:w w:val="15"/>
          <w:shd w:val="solid" w:color="000000" w:fill="000000"/>
          <w:fitText w:val="-20" w:id="-1435791863"/>
          <w14:textFill>
            <w14:solidFill>
              <w14:srgbClr w14:val="000000">
                <w14:alpha w14:val="100000"/>
              </w14:srgbClr>
            </w14:solidFill>
          </w14:textFill>
        </w:rPr>
        <w:t>|</w:t>
      </w:r>
      <w:r w:rsidRPr="00252E59">
        <w:rPr>
          <w:rFonts w:asciiTheme="minorHAnsi" w:eastAsia="Times New Roman" w:hAnsiTheme="minorHAnsi"/>
          <w:snapToGrid w:val="0"/>
        </w:rPr>
        <w:t xml:space="preserve">% in patients aged 0 to 4, </w:t>
      </w:r>
      <w:r w:rsidR="00C97261" w:rsidRPr="00DA600A">
        <w:rPr>
          <w:rFonts w:asciiTheme="minorHAnsi" w:eastAsia="Times New Roman" w:hAnsiTheme="minorHAnsi"/>
          <w:snapToGrid w:val="0"/>
          <w:color w:val="000000"/>
          <w:w w:val="15"/>
          <w:shd w:val="solid" w:color="000000" w:fill="000000"/>
          <w:fitText w:val="-20" w:id="-1435791862"/>
          <w14:textFill>
            <w14:solidFill>
              <w14:srgbClr w14:val="000000">
                <w14:alpha w14:val="100000"/>
              </w14:srgbClr>
            </w14:solidFill>
          </w14:textFill>
        </w:rPr>
        <w:t xml:space="preserve">|  </w:t>
      </w:r>
      <w:r w:rsidR="00C97261" w:rsidRPr="00DA600A">
        <w:rPr>
          <w:rFonts w:asciiTheme="minorHAnsi" w:eastAsia="Times New Roman" w:hAnsiTheme="minorHAnsi"/>
          <w:snapToGrid w:val="0"/>
          <w:color w:val="000000"/>
          <w:spacing w:val="-69"/>
          <w:w w:val="15"/>
          <w:shd w:val="solid" w:color="000000" w:fill="000000"/>
          <w:fitText w:val="-20" w:id="-1435791862"/>
          <w14:textFill>
            <w14:solidFill>
              <w14:srgbClr w14:val="000000">
                <w14:alpha w14:val="100000"/>
              </w14:srgbClr>
            </w14:solidFill>
          </w14:textFill>
        </w:rPr>
        <w:t>|</w:t>
      </w:r>
      <w:r w:rsidRPr="00252E59">
        <w:rPr>
          <w:rFonts w:asciiTheme="minorHAnsi" w:eastAsia="Times New Roman" w:hAnsiTheme="minorHAnsi"/>
          <w:snapToGrid w:val="0"/>
        </w:rPr>
        <w:t xml:space="preserve">% in patients aged 5 to 8, </w:t>
      </w:r>
      <w:r w:rsidR="00C97261" w:rsidRPr="00DA600A">
        <w:rPr>
          <w:rFonts w:asciiTheme="minorHAnsi" w:eastAsia="Times New Roman" w:hAnsiTheme="minorHAnsi"/>
          <w:snapToGrid w:val="0"/>
          <w:color w:val="000000"/>
          <w:w w:val="15"/>
          <w:shd w:val="solid" w:color="000000" w:fill="000000"/>
          <w:fitText w:val="-20" w:id="-1435791861"/>
          <w14:textFill>
            <w14:solidFill>
              <w14:srgbClr w14:val="000000">
                <w14:alpha w14:val="100000"/>
              </w14:srgbClr>
            </w14:solidFill>
          </w14:textFill>
        </w:rPr>
        <w:t xml:space="preserve">|  </w:t>
      </w:r>
      <w:r w:rsidR="00C97261" w:rsidRPr="00DA600A">
        <w:rPr>
          <w:rFonts w:asciiTheme="minorHAnsi" w:eastAsia="Times New Roman" w:hAnsiTheme="minorHAnsi"/>
          <w:snapToGrid w:val="0"/>
          <w:color w:val="000000"/>
          <w:spacing w:val="-69"/>
          <w:w w:val="15"/>
          <w:shd w:val="solid" w:color="000000" w:fill="000000"/>
          <w:fitText w:val="-20" w:id="-1435791861"/>
          <w14:textFill>
            <w14:solidFill>
              <w14:srgbClr w14:val="000000">
                <w14:alpha w14:val="100000"/>
              </w14:srgbClr>
            </w14:solidFill>
          </w14:textFill>
        </w:rPr>
        <w:t>|</w:t>
      </w:r>
      <w:r w:rsidRPr="00252E59">
        <w:rPr>
          <w:rFonts w:asciiTheme="minorHAnsi" w:eastAsia="Times New Roman" w:hAnsiTheme="minorHAnsi"/>
          <w:snapToGrid w:val="0"/>
        </w:rPr>
        <w:t xml:space="preserve">% in patients aged 9 to 12, and </w:t>
      </w:r>
      <w:r w:rsidR="00C97261" w:rsidRPr="00DA600A">
        <w:rPr>
          <w:rFonts w:asciiTheme="minorHAnsi" w:eastAsia="Times New Roman" w:hAnsiTheme="minorHAnsi"/>
          <w:snapToGrid w:val="0"/>
          <w:color w:val="000000"/>
          <w:w w:val="15"/>
          <w:shd w:val="solid" w:color="000000" w:fill="000000"/>
          <w:fitText w:val="-20" w:id="-1435791860"/>
          <w14:textFill>
            <w14:solidFill>
              <w14:srgbClr w14:val="000000">
                <w14:alpha w14:val="100000"/>
              </w14:srgbClr>
            </w14:solidFill>
          </w14:textFill>
        </w:rPr>
        <w:t xml:space="preserve">|  </w:t>
      </w:r>
      <w:r w:rsidR="00C97261" w:rsidRPr="00DA600A">
        <w:rPr>
          <w:rFonts w:asciiTheme="minorHAnsi" w:eastAsia="Times New Roman" w:hAnsiTheme="minorHAnsi"/>
          <w:snapToGrid w:val="0"/>
          <w:color w:val="000000"/>
          <w:spacing w:val="-69"/>
          <w:w w:val="15"/>
          <w:shd w:val="solid" w:color="000000" w:fill="000000"/>
          <w:fitText w:val="-20" w:id="-1435791860"/>
          <w14:textFill>
            <w14:solidFill>
              <w14:srgbClr w14:val="000000">
                <w14:alpha w14:val="100000"/>
              </w14:srgbClr>
            </w14:solidFill>
          </w14:textFill>
        </w:rPr>
        <w:t>|</w:t>
      </w:r>
      <w:r w:rsidRPr="00252E59">
        <w:rPr>
          <w:rFonts w:asciiTheme="minorHAnsi" w:eastAsia="Times New Roman" w:hAnsiTheme="minorHAnsi"/>
          <w:snapToGrid w:val="0"/>
        </w:rPr>
        <w:t xml:space="preserve">% in patients aged 13 to 16. Among patients eligible for </w:t>
      </w:r>
      <w:r w:rsidRPr="00252E59">
        <w:rPr>
          <w:rFonts w:asciiTheme="minorHAnsi" w:eastAsia="Times New Roman" w:hAnsiTheme="minorHAnsi"/>
          <w:snapToGrid w:val="0"/>
        </w:rPr>
        <w:lastRenderedPageBreak/>
        <w:t xml:space="preserve">grandfathering, the submission assumed </w:t>
      </w:r>
      <w:r w:rsidR="00C97261" w:rsidRPr="00DA600A">
        <w:rPr>
          <w:rFonts w:asciiTheme="minorHAnsi" w:eastAsia="Times New Roman" w:hAnsiTheme="minorHAnsi"/>
          <w:snapToGrid w:val="0"/>
          <w:color w:val="000000"/>
          <w:w w:val="15"/>
          <w:shd w:val="solid" w:color="000000" w:fill="000000"/>
          <w:fitText w:val="-20" w:id="-1435791859"/>
          <w14:textFill>
            <w14:solidFill>
              <w14:srgbClr w14:val="000000">
                <w14:alpha w14:val="100000"/>
              </w14:srgbClr>
            </w14:solidFill>
          </w14:textFill>
        </w:rPr>
        <w:t xml:space="preserve">|  </w:t>
      </w:r>
      <w:r w:rsidR="00C97261" w:rsidRPr="00DA600A">
        <w:rPr>
          <w:rFonts w:asciiTheme="minorHAnsi" w:eastAsia="Times New Roman" w:hAnsiTheme="minorHAnsi"/>
          <w:snapToGrid w:val="0"/>
          <w:color w:val="000000"/>
          <w:spacing w:val="-69"/>
          <w:w w:val="15"/>
          <w:shd w:val="solid" w:color="000000" w:fill="000000"/>
          <w:fitText w:val="-20" w:id="-1435791859"/>
          <w14:textFill>
            <w14:solidFill>
              <w14:srgbClr w14:val="000000">
                <w14:alpha w14:val="100000"/>
              </w14:srgbClr>
            </w14:solidFill>
          </w14:textFill>
        </w:rPr>
        <w:t>|</w:t>
      </w:r>
      <w:r w:rsidRPr="00252E59">
        <w:rPr>
          <w:rFonts w:asciiTheme="minorHAnsi" w:eastAsia="Times New Roman" w:hAnsiTheme="minorHAnsi"/>
          <w:snapToGrid w:val="0"/>
        </w:rPr>
        <w:t xml:space="preserve">% of those patients will transition to PBS subsidised therapy upon the listing of vosoritide, resulting in an estimated </w:t>
      </w:r>
      <w:r w:rsidR="00252E59">
        <w:rPr>
          <w:rFonts w:asciiTheme="minorHAnsi" w:eastAsia="Times New Roman" w:hAnsiTheme="minorHAnsi"/>
          <w:snapToGrid w:val="0"/>
        </w:rPr>
        <w:t>&lt; 500</w:t>
      </w:r>
      <w:r w:rsidRPr="00252E59">
        <w:rPr>
          <w:rFonts w:asciiTheme="minorHAnsi" w:eastAsia="Times New Roman" w:hAnsiTheme="minorHAnsi"/>
          <w:snapToGrid w:val="0"/>
        </w:rPr>
        <w:t xml:space="preserve"> grandfathered patients in Year 1. The assumption of </w:t>
      </w:r>
      <w:r w:rsidR="00C97261" w:rsidRPr="00DA600A">
        <w:rPr>
          <w:rFonts w:asciiTheme="minorHAnsi" w:eastAsia="Times New Roman" w:hAnsiTheme="minorHAnsi"/>
          <w:snapToGrid w:val="0"/>
          <w:color w:val="000000"/>
          <w:w w:val="15"/>
          <w:shd w:val="solid" w:color="000000" w:fill="000000"/>
          <w:fitText w:val="-20" w:id="-1435791858"/>
          <w14:textFill>
            <w14:solidFill>
              <w14:srgbClr w14:val="000000">
                <w14:alpha w14:val="100000"/>
              </w14:srgbClr>
            </w14:solidFill>
          </w14:textFill>
        </w:rPr>
        <w:t xml:space="preserve">|  </w:t>
      </w:r>
      <w:r w:rsidR="00C97261" w:rsidRPr="00DA600A">
        <w:rPr>
          <w:rFonts w:asciiTheme="minorHAnsi" w:eastAsia="Times New Roman" w:hAnsiTheme="minorHAnsi"/>
          <w:snapToGrid w:val="0"/>
          <w:color w:val="000000"/>
          <w:spacing w:val="-69"/>
          <w:w w:val="15"/>
          <w:shd w:val="solid" w:color="000000" w:fill="000000"/>
          <w:fitText w:val="-20" w:id="-1435791858"/>
          <w14:textFill>
            <w14:solidFill>
              <w14:srgbClr w14:val="000000">
                <w14:alpha w14:val="100000"/>
              </w14:srgbClr>
            </w14:solidFill>
          </w14:textFill>
        </w:rPr>
        <w:t>|</w:t>
      </w:r>
      <w:r w:rsidRPr="00252E59">
        <w:rPr>
          <w:rFonts w:asciiTheme="minorHAnsi" w:eastAsia="Times New Roman" w:hAnsiTheme="minorHAnsi"/>
          <w:snapToGrid w:val="0"/>
        </w:rPr>
        <w:t xml:space="preserve">% vosoritide uptake among patients aged 0 to 4 seemed reasonable, given that it was based on expert advice that patients with a family history of achondroplasia (i.e., a parent with achondroplasia) are less likely to uptake treatment and </w:t>
      </w:r>
      <w:r w:rsidR="00C97261" w:rsidRPr="00DA600A">
        <w:rPr>
          <w:rFonts w:asciiTheme="minorHAnsi" w:eastAsia="Times New Roman" w:hAnsiTheme="minorHAnsi"/>
          <w:snapToGrid w:val="0"/>
          <w:color w:val="000000"/>
          <w:w w:val="15"/>
          <w:shd w:val="solid" w:color="000000" w:fill="000000"/>
          <w:fitText w:val="-20" w:id="-1435791857"/>
          <w14:textFill>
            <w14:solidFill>
              <w14:srgbClr w14:val="000000">
                <w14:alpha w14:val="100000"/>
              </w14:srgbClr>
            </w14:solidFill>
          </w14:textFill>
        </w:rPr>
        <w:t xml:space="preserve">|  </w:t>
      </w:r>
      <w:r w:rsidR="00C97261" w:rsidRPr="00DA600A">
        <w:rPr>
          <w:rFonts w:asciiTheme="minorHAnsi" w:eastAsia="Times New Roman" w:hAnsiTheme="minorHAnsi"/>
          <w:snapToGrid w:val="0"/>
          <w:color w:val="000000"/>
          <w:spacing w:val="-69"/>
          <w:w w:val="15"/>
          <w:shd w:val="solid" w:color="000000" w:fill="000000"/>
          <w:fitText w:val="-20" w:id="-1435791857"/>
          <w14:textFill>
            <w14:solidFill>
              <w14:srgbClr w14:val="000000">
                <w14:alpha w14:val="100000"/>
              </w14:srgbClr>
            </w14:solidFill>
          </w14:textFill>
        </w:rPr>
        <w:t>|</w:t>
      </w:r>
      <w:r w:rsidRPr="00252E59">
        <w:rPr>
          <w:rFonts w:asciiTheme="minorHAnsi" w:eastAsia="Times New Roman" w:hAnsiTheme="minorHAnsi"/>
          <w:snapToGrid w:val="0"/>
        </w:rPr>
        <w:t xml:space="preserve">% of achondroplasia is inherited. However, neither the clinical evidence presented or the economic analyses included patients aged between 0 and 2 years (aside from eight sentinel intervention patients from </w:t>
      </w:r>
      <w:r w:rsidRPr="00252E59" w:rsidDel="006C2058">
        <w:t>Study 111-206</w:t>
      </w:r>
      <w:r w:rsidRPr="00252E59">
        <w:t>)</w:t>
      </w:r>
      <w:r w:rsidRPr="00252E59">
        <w:rPr>
          <w:rFonts w:asciiTheme="minorHAnsi" w:eastAsia="Times New Roman" w:hAnsiTheme="minorHAnsi"/>
          <w:snapToGrid w:val="0"/>
        </w:rPr>
        <w:t xml:space="preserve">. It is accepted that uptake will likely decline with patient age (reflecting less time available to benefit), however, the assumptions behind uptake rates among patients; in particular children &gt;5 years, were not justified and are likely uncertain.  </w:t>
      </w:r>
    </w:p>
    <w:p w14:paraId="4E48E0A5" w14:textId="73FB997D" w:rsidR="00485FE1" w:rsidRPr="00252E59" w:rsidRDefault="00485FE1" w:rsidP="00485FE1">
      <w:pPr>
        <w:numPr>
          <w:ilvl w:val="1"/>
          <w:numId w:val="1"/>
        </w:numPr>
        <w:spacing w:after="120"/>
        <w:rPr>
          <w:rFonts w:asciiTheme="minorHAnsi" w:eastAsia="Times New Roman" w:hAnsiTheme="minorHAnsi"/>
          <w:snapToGrid w:val="0"/>
          <w:color w:val="0066FF"/>
        </w:rPr>
      </w:pPr>
      <w:r w:rsidRPr="00252E59">
        <w:rPr>
          <w:rFonts w:asciiTheme="minorHAnsi" w:eastAsia="Times New Roman" w:hAnsiTheme="minorHAnsi"/>
          <w:snapToGrid w:val="0"/>
        </w:rPr>
        <w:t xml:space="preserve">For the subsequent years (Year 2 to Year 6), the submission assumed a total vosoritide uptake of </w:t>
      </w:r>
      <w:r w:rsidR="00C97261" w:rsidRPr="00DA600A">
        <w:rPr>
          <w:rFonts w:asciiTheme="minorHAnsi" w:eastAsia="Times New Roman" w:hAnsiTheme="minorHAnsi"/>
          <w:snapToGrid w:val="0"/>
          <w:color w:val="000000"/>
          <w:w w:val="15"/>
          <w:shd w:val="solid" w:color="000000" w:fill="000000"/>
          <w:fitText w:val="-20" w:id="-1435791856"/>
          <w14:textFill>
            <w14:solidFill>
              <w14:srgbClr w14:val="000000">
                <w14:alpha w14:val="100000"/>
              </w14:srgbClr>
            </w14:solidFill>
          </w14:textFill>
        </w:rPr>
        <w:t xml:space="preserve">|  </w:t>
      </w:r>
      <w:r w:rsidR="00C97261" w:rsidRPr="00DA600A">
        <w:rPr>
          <w:rFonts w:asciiTheme="minorHAnsi" w:eastAsia="Times New Roman" w:hAnsiTheme="minorHAnsi"/>
          <w:snapToGrid w:val="0"/>
          <w:color w:val="000000"/>
          <w:spacing w:val="-69"/>
          <w:w w:val="15"/>
          <w:shd w:val="solid" w:color="000000" w:fill="000000"/>
          <w:fitText w:val="-20" w:id="-1435791856"/>
          <w14:textFill>
            <w14:solidFill>
              <w14:srgbClr w14:val="000000">
                <w14:alpha w14:val="100000"/>
              </w14:srgbClr>
            </w14:solidFill>
          </w14:textFill>
        </w:rPr>
        <w:t>|</w:t>
      </w:r>
      <w:r w:rsidRPr="00252E59">
        <w:rPr>
          <w:rFonts w:asciiTheme="minorHAnsi" w:eastAsia="Times New Roman" w:hAnsiTheme="minorHAnsi"/>
          <w:snapToGrid w:val="0"/>
        </w:rPr>
        <w:t>% (</w:t>
      </w:r>
      <w:r w:rsidR="00C97261" w:rsidRPr="00DA600A">
        <w:rPr>
          <w:rFonts w:asciiTheme="minorHAnsi" w:eastAsia="Times New Roman" w:hAnsiTheme="minorHAnsi"/>
          <w:snapToGrid w:val="0"/>
          <w:color w:val="000000"/>
          <w:w w:val="15"/>
          <w:shd w:val="solid" w:color="000000" w:fill="000000"/>
          <w:fitText w:val="-20" w:id="-1435791872"/>
          <w14:textFill>
            <w14:solidFill>
              <w14:srgbClr w14:val="000000">
                <w14:alpha w14:val="100000"/>
              </w14:srgbClr>
            </w14:solidFill>
          </w14:textFill>
        </w:rPr>
        <w:t xml:space="preserve">|  </w:t>
      </w:r>
      <w:r w:rsidR="00C97261" w:rsidRPr="00DA600A">
        <w:rPr>
          <w:rFonts w:asciiTheme="minorHAnsi" w:eastAsia="Times New Roman" w:hAnsiTheme="minorHAnsi"/>
          <w:snapToGrid w:val="0"/>
          <w:color w:val="000000"/>
          <w:spacing w:val="-69"/>
          <w:w w:val="15"/>
          <w:shd w:val="solid" w:color="000000" w:fill="000000"/>
          <w:fitText w:val="-20" w:id="-1435791872"/>
          <w14:textFill>
            <w14:solidFill>
              <w14:srgbClr w14:val="000000">
                <w14:alpha w14:val="100000"/>
              </w14:srgbClr>
            </w14:solidFill>
          </w14:textFill>
        </w:rPr>
        <w:t>|</w:t>
      </w:r>
      <w:r w:rsidRPr="00252E59">
        <w:rPr>
          <w:rFonts w:asciiTheme="minorHAnsi" w:eastAsia="Times New Roman" w:hAnsiTheme="minorHAnsi"/>
          <w:snapToGrid w:val="0"/>
        </w:rPr>
        <w:t xml:space="preserve">% aged 0, </w:t>
      </w:r>
      <w:r w:rsidR="00C97261" w:rsidRPr="00DA600A">
        <w:rPr>
          <w:rFonts w:asciiTheme="minorHAnsi" w:eastAsia="Times New Roman" w:hAnsiTheme="minorHAnsi"/>
          <w:snapToGrid w:val="0"/>
          <w:color w:val="000000"/>
          <w:w w:val="15"/>
          <w:shd w:val="solid" w:color="000000" w:fill="000000"/>
          <w:fitText w:val="-20" w:id="-1435791871"/>
          <w14:textFill>
            <w14:solidFill>
              <w14:srgbClr w14:val="000000">
                <w14:alpha w14:val="100000"/>
              </w14:srgbClr>
            </w14:solidFill>
          </w14:textFill>
        </w:rPr>
        <w:t xml:space="preserve">|  </w:t>
      </w:r>
      <w:r w:rsidR="00C97261" w:rsidRPr="00DA600A">
        <w:rPr>
          <w:rFonts w:asciiTheme="minorHAnsi" w:eastAsia="Times New Roman" w:hAnsiTheme="minorHAnsi"/>
          <w:snapToGrid w:val="0"/>
          <w:color w:val="000000"/>
          <w:spacing w:val="-69"/>
          <w:w w:val="15"/>
          <w:shd w:val="solid" w:color="000000" w:fill="000000"/>
          <w:fitText w:val="-20" w:id="-1435791871"/>
          <w14:textFill>
            <w14:solidFill>
              <w14:srgbClr w14:val="000000">
                <w14:alpha w14:val="100000"/>
              </w14:srgbClr>
            </w14:solidFill>
          </w14:textFill>
        </w:rPr>
        <w:t>|</w:t>
      </w:r>
      <w:r w:rsidRPr="00252E59">
        <w:rPr>
          <w:rFonts w:asciiTheme="minorHAnsi" w:eastAsia="Times New Roman" w:hAnsiTheme="minorHAnsi"/>
          <w:snapToGrid w:val="0"/>
        </w:rPr>
        <w:t xml:space="preserve">% aged 1, and </w:t>
      </w:r>
      <w:r w:rsidR="00C97261" w:rsidRPr="00DA600A">
        <w:rPr>
          <w:rFonts w:asciiTheme="minorHAnsi" w:eastAsia="Times New Roman" w:hAnsiTheme="minorHAnsi"/>
          <w:snapToGrid w:val="0"/>
          <w:color w:val="000000"/>
          <w:w w:val="15"/>
          <w:shd w:val="solid" w:color="000000" w:fill="000000"/>
          <w:fitText w:val="-20" w:id="-1435791870"/>
          <w14:textFill>
            <w14:solidFill>
              <w14:srgbClr w14:val="000000">
                <w14:alpha w14:val="100000"/>
              </w14:srgbClr>
            </w14:solidFill>
          </w14:textFill>
        </w:rPr>
        <w:t xml:space="preserve">|  </w:t>
      </w:r>
      <w:r w:rsidR="00C97261" w:rsidRPr="00DA600A">
        <w:rPr>
          <w:rFonts w:asciiTheme="minorHAnsi" w:eastAsia="Times New Roman" w:hAnsiTheme="minorHAnsi"/>
          <w:snapToGrid w:val="0"/>
          <w:color w:val="000000"/>
          <w:spacing w:val="-69"/>
          <w:w w:val="15"/>
          <w:shd w:val="solid" w:color="000000" w:fill="000000"/>
          <w:fitText w:val="-20" w:id="-1435791870"/>
          <w14:textFill>
            <w14:solidFill>
              <w14:srgbClr w14:val="000000">
                <w14:alpha w14:val="100000"/>
              </w14:srgbClr>
            </w14:solidFill>
          </w14:textFill>
        </w:rPr>
        <w:t>|</w:t>
      </w:r>
      <w:r w:rsidRPr="00252E59">
        <w:rPr>
          <w:rFonts w:asciiTheme="minorHAnsi" w:eastAsia="Times New Roman" w:hAnsiTheme="minorHAnsi"/>
          <w:snapToGrid w:val="0"/>
        </w:rPr>
        <w:t>% aged 2). These rates are uncertain. Results from sensitivity analyses conducted during evaluation showed that the financial estimates were sensitive to the total vosoritide uptake for the subsequent years.</w:t>
      </w:r>
    </w:p>
    <w:p w14:paraId="6F40FC94" w14:textId="17CDA2A0" w:rsidR="00485FE1" w:rsidRPr="00252E59" w:rsidRDefault="00485FE1" w:rsidP="00485FE1">
      <w:pPr>
        <w:numPr>
          <w:ilvl w:val="1"/>
          <w:numId w:val="1"/>
        </w:numPr>
        <w:spacing w:after="120"/>
        <w:rPr>
          <w:rFonts w:asciiTheme="minorHAnsi" w:eastAsia="Times New Roman" w:hAnsiTheme="minorHAnsi"/>
          <w:snapToGrid w:val="0"/>
        </w:rPr>
      </w:pPr>
      <w:r w:rsidRPr="00252E59">
        <w:rPr>
          <w:rFonts w:asciiTheme="minorHAnsi" w:eastAsia="Times New Roman" w:hAnsiTheme="minorHAnsi"/>
          <w:snapToGrid w:val="0"/>
        </w:rPr>
        <w:t xml:space="preserve">For grandfathered patients, the submission assumed </w:t>
      </w:r>
      <w:r w:rsidR="00C97261" w:rsidRPr="00C55149">
        <w:rPr>
          <w:rFonts w:asciiTheme="minorHAnsi" w:eastAsia="Times New Roman" w:hAnsiTheme="minorHAnsi"/>
          <w:snapToGrid w:val="0"/>
          <w:color w:val="000000"/>
          <w:spacing w:val="20"/>
          <w:w w:val="44"/>
          <w:shd w:val="solid" w:color="000000" w:fill="000000"/>
          <w:fitText w:val="620" w:id="-1435791869"/>
          <w14:textFill>
            <w14:solidFill>
              <w14:srgbClr w14:val="000000">
                <w14:alpha w14:val="100000"/>
              </w14:srgbClr>
            </w14:solidFill>
          </w14:textFill>
        </w:rPr>
        <w:t>||||  |||</w:t>
      </w:r>
      <w:r w:rsidR="00C97261" w:rsidRPr="00C55149">
        <w:rPr>
          <w:rFonts w:asciiTheme="minorHAnsi" w:eastAsia="Times New Roman" w:hAnsiTheme="minorHAnsi"/>
          <w:snapToGrid w:val="0"/>
          <w:color w:val="000000"/>
          <w:spacing w:val="5"/>
          <w:w w:val="44"/>
          <w:shd w:val="solid" w:color="000000" w:fill="000000"/>
          <w:fitText w:val="620" w:id="-1435791869"/>
          <w14:textFill>
            <w14:solidFill>
              <w14:srgbClr w14:val="000000">
                <w14:alpha w14:val="100000"/>
              </w14:srgbClr>
            </w14:solidFill>
          </w14:textFill>
        </w:rPr>
        <w:t>|</w:t>
      </w:r>
      <w:r w:rsidRPr="00252E59">
        <w:rPr>
          <w:rFonts w:asciiTheme="minorHAnsi" w:eastAsia="Times New Roman" w:hAnsiTheme="minorHAnsi"/>
          <w:snapToGrid w:val="0"/>
        </w:rPr>
        <w:t xml:space="preserve">% of patients in clinical trials will transition to PBS setting. The submission justified that a proportion of patients will opt for PBS subsidised treatment due to the added burden associated with remaining in the clinical trials (e.g., additional follow up measures at each visit), however, did not provide justification for the assumption used to estimate those patients will be transitioning to the PBS setting. The submission tested the impact of alternative uptake rates on financial estimates in sensitivity analysis. </w:t>
      </w:r>
    </w:p>
    <w:p w14:paraId="2B26A06B" w14:textId="0491FBE8" w:rsidR="00485FE1" w:rsidRPr="00252E59" w:rsidRDefault="00485FE1" w:rsidP="00485FE1">
      <w:pPr>
        <w:numPr>
          <w:ilvl w:val="1"/>
          <w:numId w:val="1"/>
        </w:numPr>
        <w:spacing w:after="120"/>
        <w:rPr>
          <w:rFonts w:asciiTheme="minorHAnsi" w:eastAsia="Times New Roman" w:hAnsiTheme="minorHAnsi"/>
          <w:snapToGrid w:val="0"/>
          <w:color w:val="0066FF"/>
        </w:rPr>
      </w:pPr>
      <w:r w:rsidRPr="00252E59">
        <w:rPr>
          <w:rFonts w:asciiTheme="minorHAnsi" w:eastAsia="Times New Roman" w:hAnsiTheme="minorHAnsi"/>
          <w:snapToGrid w:val="0"/>
        </w:rPr>
        <w:t xml:space="preserve">The submission estimated a total of </w:t>
      </w:r>
      <w:r w:rsidR="00252E59">
        <w:rPr>
          <w:rFonts w:asciiTheme="minorHAnsi" w:eastAsia="Times New Roman" w:hAnsiTheme="minorHAnsi"/>
          <w:snapToGrid w:val="0"/>
        </w:rPr>
        <w:t>&lt; 500</w:t>
      </w:r>
      <w:r w:rsidRPr="00252E59">
        <w:rPr>
          <w:rFonts w:asciiTheme="minorHAnsi" w:eastAsia="Times New Roman" w:hAnsiTheme="minorHAnsi"/>
          <w:snapToGrid w:val="0"/>
        </w:rPr>
        <w:t xml:space="preserve"> patients (in Year 1) will initiate treatment with vosoritide by combining grandfathered patients and prevalent patients. This is reasonable, given that the submission subtracted the </w:t>
      </w:r>
      <w:r w:rsidR="00252E59">
        <w:rPr>
          <w:rFonts w:asciiTheme="minorHAnsi" w:eastAsia="Times New Roman" w:hAnsiTheme="minorHAnsi"/>
          <w:snapToGrid w:val="0"/>
        </w:rPr>
        <w:t>&lt; 500</w:t>
      </w:r>
      <w:r w:rsidRPr="00252E59">
        <w:rPr>
          <w:rFonts w:asciiTheme="minorHAnsi" w:eastAsia="Times New Roman" w:hAnsiTheme="minorHAnsi"/>
          <w:snapToGrid w:val="0"/>
        </w:rPr>
        <w:t xml:space="preserve"> patients expected to eligible for grandfathering from the total projected prevalent achondroplasia population aged 0 to 16 in 2023 (n = </w:t>
      </w:r>
      <w:r w:rsidR="00252E59">
        <w:rPr>
          <w:rFonts w:asciiTheme="minorHAnsi" w:eastAsia="Times New Roman" w:hAnsiTheme="minorHAnsi"/>
          <w:snapToGrid w:val="0"/>
        </w:rPr>
        <w:t>&lt; 500</w:t>
      </w:r>
      <w:r w:rsidRPr="00252E59">
        <w:rPr>
          <w:rFonts w:asciiTheme="minorHAnsi" w:eastAsia="Times New Roman" w:hAnsiTheme="minorHAnsi"/>
          <w:snapToGrid w:val="0"/>
        </w:rPr>
        <w:t>) in the first place.</w:t>
      </w:r>
    </w:p>
    <w:p w14:paraId="03E4FD05" w14:textId="2A0A861F" w:rsidR="00485FE1" w:rsidRPr="00252E59" w:rsidRDefault="00485FE1" w:rsidP="00485FE1">
      <w:pPr>
        <w:numPr>
          <w:ilvl w:val="1"/>
          <w:numId w:val="1"/>
        </w:numPr>
        <w:spacing w:after="120"/>
        <w:rPr>
          <w:rFonts w:asciiTheme="minorHAnsi" w:eastAsia="Times New Roman" w:hAnsiTheme="minorHAnsi"/>
          <w:snapToGrid w:val="0"/>
          <w:color w:val="0066FF"/>
        </w:rPr>
      </w:pPr>
      <w:bookmarkStart w:id="74" w:name="_Ref109295696"/>
      <w:r w:rsidRPr="00252E59">
        <w:rPr>
          <w:rFonts w:asciiTheme="minorHAnsi" w:eastAsia="Times New Roman" w:hAnsiTheme="minorHAnsi"/>
          <w:snapToGrid w:val="0"/>
        </w:rPr>
        <w:t>The estimated number of patients initiating treatment included patients with achondroplasia aged between 0 and 16 years. This is inconsistent with the proposed Product Information (where proposed population are patients aged &gt;2 years), the clinical evidence presented (where study 111-301 included patients aged &gt;5 years and eight sentinel intervention patients were aged &lt;5 years in Study 111-206) and the economic analyses (where patients aged &gt;4 years included in the analyses).</w:t>
      </w:r>
      <w:r w:rsidR="005250FA" w:rsidRPr="00252E59">
        <w:rPr>
          <w:rFonts w:asciiTheme="minorHAnsi" w:eastAsia="Times New Roman" w:hAnsiTheme="minorHAnsi"/>
          <w:snapToGrid w:val="0"/>
        </w:rPr>
        <w:t xml:space="preserve"> </w:t>
      </w:r>
      <w:r w:rsidR="005250FA" w:rsidRPr="00252E59">
        <w:t>The pre-PBAC response argued the results from Study 111-206 had since been published in a poster (</w:t>
      </w:r>
      <w:proofErr w:type="spellStart"/>
      <w:r w:rsidR="005250FA" w:rsidRPr="00252E59">
        <w:t>Savarirayan</w:t>
      </w:r>
      <w:proofErr w:type="spellEnd"/>
      <w:r w:rsidR="005250FA" w:rsidRPr="00252E59">
        <w:t>, 2022), providing evidence of efficacy and safety of vosoritide in children aged 0 to 5 years old (n=</w:t>
      </w:r>
      <w:r w:rsidR="00252E59">
        <w:rPr>
          <w:rFonts w:asciiTheme="minorHAnsi" w:eastAsia="Times New Roman" w:hAnsiTheme="minorHAnsi"/>
          <w:snapToGrid w:val="0"/>
        </w:rPr>
        <w:t>&lt; 500</w:t>
      </w:r>
      <w:r w:rsidR="005250FA" w:rsidRPr="00252E59">
        <w:t xml:space="preserve">) (see paragraph </w:t>
      </w:r>
      <w:r w:rsidR="005250FA" w:rsidRPr="00252E59">
        <w:fldChar w:fldCharType="begin" w:fldLock="1"/>
      </w:r>
      <w:r w:rsidR="005250FA" w:rsidRPr="00252E59">
        <w:instrText xml:space="preserve"> REF _Ref109142908 \r \h  \* MERGEFORMAT </w:instrText>
      </w:r>
      <w:r w:rsidR="005250FA" w:rsidRPr="00252E59">
        <w:fldChar w:fldCharType="separate"/>
      </w:r>
      <w:r w:rsidR="000F61A3" w:rsidRPr="00252E59">
        <w:t>6.15</w:t>
      </w:r>
      <w:r w:rsidR="005250FA" w:rsidRPr="00252E59">
        <w:fldChar w:fldCharType="end"/>
      </w:r>
      <w:r w:rsidR="005250FA" w:rsidRPr="00252E59">
        <w:t>).</w:t>
      </w:r>
      <w:bookmarkEnd w:id="74"/>
    </w:p>
    <w:p w14:paraId="02CB5B9F" w14:textId="70C82D19" w:rsidR="00485FE1" w:rsidRPr="00DD72AC" w:rsidRDefault="00485FE1" w:rsidP="00485FE1">
      <w:pPr>
        <w:numPr>
          <w:ilvl w:val="1"/>
          <w:numId w:val="1"/>
        </w:numPr>
        <w:spacing w:after="120"/>
        <w:rPr>
          <w:rFonts w:asciiTheme="minorHAnsi" w:eastAsia="Times New Roman" w:hAnsiTheme="minorHAnsi"/>
          <w:snapToGrid w:val="0"/>
          <w:color w:val="0066FF"/>
        </w:rPr>
      </w:pPr>
      <w:r w:rsidRPr="00DD72AC">
        <w:rPr>
          <w:rFonts w:asciiTheme="minorHAnsi" w:eastAsia="Times New Roman" w:hAnsiTheme="minorHAnsi"/>
          <w:snapToGrid w:val="0"/>
        </w:rPr>
        <w:t xml:space="preserve">The base case financial estimates assumed 97.1% of patients on treatment will remain on treatment the following year, until growth plate closure (assumed to occur at 17 years of age). The persistence rate of 97.1% was obtained from the study 111-205 with </w:t>
      </w:r>
      <w:r w:rsidRPr="00DD72AC">
        <w:rPr>
          <w:rFonts w:asciiTheme="minorHAnsi" w:eastAsia="Times New Roman" w:hAnsiTheme="minorHAnsi"/>
          <w:snapToGrid w:val="0"/>
        </w:rPr>
        <w:lastRenderedPageBreak/>
        <w:t>median of 57.77 months of treatment. This is reasonable but is inconsistent with the persistence rate applied in the economic model, where the submission applied 100% persistence. Persistence beyond 57.77 months of treatment is unknown.</w:t>
      </w:r>
    </w:p>
    <w:p w14:paraId="4E869C15" w14:textId="1B1B92BA" w:rsidR="00485FE1" w:rsidRPr="00DD72AC" w:rsidRDefault="00485FE1" w:rsidP="00485FE1">
      <w:pPr>
        <w:keepNext/>
        <w:numPr>
          <w:ilvl w:val="1"/>
          <w:numId w:val="1"/>
        </w:numPr>
        <w:spacing w:after="120"/>
        <w:jc w:val="left"/>
      </w:pPr>
      <w:r w:rsidRPr="00DD72AC">
        <w:rPr>
          <w:rFonts w:asciiTheme="minorHAnsi" w:eastAsia="Times New Roman" w:hAnsiTheme="minorHAnsi"/>
          <w:snapToGrid w:val="0"/>
        </w:rPr>
        <w:t xml:space="preserve">The estimated use and financial implications of vosoritide are presented in </w:t>
      </w:r>
      <w:bookmarkStart w:id="75" w:name="_Ref100703238"/>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_Ref103761170 \h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t>Table 18</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w:t>
      </w:r>
    </w:p>
    <w:p w14:paraId="1D1EA9C0" w14:textId="2EEA90A6" w:rsidR="00485FE1" w:rsidRPr="00DD72AC" w:rsidRDefault="00485FE1" w:rsidP="00485FE1">
      <w:pPr>
        <w:pStyle w:val="PbacTableHeading"/>
      </w:pPr>
      <w:bookmarkStart w:id="76" w:name="_Ref103761170"/>
      <w:r w:rsidRPr="00DD72AC">
        <w:t xml:space="preserve">Table </w:t>
      </w:r>
      <w:r w:rsidR="00FA023D">
        <w:fldChar w:fldCharType="begin" w:fldLock="1"/>
      </w:r>
      <w:r w:rsidR="00FA023D">
        <w:instrText xml:space="preserve"> SEQ Table \* ARABIC </w:instrText>
      </w:r>
      <w:r w:rsidR="00FA023D">
        <w:fldChar w:fldCharType="separate"/>
      </w:r>
      <w:r w:rsidR="003136E6" w:rsidRPr="00DD72AC">
        <w:t>18</w:t>
      </w:r>
      <w:r w:rsidR="00FA023D">
        <w:fldChar w:fldCharType="end"/>
      </w:r>
      <w:bookmarkEnd w:id="75"/>
      <w:bookmarkEnd w:id="76"/>
      <w:r w:rsidRPr="00DD72AC">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w:tblPr>
      <w:tblGrid>
        <w:gridCol w:w="2011"/>
        <w:gridCol w:w="1167"/>
        <w:gridCol w:w="1167"/>
        <w:gridCol w:w="1167"/>
        <w:gridCol w:w="1167"/>
        <w:gridCol w:w="1167"/>
        <w:gridCol w:w="1170"/>
      </w:tblGrid>
      <w:tr w:rsidR="00485FE1" w:rsidRPr="00DD72AC" w14:paraId="172D94F0" w14:textId="77777777" w:rsidTr="00A96DD0">
        <w:trPr>
          <w:tblHeader/>
        </w:trPr>
        <w:tc>
          <w:tcPr>
            <w:tcW w:w="1116" w:type="pct"/>
            <w:shd w:val="clear" w:color="auto" w:fill="auto"/>
            <w:vAlign w:val="center"/>
          </w:tcPr>
          <w:p w14:paraId="3C62E63E" w14:textId="77777777" w:rsidR="00485FE1" w:rsidRPr="00DD72AC" w:rsidRDefault="00485FE1" w:rsidP="00A96DD0">
            <w:pPr>
              <w:keepNext/>
              <w:jc w:val="center"/>
              <w:rPr>
                <w:rFonts w:ascii="Arial Narrow" w:eastAsiaTheme="majorEastAsia" w:hAnsi="Arial Narrow" w:cs="Times New Roman"/>
                <w:b/>
                <w:sz w:val="20"/>
              </w:rPr>
            </w:pPr>
          </w:p>
        </w:tc>
        <w:tc>
          <w:tcPr>
            <w:tcW w:w="647" w:type="pct"/>
            <w:shd w:val="clear" w:color="auto" w:fill="auto"/>
            <w:vAlign w:val="center"/>
          </w:tcPr>
          <w:p w14:paraId="3927BAE8" w14:textId="77777777" w:rsidR="00485FE1" w:rsidRPr="00DD72AC" w:rsidRDefault="00485FE1" w:rsidP="00A96DD0">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Year 1</w:t>
            </w:r>
          </w:p>
        </w:tc>
        <w:tc>
          <w:tcPr>
            <w:tcW w:w="647" w:type="pct"/>
            <w:shd w:val="clear" w:color="auto" w:fill="auto"/>
            <w:vAlign w:val="center"/>
          </w:tcPr>
          <w:p w14:paraId="443A1CB7" w14:textId="77777777" w:rsidR="00485FE1" w:rsidRPr="00DD72AC" w:rsidRDefault="00485FE1" w:rsidP="00A96DD0">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Year 2</w:t>
            </w:r>
          </w:p>
        </w:tc>
        <w:tc>
          <w:tcPr>
            <w:tcW w:w="647" w:type="pct"/>
            <w:shd w:val="clear" w:color="auto" w:fill="auto"/>
            <w:vAlign w:val="center"/>
          </w:tcPr>
          <w:p w14:paraId="046C686F" w14:textId="77777777" w:rsidR="00485FE1" w:rsidRPr="00DD72AC" w:rsidRDefault="00485FE1" w:rsidP="00A96DD0">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Year 3</w:t>
            </w:r>
          </w:p>
        </w:tc>
        <w:tc>
          <w:tcPr>
            <w:tcW w:w="647" w:type="pct"/>
            <w:shd w:val="clear" w:color="auto" w:fill="auto"/>
            <w:vAlign w:val="center"/>
          </w:tcPr>
          <w:p w14:paraId="4DEF1688" w14:textId="77777777" w:rsidR="00485FE1" w:rsidRPr="00DD72AC" w:rsidRDefault="00485FE1" w:rsidP="00A96DD0">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Year 4</w:t>
            </w:r>
          </w:p>
        </w:tc>
        <w:tc>
          <w:tcPr>
            <w:tcW w:w="647" w:type="pct"/>
            <w:shd w:val="clear" w:color="auto" w:fill="auto"/>
            <w:vAlign w:val="center"/>
          </w:tcPr>
          <w:p w14:paraId="68403FB0" w14:textId="77777777" w:rsidR="00485FE1" w:rsidRPr="00DD72AC" w:rsidRDefault="00485FE1" w:rsidP="00A96DD0">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Year 5</w:t>
            </w:r>
          </w:p>
        </w:tc>
        <w:tc>
          <w:tcPr>
            <w:tcW w:w="649" w:type="pct"/>
          </w:tcPr>
          <w:p w14:paraId="03D82C71" w14:textId="77777777" w:rsidR="00485FE1" w:rsidRPr="00DD72AC" w:rsidRDefault="00485FE1" w:rsidP="00A96DD0">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Year 6</w:t>
            </w:r>
          </w:p>
        </w:tc>
      </w:tr>
      <w:tr w:rsidR="00485FE1" w:rsidRPr="00DD72AC" w14:paraId="7D33BDDD" w14:textId="77777777" w:rsidTr="00A96DD0">
        <w:tc>
          <w:tcPr>
            <w:tcW w:w="5000" w:type="pct"/>
            <w:gridSpan w:val="7"/>
            <w:shd w:val="clear" w:color="auto" w:fill="auto"/>
            <w:vAlign w:val="center"/>
          </w:tcPr>
          <w:p w14:paraId="4AB78345" w14:textId="77777777" w:rsidR="00485FE1" w:rsidRPr="00DD72AC" w:rsidRDefault="00485FE1" w:rsidP="00A96DD0">
            <w:pPr>
              <w:keepNext/>
              <w:jc w:val="left"/>
              <w:rPr>
                <w:rFonts w:ascii="Arial Narrow" w:eastAsiaTheme="majorEastAsia" w:hAnsi="Arial Narrow" w:cs="Times New Roman"/>
                <w:b/>
                <w:bCs/>
                <w:color w:val="000000"/>
                <w:sz w:val="20"/>
              </w:rPr>
            </w:pPr>
            <w:r w:rsidRPr="00DD72AC">
              <w:rPr>
                <w:rFonts w:ascii="Arial Narrow" w:eastAsiaTheme="majorEastAsia" w:hAnsi="Arial Narrow" w:cs="Times New Roman"/>
                <w:b/>
                <w:bCs/>
                <w:color w:val="000000"/>
                <w:sz w:val="20"/>
              </w:rPr>
              <w:t>Estimated extent of use</w:t>
            </w:r>
          </w:p>
        </w:tc>
      </w:tr>
      <w:tr w:rsidR="00485FE1" w:rsidRPr="00DD72AC" w14:paraId="334EF46C" w14:textId="77777777" w:rsidTr="00A96DD0">
        <w:tc>
          <w:tcPr>
            <w:tcW w:w="1116" w:type="pct"/>
            <w:shd w:val="clear" w:color="auto" w:fill="auto"/>
            <w:vAlign w:val="center"/>
          </w:tcPr>
          <w:p w14:paraId="4507B248" w14:textId="77777777" w:rsidR="00485FE1" w:rsidRPr="00DD72AC" w:rsidRDefault="00485FE1" w:rsidP="00A96DD0">
            <w:pPr>
              <w:keepNext/>
              <w:jc w:val="left"/>
              <w:rPr>
                <w:rFonts w:ascii="Times" w:eastAsiaTheme="majorEastAsia" w:hAnsi="Times" w:cstheme="majorBidi"/>
                <w:bCs/>
                <w:sz w:val="20"/>
              </w:rPr>
            </w:pPr>
            <w:r w:rsidRPr="00DD72AC">
              <w:rPr>
                <w:rFonts w:ascii="Arial Narrow" w:eastAsiaTheme="majorEastAsia" w:hAnsi="Arial Narrow" w:cstheme="majorBidi"/>
                <w:bCs/>
                <w:sz w:val="20"/>
              </w:rPr>
              <w:t>Number of patients treated</w:t>
            </w:r>
          </w:p>
        </w:tc>
        <w:tc>
          <w:tcPr>
            <w:tcW w:w="647" w:type="pct"/>
            <w:shd w:val="clear" w:color="auto" w:fill="auto"/>
            <w:vAlign w:val="center"/>
          </w:tcPr>
          <w:p w14:paraId="534F5CAE" w14:textId="54709F96"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68"/>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8"/>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1</w:t>
            </w:r>
          </w:p>
        </w:tc>
        <w:tc>
          <w:tcPr>
            <w:tcW w:w="647" w:type="pct"/>
            <w:shd w:val="clear" w:color="auto" w:fill="auto"/>
            <w:vAlign w:val="center"/>
          </w:tcPr>
          <w:p w14:paraId="26A367F6" w14:textId="43DDCDDD"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67"/>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7"/>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1</w:t>
            </w:r>
          </w:p>
        </w:tc>
        <w:tc>
          <w:tcPr>
            <w:tcW w:w="647" w:type="pct"/>
            <w:shd w:val="clear" w:color="auto" w:fill="auto"/>
            <w:vAlign w:val="center"/>
          </w:tcPr>
          <w:p w14:paraId="65D81FA8" w14:textId="779258BA" w:rsidR="00485FE1" w:rsidRPr="00252E59" w:rsidRDefault="00C97261" w:rsidP="00A96DD0">
            <w:pPr>
              <w:keepNext/>
              <w:jc w:val="center"/>
              <w:rPr>
                <w:rFonts w:ascii="Arial Narrow" w:eastAsiaTheme="majorEastAsia" w:hAnsi="Arial Narrow" w:cstheme="majorBidi"/>
                <w:bCs/>
                <w:color w:val="000000"/>
                <w:sz w:val="20"/>
                <w:highlight w:val="darkGray"/>
              </w:rPr>
            </w:pPr>
            <w:r w:rsidRPr="00C97261">
              <w:rPr>
                <w:rFonts w:ascii="Arial Narrow" w:eastAsiaTheme="majorEastAsia" w:hAnsi="Arial Narrow" w:cstheme="majorBidi"/>
                <w:bCs/>
                <w:color w:val="000000"/>
                <w:spacing w:val="46"/>
                <w:sz w:val="20"/>
                <w:shd w:val="solid" w:color="000000" w:fill="000000"/>
                <w:fitText w:val="310" w:id="-1435791866"/>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6"/>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1</w:t>
            </w:r>
          </w:p>
        </w:tc>
        <w:tc>
          <w:tcPr>
            <w:tcW w:w="647" w:type="pct"/>
            <w:shd w:val="clear" w:color="auto" w:fill="auto"/>
            <w:vAlign w:val="center"/>
          </w:tcPr>
          <w:p w14:paraId="2F436153" w14:textId="2D2C4563"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65"/>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5"/>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1</w:t>
            </w:r>
          </w:p>
        </w:tc>
        <w:tc>
          <w:tcPr>
            <w:tcW w:w="647" w:type="pct"/>
            <w:shd w:val="clear" w:color="auto" w:fill="auto"/>
            <w:vAlign w:val="center"/>
          </w:tcPr>
          <w:p w14:paraId="46F97934" w14:textId="32BAD60D"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64"/>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4"/>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1</w:t>
            </w:r>
          </w:p>
        </w:tc>
        <w:tc>
          <w:tcPr>
            <w:tcW w:w="649" w:type="pct"/>
            <w:vAlign w:val="center"/>
          </w:tcPr>
          <w:p w14:paraId="6BABA7BD" w14:textId="7FA5C009"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63"/>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3"/>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1</w:t>
            </w:r>
          </w:p>
        </w:tc>
      </w:tr>
      <w:tr w:rsidR="00485FE1" w:rsidRPr="00DD72AC" w14:paraId="1FF860FA" w14:textId="77777777" w:rsidTr="00A96DD0">
        <w:tc>
          <w:tcPr>
            <w:tcW w:w="1116" w:type="pct"/>
            <w:shd w:val="clear" w:color="auto" w:fill="auto"/>
            <w:vAlign w:val="center"/>
          </w:tcPr>
          <w:p w14:paraId="7703A953" w14:textId="77777777" w:rsidR="00485FE1" w:rsidRPr="00DD72AC" w:rsidRDefault="00485FE1" w:rsidP="00A96DD0">
            <w:pPr>
              <w:keepNext/>
              <w:jc w:val="left"/>
              <w:rPr>
                <w:rFonts w:ascii="Times" w:eastAsiaTheme="majorEastAsia" w:hAnsi="Times" w:cstheme="majorBidi"/>
                <w:bCs/>
                <w:sz w:val="20"/>
              </w:rPr>
            </w:pPr>
            <w:r w:rsidRPr="00DD72AC">
              <w:rPr>
                <w:rFonts w:ascii="Arial Narrow" w:eastAsiaTheme="majorEastAsia" w:hAnsi="Arial Narrow" w:cstheme="majorBidi"/>
                <w:bCs/>
                <w:sz w:val="20"/>
              </w:rPr>
              <w:t xml:space="preserve">Number of scripts dispensed </w:t>
            </w:r>
            <w:r w:rsidRPr="00DD72AC">
              <w:rPr>
                <w:rFonts w:ascii="Arial Narrow" w:eastAsiaTheme="majorEastAsia" w:hAnsi="Arial Narrow" w:cstheme="majorBidi"/>
                <w:bCs/>
                <w:sz w:val="20"/>
                <w:vertAlign w:val="superscript"/>
              </w:rPr>
              <w:t>a</w:t>
            </w:r>
          </w:p>
        </w:tc>
        <w:tc>
          <w:tcPr>
            <w:tcW w:w="647" w:type="pct"/>
            <w:shd w:val="clear" w:color="auto" w:fill="auto"/>
            <w:vAlign w:val="center"/>
          </w:tcPr>
          <w:p w14:paraId="6283CA0A" w14:textId="6C94F47F"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62"/>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2"/>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2</w:t>
            </w:r>
            <w:r w:rsidR="00485FE1" w:rsidRPr="00252E59">
              <w:rPr>
                <w:rFonts w:ascii="Arial Narrow" w:eastAsiaTheme="majorEastAsia" w:hAnsi="Arial Narrow" w:cstheme="majorBidi"/>
                <w:bCs/>
                <w:sz w:val="20"/>
              </w:rPr>
              <w:t xml:space="preserve"> </w:t>
            </w:r>
          </w:p>
        </w:tc>
        <w:tc>
          <w:tcPr>
            <w:tcW w:w="647" w:type="pct"/>
            <w:shd w:val="clear" w:color="auto" w:fill="auto"/>
            <w:vAlign w:val="center"/>
          </w:tcPr>
          <w:p w14:paraId="74EAC941" w14:textId="5D4A53C7"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61"/>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1"/>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2</w:t>
            </w:r>
            <w:r w:rsidR="00485FE1" w:rsidRPr="00252E59">
              <w:rPr>
                <w:rFonts w:ascii="Arial Narrow" w:eastAsiaTheme="majorEastAsia" w:hAnsi="Arial Narrow" w:cstheme="majorBidi"/>
                <w:bCs/>
                <w:sz w:val="20"/>
              </w:rPr>
              <w:t xml:space="preserve"> </w:t>
            </w:r>
          </w:p>
        </w:tc>
        <w:tc>
          <w:tcPr>
            <w:tcW w:w="647" w:type="pct"/>
            <w:shd w:val="clear" w:color="auto" w:fill="auto"/>
            <w:vAlign w:val="center"/>
          </w:tcPr>
          <w:p w14:paraId="6E37CAD5" w14:textId="53E1C855" w:rsidR="00485FE1" w:rsidRPr="00252E59" w:rsidRDefault="00C97261" w:rsidP="00A96DD0">
            <w:pPr>
              <w:keepNext/>
              <w:jc w:val="center"/>
              <w:rPr>
                <w:rFonts w:ascii="Arial Narrow" w:eastAsiaTheme="majorEastAsia" w:hAnsi="Arial Narrow" w:cstheme="majorBidi"/>
                <w:bCs/>
                <w:color w:val="000000"/>
                <w:sz w:val="20"/>
                <w:highlight w:val="darkGray"/>
              </w:rPr>
            </w:pPr>
            <w:r w:rsidRPr="00C97261">
              <w:rPr>
                <w:rFonts w:ascii="Arial Narrow" w:eastAsiaTheme="majorEastAsia" w:hAnsi="Arial Narrow" w:cstheme="majorBidi"/>
                <w:bCs/>
                <w:color w:val="000000"/>
                <w:spacing w:val="46"/>
                <w:sz w:val="20"/>
                <w:shd w:val="solid" w:color="000000" w:fill="000000"/>
                <w:fitText w:val="310" w:id="-1435791860"/>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0"/>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2</w:t>
            </w:r>
            <w:r w:rsidR="00485FE1" w:rsidRPr="00252E59">
              <w:rPr>
                <w:rFonts w:ascii="Arial Narrow" w:eastAsiaTheme="majorEastAsia" w:hAnsi="Arial Narrow" w:cstheme="majorBidi"/>
                <w:bCs/>
                <w:sz w:val="20"/>
              </w:rPr>
              <w:t xml:space="preserve"> </w:t>
            </w:r>
          </w:p>
        </w:tc>
        <w:tc>
          <w:tcPr>
            <w:tcW w:w="647" w:type="pct"/>
            <w:shd w:val="clear" w:color="auto" w:fill="auto"/>
            <w:vAlign w:val="center"/>
          </w:tcPr>
          <w:p w14:paraId="6D6D2FE8" w14:textId="4C8AEE11"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59"/>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59"/>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2</w:t>
            </w:r>
            <w:r w:rsidR="00485FE1" w:rsidRPr="00252E59">
              <w:rPr>
                <w:rFonts w:ascii="Arial Narrow" w:eastAsiaTheme="majorEastAsia" w:hAnsi="Arial Narrow" w:cstheme="majorBidi"/>
                <w:bCs/>
                <w:sz w:val="20"/>
              </w:rPr>
              <w:t xml:space="preserve"> </w:t>
            </w:r>
          </w:p>
        </w:tc>
        <w:tc>
          <w:tcPr>
            <w:tcW w:w="647" w:type="pct"/>
            <w:shd w:val="clear" w:color="auto" w:fill="auto"/>
            <w:vAlign w:val="center"/>
          </w:tcPr>
          <w:p w14:paraId="10D3D218" w14:textId="17606CD9"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58"/>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58"/>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2</w:t>
            </w:r>
            <w:r w:rsidR="00485FE1" w:rsidRPr="00252E59">
              <w:rPr>
                <w:rFonts w:ascii="Arial Narrow" w:eastAsiaTheme="majorEastAsia" w:hAnsi="Arial Narrow" w:cstheme="majorBidi"/>
                <w:bCs/>
                <w:sz w:val="20"/>
              </w:rPr>
              <w:t xml:space="preserve"> </w:t>
            </w:r>
          </w:p>
        </w:tc>
        <w:tc>
          <w:tcPr>
            <w:tcW w:w="649" w:type="pct"/>
            <w:vAlign w:val="center"/>
          </w:tcPr>
          <w:p w14:paraId="292F8B1B" w14:textId="274971D8"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57"/>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57"/>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2</w:t>
            </w:r>
            <w:r w:rsidR="00485FE1" w:rsidRPr="00252E59">
              <w:rPr>
                <w:rFonts w:ascii="Arial Narrow" w:eastAsiaTheme="majorEastAsia" w:hAnsi="Arial Narrow" w:cstheme="majorBidi"/>
                <w:bCs/>
                <w:sz w:val="20"/>
              </w:rPr>
              <w:t xml:space="preserve"> </w:t>
            </w:r>
          </w:p>
        </w:tc>
      </w:tr>
      <w:tr w:rsidR="00485FE1" w:rsidRPr="00DD72AC" w14:paraId="0C89DC92" w14:textId="77777777" w:rsidTr="00A96DD0">
        <w:tc>
          <w:tcPr>
            <w:tcW w:w="5000" w:type="pct"/>
            <w:gridSpan w:val="7"/>
            <w:shd w:val="clear" w:color="auto" w:fill="auto"/>
            <w:vAlign w:val="center"/>
          </w:tcPr>
          <w:p w14:paraId="16AD2C51" w14:textId="77777777" w:rsidR="00485FE1" w:rsidRPr="00DD72AC" w:rsidRDefault="00485FE1" w:rsidP="00A96DD0">
            <w:pPr>
              <w:keepNext/>
              <w:jc w:val="left"/>
              <w:rPr>
                <w:rFonts w:ascii="Arial Narrow" w:eastAsiaTheme="majorEastAsia" w:hAnsi="Arial Narrow" w:cs="Times New Roman"/>
                <w:b/>
                <w:sz w:val="20"/>
              </w:rPr>
            </w:pPr>
            <w:r w:rsidRPr="00DD72AC">
              <w:rPr>
                <w:rFonts w:ascii="Arial Narrow" w:eastAsiaTheme="majorEastAsia" w:hAnsi="Arial Narrow" w:cs="Times New Roman"/>
                <w:b/>
                <w:sz w:val="20"/>
              </w:rPr>
              <w:t>Estimated financial implications of vosoritide</w:t>
            </w:r>
          </w:p>
        </w:tc>
      </w:tr>
      <w:tr w:rsidR="00485FE1" w:rsidRPr="00DD72AC" w14:paraId="2CCA1B9F" w14:textId="77777777" w:rsidTr="00A96DD0">
        <w:tc>
          <w:tcPr>
            <w:tcW w:w="1116" w:type="pct"/>
            <w:shd w:val="clear" w:color="auto" w:fill="auto"/>
            <w:vAlign w:val="center"/>
          </w:tcPr>
          <w:p w14:paraId="1FDF88E9" w14:textId="77777777" w:rsidR="00485FE1" w:rsidRPr="00DD72AC" w:rsidRDefault="00485FE1" w:rsidP="00A96DD0">
            <w:pPr>
              <w:keepNext/>
              <w:jc w:val="left"/>
              <w:rPr>
                <w:rFonts w:ascii="Arial Narrow" w:eastAsiaTheme="majorEastAsia" w:hAnsi="Arial Narrow" w:cstheme="majorBidi"/>
                <w:bCs/>
                <w:sz w:val="19"/>
                <w:szCs w:val="19"/>
              </w:rPr>
            </w:pPr>
            <w:r w:rsidRPr="00DD72AC">
              <w:rPr>
                <w:rFonts w:ascii="Arial Narrow" w:eastAsiaTheme="majorEastAsia" w:hAnsi="Arial Narrow" w:cstheme="majorBidi"/>
                <w:bCs/>
                <w:sz w:val="19"/>
                <w:szCs w:val="19"/>
              </w:rPr>
              <w:t>Cost to PBS/RPBS less co-payments</w:t>
            </w:r>
          </w:p>
        </w:tc>
        <w:tc>
          <w:tcPr>
            <w:tcW w:w="647" w:type="pct"/>
            <w:shd w:val="clear" w:color="auto" w:fill="auto"/>
            <w:vAlign w:val="center"/>
          </w:tcPr>
          <w:p w14:paraId="5D940B24" w14:textId="1363CC89" w:rsidR="00485FE1" w:rsidRPr="00055865" w:rsidRDefault="00485FE1" w:rsidP="00A96DD0">
            <w:pPr>
              <w:keepNext/>
              <w:jc w:val="center"/>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5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56"/>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3</w:t>
            </w:r>
          </w:p>
        </w:tc>
        <w:tc>
          <w:tcPr>
            <w:tcW w:w="647" w:type="pct"/>
            <w:shd w:val="clear" w:color="auto" w:fill="auto"/>
            <w:vAlign w:val="center"/>
          </w:tcPr>
          <w:p w14:paraId="137C3C46" w14:textId="2D09C5B2"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7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72"/>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3</w:t>
            </w:r>
          </w:p>
        </w:tc>
        <w:tc>
          <w:tcPr>
            <w:tcW w:w="647" w:type="pct"/>
            <w:shd w:val="clear" w:color="auto" w:fill="auto"/>
            <w:vAlign w:val="center"/>
          </w:tcPr>
          <w:p w14:paraId="2020F4E4" w14:textId="380F98AE"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7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71"/>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c>
          <w:tcPr>
            <w:tcW w:w="647" w:type="pct"/>
            <w:shd w:val="clear" w:color="auto" w:fill="auto"/>
            <w:vAlign w:val="center"/>
          </w:tcPr>
          <w:p w14:paraId="2B5F8FCB" w14:textId="71DDA5EE"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7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70"/>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c>
          <w:tcPr>
            <w:tcW w:w="647" w:type="pct"/>
            <w:shd w:val="clear" w:color="auto" w:fill="auto"/>
            <w:vAlign w:val="center"/>
          </w:tcPr>
          <w:p w14:paraId="0C1C24BC" w14:textId="5318585B"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9"/>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c>
          <w:tcPr>
            <w:tcW w:w="649" w:type="pct"/>
            <w:vAlign w:val="center"/>
          </w:tcPr>
          <w:p w14:paraId="2EB9E670" w14:textId="00D84697"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9"/>
                <w:sz w:val="20"/>
                <w:shd w:val="solid" w:color="000000" w:fill="000000"/>
                <w:fitText w:val="350" w:id="-143579186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3"/>
                <w:sz w:val="20"/>
                <w:shd w:val="solid" w:color="000000" w:fill="000000"/>
                <w:fitText w:val="350" w:id="-1435791868"/>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r>
      <w:tr w:rsidR="00485FE1" w:rsidRPr="00DD72AC" w14:paraId="63769719" w14:textId="77777777" w:rsidTr="00A96DD0">
        <w:tc>
          <w:tcPr>
            <w:tcW w:w="1116" w:type="pct"/>
            <w:shd w:val="clear" w:color="auto" w:fill="auto"/>
            <w:vAlign w:val="center"/>
          </w:tcPr>
          <w:p w14:paraId="609280CC" w14:textId="77777777" w:rsidR="00485FE1" w:rsidRPr="00DD72AC" w:rsidRDefault="00485FE1" w:rsidP="00A96DD0">
            <w:pPr>
              <w:keepNext/>
              <w:jc w:val="left"/>
              <w:rPr>
                <w:rFonts w:ascii="Arial Narrow" w:eastAsiaTheme="majorEastAsia" w:hAnsi="Arial Narrow" w:cstheme="majorBidi"/>
                <w:bCs/>
                <w:sz w:val="19"/>
                <w:szCs w:val="19"/>
              </w:rPr>
            </w:pPr>
            <w:r w:rsidRPr="00DD72AC">
              <w:rPr>
                <w:rFonts w:ascii="Arial Narrow" w:eastAsiaTheme="majorEastAsia" w:hAnsi="Arial Narrow" w:cstheme="majorBidi"/>
                <w:bCs/>
                <w:sz w:val="20"/>
              </w:rPr>
              <w:t xml:space="preserve">Co-payments </w:t>
            </w:r>
            <w:r w:rsidRPr="00DD72AC">
              <w:rPr>
                <w:rFonts w:ascii="Arial Narrow" w:eastAsiaTheme="majorEastAsia" w:hAnsi="Arial Narrow" w:cstheme="majorBidi"/>
                <w:bCs/>
                <w:sz w:val="20"/>
                <w:vertAlign w:val="superscript"/>
              </w:rPr>
              <w:t>b</w:t>
            </w:r>
          </w:p>
        </w:tc>
        <w:tc>
          <w:tcPr>
            <w:tcW w:w="647" w:type="pct"/>
            <w:shd w:val="clear" w:color="auto" w:fill="auto"/>
            <w:vAlign w:val="center"/>
          </w:tcPr>
          <w:p w14:paraId="6F63EA5F" w14:textId="2248FFD6"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7"/>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4</w:t>
            </w:r>
          </w:p>
        </w:tc>
        <w:tc>
          <w:tcPr>
            <w:tcW w:w="647" w:type="pct"/>
            <w:shd w:val="clear" w:color="auto" w:fill="auto"/>
            <w:vAlign w:val="center"/>
          </w:tcPr>
          <w:p w14:paraId="67233DAA" w14:textId="1B72A179"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6"/>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4</w:t>
            </w:r>
          </w:p>
        </w:tc>
        <w:tc>
          <w:tcPr>
            <w:tcW w:w="647" w:type="pct"/>
            <w:shd w:val="clear" w:color="auto" w:fill="auto"/>
            <w:vAlign w:val="center"/>
          </w:tcPr>
          <w:p w14:paraId="4E01860A" w14:textId="7D8DC910"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5"/>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4</w:t>
            </w:r>
          </w:p>
        </w:tc>
        <w:tc>
          <w:tcPr>
            <w:tcW w:w="647" w:type="pct"/>
            <w:shd w:val="clear" w:color="auto" w:fill="auto"/>
            <w:vAlign w:val="center"/>
          </w:tcPr>
          <w:p w14:paraId="2B7FFAF6" w14:textId="3D37BD86"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4"/>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4</w:t>
            </w:r>
          </w:p>
        </w:tc>
        <w:tc>
          <w:tcPr>
            <w:tcW w:w="647" w:type="pct"/>
            <w:shd w:val="clear" w:color="auto" w:fill="auto"/>
            <w:vAlign w:val="center"/>
          </w:tcPr>
          <w:p w14:paraId="67CB7439" w14:textId="648D41FD"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3"/>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4</w:t>
            </w:r>
          </w:p>
        </w:tc>
        <w:tc>
          <w:tcPr>
            <w:tcW w:w="649" w:type="pct"/>
            <w:vAlign w:val="center"/>
          </w:tcPr>
          <w:p w14:paraId="0336AC24" w14:textId="090388AC"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9"/>
                <w:sz w:val="20"/>
                <w:shd w:val="solid" w:color="000000" w:fill="000000"/>
                <w:fitText w:val="350" w:id="-143579186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3"/>
                <w:sz w:val="20"/>
                <w:shd w:val="solid" w:color="000000" w:fill="000000"/>
                <w:fitText w:val="350" w:id="-1435791862"/>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4</w:t>
            </w:r>
          </w:p>
        </w:tc>
      </w:tr>
      <w:tr w:rsidR="00485FE1" w:rsidRPr="00DD72AC" w14:paraId="3AE82DA7" w14:textId="77777777" w:rsidTr="00A96DD0">
        <w:tc>
          <w:tcPr>
            <w:tcW w:w="5000" w:type="pct"/>
            <w:gridSpan w:val="7"/>
            <w:shd w:val="clear" w:color="auto" w:fill="auto"/>
            <w:vAlign w:val="center"/>
          </w:tcPr>
          <w:p w14:paraId="578F98DD" w14:textId="77777777" w:rsidR="00485FE1" w:rsidRPr="00DD72AC" w:rsidRDefault="00485FE1" w:rsidP="00A96DD0">
            <w:pPr>
              <w:keepNext/>
              <w:jc w:val="left"/>
              <w:rPr>
                <w:rFonts w:ascii="Arial Narrow" w:eastAsiaTheme="majorEastAsia" w:hAnsi="Arial Narrow" w:cs="Times New Roman"/>
                <w:b/>
                <w:sz w:val="20"/>
              </w:rPr>
            </w:pPr>
            <w:r w:rsidRPr="00DD72AC">
              <w:rPr>
                <w:rFonts w:ascii="Arial Narrow" w:eastAsiaTheme="majorEastAsia" w:hAnsi="Arial Narrow" w:cs="Times New Roman"/>
                <w:b/>
                <w:sz w:val="20"/>
              </w:rPr>
              <w:t>Net financial implications</w:t>
            </w:r>
            <w:r w:rsidRPr="00DD72AC">
              <w:rPr>
                <w:rFonts w:ascii="Arial Narrow" w:eastAsiaTheme="majorEastAsia" w:hAnsi="Arial Narrow" w:cs="Times New Roman"/>
                <w:b/>
                <w:color w:val="4BACC6" w:themeColor="accent5"/>
                <w:sz w:val="20"/>
              </w:rPr>
              <w:t xml:space="preserve"> </w:t>
            </w:r>
          </w:p>
        </w:tc>
      </w:tr>
      <w:tr w:rsidR="00485FE1" w:rsidRPr="00DD72AC" w14:paraId="59D26938" w14:textId="77777777" w:rsidTr="00A96DD0">
        <w:tc>
          <w:tcPr>
            <w:tcW w:w="1116" w:type="pct"/>
            <w:shd w:val="clear" w:color="auto" w:fill="auto"/>
            <w:vAlign w:val="center"/>
          </w:tcPr>
          <w:p w14:paraId="782C3190" w14:textId="77777777" w:rsidR="00485FE1" w:rsidRPr="00DD72AC" w:rsidRDefault="00485FE1" w:rsidP="00A96DD0">
            <w:pPr>
              <w:keepNext/>
              <w:jc w:val="left"/>
              <w:rPr>
                <w:rFonts w:ascii="Arial Narrow" w:eastAsiaTheme="majorEastAsia" w:hAnsi="Arial Narrow" w:cstheme="majorBidi"/>
                <w:bCs/>
                <w:sz w:val="19"/>
                <w:szCs w:val="19"/>
              </w:rPr>
            </w:pPr>
            <w:r w:rsidRPr="00DD72AC">
              <w:rPr>
                <w:rFonts w:ascii="Arial Narrow" w:eastAsiaTheme="majorEastAsia" w:hAnsi="Arial Narrow" w:cstheme="majorBidi"/>
                <w:bCs/>
                <w:sz w:val="19"/>
                <w:szCs w:val="19"/>
              </w:rPr>
              <w:t>Net cost to PBS/RPBS</w:t>
            </w:r>
          </w:p>
        </w:tc>
        <w:tc>
          <w:tcPr>
            <w:tcW w:w="647" w:type="pct"/>
            <w:shd w:val="clear" w:color="auto" w:fill="auto"/>
            <w:vAlign w:val="center"/>
          </w:tcPr>
          <w:p w14:paraId="52764F9B" w14:textId="11A7ED14"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1"/>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3</w:t>
            </w:r>
          </w:p>
        </w:tc>
        <w:tc>
          <w:tcPr>
            <w:tcW w:w="647" w:type="pct"/>
            <w:shd w:val="clear" w:color="auto" w:fill="auto"/>
            <w:vAlign w:val="center"/>
          </w:tcPr>
          <w:p w14:paraId="1FD8D589" w14:textId="7B615F5E"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0"/>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3</w:t>
            </w:r>
          </w:p>
        </w:tc>
        <w:tc>
          <w:tcPr>
            <w:tcW w:w="647" w:type="pct"/>
            <w:shd w:val="clear" w:color="auto" w:fill="auto"/>
            <w:vAlign w:val="center"/>
          </w:tcPr>
          <w:p w14:paraId="5C84B5A5" w14:textId="71FCFFCD"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5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59"/>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c>
          <w:tcPr>
            <w:tcW w:w="647" w:type="pct"/>
            <w:shd w:val="clear" w:color="auto" w:fill="auto"/>
            <w:vAlign w:val="center"/>
          </w:tcPr>
          <w:p w14:paraId="6A3962B7" w14:textId="5392A2A5"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5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58"/>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c>
          <w:tcPr>
            <w:tcW w:w="647" w:type="pct"/>
            <w:shd w:val="clear" w:color="auto" w:fill="auto"/>
            <w:vAlign w:val="center"/>
          </w:tcPr>
          <w:p w14:paraId="368CF646" w14:textId="3290A5A4"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5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57"/>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c>
          <w:tcPr>
            <w:tcW w:w="649" w:type="pct"/>
            <w:vAlign w:val="center"/>
          </w:tcPr>
          <w:p w14:paraId="58D0B591" w14:textId="19B69D20"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9"/>
                <w:sz w:val="20"/>
                <w:shd w:val="solid" w:color="000000" w:fill="000000"/>
                <w:fitText w:val="350" w:id="-143579185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3"/>
                <w:sz w:val="20"/>
                <w:shd w:val="solid" w:color="000000" w:fill="000000"/>
                <w:fitText w:val="350" w:id="-1435791856"/>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r>
    </w:tbl>
    <w:p w14:paraId="781B789C" w14:textId="77777777" w:rsidR="00485FE1" w:rsidRPr="00DD72AC" w:rsidRDefault="00485FE1" w:rsidP="00485FE1">
      <w:pPr>
        <w:keepNext/>
        <w:keepLines/>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 xml:space="preserve">Source: Table 126, p222 of the submission. </w:t>
      </w:r>
    </w:p>
    <w:p w14:paraId="50EEEEC2" w14:textId="77777777" w:rsidR="00485FE1" w:rsidRPr="00DD72AC" w:rsidRDefault="00485FE1" w:rsidP="00485FE1">
      <w:pPr>
        <w:keepNext/>
        <w:keepLines/>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Abbreviations: DPMQ = dispensed price for maximum quantity; PBS = Pharmaceutical Benefits Scheme; RPBS = Repatriation Pharmaceutical Benefits Scheme.</w:t>
      </w:r>
    </w:p>
    <w:p w14:paraId="794A6C81" w14:textId="77777777" w:rsidR="00485FE1" w:rsidRPr="00DD72AC" w:rsidRDefault="00485FE1" w:rsidP="00485FE1">
      <w:pPr>
        <w:keepNext/>
        <w:keepLines/>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 xml:space="preserve">Notes: The submission noted that rounding errors may apply. </w:t>
      </w:r>
    </w:p>
    <w:p w14:paraId="37317D83" w14:textId="77777777" w:rsidR="00485FE1" w:rsidRPr="00DD72AC" w:rsidRDefault="00485FE1" w:rsidP="00485FE1">
      <w:pPr>
        <w:keepNext/>
        <w:keepLines/>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a. Assuming 12.02 per year as estimated by the submission.</w:t>
      </w:r>
    </w:p>
    <w:p w14:paraId="00A8CCC1" w14:textId="325C4055" w:rsidR="00485FE1" w:rsidRPr="00DD72AC" w:rsidRDefault="00485FE1" w:rsidP="00485FE1">
      <w:pPr>
        <w:keepNext/>
        <w:keepLines/>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b. A weighted average co-payment of $7.62 is estimated based on 96.63%/3.37% PBS/RPBS split and average co-payments of $7.73 and $4.49 for PBS and RPBS scripts respectively.</w:t>
      </w:r>
    </w:p>
    <w:p w14:paraId="5C8A1806" w14:textId="756D4745" w:rsidR="00055865" w:rsidRDefault="00055865" w:rsidP="00055865">
      <w:pPr>
        <w:rPr>
          <w:rFonts w:ascii="Arial Narrow" w:eastAsia="Times New Roman" w:hAnsi="Arial Narrow"/>
          <w:i/>
          <w:sz w:val="18"/>
          <w:szCs w:val="18"/>
        </w:rPr>
      </w:pPr>
      <w:r w:rsidRPr="009A6D58">
        <w:rPr>
          <w:rFonts w:ascii="Arial Narrow" w:eastAsia="Times New Roman" w:hAnsi="Arial Narrow"/>
          <w:i/>
          <w:sz w:val="18"/>
          <w:szCs w:val="18"/>
        </w:rPr>
        <w:t xml:space="preserve">The redacted values correspond to the following ranges: </w:t>
      </w:r>
    </w:p>
    <w:p w14:paraId="0D7822A9" w14:textId="77777777" w:rsidR="00252E59" w:rsidRPr="009A6D58" w:rsidRDefault="00252E59" w:rsidP="00252E59">
      <w:pPr>
        <w:rPr>
          <w:rFonts w:ascii="Arial Narrow" w:eastAsia="Times New Roman" w:hAnsi="Arial Narrow"/>
          <w:i/>
          <w:sz w:val="18"/>
          <w:szCs w:val="18"/>
        </w:rPr>
      </w:pPr>
      <w:r w:rsidRPr="009A6D58">
        <w:rPr>
          <w:rFonts w:ascii="Arial Narrow" w:eastAsia="Times New Roman" w:hAnsi="Arial Narrow"/>
          <w:i/>
          <w:sz w:val="18"/>
          <w:szCs w:val="18"/>
          <w:vertAlign w:val="superscript"/>
        </w:rPr>
        <w:t>1</w:t>
      </w:r>
      <w:r>
        <w:rPr>
          <w:rFonts w:ascii="Arial Narrow" w:eastAsia="Times New Roman" w:hAnsi="Arial Narrow"/>
          <w:i/>
          <w:sz w:val="18"/>
          <w:szCs w:val="18"/>
        </w:rPr>
        <w:t xml:space="preserve"> &lt; 500</w:t>
      </w:r>
    </w:p>
    <w:p w14:paraId="7C542796" w14:textId="54D65362" w:rsidR="00252E59" w:rsidRPr="009A6D58" w:rsidRDefault="00252E59" w:rsidP="00252E59">
      <w:pPr>
        <w:rPr>
          <w:rFonts w:ascii="Arial Narrow" w:eastAsia="Times New Roman" w:hAnsi="Arial Narrow"/>
          <w:i/>
          <w:sz w:val="18"/>
          <w:szCs w:val="18"/>
        </w:rPr>
      </w:pPr>
      <w:r w:rsidRPr="009A6D58">
        <w:rPr>
          <w:rFonts w:ascii="Arial Narrow" w:eastAsia="Times New Roman" w:hAnsi="Arial Narrow"/>
          <w:i/>
          <w:sz w:val="18"/>
          <w:szCs w:val="18"/>
          <w:vertAlign w:val="superscript"/>
        </w:rPr>
        <w:t>2</w:t>
      </w:r>
      <w:r>
        <w:rPr>
          <w:rFonts w:ascii="Arial Narrow" w:eastAsia="Times New Roman" w:hAnsi="Arial Narrow"/>
          <w:i/>
          <w:sz w:val="18"/>
          <w:szCs w:val="18"/>
        </w:rPr>
        <w:t xml:space="preserve"> 500 to &lt; 5000</w:t>
      </w:r>
    </w:p>
    <w:p w14:paraId="38C891DF" w14:textId="570B3AEE" w:rsidR="00055865" w:rsidRDefault="00252E59" w:rsidP="00055865">
      <w:pPr>
        <w:rPr>
          <w:rFonts w:ascii="Arial Narrow" w:eastAsia="Times New Roman" w:hAnsi="Arial Narrow"/>
          <w:i/>
          <w:sz w:val="18"/>
          <w:szCs w:val="18"/>
        </w:rPr>
      </w:pPr>
      <w:r>
        <w:rPr>
          <w:rFonts w:ascii="Arial Narrow" w:eastAsia="Times New Roman" w:hAnsi="Arial Narrow"/>
          <w:i/>
          <w:sz w:val="18"/>
          <w:szCs w:val="18"/>
          <w:vertAlign w:val="superscript"/>
        </w:rPr>
        <w:t>3</w:t>
      </w:r>
      <w:r w:rsidR="00055865">
        <w:rPr>
          <w:rFonts w:ascii="Arial Narrow" w:eastAsia="Times New Roman" w:hAnsi="Arial Narrow"/>
          <w:i/>
          <w:sz w:val="18"/>
          <w:szCs w:val="18"/>
        </w:rPr>
        <w:t xml:space="preserve"> </w:t>
      </w:r>
      <w:bookmarkStart w:id="77" w:name="_Hlk113541558"/>
      <w:r w:rsidR="00055865" w:rsidRPr="00055865">
        <w:rPr>
          <w:rFonts w:ascii="Arial Narrow" w:eastAsia="Times New Roman" w:hAnsi="Arial Narrow"/>
          <w:i/>
          <w:sz w:val="18"/>
          <w:szCs w:val="18"/>
        </w:rPr>
        <w:t>$30 million to &lt; $40 million</w:t>
      </w:r>
      <w:bookmarkEnd w:id="77"/>
    </w:p>
    <w:p w14:paraId="296B46D5" w14:textId="45F45E28" w:rsidR="00252E59" w:rsidRPr="009A6D58" w:rsidRDefault="00252E59" w:rsidP="00055865">
      <w:pPr>
        <w:rPr>
          <w:rFonts w:ascii="Arial Narrow" w:eastAsia="Times New Roman" w:hAnsi="Arial Narrow"/>
          <w:i/>
          <w:sz w:val="18"/>
          <w:szCs w:val="18"/>
        </w:rPr>
      </w:pPr>
      <w:r>
        <w:rPr>
          <w:rFonts w:ascii="Arial Narrow" w:eastAsia="Times New Roman" w:hAnsi="Arial Narrow"/>
          <w:i/>
          <w:sz w:val="18"/>
          <w:szCs w:val="18"/>
          <w:vertAlign w:val="superscript"/>
        </w:rPr>
        <w:t>3</w:t>
      </w:r>
      <w:r>
        <w:rPr>
          <w:rFonts w:ascii="Arial Narrow" w:eastAsia="Times New Roman" w:hAnsi="Arial Narrow"/>
          <w:i/>
          <w:sz w:val="18"/>
          <w:szCs w:val="18"/>
        </w:rPr>
        <w:t xml:space="preserve"> </w:t>
      </w:r>
      <w:r w:rsidRPr="00055865">
        <w:rPr>
          <w:rFonts w:ascii="Arial Narrow" w:eastAsia="Times New Roman" w:hAnsi="Arial Narrow"/>
          <w:i/>
          <w:sz w:val="18"/>
          <w:szCs w:val="18"/>
        </w:rPr>
        <w:t>$0 to &lt; $</w:t>
      </w:r>
      <w:r>
        <w:rPr>
          <w:rFonts w:ascii="Arial Narrow" w:eastAsia="Times New Roman" w:hAnsi="Arial Narrow"/>
          <w:i/>
          <w:sz w:val="18"/>
          <w:szCs w:val="18"/>
        </w:rPr>
        <w:t>10</w:t>
      </w:r>
      <w:r w:rsidRPr="00055865">
        <w:rPr>
          <w:rFonts w:ascii="Arial Narrow" w:eastAsia="Times New Roman" w:hAnsi="Arial Narrow"/>
          <w:i/>
          <w:sz w:val="18"/>
          <w:szCs w:val="18"/>
        </w:rPr>
        <w:t> million</w:t>
      </w:r>
    </w:p>
    <w:p w14:paraId="0190DCE0" w14:textId="64E0A343" w:rsidR="00055865" w:rsidRPr="009A6D58" w:rsidRDefault="00252E59" w:rsidP="00055865">
      <w:pPr>
        <w:rPr>
          <w:rFonts w:ascii="Arial Narrow" w:eastAsia="Times New Roman" w:hAnsi="Arial Narrow"/>
          <w:i/>
          <w:sz w:val="18"/>
          <w:szCs w:val="18"/>
        </w:rPr>
      </w:pPr>
      <w:r>
        <w:rPr>
          <w:rFonts w:ascii="Arial Narrow" w:eastAsiaTheme="majorEastAsia" w:hAnsi="Arial Narrow" w:cstheme="majorBidi"/>
          <w:bCs/>
          <w:sz w:val="20"/>
          <w:vertAlign w:val="superscript"/>
        </w:rPr>
        <w:t>5</w:t>
      </w:r>
      <w:r w:rsidR="00055865">
        <w:rPr>
          <w:rFonts w:ascii="Arial Narrow" w:eastAsia="Times New Roman" w:hAnsi="Arial Narrow"/>
          <w:i/>
          <w:sz w:val="18"/>
          <w:szCs w:val="18"/>
        </w:rPr>
        <w:t xml:space="preserve"> </w:t>
      </w:r>
      <w:r w:rsidR="00055865" w:rsidRPr="00055865">
        <w:rPr>
          <w:rFonts w:ascii="Arial Narrow" w:eastAsia="Times New Roman" w:hAnsi="Arial Narrow"/>
          <w:i/>
          <w:sz w:val="18"/>
          <w:szCs w:val="18"/>
        </w:rPr>
        <w:t>$40 million to &lt; $50 million</w:t>
      </w:r>
    </w:p>
    <w:p w14:paraId="181CD333" w14:textId="77777777" w:rsidR="00485FE1" w:rsidRPr="00DD72AC" w:rsidRDefault="00485FE1" w:rsidP="00485FE1">
      <w:pPr>
        <w:keepNext/>
        <w:keepLines/>
        <w:spacing w:after="360"/>
        <w:contextualSpacing/>
        <w:jc w:val="left"/>
        <w:textboxTightWrap w:val="allLines"/>
        <w:rPr>
          <w:rFonts w:ascii="Arial Narrow" w:eastAsia="Times New Roman" w:hAnsi="Arial Narrow"/>
          <w:sz w:val="18"/>
          <w:lang w:eastAsia="en-GB"/>
        </w:rPr>
      </w:pPr>
    </w:p>
    <w:p w14:paraId="66C3CA7F" w14:textId="4EBD7637" w:rsidR="00485FE1" w:rsidRPr="00DD72AC" w:rsidRDefault="00A91855" w:rsidP="00A91855">
      <w:pPr>
        <w:numPr>
          <w:ilvl w:val="1"/>
          <w:numId w:val="1"/>
        </w:numPr>
        <w:spacing w:after="120"/>
      </w:pPr>
      <w:r w:rsidRPr="00DD72AC">
        <w:t xml:space="preserve">At Year 1, the estimated number of patients was 126 and the net cost to the PBS would be </w:t>
      </w:r>
      <w:r w:rsidR="00055865" w:rsidRPr="00055865">
        <w:rPr>
          <w:iCs/>
        </w:rPr>
        <w:t>$30 million to &lt; $40 million</w:t>
      </w:r>
      <w:r w:rsidRPr="00DD72AC">
        <w:t xml:space="preserve">. At Year 6, the estimated number of patients was 162 and the net cost to the PBS would be </w:t>
      </w:r>
      <w:r w:rsidR="00055865" w:rsidRPr="00055865">
        <w:rPr>
          <w:rFonts w:asciiTheme="minorHAnsi" w:eastAsia="Times New Roman" w:hAnsiTheme="minorHAnsi" w:cstheme="minorHAnsi"/>
          <w:iCs/>
        </w:rPr>
        <w:t>$40 million to &lt; $50 million</w:t>
      </w:r>
      <w:r w:rsidRPr="00DD72AC">
        <w:t xml:space="preserve">. </w:t>
      </w:r>
      <w:r w:rsidR="00485FE1" w:rsidRPr="00DD72AC">
        <w:rPr>
          <w:rFonts w:asciiTheme="minorHAnsi" w:eastAsia="Times New Roman" w:hAnsiTheme="minorHAnsi"/>
          <w:snapToGrid w:val="0"/>
        </w:rPr>
        <w:t xml:space="preserve">The results of the sensitivity analyses presented by the submission and conducted during evaluation are presented in </w:t>
      </w:r>
      <w:r w:rsidR="00485FE1" w:rsidRPr="00DD72AC">
        <w:rPr>
          <w:rFonts w:asciiTheme="minorHAnsi" w:eastAsia="Times New Roman" w:hAnsiTheme="minorHAnsi"/>
          <w:snapToGrid w:val="0"/>
        </w:rPr>
        <w:fldChar w:fldCharType="begin" w:fldLock="1"/>
      </w:r>
      <w:r w:rsidR="00485FE1" w:rsidRPr="00DD72AC">
        <w:rPr>
          <w:rFonts w:asciiTheme="minorHAnsi" w:eastAsia="Times New Roman" w:hAnsiTheme="minorHAnsi"/>
          <w:snapToGrid w:val="0"/>
        </w:rPr>
        <w:instrText xml:space="preserve"> REF _Ref100704834 \h  \* MERGEFORMAT </w:instrText>
      </w:r>
      <w:r w:rsidR="00485FE1" w:rsidRPr="00DD72AC">
        <w:rPr>
          <w:rFonts w:asciiTheme="minorHAnsi" w:eastAsia="Times New Roman" w:hAnsiTheme="minorHAnsi"/>
          <w:snapToGrid w:val="0"/>
        </w:rPr>
      </w:r>
      <w:r w:rsidR="00485FE1"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Table 19</w:t>
      </w:r>
      <w:r w:rsidR="00485FE1" w:rsidRPr="00DD72AC">
        <w:rPr>
          <w:rFonts w:asciiTheme="minorHAnsi" w:eastAsia="Times New Roman" w:hAnsiTheme="minorHAnsi"/>
          <w:snapToGrid w:val="0"/>
        </w:rPr>
        <w:fldChar w:fldCharType="end"/>
      </w:r>
      <w:r w:rsidR="00485FE1" w:rsidRPr="00DD72AC">
        <w:rPr>
          <w:rFonts w:asciiTheme="minorHAnsi" w:eastAsia="Times New Roman" w:hAnsiTheme="minorHAnsi"/>
          <w:snapToGrid w:val="0"/>
        </w:rPr>
        <w:t xml:space="preserve">. </w:t>
      </w:r>
    </w:p>
    <w:p w14:paraId="003C67CC" w14:textId="49E4213E" w:rsidR="00485FE1" w:rsidRPr="00DD72AC" w:rsidRDefault="00485FE1" w:rsidP="00485FE1">
      <w:pPr>
        <w:keepNext/>
        <w:jc w:val="left"/>
        <w:rPr>
          <w:rFonts w:ascii="Arial Narrow" w:eastAsiaTheme="majorEastAsia" w:hAnsi="Arial Narrow" w:cstheme="majorBidi"/>
          <w:b/>
          <w:sz w:val="20"/>
        </w:rPr>
      </w:pPr>
      <w:bookmarkStart w:id="78" w:name="_Ref100704834"/>
      <w:r w:rsidRPr="00DD72AC">
        <w:rPr>
          <w:rFonts w:ascii="Arial Narrow" w:eastAsiaTheme="majorEastAsia" w:hAnsi="Arial Narrow" w:cstheme="majorBidi"/>
          <w:b/>
          <w:sz w:val="20"/>
        </w:rPr>
        <w:lastRenderedPageBreak/>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19</w:t>
      </w:r>
      <w:r w:rsidRPr="00DD72AC">
        <w:rPr>
          <w:rFonts w:ascii="Arial Narrow" w:eastAsiaTheme="majorEastAsia" w:hAnsi="Arial Narrow" w:cstheme="majorBidi"/>
          <w:b/>
          <w:sz w:val="20"/>
        </w:rPr>
        <w:fldChar w:fldCharType="end"/>
      </w:r>
      <w:bookmarkEnd w:id="78"/>
      <w:r w:rsidRPr="00DD72AC">
        <w:rPr>
          <w:rFonts w:ascii="Arial Narrow" w:eastAsiaTheme="majorEastAsia" w:hAnsi="Arial Narrow" w:cstheme="majorBidi"/>
          <w:b/>
          <w:sz w:val="20"/>
        </w:rPr>
        <w:t>: Results of sensitivity analyses as presented by the submission – Net Cost to PBS/RPBS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9: Results of sensitivity analyses as presented by the submission – Net Cost to PBS/RPBS"/>
      </w:tblPr>
      <w:tblGrid>
        <w:gridCol w:w="2120"/>
        <w:gridCol w:w="1148"/>
        <w:gridCol w:w="1149"/>
        <w:gridCol w:w="1149"/>
        <w:gridCol w:w="1149"/>
        <w:gridCol w:w="1149"/>
        <w:gridCol w:w="1152"/>
      </w:tblGrid>
      <w:tr w:rsidR="00485FE1" w:rsidRPr="00DD72AC" w14:paraId="7BBC0F48" w14:textId="77777777" w:rsidTr="00A96DD0">
        <w:tc>
          <w:tcPr>
            <w:tcW w:w="1176" w:type="pct"/>
            <w:shd w:val="clear" w:color="auto" w:fill="auto"/>
          </w:tcPr>
          <w:p w14:paraId="2866AD24" w14:textId="77777777" w:rsidR="00485FE1" w:rsidRPr="00DD72AC" w:rsidRDefault="00485FE1" w:rsidP="00A96DD0">
            <w:pPr>
              <w:keepNext/>
              <w:jc w:val="left"/>
              <w:rPr>
                <w:rFonts w:ascii="Arial Narrow" w:eastAsiaTheme="majorEastAsia" w:hAnsi="Arial Narrow" w:cstheme="majorBidi"/>
                <w:b/>
                <w:bCs/>
                <w:sz w:val="20"/>
              </w:rPr>
            </w:pPr>
          </w:p>
        </w:tc>
        <w:tc>
          <w:tcPr>
            <w:tcW w:w="637" w:type="pct"/>
            <w:shd w:val="clear" w:color="auto" w:fill="auto"/>
          </w:tcPr>
          <w:p w14:paraId="060D021E"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Year 1</w:t>
            </w:r>
          </w:p>
        </w:tc>
        <w:tc>
          <w:tcPr>
            <w:tcW w:w="637" w:type="pct"/>
            <w:shd w:val="clear" w:color="auto" w:fill="auto"/>
          </w:tcPr>
          <w:p w14:paraId="3C16F810"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Year 2</w:t>
            </w:r>
          </w:p>
        </w:tc>
        <w:tc>
          <w:tcPr>
            <w:tcW w:w="637" w:type="pct"/>
            <w:shd w:val="clear" w:color="auto" w:fill="auto"/>
          </w:tcPr>
          <w:p w14:paraId="58375C5F"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Year 3</w:t>
            </w:r>
          </w:p>
        </w:tc>
        <w:tc>
          <w:tcPr>
            <w:tcW w:w="637" w:type="pct"/>
            <w:shd w:val="clear" w:color="auto" w:fill="auto"/>
          </w:tcPr>
          <w:p w14:paraId="5EDF8B31"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Year 4</w:t>
            </w:r>
          </w:p>
        </w:tc>
        <w:tc>
          <w:tcPr>
            <w:tcW w:w="637" w:type="pct"/>
            <w:shd w:val="clear" w:color="auto" w:fill="auto"/>
          </w:tcPr>
          <w:p w14:paraId="40EBB91B"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Year 5</w:t>
            </w:r>
          </w:p>
        </w:tc>
        <w:tc>
          <w:tcPr>
            <w:tcW w:w="639" w:type="pct"/>
            <w:shd w:val="clear" w:color="auto" w:fill="auto"/>
          </w:tcPr>
          <w:p w14:paraId="2E2926A3"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Year 6</w:t>
            </w:r>
          </w:p>
        </w:tc>
      </w:tr>
      <w:tr w:rsidR="00485FE1" w:rsidRPr="00DD72AC" w14:paraId="647FB6DB" w14:textId="77777777" w:rsidTr="00A96DD0">
        <w:tc>
          <w:tcPr>
            <w:tcW w:w="1176" w:type="pct"/>
            <w:shd w:val="clear" w:color="auto" w:fill="auto"/>
          </w:tcPr>
          <w:p w14:paraId="78A335B6"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Base case</w:t>
            </w:r>
          </w:p>
        </w:tc>
        <w:tc>
          <w:tcPr>
            <w:tcW w:w="637" w:type="pct"/>
            <w:shd w:val="clear" w:color="auto" w:fill="auto"/>
          </w:tcPr>
          <w:p w14:paraId="2850915D" w14:textId="79FCC662" w:rsidR="00485FE1" w:rsidRPr="00055865" w:rsidRDefault="00485FE1" w:rsidP="00A96DD0">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7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72"/>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35E55535" w14:textId="225824BF"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7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71"/>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3A02A37A" w14:textId="73FD17F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7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70"/>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6</w:t>
            </w:r>
          </w:p>
        </w:tc>
        <w:tc>
          <w:tcPr>
            <w:tcW w:w="637" w:type="pct"/>
            <w:shd w:val="clear" w:color="auto" w:fill="auto"/>
          </w:tcPr>
          <w:p w14:paraId="12465544" w14:textId="14197C61"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9"/>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6</w:t>
            </w:r>
          </w:p>
        </w:tc>
        <w:tc>
          <w:tcPr>
            <w:tcW w:w="637" w:type="pct"/>
            <w:shd w:val="clear" w:color="auto" w:fill="auto"/>
          </w:tcPr>
          <w:p w14:paraId="2F41D24B" w14:textId="7942566D"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8"/>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6</w:t>
            </w:r>
          </w:p>
        </w:tc>
        <w:tc>
          <w:tcPr>
            <w:tcW w:w="639" w:type="pct"/>
            <w:shd w:val="clear" w:color="auto" w:fill="auto"/>
          </w:tcPr>
          <w:p w14:paraId="0B2D50C1" w14:textId="1544309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7"/>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6</w:t>
            </w:r>
          </w:p>
        </w:tc>
      </w:tr>
      <w:tr w:rsidR="00485FE1" w:rsidRPr="00DD72AC" w14:paraId="5C7816D1" w14:textId="77777777" w:rsidTr="00A96DD0">
        <w:tc>
          <w:tcPr>
            <w:tcW w:w="1176" w:type="pct"/>
            <w:shd w:val="clear" w:color="auto" w:fill="auto"/>
          </w:tcPr>
          <w:p w14:paraId="1296D8FC"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Sensitivity analyses</w:t>
            </w:r>
          </w:p>
        </w:tc>
        <w:tc>
          <w:tcPr>
            <w:tcW w:w="637" w:type="pct"/>
            <w:shd w:val="clear" w:color="auto" w:fill="auto"/>
          </w:tcPr>
          <w:p w14:paraId="400F04D4" w14:textId="77777777" w:rsidR="00485FE1" w:rsidRPr="00DD72AC" w:rsidRDefault="00485FE1" w:rsidP="00A96DD0">
            <w:pPr>
              <w:keepNext/>
              <w:jc w:val="left"/>
              <w:rPr>
                <w:rFonts w:ascii="Arial Narrow" w:eastAsiaTheme="majorEastAsia" w:hAnsi="Arial Narrow" w:cstheme="majorBidi"/>
                <w:bCs/>
                <w:sz w:val="20"/>
              </w:rPr>
            </w:pPr>
          </w:p>
        </w:tc>
        <w:tc>
          <w:tcPr>
            <w:tcW w:w="637" w:type="pct"/>
            <w:shd w:val="clear" w:color="auto" w:fill="auto"/>
          </w:tcPr>
          <w:p w14:paraId="1B390538" w14:textId="77777777" w:rsidR="00485FE1" w:rsidRPr="00DD72AC" w:rsidRDefault="00485FE1" w:rsidP="00A96DD0">
            <w:pPr>
              <w:keepNext/>
              <w:jc w:val="left"/>
              <w:rPr>
                <w:rFonts w:ascii="Arial Narrow" w:eastAsiaTheme="majorEastAsia" w:hAnsi="Arial Narrow" w:cstheme="majorBidi"/>
                <w:bCs/>
                <w:sz w:val="20"/>
              </w:rPr>
            </w:pPr>
          </w:p>
        </w:tc>
        <w:tc>
          <w:tcPr>
            <w:tcW w:w="637" w:type="pct"/>
            <w:shd w:val="clear" w:color="auto" w:fill="auto"/>
          </w:tcPr>
          <w:p w14:paraId="758A04C4" w14:textId="77777777" w:rsidR="00485FE1" w:rsidRPr="00DD72AC" w:rsidRDefault="00485FE1" w:rsidP="00A96DD0">
            <w:pPr>
              <w:keepNext/>
              <w:jc w:val="left"/>
              <w:rPr>
                <w:rFonts w:ascii="Arial Narrow" w:eastAsiaTheme="majorEastAsia" w:hAnsi="Arial Narrow" w:cstheme="majorBidi"/>
                <w:bCs/>
                <w:sz w:val="20"/>
              </w:rPr>
            </w:pPr>
          </w:p>
        </w:tc>
        <w:tc>
          <w:tcPr>
            <w:tcW w:w="637" w:type="pct"/>
            <w:shd w:val="clear" w:color="auto" w:fill="auto"/>
          </w:tcPr>
          <w:p w14:paraId="4AE5C1B9" w14:textId="77777777" w:rsidR="00485FE1" w:rsidRPr="00DD72AC" w:rsidRDefault="00485FE1" w:rsidP="00A96DD0">
            <w:pPr>
              <w:keepNext/>
              <w:jc w:val="left"/>
              <w:rPr>
                <w:rFonts w:ascii="Arial Narrow" w:eastAsiaTheme="majorEastAsia" w:hAnsi="Arial Narrow" w:cstheme="majorBidi"/>
                <w:bCs/>
                <w:sz w:val="20"/>
              </w:rPr>
            </w:pPr>
          </w:p>
        </w:tc>
        <w:tc>
          <w:tcPr>
            <w:tcW w:w="637" w:type="pct"/>
            <w:shd w:val="clear" w:color="auto" w:fill="auto"/>
          </w:tcPr>
          <w:p w14:paraId="6B45AD0C" w14:textId="77777777" w:rsidR="00485FE1" w:rsidRPr="00DD72AC" w:rsidRDefault="00485FE1" w:rsidP="00A96DD0">
            <w:pPr>
              <w:keepNext/>
              <w:jc w:val="left"/>
              <w:rPr>
                <w:rFonts w:ascii="Arial Narrow" w:eastAsiaTheme="majorEastAsia" w:hAnsi="Arial Narrow" w:cstheme="majorBidi"/>
                <w:bCs/>
                <w:sz w:val="20"/>
              </w:rPr>
            </w:pPr>
          </w:p>
        </w:tc>
        <w:tc>
          <w:tcPr>
            <w:tcW w:w="639" w:type="pct"/>
            <w:shd w:val="clear" w:color="auto" w:fill="auto"/>
          </w:tcPr>
          <w:p w14:paraId="6B0C9334" w14:textId="77777777" w:rsidR="00485FE1" w:rsidRPr="00DD72AC" w:rsidRDefault="00485FE1" w:rsidP="00A96DD0">
            <w:pPr>
              <w:keepNext/>
              <w:jc w:val="left"/>
              <w:rPr>
                <w:rFonts w:ascii="Arial Narrow" w:eastAsiaTheme="majorEastAsia" w:hAnsi="Arial Narrow" w:cstheme="majorBidi"/>
                <w:bCs/>
                <w:sz w:val="20"/>
              </w:rPr>
            </w:pPr>
          </w:p>
        </w:tc>
      </w:tr>
      <w:tr w:rsidR="00485FE1" w:rsidRPr="00DD72AC" w14:paraId="38FBE963" w14:textId="77777777" w:rsidTr="00A96DD0">
        <w:tc>
          <w:tcPr>
            <w:tcW w:w="5000" w:type="pct"/>
            <w:gridSpan w:val="7"/>
            <w:shd w:val="clear" w:color="auto" w:fill="auto"/>
          </w:tcPr>
          <w:p w14:paraId="0610438B" w14:textId="5BC4C398" w:rsidR="00485FE1" w:rsidRPr="00DD72AC" w:rsidRDefault="00485FE1" w:rsidP="00A96DD0">
            <w:pPr>
              <w:keepNext/>
              <w:jc w:val="left"/>
              <w:rPr>
                <w:rFonts w:ascii="Arial Narrow" w:eastAsiaTheme="majorEastAsia" w:hAnsi="Arial Narrow" w:cstheme="majorBidi"/>
                <w:sz w:val="20"/>
              </w:rPr>
            </w:pPr>
            <w:r w:rsidRPr="00DD72AC">
              <w:rPr>
                <w:rFonts w:ascii="Arial Narrow" w:eastAsiaTheme="majorEastAsia" w:hAnsi="Arial Narrow" w:cstheme="majorBidi"/>
                <w:sz w:val="20"/>
              </w:rPr>
              <w:t xml:space="preserve">Vosoritide uptake among incident patients (base case: </w:t>
            </w:r>
            <w:r w:rsidR="001B1FB6" w:rsidRPr="001B1FB6">
              <w:rPr>
                <w:rFonts w:ascii="Arial Narrow" w:eastAsiaTheme="majorEastAsia" w:hAnsi="Arial Narrow" w:cstheme="majorBidi" w:hint="eastAsia"/>
                <w:color w:val="000000"/>
                <w:w w:val="20"/>
                <w:sz w:val="20"/>
                <w:shd w:val="solid" w:color="000000" w:fill="000000"/>
                <w:fitText w:val="90" w:id="-1432729856"/>
                <w14:textFill>
                  <w14:solidFill>
                    <w14:srgbClr w14:val="000000">
                      <w14:alpha w14:val="100000"/>
                    </w14:srgbClr>
                  </w14:solidFill>
                </w14:textFill>
              </w:rPr>
              <w:t xml:space="preserve">　</w:t>
            </w:r>
            <w:r w:rsidR="001B1FB6" w:rsidRPr="001B1FB6">
              <w:rPr>
                <w:rFonts w:ascii="Arial Narrow" w:eastAsiaTheme="majorEastAsia" w:hAnsi="Arial Narrow" w:cstheme="majorBidi"/>
                <w:color w:val="000000"/>
                <w:w w:val="20"/>
                <w:sz w:val="20"/>
                <w:shd w:val="solid" w:color="000000" w:fill="000000"/>
                <w:fitText w:val="90" w:id="-1432729856"/>
                <w14:textFill>
                  <w14:solidFill>
                    <w14:srgbClr w14:val="000000">
                      <w14:alpha w14:val="100000"/>
                    </w14:srgbClr>
                  </w14:solidFill>
                </w14:textFill>
              </w:rPr>
              <w:t>|</w:t>
            </w:r>
            <w:r w:rsidR="001B1FB6" w:rsidRPr="001B1FB6">
              <w:rPr>
                <w:rFonts w:ascii="Arial Narrow" w:eastAsiaTheme="majorEastAsia" w:hAnsi="Arial Narrow" w:cstheme="majorBidi" w:hint="eastAsia"/>
                <w:color w:val="000000"/>
                <w:w w:val="20"/>
                <w:sz w:val="20"/>
                <w:shd w:val="solid" w:color="000000" w:fill="000000"/>
                <w:fitText w:val="90" w:id="-1432729856"/>
                <w14:textFill>
                  <w14:solidFill>
                    <w14:srgbClr w14:val="000000">
                      <w14:alpha w14:val="100000"/>
                    </w14:srgbClr>
                  </w14:solidFill>
                </w14:textFill>
              </w:rPr>
              <w:t xml:space="preserve">　</w:t>
            </w:r>
            <w:r w:rsidRPr="00DD72AC">
              <w:rPr>
                <w:rFonts w:ascii="Arial Narrow" w:eastAsiaTheme="majorEastAsia" w:hAnsi="Arial Narrow" w:cstheme="majorBidi"/>
                <w:sz w:val="20"/>
              </w:rPr>
              <w:t>%)</w:t>
            </w:r>
          </w:p>
        </w:tc>
      </w:tr>
      <w:tr w:rsidR="00485FE1" w:rsidRPr="00DD72AC" w14:paraId="352E7D67" w14:textId="77777777" w:rsidTr="00A96DD0">
        <w:tc>
          <w:tcPr>
            <w:tcW w:w="1176" w:type="pct"/>
            <w:shd w:val="clear" w:color="auto" w:fill="auto"/>
          </w:tcPr>
          <w:p w14:paraId="33355627" w14:textId="7777777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40% </w:t>
            </w:r>
            <w:r w:rsidRPr="00DD72AC">
              <w:rPr>
                <w:rFonts w:ascii="Arial Narrow" w:eastAsiaTheme="majorEastAsia" w:hAnsi="Arial Narrow" w:cstheme="majorBidi"/>
                <w:bCs/>
                <w:sz w:val="20"/>
                <w:vertAlign w:val="superscript"/>
              </w:rPr>
              <w:t>a</w:t>
            </w:r>
          </w:p>
        </w:tc>
        <w:tc>
          <w:tcPr>
            <w:tcW w:w="637" w:type="pct"/>
            <w:shd w:val="clear" w:color="auto" w:fill="auto"/>
          </w:tcPr>
          <w:p w14:paraId="2036F22F" w14:textId="4175D296"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6"/>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76F5AAA5" w14:textId="7473BAE6"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5"/>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49A07746" w14:textId="640E8530"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4"/>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2C0C91AC" w14:textId="6F255CE5"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3"/>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793D33C5" w14:textId="323D1B9D"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2"/>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9" w:type="pct"/>
            <w:shd w:val="clear" w:color="auto" w:fill="auto"/>
          </w:tcPr>
          <w:p w14:paraId="3BF806ED" w14:textId="396409CF"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1"/>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r>
      <w:tr w:rsidR="00485FE1" w:rsidRPr="00DD72AC" w14:paraId="73B1B030" w14:textId="77777777" w:rsidTr="00A96DD0">
        <w:tc>
          <w:tcPr>
            <w:tcW w:w="1176" w:type="pct"/>
            <w:shd w:val="clear" w:color="auto" w:fill="auto"/>
          </w:tcPr>
          <w:p w14:paraId="538DA0F3" w14:textId="578B3D4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0%</w:t>
            </w:r>
            <w:r w:rsidR="00C5773C" w:rsidRPr="00DD72AC">
              <w:rPr>
                <w:rFonts w:ascii="Arial Narrow" w:eastAsiaTheme="majorEastAsia" w:hAnsi="Arial Narrow" w:cstheme="majorBidi"/>
                <w:bCs/>
                <w:sz w:val="20"/>
              </w:rPr>
              <w:t xml:space="preserve"> </w:t>
            </w:r>
            <w:r w:rsidR="00C5773C" w:rsidRPr="00DD72AC">
              <w:rPr>
                <w:rFonts w:ascii="Arial Narrow" w:eastAsiaTheme="majorEastAsia" w:hAnsi="Arial Narrow" w:cstheme="majorBidi"/>
                <w:bCs/>
                <w:sz w:val="20"/>
                <w:vertAlign w:val="superscript"/>
              </w:rPr>
              <w:t>b</w:t>
            </w:r>
          </w:p>
        </w:tc>
        <w:tc>
          <w:tcPr>
            <w:tcW w:w="637" w:type="pct"/>
            <w:shd w:val="clear" w:color="auto" w:fill="auto"/>
            <w:vAlign w:val="center"/>
          </w:tcPr>
          <w:p w14:paraId="7B645D85" w14:textId="76AE12E0"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0"/>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5464AFF3" w14:textId="7B38A173"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5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59"/>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35BEE833" w14:textId="5FE791EB"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5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58"/>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77DECE15" w14:textId="1FACAB86"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5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57"/>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3994E880" w14:textId="431597F1"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5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56"/>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9" w:type="pct"/>
            <w:shd w:val="clear" w:color="auto" w:fill="auto"/>
            <w:vAlign w:val="center"/>
          </w:tcPr>
          <w:p w14:paraId="20A84D7E" w14:textId="3BAB4573"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7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72"/>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2</w:t>
            </w:r>
          </w:p>
        </w:tc>
      </w:tr>
      <w:tr w:rsidR="00485FE1" w:rsidRPr="00DD72AC" w14:paraId="3F5AA345" w14:textId="77777777" w:rsidTr="00A96DD0">
        <w:tc>
          <w:tcPr>
            <w:tcW w:w="1176" w:type="pct"/>
            <w:shd w:val="clear" w:color="auto" w:fill="auto"/>
          </w:tcPr>
          <w:p w14:paraId="02C12457" w14:textId="43277216" w:rsidR="00485FE1" w:rsidRPr="00DD72AC" w:rsidRDefault="00485FE1" w:rsidP="00A96DD0">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25%</w:t>
            </w:r>
            <w:r w:rsidR="00C5773C" w:rsidRPr="00DD72AC">
              <w:rPr>
                <w:rFonts w:ascii="Arial Narrow" w:eastAsiaTheme="majorEastAsia" w:hAnsi="Arial Narrow" w:cstheme="majorBidi"/>
                <w:bCs/>
                <w:sz w:val="20"/>
              </w:rPr>
              <w:t xml:space="preserve"> </w:t>
            </w:r>
            <w:r w:rsidR="00C5773C" w:rsidRPr="00DD72AC">
              <w:rPr>
                <w:rFonts w:ascii="Arial Narrow" w:eastAsiaTheme="majorEastAsia" w:hAnsi="Arial Narrow" w:cstheme="majorBidi"/>
                <w:bCs/>
                <w:sz w:val="20"/>
                <w:vertAlign w:val="superscript"/>
              </w:rPr>
              <w:t>b</w:t>
            </w:r>
          </w:p>
        </w:tc>
        <w:tc>
          <w:tcPr>
            <w:tcW w:w="637" w:type="pct"/>
            <w:shd w:val="clear" w:color="auto" w:fill="auto"/>
            <w:vAlign w:val="center"/>
          </w:tcPr>
          <w:p w14:paraId="469BDDAB" w14:textId="5B10F48F"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7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71"/>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6493CE93" w14:textId="0C9B8E3D"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7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70"/>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1568CC00" w14:textId="3A76517B"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9"/>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7066D35F" w14:textId="695938C4"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8"/>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33C7C645" w14:textId="2684A12E"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7"/>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9" w:type="pct"/>
            <w:shd w:val="clear" w:color="auto" w:fill="auto"/>
            <w:vAlign w:val="center"/>
          </w:tcPr>
          <w:p w14:paraId="120E0821" w14:textId="585C77F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6"/>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r>
      <w:tr w:rsidR="00485FE1" w:rsidRPr="00DD72AC" w14:paraId="2731D87E" w14:textId="77777777" w:rsidTr="00A96DD0">
        <w:tc>
          <w:tcPr>
            <w:tcW w:w="5000" w:type="pct"/>
            <w:gridSpan w:val="7"/>
            <w:shd w:val="clear" w:color="auto" w:fill="auto"/>
          </w:tcPr>
          <w:p w14:paraId="13365A46" w14:textId="77777777" w:rsidR="00485FE1" w:rsidRPr="00DD72AC" w:rsidRDefault="00485FE1" w:rsidP="00A96DD0">
            <w:pPr>
              <w:keepNext/>
              <w:jc w:val="left"/>
              <w:rPr>
                <w:rFonts w:ascii="Arial Narrow" w:eastAsiaTheme="majorEastAsia" w:hAnsi="Arial Narrow" w:cstheme="majorBidi"/>
                <w:sz w:val="20"/>
              </w:rPr>
            </w:pPr>
            <w:r w:rsidRPr="00DD72AC">
              <w:rPr>
                <w:rFonts w:ascii="Arial Narrow" w:eastAsiaTheme="majorEastAsia" w:hAnsi="Arial Narrow" w:cstheme="majorBidi"/>
                <w:sz w:val="20"/>
              </w:rPr>
              <w:t>Annual persistence (base case: 97.1%)</w:t>
            </w:r>
          </w:p>
        </w:tc>
      </w:tr>
      <w:tr w:rsidR="00485FE1" w:rsidRPr="00DD72AC" w14:paraId="6C157281" w14:textId="77777777" w:rsidTr="00A96DD0">
        <w:tc>
          <w:tcPr>
            <w:tcW w:w="1176" w:type="pct"/>
            <w:shd w:val="clear" w:color="auto" w:fill="auto"/>
          </w:tcPr>
          <w:p w14:paraId="3E4B21EE" w14:textId="7777777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90%</w:t>
            </w:r>
          </w:p>
        </w:tc>
        <w:tc>
          <w:tcPr>
            <w:tcW w:w="637" w:type="pct"/>
            <w:shd w:val="clear" w:color="auto" w:fill="auto"/>
          </w:tcPr>
          <w:p w14:paraId="63617E3A" w14:textId="73E50FC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5"/>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2E345DF3" w14:textId="761E8358"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6"/>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2A04F5D1" w14:textId="44A8D230"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5"/>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1B5711CB" w14:textId="22BB82D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4"/>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76525B6E" w14:textId="28CFBE9A"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3"/>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9" w:type="pct"/>
            <w:shd w:val="clear" w:color="auto" w:fill="auto"/>
          </w:tcPr>
          <w:p w14:paraId="508A7E20" w14:textId="3BC5D2B2"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2"/>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r>
      <w:tr w:rsidR="00485FE1" w:rsidRPr="00DD72AC" w14:paraId="34CFC542" w14:textId="77777777" w:rsidTr="00A96DD0">
        <w:tc>
          <w:tcPr>
            <w:tcW w:w="1176" w:type="pct"/>
            <w:shd w:val="clear" w:color="auto" w:fill="auto"/>
          </w:tcPr>
          <w:p w14:paraId="0DD6B9C0" w14:textId="3B51BF92" w:rsidR="00485FE1" w:rsidRPr="00DD72AC" w:rsidRDefault="00485FE1" w:rsidP="00A96DD0">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50%</w:t>
            </w:r>
            <w:r w:rsidR="00C5773C" w:rsidRPr="00DD72AC">
              <w:rPr>
                <w:rFonts w:ascii="Arial Narrow" w:eastAsiaTheme="majorEastAsia" w:hAnsi="Arial Narrow" w:cstheme="majorBidi"/>
                <w:bCs/>
                <w:sz w:val="20"/>
              </w:rPr>
              <w:t xml:space="preserve"> </w:t>
            </w:r>
            <w:r w:rsidR="00C5773C" w:rsidRPr="00DD72AC">
              <w:rPr>
                <w:rFonts w:ascii="Arial Narrow" w:eastAsiaTheme="majorEastAsia" w:hAnsi="Arial Narrow" w:cstheme="majorBidi"/>
                <w:bCs/>
                <w:sz w:val="20"/>
                <w:vertAlign w:val="superscript"/>
              </w:rPr>
              <w:t>b</w:t>
            </w:r>
          </w:p>
        </w:tc>
        <w:tc>
          <w:tcPr>
            <w:tcW w:w="637" w:type="pct"/>
            <w:shd w:val="clear" w:color="auto" w:fill="auto"/>
            <w:vAlign w:val="center"/>
          </w:tcPr>
          <w:p w14:paraId="01A0AA09" w14:textId="3B704AE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1"/>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0BA7BFFD" w14:textId="300461CC"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0"/>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2</w:t>
            </w:r>
          </w:p>
        </w:tc>
        <w:tc>
          <w:tcPr>
            <w:tcW w:w="637" w:type="pct"/>
            <w:shd w:val="clear" w:color="auto" w:fill="auto"/>
            <w:vAlign w:val="center"/>
          </w:tcPr>
          <w:p w14:paraId="3D7D008A" w14:textId="0251D202"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9"/>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3</w:t>
            </w:r>
          </w:p>
        </w:tc>
        <w:tc>
          <w:tcPr>
            <w:tcW w:w="637" w:type="pct"/>
            <w:shd w:val="clear" w:color="auto" w:fill="auto"/>
            <w:vAlign w:val="center"/>
          </w:tcPr>
          <w:p w14:paraId="7F8A72E0" w14:textId="4CBB2EAB"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8"/>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3</w:t>
            </w:r>
          </w:p>
        </w:tc>
        <w:tc>
          <w:tcPr>
            <w:tcW w:w="637" w:type="pct"/>
            <w:shd w:val="clear" w:color="auto" w:fill="auto"/>
            <w:vAlign w:val="center"/>
          </w:tcPr>
          <w:p w14:paraId="7D66017E" w14:textId="62D18676"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7"/>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3</w:t>
            </w:r>
          </w:p>
        </w:tc>
        <w:tc>
          <w:tcPr>
            <w:tcW w:w="639" w:type="pct"/>
            <w:shd w:val="clear" w:color="auto" w:fill="auto"/>
            <w:vAlign w:val="center"/>
          </w:tcPr>
          <w:p w14:paraId="4D54445F" w14:textId="33089D20"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6"/>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3</w:t>
            </w:r>
          </w:p>
        </w:tc>
      </w:tr>
      <w:tr w:rsidR="00485FE1" w:rsidRPr="00DD72AC" w14:paraId="25D0BEFA" w14:textId="77777777" w:rsidTr="00A96DD0">
        <w:tc>
          <w:tcPr>
            <w:tcW w:w="5000" w:type="pct"/>
            <w:gridSpan w:val="7"/>
            <w:shd w:val="clear" w:color="auto" w:fill="auto"/>
          </w:tcPr>
          <w:p w14:paraId="21CF392A" w14:textId="7777777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sz w:val="20"/>
              </w:rPr>
              <w:t>Birth prevalence (base case: 5.3 per 100,000)</w:t>
            </w:r>
          </w:p>
        </w:tc>
      </w:tr>
      <w:tr w:rsidR="00485FE1" w:rsidRPr="00DD72AC" w14:paraId="206FBE82" w14:textId="77777777" w:rsidTr="00A96DD0">
        <w:tc>
          <w:tcPr>
            <w:tcW w:w="1176" w:type="pct"/>
            <w:shd w:val="clear" w:color="auto" w:fill="auto"/>
          </w:tcPr>
          <w:p w14:paraId="543B3192" w14:textId="13BAE9B2"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3.3 per 100,000 </w:t>
            </w:r>
            <w:r w:rsidR="00C5773C" w:rsidRPr="00DD72AC">
              <w:rPr>
                <w:rFonts w:ascii="Arial Narrow" w:eastAsiaTheme="majorEastAsia" w:hAnsi="Arial Narrow" w:cstheme="majorBidi"/>
                <w:bCs/>
                <w:sz w:val="20"/>
                <w:vertAlign w:val="superscript"/>
              </w:rPr>
              <w:t>c</w:t>
            </w:r>
          </w:p>
        </w:tc>
        <w:tc>
          <w:tcPr>
            <w:tcW w:w="637" w:type="pct"/>
            <w:shd w:val="clear" w:color="auto" w:fill="auto"/>
            <w:vAlign w:val="center"/>
          </w:tcPr>
          <w:p w14:paraId="7DE98314" w14:textId="3670670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5"/>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02569CB1" w14:textId="052AA235"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4"/>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4FC5E0AE" w14:textId="6883BE91"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3"/>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75495DC2" w14:textId="5B61F5F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2"/>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1A9ED78F" w14:textId="4BDAA0B4"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1"/>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9" w:type="pct"/>
            <w:shd w:val="clear" w:color="auto" w:fill="auto"/>
            <w:vAlign w:val="center"/>
          </w:tcPr>
          <w:p w14:paraId="5AC05AFF" w14:textId="78B5B726"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0"/>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r>
      <w:tr w:rsidR="00485FE1" w:rsidRPr="00DD72AC" w14:paraId="769A6474" w14:textId="77777777" w:rsidTr="00A96DD0">
        <w:tc>
          <w:tcPr>
            <w:tcW w:w="5000" w:type="pct"/>
            <w:gridSpan w:val="7"/>
            <w:shd w:val="clear" w:color="auto" w:fill="auto"/>
          </w:tcPr>
          <w:p w14:paraId="79EC3AD8" w14:textId="2D258893"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sz w:val="20"/>
              </w:rPr>
              <w:t xml:space="preserve">Vosoritide uptake among untreated prevalent patients (base case: </w:t>
            </w:r>
            <w:r w:rsidR="001B1FB6" w:rsidRPr="001B1FB6">
              <w:rPr>
                <w:rFonts w:ascii="Arial Narrow" w:eastAsiaTheme="majorEastAsia" w:hAnsi="Arial Narrow" w:cstheme="majorBidi" w:hint="eastAsia"/>
                <w:color w:val="000000"/>
                <w:w w:val="22"/>
                <w:sz w:val="20"/>
                <w:shd w:val="solid" w:color="000000" w:fill="000000"/>
                <w:fitText w:val="100" w:id="-1432729600"/>
                <w14:textFill>
                  <w14:solidFill>
                    <w14:srgbClr w14:val="000000">
                      <w14:alpha w14:val="100000"/>
                    </w14:srgbClr>
                  </w14:solidFill>
                </w14:textFill>
              </w:rPr>
              <w:t xml:space="preserve">　</w:t>
            </w:r>
            <w:r w:rsidR="001B1FB6" w:rsidRPr="001B1FB6">
              <w:rPr>
                <w:rFonts w:ascii="Arial Narrow" w:eastAsiaTheme="majorEastAsia" w:hAnsi="Arial Narrow" w:cstheme="majorBidi"/>
                <w:color w:val="000000"/>
                <w:w w:val="22"/>
                <w:sz w:val="20"/>
                <w:shd w:val="solid" w:color="000000" w:fill="000000"/>
                <w:fitText w:val="100" w:id="-1432729600"/>
                <w14:textFill>
                  <w14:solidFill>
                    <w14:srgbClr w14:val="000000">
                      <w14:alpha w14:val="100000"/>
                    </w14:srgbClr>
                  </w14:solidFill>
                </w14:textFill>
              </w:rPr>
              <w:t>|</w:t>
            </w:r>
            <w:r w:rsidR="001B1FB6" w:rsidRPr="001B1FB6">
              <w:rPr>
                <w:rFonts w:ascii="Arial Narrow" w:eastAsiaTheme="majorEastAsia" w:hAnsi="Arial Narrow" w:cstheme="majorBidi" w:hint="eastAsia"/>
                <w:color w:val="000000"/>
                <w:w w:val="22"/>
                <w:sz w:val="20"/>
                <w:shd w:val="solid" w:color="000000" w:fill="000000"/>
                <w:fitText w:val="100" w:id="-1432729600"/>
                <w14:textFill>
                  <w14:solidFill>
                    <w14:srgbClr w14:val="000000">
                      <w14:alpha w14:val="100000"/>
                    </w14:srgbClr>
                  </w14:solidFill>
                </w14:textFill>
              </w:rPr>
              <w:t xml:space="preserve">　</w:t>
            </w:r>
            <w:r w:rsidRPr="00DD72AC">
              <w:rPr>
                <w:rFonts w:ascii="Arial Narrow" w:eastAsiaTheme="majorEastAsia" w:hAnsi="Arial Narrow" w:cstheme="majorBidi"/>
                <w:sz w:val="20"/>
              </w:rPr>
              <w:t xml:space="preserve">% in ages 0-4, </w:t>
            </w:r>
            <w:r w:rsidR="001B1FB6" w:rsidRPr="001B1FB6">
              <w:rPr>
                <w:rFonts w:ascii="Arial Narrow" w:eastAsiaTheme="majorEastAsia" w:hAnsi="Arial Narrow" w:cstheme="majorBidi" w:hint="eastAsia"/>
                <w:color w:val="000000"/>
                <w:w w:val="22"/>
                <w:sz w:val="20"/>
                <w:shd w:val="solid" w:color="000000" w:fill="000000"/>
                <w:fitText w:val="100" w:id="-1432729599"/>
                <w14:textFill>
                  <w14:solidFill>
                    <w14:srgbClr w14:val="000000">
                      <w14:alpha w14:val="100000"/>
                    </w14:srgbClr>
                  </w14:solidFill>
                </w14:textFill>
              </w:rPr>
              <w:t xml:space="preserve">　</w:t>
            </w:r>
            <w:r w:rsidR="001B1FB6" w:rsidRPr="001B1FB6">
              <w:rPr>
                <w:rFonts w:ascii="Arial Narrow" w:eastAsiaTheme="majorEastAsia" w:hAnsi="Arial Narrow" w:cstheme="majorBidi"/>
                <w:color w:val="000000"/>
                <w:w w:val="22"/>
                <w:sz w:val="20"/>
                <w:shd w:val="solid" w:color="000000" w:fill="000000"/>
                <w:fitText w:val="100" w:id="-1432729599"/>
                <w14:textFill>
                  <w14:solidFill>
                    <w14:srgbClr w14:val="000000">
                      <w14:alpha w14:val="100000"/>
                    </w14:srgbClr>
                  </w14:solidFill>
                </w14:textFill>
              </w:rPr>
              <w:t>|</w:t>
            </w:r>
            <w:r w:rsidR="001B1FB6" w:rsidRPr="001B1FB6">
              <w:rPr>
                <w:rFonts w:ascii="Arial Narrow" w:eastAsiaTheme="majorEastAsia" w:hAnsi="Arial Narrow" w:cstheme="majorBidi" w:hint="eastAsia"/>
                <w:color w:val="000000"/>
                <w:w w:val="22"/>
                <w:sz w:val="20"/>
                <w:shd w:val="solid" w:color="000000" w:fill="000000"/>
                <w:fitText w:val="100" w:id="-1432729599"/>
                <w14:textFill>
                  <w14:solidFill>
                    <w14:srgbClr w14:val="000000">
                      <w14:alpha w14:val="100000"/>
                    </w14:srgbClr>
                  </w14:solidFill>
                </w14:textFill>
              </w:rPr>
              <w:t xml:space="preserve">　</w:t>
            </w:r>
            <w:r w:rsidRPr="00DD72AC">
              <w:rPr>
                <w:rFonts w:ascii="Arial Narrow" w:eastAsiaTheme="majorEastAsia" w:hAnsi="Arial Narrow" w:cstheme="majorBidi"/>
                <w:sz w:val="20"/>
              </w:rPr>
              <w:t xml:space="preserve">% in ages 5-8, </w:t>
            </w:r>
            <w:r w:rsidR="001B1FB6" w:rsidRPr="001B1FB6">
              <w:rPr>
                <w:rFonts w:ascii="Arial Narrow" w:eastAsiaTheme="majorEastAsia" w:hAnsi="Arial Narrow" w:cstheme="majorBidi" w:hint="eastAsia"/>
                <w:color w:val="000000"/>
                <w:w w:val="20"/>
                <w:sz w:val="20"/>
                <w:shd w:val="solid" w:color="000000" w:fill="000000"/>
                <w:fitText w:val="90" w:id="-1432729598"/>
                <w14:textFill>
                  <w14:solidFill>
                    <w14:srgbClr w14:val="000000">
                      <w14:alpha w14:val="100000"/>
                    </w14:srgbClr>
                  </w14:solidFill>
                </w14:textFill>
              </w:rPr>
              <w:t xml:space="preserve">　</w:t>
            </w:r>
            <w:r w:rsidR="001B1FB6" w:rsidRPr="001B1FB6">
              <w:rPr>
                <w:rFonts w:ascii="Arial Narrow" w:eastAsiaTheme="majorEastAsia" w:hAnsi="Arial Narrow" w:cstheme="majorBidi"/>
                <w:color w:val="000000"/>
                <w:w w:val="20"/>
                <w:sz w:val="20"/>
                <w:shd w:val="solid" w:color="000000" w:fill="000000"/>
                <w:fitText w:val="90" w:id="-1432729598"/>
                <w14:textFill>
                  <w14:solidFill>
                    <w14:srgbClr w14:val="000000">
                      <w14:alpha w14:val="100000"/>
                    </w14:srgbClr>
                  </w14:solidFill>
                </w14:textFill>
              </w:rPr>
              <w:t>|</w:t>
            </w:r>
            <w:r w:rsidR="001B1FB6" w:rsidRPr="001B1FB6">
              <w:rPr>
                <w:rFonts w:ascii="Arial Narrow" w:eastAsiaTheme="majorEastAsia" w:hAnsi="Arial Narrow" w:cstheme="majorBidi" w:hint="eastAsia"/>
                <w:color w:val="000000"/>
                <w:w w:val="20"/>
                <w:sz w:val="20"/>
                <w:shd w:val="solid" w:color="000000" w:fill="000000"/>
                <w:fitText w:val="90" w:id="-1432729598"/>
                <w14:textFill>
                  <w14:solidFill>
                    <w14:srgbClr w14:val="000000">
                      <w14:alpha w14:val="100000"/>
                    </w14:srgbClr>
                  </w14:solidFill>
                </w14:textFill>
              </w:rPr>
              <w:t xml:space="preserve">　</w:t>
            </w:r>
            <w:r w:rsidRPr="00DD72AC">
              <w:rPr>
                <w:rFonts w:ascii="Arial Narrow" w:eastAsiaTheme="majorEastAsia" w:hAnsi="Arial Narrow" w:cstheme="majorBidi"/>
                <w:sz w:val="20"/>
              </w:rPr>
              <w:t xml:space="preserve">% in ages 9-12 and </w:t>
            </w:r>
            <w:r w:rsidR="001B1FB6" w:rsidRPr="001B1FB6">
              <w:rPr>
                <w:rFonts w:ascii="Arial Narrow" w:eastAsiaTheme="majorEastAsia" w:hAnsi="Arial Narrow" w:cstheme="majorBidi" w:hint="eastAsia"/>
                <w:color w:val="000000"/>
                <w:w w:val="20"/>
                <w:sz w:val="20"/>
                <w:shd w:val="solid" w:color="000000" w:fill="000000"/>
                <w:fitText w:val="90" w:id="-1432729344"/>
                <w14:textFill>
                  <w14:solidFill>
                    <w14:srgbClr w14:val="000000">
                      <w14:alpha w14:val="100000"/>
                    </w14:srgbClr>
                  </w14:solidFill>
                </w14:textFill>
              </w:rPr>
              <w:t xml:space="preserve">　</w:t>
            </w:r>
            <w:r w:rsidR="001B1FB6" w:rsidRPr="001B1FB6">
              <w:rPr>
                <w:rFonts w:ascii="Arial Narrow" w:eastAsiaTheme="majorEastAsia" w:hAnsi="Arial Narrow" w:cstheme="majorBidi"/>
                <w:color w:val="000000"/>
                <w:w w:val="20"/>
                <w:sz w:val="20"/>
                <w:shd w:val="solid" w:color="000000" w:fill="000000"/>
                <w:fitText w:val="90" w:id="-1432729344"/>
                <w14:textFill>
                  <w14:solidFill>
                    <w14:srgbClr w14:val="000000">
                      <w14:alpha w14:val="100000"/>
                    </w14:srgbClr>
                  </w14:solidFill>
                </w14:textFill>
              </w:rPr>
              <w:t>|</w:t>
            </w:r>
            <w:r w:rsidR="001B1FB6" w:rsidRPr="001B1FB6">
              <w:rPr>
                <w:rFonts w:ascii="Arial Narrow" w:eastAsiaTheme="majorEastAsia" w:hAnsi="Arial Narrow" w:cstheme="majorBidi" w:hint="eastAsia"/>
                <w:color w:val="000000"/>
                <w:w w:val="20"/>
                <w:sz w:val="20"/>
                <w:shd w:val="solid" w:color="000000" w:fill="000000"/>
                <w:fitText w:val="90" w:id="-1432729344"/>
                <w14:textFill>
                  <w14:solidFill>
                    <w14:srgbClr w14:val="000000">
                      <w14:alpha w14:val="100000"/>
                    </w14:srgbClr>
                  </w14:solidFill>
                </w14:textFill>
              </w:rPr>
              <w:t xml:space="preserve">　</w:t>
            </w:r>
            <w:r w:rsidRPr="00DD72AC">
              <w:rPr>
                <w:rFonts w:ascii="Arial Narrow" w:eastAsiaTheme="majorEastAsia" w:hAnsi="Arial Narrow" w:cstheme="majorBidi"/>
                <w:sz w:val="20"/>
              </w:rPr>
              <w:t>% in ages 13-16)</w:t>
            </w:r>
          </w:p>
        </w:tc>
      </w:tr>
      <w:tr w:rsidR="00485FE1" w:rsidRPr="00DD72AC" w14:paraId="4BF72FDB" w14:textId="77777777" w:rsidTr="00A96DD0">
        <w:tc>
          <w:tcPr>
            <w:tcW w:w="1176" w:type="pct"/>
            <w:shd w:val="clear" w:color="auto" w:fill="auto"/>
          </w:tcPr>
          <w:p w14:paraId="1C0CBD3D" w14:textId="0BE7DA6F" w:rsidR="00485FE1" w:rsidRPr="00DD72AC" w:rsidRDefault="00485FE1" w:rsidP="00A96DD0">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 xml:space="preserve">Decrease 50% </w:t>
            </w:r>
            <w:r w:rsidR="00C5773C" w:rsidRPr="00DD72AC">
              <w:rPr>
                <w:rFonts w:ascii="Arial Narrow" w:eastAsiaTheme="majorEastAsia" w:hAnsi="Arial Narrow" w:cstheme="majorBidi"/>
                <w:bCs/>
                <w:sz w:val="20"/>
                <w:vertAlign w:val="superscript"/>
              </w:rPr>
              <w:t>b</w:t>
            </w:r>
          </w:p>
        </w:tc>
        <w:tc>
          <w:tcPr>
            <w:tcW w:w="637" w:type="pct"/>
            <w:shd w:val="clear" w:color="auto" w:fill="auto"/>
            <w:vAlign w:val="center"/>
          </w:tcPr>
          <w:p w14:paraId="2FC493D2" w14:textId="100B6EA2"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6"/>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2</w:t>
            </w:r>
          </w:p>
        </w:tc>
        <w:tc>
          <w:tcPr>
            <w:tcW w:w="637" w:type="pct"/>
            <w:shd w:val="clear" w:color="auto" w:fill="auto"/>
            <w:vAlign w:val="center"/>
          </w:tcPr>
          <w:p w14:paraId="23679DC8" w14:textId="1B16B971"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5"/>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2</w:t>
            </w:r>
          </w:p>
        </w:tc>
        <w:tc>
          <w:tcPr>
            <w:tcW w:w="637" w:type="pct"/>
            <w:shd w:val="clear" w:color="auto" w:fill="auto"/>
            <w:vAlign w:val="center"/>
          </w:tcPr>
          <w:p w14:paraId="591CC7DD" w14:textId="71704196"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4"/>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2</w:t>
            </w:r>
          </w:p>
        </w:tc>
        <w:tc>
          <w:tcPr>
            <w:tcW w:w="637" w:type="pct"/>
            <w:shd w:val="clear" w:color="auto" w:fill="auto"/>
            <w:vAlign w:val="center"/>
          </w:tcPr>
          <w:p w14:paraId="402C4AB1" w14:textId="29323E8E"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3"/>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2</w:t>
            </w:r>
          </w:p>
        </w:tc>
        <w:tc>
          <w:tcPr>
            <w:tcW w:w="637" w:type="pct"/>
            <w:shd w:val="clear" w:color="auto" w:fill="auto"/>
            <w:vAlign w:val="center"/>
          </w:tcPr>
          <w:p w14:paraId="7E3A473B" w14:textId="719EDEBC"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2"/>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9" w:type="pct"/>
            <w:shd w:val="clear" w:color="auto" w:fill="auto"/>
            <w:vAlign w:val="center"/>
          </w:tcPr>
          <w:p w14:paraId="1CCBA7F5" w14:textId="1F0DC91D"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1"/>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r>
      <w:tr w:rsidR="00485FE1" w:rsidRPr="00DD72AC" w14:paraId="0B0E079E" w14:textId="77777777" w:rsidTr="00A96DD0">
        <w:tc>
          <w:tcPr>
            <w:tcW w:w="1176" w:type="pct"/>
            <w:shd w:val="clear" w:color="auto" w:fill="auto"/>
          </w:tcPr>
          <w:p w14:paraId="64F3B3D5" w14:textId="58B37A50" w:rsidR="00485FE1" w:rsidRPr="00DD72AC" w:rsidRDefault="00485FE1" w:rsidP="00A96DD0">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 xml:space="preserve">Decrease 75% </w:t>
            </w:r>
            <w:r w:rsidR="00C5773C" w:rsidRPr="00DD72AC">
              <w:rPr>
                <w:rFonts w:ascii="Arial Narrow" w:eastAsiaTheme="majorEastAsia" w:hAnsi="Arial Narrow" w:cstheme="majorBidi"/>
                <w:bCs/>
                <w:sz w:val="20"/>
                <w:vertAlign w:val="superscript"/>
              </w:rPr>
              <w:t>b</w:t>
            </w:r>
          </w:p>
        </w:tc>
        <w:tc>
          <w:tcPr>
            <w:tcW w:w="637" w:type="pct"/>
            <w:shd w:val="clear" w:color="auto" w:fill="auto"/>
            <w:vAlign w:val="center"/>
          </w:tcPr>
          <w:p w14:paraId="7446D2F5" w14:textId="6B7A2FB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0"/>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3</w:t>
            </w:r>
          </w:p>
        </w:tc>
        <w:tc>
          <w:tcPr>
            <w:tcW w:w="637" w:type="pct"/>
            <w:shd w:val="clear" w:color="auto" w:fill="auto"/>
            <w:vAlign w:val="center"/>
          </w:tcPr>
          <w:p w14:paraId="5C180660" w14:textId="0214730D"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9"/>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3</w:t>
            </w:r>
          </w:p>
        </w:tc>
        <w:tc>
          <w:tcPr>
            <w:tcW w:w="637" w:type="pct"/>
            <w:shd w:val="clear" w:color="auto" w:fill="auto"/>
            <w:vAlign w:val="center"/>
          </w:tcPr>
          <w:p w14:paraId="20B97701" w14:textId="3D5FBDF1"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8"/>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3</w:t>
            </w:r>
          </w:p>
        </w:tc>
        <w:tc>
          <w:tcPr>
            <w:tcW w:w="637" w:type="pct"/>
            <w:shd w:val="clear" w:color="auto" w:fill="auto"/>
            <w:vAlign w:val="center"/>
          </w:tcPr>
          <w:p w14:paraId="06172AF2" w14:textId="63C2BE3D"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7"/>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2</w:t>
            </w:r>
          </w:p>
        </w:tc>
        <w:tc>
          <w:tcPr>
            <w:tcW w:w="637" w:type="pct"/>
            <w:shd w:val="clear" w:color="auto" w:fill="auto"/>
            <w:vAlign w:val="center"/>
          </w:tcPr>
          <w:p w14:paraId="41D747A0" w14:textId="20CA45D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6"/>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2</w:t>
            </w:r>
          </w:p>
        </w:tc>
        <w:tc>
          <w:tcPr>
            <w:tcW w:w="639" w:type="pct"/>
            <w:shd w:val="clear" w:color="auto" w:fill="auto"/>
            <w:vAlign w:val="center"/>
          </w:tcPr>
          <w:p w14:paraId="7AE3AA6D" w14:textId="55A60871"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5"/>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r>
      <w:tr w:rsidR="00485FE1" w:rsidRPr="00DD72AC" w14:paraId="1BEF7CF2" w14:textId="77777777" w:rsidTr="00A96DD0">
        <w:tc>
          <w:tcPr>
            <w:tcW w:w="1176" w:type="pct"/>
            <w:shd w:val="clear" w:color="auto" w:fill="auto"/>
          </w:tcPr>
          <w:p w14:paraId="34470128" w14:textId="4F7D1183" w:rsidR="00485FE1" w:rsidRPr="00DD72AC" w:rsidRDefault="00485FE1" w:rsidP="00A96DD0">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Increase 50%</w:t>
            </w:r>
            <w:r w:rsidR="00C5773C" w:rsidRPr="00DD72AC">
              <w:rPr>
                <w:rFonts w:ascii="Arial Narrow" w:eastAsiaTheme="majorEastAsia" w:hAnsi="Arial Narrow" w:cstheme="majorBidi"/>
                <w:bCs/>
                <w:sz w:val="20"/>
              </w:rPr>
              <w:t xml:space="preserve"> </w:t>
            </w:r>
            <w:r w:rsidR="00C5773C" w:rsidRPr="00DD72AC">
              <w:rPr>
                <w:rFonts w:ascii="Arial Narrow" w:eastAsiaTheme="majorEastAsia" w:hAnsi="Arial Narrow" w:cstheme="majorBidi"/>
                <w:bCs/>
                <w:sz w:val="20"/>
                <w:vertAlign w:val="superscript"/>
              </w:rPr>
              <w:t>b</w:t>
            </w:r>
          </w:p>
        </w:tc>
        <w:tc>
          <w:tcPr>
            <w:tcW w:w="637" w:type="pct"/>
            <w:shd w:val="clear" w:color="auto" w:fill="auto"/>
            <w:vAlign w:val="center"/>
          </w:tcPr>
          <w:p w14:paraId="23041D52" w14:textId="053B84A0"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4"/>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4</w:t>
            </w:r>
          </w:p>
        </w:tc>
        <w:tc>
          <w:tcPr>
            <w:tcW w:w="637" w:type="pct"/>
            <w:shd w:val="clear" w:color="auto" w:fill="auto"/>
            <w:vAlign w:val="center"/>
          </w:tcPr>
          <w:p w14:paraId="6FE598B2" w14:textId="1C518C30"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3"/>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4</w:t>
            </w:r>
          </w:p>
        </w:tc>
        <w:tc>
          <w:tcPr>
            <w:tcW w:w="637" w:type="pct"/>
            <w:shd w:val="clear" w:color="auto" w:fill="auto"/>
            <w:vAlign w:val="center"/>
          </w:tcPr>
          <w:p w14:paraId="561FD08F" w14:textId="25F3F7D1"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2"/>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4</w:t>
            </w:r>
          </w:p>
        </w:tc>
        <w:tc>
          <w:tcPr>
            <w:tcW w:w="637" w:type="pct"/>
            <w:shd w:val="clear" w:color="auto" w:fill="auto"/>
            <w:vAlign w:val="center"/>
          </w:tcPr>
          <w:p w14:paraId="1D90ED5F" w14:textId="6FB5AF0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1"/>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4</w:t>
            </w:r>
          </w:p>
        </w:tc>
        <w:tc>
          <w:tcPr>
            <w:tcW w:w="637" w:type="pct"/>
            <w:shd w:val="clear" w:color="auto" w:fill="auto"/>
            <w:vAlign w:val="center"/>
          </w:tcPr>
          <w:p w14:paraId="5BEF0CCF" w14:textId="751C298F"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0"/>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5</w:t>
            </w:r>
          </w:p>
        </w:tc>
        <w:tc>
          <w:tcPr>
            <w:tcW w:w="639" w:type="pct"/>
            <w:shd w:val="clear" w:color="auto" w:fill="auto"/>
            <w:vAlign w:val="center"/>
          </w:tcPr>
          <w:p w14:paraId="7CCB3CFC" w14:textId="1771EE0A"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6"/>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5</w:t>
            </w:r>
          </w:p>
        </w:tc>
      </w:tr>
      <w:tr w:rsidR="00485FE1" w:rsidRPr="00DD72AC" w14:paraId="6C2D0B2B" w14:textId="77777777" w:rsidTr="00A96DD0">
        <w:tc>
          <w:tcPr>
            <w:tcW w:w="1176" w:type="pct"/>
            <w:shd w:val="clear" w:color="auto" w:fill="auto"/>
          </w:tcPr>
          <w:p w14:paraId="4D990AE2" w14:textId="04A412C8" w:rsidR="00485FE1" w:rsidRPr="00DD72AC" w:rsidRDefault="00485FE1" w:rsidP="00A96DD0">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Increase 75%</w:t>
            </w:r>
            <w:r w:rsidR="00C5773C" w:rsidRPr="00DD72AC">
              <w:rPr>
                <w:rFonts w:ascii="Arial Narrow" w:eastAsiaTheme="majorEastAsia" w:hAnsi="Arial Narrow" w:cstheme="majorBidi"/>
                <w:bCs/>
                <w:sz w:val="20"/>
              </w:rPr>
              <w:t xml:space="preserve"> </w:t>
            </w:r>
            <w:r w:rsidR="00C5773C" w:rsidRPr="00DD72AC">
              <w:rPr>
                <w:rFonts w:ascii="Arial Narrow" w:eastAsiaTheme="majorEastAsia" w:hAnsi="Arial Narrow" w:cstheme="majorBidi"/>
                <w:bCs/>
                <w:sz w:val="20"/>
                <w:vertAlign w:val="superscript"/>
              </w:rPr>
              <w:t>b</w:t>
            </w:r>
          </w:p>
        </w:tc>
        <w:tc>
          <w:tcPr>
            <w:tcW w:w="637" w:type="pct"/>
            <w:shd w:val="clear" w:color="auto" w:fill="auto"/>
            <w:vAlign w:val="center"/>
          </w:tcPr>
          <w:p w14:paraId="03435812" w14:textId="19315CC4"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5"/>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5</w:t>
            </w:r>
          </w:p>
        </w:tc>
        <w:tc>
          <w:tcPr>
            <w:tcW w:w="637" w:type="pct"/>
            <w:shd w:val="clear" w:color="auto" w:fill="auto"/>
            <w:vAlign w:val="center"/>
          </w:tcPr>
          <w:p w14:paraId="49966775" w14:textId="73035DDA"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4"/>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5</w:t>
            </w:r>
          </w:p>
        </w:tc>
        <w:tc>
          <w:tcPr>
            <w:tcW w:w="637" w:type="pct"/>
            <w:shd w:val="clear" w:color="auto" w:fill="auto"/>
            <w:vAlign w:val="center"/>
          </w:tcPr>
          <w:p w14:paraId="2A0BC0D5" w14:textId="7DDA59A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3"/>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5</w:t>
            </w:r>
          </w:p>
        </w:tc>
        <w:tc>
          <w:tcPr>
            <w:tcW w:w="637" w:type="pct"/>
            <w:shd w:val="clear" w:color="auto" w:fill="auto"/>
            <w:vAlign w:val="center"/>
          </w:tcPr>
          <w:p w14:paraId="1FF1873E" w14:textId="3951BA4E"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2"/>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5</w:t>
            </w:r>
          </w:p>
        </w:tc>
        <w:tc>
          <w:tcPr>
            <w:tcW w:w="637" w:type="pct"/>
            <w:shd w:val="clear" w:color="auto" w:fill="auto"/>
            <w:vAlign w:val="center"/>
          </w:tcPr>
          <w:p w14:paraId="0FDE2387" w14:textId="21139F90"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1"/>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5</w:t>
            </w:r>
          </w:p>
        </w:tc>
        <w:tc>
          <w:tcPr>
            <w:tcW w:w="639" w:type="pct"/>
            <w:shd w:val="clear" w:color="auto" w:fill="auto"/>
            <w:vAlign w:val="center"/>
          </w:tcPr>
          <w:p w14:paraId="5805A8E4" w14:textId="132FA9DF"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0"/>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5</w:t>
            </w:r>
          </w:p>
        </w:tc>
      </w:tr>
    </w:tbl>
    <w:p w14:paraId="17125062" w14:textId="77777777"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Source: Table 131, p227 of the submission. </w:t>
      </w:r>
    </w:p>
    <w:p w14:paraId="34A27879" w14:textId="77777777"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MBS = Medicare Benefits Schedule; PBS = Pharmaceutical Benefits Scheme; RPBS = Repatriation Pharmaceutical Benefits Scheme.</w:t>
      </w:r>
    </w:p>
    <w:p w14:paraId="57F48EA0" w14:textId="0253723F"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Notes:</w:t>
      </w:r>
    </w:p>
    <w:p w14:paraId="5C1073B4" w14:textId="77777777"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 25% aged 0, 10% aged 1 and 5% aged 2.</w:t>
      </w:r>
    </w:p>
    <w:p w14:paraId="15E80FAB" w14:textId="7992BAE4" w:rsidR="00C5773C" w:rsidRPr="00DD72AC" w:rsidRDefault="00485FE1" w:rsidP="00485FE1">
      <w:pPr>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b. </w:t>
      </w:r>
      <w:r w:rsidR="00C5773C" w:rsidRPr="00DD72AC">
        <w:rPr>
          <w:rFonts w:ascii="Arial Narrow" w:eastAsia="Times New Roman" w:hAnsi="Arial Narrow"/>
          <w:snapToGrid w:val="0"/>
          <w:sz w:val="18"/>
          <w:szCs w:val="22"/>
        </w:rPr>
        <w:t>Sensitivity analyses conducted during the evaluation</w:t>
      </w:r>
    </w:p>
    <w:p w14:paraId="7E33A996" w14:textId="2F81565C" w:rsidR="00485FE1" w:rsidRPr="00DD72AC" w:rsidRDefault="00C5773C" w:rsidP="00485FE1">
      <w:pPr>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c. </w:t>
      </w:r>
      <w:r w:rsidR="00485FE1" w:rsidRPr="00DD72AC">
        <w:rPr>
          <w:rFonts w:ascii="Arial Narrow" w:eastAsia="Times New Roman" w:hAnsi="Arial Narrow"/>
          <w:snapToGrid w:val="0"/>
          <w:sz w:val="18"/>
          <w:szCs w:val="22"/>
        </w:rPr>
        <w:t>Based on the estimated worldwide achondroplasia birth prevalence reported in Foreman (2020).</w:t>
      </w:r>
    </w:p>
    <w:p w14:paraId="3806B0E5" w14:textId="77777777" w:rsidR="00F949AA" w:rsidRPr="00F949AA" w:rsidRDefault="00F949AA" w:rsidP="00F949AA">
      <w:pPr>
        <w:rPr>
          <w:rFonts w:ascii="Arial Narrow" w:eastAsia="Times New Roman" w:hAnsi="Arial Narrow"/>
          <w:i/>
          <w:iCs/>
          <w:snapToGrid w:val="0"/>
          <w:sz w:val="18"/>
          <w:szCs w:val="22"/>
        </w:rPr>
      </w:pPr>
      <w:r w:rsidRPr="00F949AA">
        <w:rPr>
          <w:rFonts w:ascii="Arial Narrow" w:eastAsia="Times New Roman" w:hAnsi="Arial Narrow"/>
          <w:i/>
          <w:iCs/>
          <w:snapToGrid w:val="0"/>
          <w:sz w:val="18"/>
          <w:szCs w:val="22"/>
        </w:rPr>
        <w:t xml:space="preserve">The redacted values correspond to the following ranges: </w:t>
      </w:r>
    </w:p>
    <w:p w14:paraId="73BD08AC" w14:textId="361DB545" w:rsidR="00F949AA" w:rsidRPr="00F949AA" w:rsidRDefault="00F949AA" w:rsidP="00F949AA">
      <w:pPr>
        <w:rPr>
          <w:rFonts w:ascii="Arial Narrow" w:eastAsia="Times New Roman" w:hAnsi="Arial Narrow"/>
          <w:i/>
          <w:iCs/>
          <w:snapToGrid w:val="0"/>
          <w:sz w:val="18"/>
          <w:szCs w:val="22"/>
        </w:rPr>
      </w:pPr>
      <w:r w:rsidRPr="00F949AA">
        <w:rPr>
          <w:rFonts w:ascii="Arial Narrow" w:eastAsia="Times New Roman" w:hAnsi="Arial Narrow"/>
          <w:i/>
          <w:iCs/>
          <w:snapToGrid w:val="0"/>
          <w:sz w:val="18"/>
          <w:szCs w:val="22"/>
          <w:vertAlign w:val="superscript"/>
        </w:rPr>
        <w:t xml:space="preserve">1 </w:t>
      </w:r>
      <w:r w:rsidRPr="00F949AA">
        <w:rPr>
          <w:rFonts w:ascii="Arial Narrow" w:eastAsia="Times New Roman" w:hAnsi="Arial Narrow"/>
          <w:i/>
          <w:iCs/>
          <w:snapToGrid w:val="0"/>
          <w:sz w:val="18"/>
          <w:szCs w:val="22"/>
        </w:rPr>
        <w:t>$30 million to &lt; $40 million</w:t>
      </w:r>
    </w:p>
    <w:p w14:paraId="36029344" w14:textId="6BD969B7" w:rsidR="00F949AA" w:rsidRPr="00F949AA" w:rsidRDefault="00F949AA" w:rsidP="00F949AA">
      <w:pPr>
        <w:rPr>
          <w:rFonts w:ascii="Arial Narrow" w:eastAsia="Times New Roman" w:hAnsi="Arial Narrow"/>
          <w:i/>
          <w:iCs/>
          <w:snapToGrid w:val="0"/>
          <w:sz w:val="18"/>
          <w:szCs w:val="22"/>
        </w:rPr>
      </w:pPr>
      <w:r w:rsidRPr="00F949AA">
        <w:rPr>
          <w:rFonts w:ascii="Arial Narrow" w:eastAsia="Times New Roman" w:hAnsi="Arial Narrow"/>
          <w:i/>
          <w:iCs/>
          <w:snapToGrid w:val="0"/>
          <w:sz w:val="18"/>
          <w:szCs w:val="22"/>
          <w:vertAlign w:val="superscript"/>
        </w:rPr>
        <w:t xml:space="preserve">2 </w:t>
      </w:r>
      <w:r w:rsidRPr="00F949AA">
        <w:rPr>
          <w:rFonts w:ascii="Arial Narrow" w:eastAsia="Times New Roman" w:hAnsi="Arial Narrow"/>
          <w:i/>
          <w:iCs/>
          <w:snapToGrid w:val="0"/>
          <w:sz w:val="18"/>
          <w:szCs w:val="22"/>
        </w:rPr>
        <w:t>$</w:t>
      </w:r>
      <w:r>
        <w:rPr>
          <w:rFonts w:ascii="Arial Narrow" w:eastAsia="Times New Roman" w:hAnsi="Arial Narrow"/>
          <w:i/>
          <w:iCs/>
          <w:snapToGrid w:val="0"/>
          <w:sz w:val="18"/>
          <w:szCs w:val="22"/>
        </w:rPr>
        <w:t>2</w:t>
      </w:r>
      <w:r w:rsidRPr="00F949AA">
        <w:rPr>
          <w:rFonts w:ascii="Arial Narrow" w:eastAsia="Times New Roman" w:hAnsi="Arial Narrow"/>
          <w:i/>
          <w:iCs/>
          <w:snapToGrid w:val="0"/>
          <w:sz w:val="18"/>
          <w:szCs w:val="22"/>
        </w:rPr>
        <w:t>0 million to &lt; $</w:t>
      </w:r>
      <w:r>
        <w:rPr>
          <w:rFonts w:ascii="Arial Narrow" w:eastAsia="Times New Roman" w:hAnsi="Arial Narrow"/>
          <w:i/>
          <w:iCs/>
          <w:snapToGrid w:val="0"/>
          <w:sz w:val="18"/>
          <w:szCs w:val="22"/>
        </w:rPr>
        <w:t>3</w:t>
      </w:r>
      <w:r w:rsidRPr="00F949AA">
        <w:rPr>
          <w:rFonts w:ascii="Arial Narrow" w:eastAsia="Times New Roman" w:hAnsi="Arial Narrow"/>
          <w:i/>
          <w:iCs/>
          <w:snapToGrid w:val="0"/>
          <w:sz w:val="18"/>
          <w:szCs w:val="22"/>
        </w:rPr>
        <w:t>0 million</w:t>
      </w:r>
    </w:p>
    <w:p w14:paraId="1BD85705" w14:textId="0E969A7C" w:rsidR="00F949AA" w:rsidRPr="00F949AA" w:rsidRDefault="00F949AA" w:rsidP="00F949AA">
      <w:pPr>
        <w:rPr>
          <w:rFonts w:ascii="Arial Narrow" w:eastAsia="Times New Roman" w:hAnsi="Arial Narrow"/>
          <w:i/>
          <w:iCs/>
          <w:snapToGrid w:val="0"/>
          <w:sz w:val="18"/>
          <w:szCs w:val="22"/>
        </w:rPr>
      </w:pPr>
      <w:r w:rsidRPr="00F949AA">
        <w:rPr>
          <w:rFonts w:ascii="Arial Narrow" w:eastAsia="Times New Roman" w:hAnsi="Arial Narrow"/>
          <w:i/>
          <w:iCs/>
          <w:snapToGrid w:val="0"/>
          <w:sz w:val="18"/>
          <w:szCs w:val="22"/>
          <w:vertAlign w:val="superscript"/>
        </w:rPr>
        <w:t>3</w:t>
      </w:r>
      <w:r w:rsidRPr="00F949AA">
        <w:rPr>
          <w:rFonts w:ascii="Arial Narrow" w:eastAsia="Times New Roman" w:hAnsi="Arial Narrow"/>
          <w:i/>
          <w:iCs/>
          <w:snapToGrid w:val="0"/>
          <w:sz w:val="18"/>
          <w:szCs w:val="22"/>
        </w:rPr>
        <w:t xml:space="preserve"> $</w:t>
      </w:r>
      <w:r>
        <w:rPr>
          <w:rFonts w:ascii="Arial Narrow" w:eastAsia="Times New Roman" w:hAnsi="Arial Narrow"/>
          <w:i/>
          <w:iCs/>
          <w:snapToGrid w:val="0"/>
          <w:sz w:val="18"/>
          <w:szCs w:val="22"/>
        </w:rPr>
        <w:t>1</w:t>
      </w:r>
      <w:r w:rsidRPr="00F949AA">
        <w:rPr>
          <w:rFonts w:ascii="Arial Narrow" w:eastAsia="Times New Roman" w:hAnsi="Arial Narrow"/>
          <w:i/>
          <w:iCs/>
          <w:snapToGrid w:val="0"/>
          <w:sz w:val="18"/>
          <w:szCs w:val="22"/>
        </w:rPr>
        <w:t>0 million to &lt; $</w:t>
      </w:r>
      <w:r>
        <w:rPr>
          <w:rFonts w:ascii="Arial Narrow" w:eastAsia="Times New Roman" w:hAnsi="Arial Narrow"/>
          <w:i/>
          <w:iCs/>
          <w:snapToGrid w:val="0"/>
          <w:sz w:val="18"/>
          <w:szCs w:val="22"/>
        </w:rPr>
        <w:t>2</w:t>
      </w:r>
      <w:r w:rsidRPr="00F949AA">
        <w:rPr>
          <w:rFonts w:ascii="Arial Narrow" w:eastAsia="Times New Roman" w:hAnsi="Arial Narrow"/>
          <w:i/>
          <w:iCs/>
          <w:snapToGrid w:val="0"/>
          <w:sz w:val="18"/>
          <w:szCs w:val="22"/>
        </w:rPr>
        <w:t>0 million</w:t>
      </w:r>
    </w:p>
    <w:p w14:paraId="558F20F3" w14:textId="5CED0350" w:rsidR="00F949AA" w:rsidRPr="00F949AA" w:rsidRDefault="00F949AA" w:rsidP="00F949AA">
      <w:pPr>
        <w:rPr>
          <w:rFonts w:ascii="Arial Narrow" w:eastAsia="Times New Roman" w:hAnsi="Arial Narrow"/>
          <w:i/>
          <w:iCs/>
          <w:snapToGrid w:val="0"/>
          <w:sz w:val="18"/>
          <w:szCs w:val="22"/>
        </w:rPr>
      </w:pPr>
      <w:r w:rsidRPr="00F949AA">
        <w:rPr>
          <w:rFonts w:ascii="Arial Narrow" w:eastAsia="Times New Roman" w:hAnsi="Arial Narrow"/>
          <w:i/>
          <w:iCs/>
          <w:snapToGrid w:val="0"/>
          <w:sz w:val="18"/>
          <w:szCs w:val="22"/>
          <w:vertAlign w:val="superscript"/>
        </w:rPr>
        <w:t xml:space="preserve">4 </w:t>
      </w:r>
      <w:r w:rsidRPr="00F949AA">
        <w:rPr>
          <w:rFonts w:ascii="Arial Narrow" w:eastAsia="Times New Roman" w:hAnsi="Arial Narrow"/>
          <w:i/>
          <w:iCs/>
          <w:snapToGrid w:val="0"/>
          <w:sz w:val="18"/>
          <w:szCs w:val="22"/>
        </w:rPr>
        <w:t>$</w:t>
      </w:r>
      <w:r>
        <w:rPr>
          <w:rFonts w:ascii="Arial Narrow" w:eastAsia="Times New Roman" w:hAnsi="Arial Narrow"/>
          <w:i/>
          <w:iCs/>
          <w:snapToGrid w:val="0"/>
          <w:sz w:val="18"/>
          <w:szCs w:val="22"/>
        </w:rPr>
        <w:t>5</w:t>
      </w:r>
      <w:r w:rsidRPr="00F949AA">
        <w:rPr>
          <w:rFonts w:ascii="Arial Narrow" w:eastAsia="Times New Roman" w:hAnsi="Arial Narrow"/>
          <w:i/>
          <w:iCs/>
          <w:snapToGrid w:val="0"/>
          <w:sz w:val="18"/>
          <w:szCs w:val="22"/>
        </w:rPr>
        <w:t>0 million to &lt; $</w:t>
      </w:r>
      <w:r>
        <w:rPr>
          <w:rFonts w:ascii="Arial Narrow" w:eastAsia="Times New Roman" w:hAnsi="Arial Narrow"/>
          <w:i/>
          <w:iCs/>
          <w:snapToGrid w:val="0"/>
          <w:sz w:val="18"/>
          <w:szCs w:val="22"/>
        </w:rPr>
        <w:t>6</w:t>
      </w:r>
      <w:r w:rsidRPr="00F949AA">
        <w:rPr>
          <w:rFonts w:ascii="Arial Narrow" w:eastAsia="Times New Roman" w:hAnsi="Arial Narrow"/>
          <w:i/>
          <w:iCs/>
          <w:snapToGrid w:val="0"/>
          <w:sz w:val="18"/>
          <w:szCs w:val="22"/>
        </w:rPr>
        <w:t>0 million</w:t>
      </w:r>
    </w:p>
    <w:p w14:paraId="6EEFE4B7" w14:textId="1FF78D06" w:rsidR="00F949AA" w:rsidRDefault="00F949AA" w:rsidP="00F949AA">
      <w:pPr>
        <w:rPr>
          <w:rFonts w:ascii="Arial Narrow" w:eastAsia="Times New Roman" w:hAnsi="Arial Narrow"/>
          <w:i/>
          <w:iCs/>
          <w:snapToGrid w:val="0"/>
          <w:sz w:val="18"/>
          <w:szCs w:val="22"/>
        </w:rPr>
      </w:pPr>
      <w:r w:rsidRPr="00F949AA">
        <w:rPr>
          <w:rFonts w:ascii="Arial Narrow" w:eastAsia="Times New Roman" w:hAnsi="Arial Narrow"/>
          <w:i/>
          <w:iCs/>
          <w:snapToGrid w:val="0"/>
          <w:sz w:val="18"/>
          <w:szCs w:val="22"/>
          <w:vertAlign w:val="superscript"/>
        </w:rPr>
        <w:t xml:space="preserve">5 </w:t>
      </w:r>
      <w:r w:rsidRPr="00F949AA">
        <w:rPr>
          <w:rFonts w:ascii="Arial Narrow" w:eastAsia="Times New Roman" w:hAnsi="Arial Narrow"/>
          <w:i/>
          <w:iCs/>
          <w:snapToGrid w:val="0"/>
          <w:sz w:val="18"/>
          <w:szCs w:val="22"/>
        </w:rPr>
        <w:t>$</w:t>
      </w:r>
      <w:r>
        <w:rPr>
          <w:rFonts w:ascii="Arial Narrow" w:eastAsia="Times New Roman" w:hAnsi="Arial Narrow"/>
          <w:i/>
          <w:iCs/>
          <w:snapToGrid w:val="0"/>
          <w:sz w:val="18"/>
          <w:szCs w:val="22"/>
        </w:rPr>
        <w:t>6</w:t>
      </w:r>
      <w:r w:rsidRPr="00F949AA">
        <w:rPr>
          <w:rFonts w:ascii="Arial Narrow" w:eastAsia="Times New Roman" w:hAnsi="Arial Narrow"/>
          <w:i/>
          <w:iCs/>
          <w:snapToGrid w:val="0"/>
          <w:sz w:val="18"/>
          <w:szCs w:val="22"/>
        </w:rPr>
        <w:t>0 million to &lt; $</w:t>
      </w:r>
      <w:r>
        <w:rPr>
          <w:rFonts w:ascii="Arial Narrow" w:eastAsia="Times New Roman" w:hAnsi="Arial Narrow"/>
          <w:i/>
          <w:iCs/>
          <w:snapToGrid w:val="0"/>
          <w:sz w:val="18"/>
          <w:szCs w:val="22"/>
        </w:rPr>
        <w:t>7</w:t>
      </w:r>
      <w:r w:rsidRPr="00F949AA">
        <w:rPr>
          <w:rFonts w:ascii="Arial Narrow" w:eastAsia="Times New Roman" w:hAnsi="Arial Narrow"/>
          <w:i/>
          <w:iCs/>
          <w:snapToGrid w:val="0"/>
          <w:sz w:val="18"/>
          <w:szCs w:val="22"/>
        </w:rPr>
        <w:t>0 million</w:t>
      </w:r>
    </w:p>
    <w:p w14:paraId="2F937CF5" w14:textId="3614A669" w:rsidR="00F949AA" w:rsidRPr="00F949AA" w:rsidRDefault="00F949AA" w:rsidP="00F949AA">
      <w:pPr>
        <w:spacing w:after="240"/>
        <w:rPr>
          <w:rFonts w:ascii="Arial Narrow" w:eastAsia="Times New Roman" w:hAnsi="Arial Narrow"/>
          <w:i/>
          <w:iCs/>
          <w:snapToGrid w:val="0"/>
          <w:sz w:val="18"/>
          <w:szCs w:val="22"/>
        </w:rPr>
      </w:pPr>
      <w:r w:rsidRPr="00F949AA">
        <w:rPr>
          <w:rFonts w:ascii="Arial Narrow" w:eastAsia="Times New Roman" w:hAnsi="Arial Narrow"/>
          <w:i/>
          <w:iCs/>
          <w:snapToGrid w:val="0"/>
          <w:sz w:val="18"/>
          <w:szCs w:val="22"/>
          <w:vertAlign w:val="superscript"/>
        </w:rPr>
        <w:t xml:space="preserve">6 </w:t>
      </w:r>
      <w:r w:rsidRPr="00F949AA">
        <w:rPr>
          <w:rFonts w:ascii="Arial Narrow" w:eastAsia="Times New Roman" w:hAnsi="Arial Narrow"/>
          <w:i/>
          <w:iCs/>
          <w:snapToGrid w:val="0"/>
          <w:sz w:val="18"/>
          <w:szCs w:val="22"/>
        </w:rPr>
        <w:t>$</w:t>
      </w:r>
      <w:r>
        <w:rPr>
          <w:rFonts w:ascii="Arial Narrow" w:eastAsia="Times New Roman" w:hAnsi="Arial Narrow"/>
          <w:i/>
          <w:iCs/>
          <w:snapToGrid w:val="0"/>
          <w:sz w:val="18"/>
          <w:szCs w:val="22"/>
        </w:rPr>
        <w:t>4</w:t>
      </w:r>
      <w:r w:rsidRPr="00F949AA">
        <w:rPr>
          <w:rFonts w:ascii="Arial Narrow" w:eastAsia="Times New Roman" w:hAnsi="Arial Narrow"/>
          <w:i/>
          <w:iCs/>
          <w:snapToGrid w:val="0"/>
          <w:sz w:val="18"/>
          <w:szCs w:val="22"/>
        </w:rPr>
        <w:t>0 million to &lt; $</w:t>
      </w:r>
      <w:r>
        <w:rPr>
          <w:rFonts w:ascii="Arial Narrow" w:eastAsia="Times New Roman" w:hAnsi="Arial Narrow"/>
          <w:i/>
          <w:iCs/>
          <w:snapToGrid w:val="0"/>
          <w:sz w:val="18"/>
          <w:szCs w:val="22"/>
        </w:rPr>
        <w:t>5</w:t>
      </w:r>
      <w:r w:rsidRPr="00F949AA">
        <w:rPr>
          <w:rFonts w:ascii="Arial Narrow" w:eastAsia="Times New Roman" w:hAnsi="Arial Narrow"/>
          <w:i/>
          <w:iCs/>
          <w:snapToGrid w:val="0"/>
          <w:sz w:val="18"/>
          <w:szCs w:val="22"/>
        </w:rPr>
        <w:t>0 million</w:t>
      </w:r>
    </w:p>
    <w:p w14:paraId="210A1AAA" w14:textId="56527A35" w:rsidR="00485FE1" w:rsidRPr="00DD72AC" w:rsidRDefault="00485FE1" w:rsidP="00485FE1">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DUSC consider</w:t>
      </w:r>
      <w:r w:rsidR="00C5773C" w:rsidRPr="00DD72AC">
        <w:rPr>
          <w:rFonts w:asciiTheme="minorHAnsi" w:eastAsia="Times New Roman" w:hAnsiTheme="minorHAnsi"/>
          <w:snapToGrid w:val="0"/>
        </w:rPr>
        <w:t>ed</w:t>
      </w:r>
      <w:r w:rsidRPr="00DD72AC">
        <w:rPr>
          <w:rFonts w:asciiTheme="minorHAnsi" w:eastAsia="Times New Roman" w:hAnsiTheme="minorHAnsi"/>
          <w:snapToGrid w:val="0"/>
        </w:rPr>
        <w:t xml:space="preserve"> the estimates presented in the submission to be overestimated. The main issues are:</w:t>
      </w:r>
    </w:p>
    <w:p w14:paraId="1BADAD66" w14:textId="482A77A3" w:rsidR="00485FE1" w:rsidRPr="00DD72AC" w:rsidRDefault="00485FE1" w:rsidP="000640AD">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t>The clinical trials presented in the submission mainly included patients aged over 5 years (study 111-301) and study 111-206 with results available for patients aged 6 months to less than 5 years for eight sentinel intervention patients only. The number of patients is overestimated given 17% of patients are 0-1 years of age for which there is limited clinical evidence.</w:t>
      </w:r>
      <w:r w:rsidR="000640AD" w:rsidRPr="00DD72AC">
        <w:rPr>
          <w:rFonts w:asciiTheme="minorHAnsi" w:eastAsia="Times New Roman" w:hAnsiTheme="minorHAnsi"/>
          <w:snapToGrid w:val="0"/>
        </w:rPr>
        <w:t xml:space="preserve"> The pre-PBAC response noted the results from Study 111-206 had since been published in a poster (</w:t>
      </w:r>
      <w:proofErr w:type="spellStart"/>
      <w:r w:rsidR="000640AD" w:rsidRPr="00DD72AC">
        <w:rPr>
          <w:rFonts w:asciiTheme="minorHAnsi" w:eastAsia="Times New Roman" w:hAnsiTheme="minorHAnsi"/>
          <w:snapToGrid w:val="0"/>
        </w:rPr>
        <w:t>Savarirayan</w:t>
      </w:r>
      <w:proofErr w:type="spellEnd"/>
      <w:r w:rsidR="000640AD" w:rsidRPr="00DD72AC">
        <w:rPr>
          <w:rFonts w:asciiTheme="minorHAnsi" w:eastAsia="Times New Roman" w:hAnsiTheme="minorHAnsi"/>
          <w:snapToGrid w:val="0"/>
        </w:rPr>
        <w:t xml:space="preserve">, 2022) (see paragraph </w:t>
      </w:r>
      <w:r w:rsidR="000640AD" w:rsidRPr="00DD72AC">
        <w:rPr>
          <w:rFonts w:asciiTheme="minorHAnsi" w:eastAsia="Times New Roman" w:hAnsiTheme="minorHAnsi"/>
          <w:snapToGrid w:val="0"/>
        </w:rPr>
        <w:fldChar w:fldCharType="begin" w:fldLock="1"/>
      </w:r>
      <w:r w:rsidR="000640AD" w:rsidRPr="00DD72AC">
        <w:rPr>
          <w:rFonts w:asciiTheme="minorHAnsi" w:eastAsia="Times New Roman" w:hAnsiTheme="minorHAnsi"/>
          <w:snapToGrid w:val="0"/>
        </w:rPr>
        <w:instrText xml:space="preserve"> REF _Ref109295696 \r \h  \* MERGEFORMAT </w:instrText>
      </w:r>
      <w:r w:rsidR="000640AD" w:rsidRPr="00DD72AC">
        <w:rPr>
          <w:rFonts w:asciiTheme="minorHAnsi" w:eastAsia="Times New Roman" w:hAnsiTheme="minorHAnsi"/>
          <w:snapToGrid w:val="0"/>
        </w:rPr>
      </w:r>
      <w:r w:rsidR="000640AD" w:rsidRPr="00DD72AC">
        <w:rPr>
          <w:rFonts w:asciiTheme="minorHAnsi" w:eastAsia="Times New Roman" w:hAnsiTheme="minorHAnsi"/>
          <w:snapToGrid w:val="0"/>
        </w:rPr>
        <w:fldChar w:fldCharType="separate"/>
      </w:r>
      <w:r w:rsidR="000F61A3" w:rsidRPr="00DD72AC">
        <w:rPr>
          <w:rFonts w:asciiTheme="minorHAnsi" w:eastAsia="Times New Roman" w:hAnsiTheme="minorHAnsi"/>
          <w:snapToGrid w:val="0"/>
        </w:rPr>
        <w:t>6.64</w:t>
      </w:r>
      <w:r w:rsidR="000640AD" w:rsidRPr="00DD72AC">
        <w:rPr>
          <w:rFonts w:asciiTheme="minorHAnsi" w:eastAsia="Times New Roman" w:hAnsiTheme="minorHAnsi"/>
          <w:snapToGrid w:val="0"/>
        </w:rPr>
        <w:fldChar w:fldCharType="end"/>
      </w:r>
      <w:r w:rsidR="000640AD" w:rsidRPr="00DD72AC">
        <w:rPr>
          <w:rFonts w:asciiTheme="minorHAnsi" w:eastAsia="Times New Roman" w:hAnsiTheme="minorHAnsi"/>
          <w:snapToGrid w:val="0"/>
        </w:rPr>
        <w:t xml:space="preserve">). In addition, the pre-PBAC response argued inclusion of patients 0-1 years of age is appropriate for the requested age agnostic listing. Furthermore the pre-PBAC response noted, the exclusion of patients aged less than two years of age is estimated to reduce the financial impact from </w:t>
      </w:r>
      <w:r w:rsidR="00F949AA" w:rsidRPr="00F949AA">
        <w:rPr>
          <w:rFonts w:asciiTheme="minorHAnsi" w:eastAsia="Times New Roman" w:hAnsiTheme="minorHAnsi"/>
          <w:snapToGrid w:val="0"/>
        </w:rPr>
        <w:t>$30 million to &lt; $40 million</w:t>
      </w:r>
      <w:r w:rsidR="00F949AA" w:rsidRPr="00F949AA" w:rsidDel="00F949AA">
        <w:rPr>
          <w:rFonts w:asciiTheme="minorHAnsi" w:eastAsia="Times New Roman" w:hAnsiTheme="minorHAnsi"/>
          <w:snapToGrid w:val="0"/>
        </w:rPr>
        <w:t xml:space="preserve"> </w:t>
      </w:r>
      <w:r w:rsidR="000640AD" w:rsidRPr="00DD72AC">
        <w:rPr>
          <w:rFonts w:asciiTheme="minorHAnsi" w:eastAsia="Times New Roman" w:hAnsiTheme="minorHAnsi"/>
          <w:snapToGrid w:val="0"/>
        </w:rPr>
        <w:t xml:space="preserve">to </w:t>
      </w:r>
      <w:r w:rsidR="00F949AA" w:rsidRPr="00F949AA">
        <w:rPr>
          <w:rFonts w:asciiTheme="minorHAnsi" w:eastAsia="Times New Roman" w:hAnsiTheme="minorHAnsi"/>
          <w:snapToGrid w:val="0"/>
        </w:rPr>
        <w:t>$20 million to &lt; $30 million</w:t>
      </w:r>
      <w:r w:rsidR="00F949AA" w:rsidRPr="00F949AA" w:rsidDel="00F949AA">
        <w:rPr>
          <w:rFonts w:asciiTheme="minorHAnsi" w:eastAsia="Times New Roman" w:hAnsiTheme="minorHAnsi"/>
          <w:snapToGrid w:val="0"/>
        </w:rPr>
        <w:t xml:space="preserve"> </w:t>
      </w:r>
      <w:r w:rsidR="000640AD" w:rsidRPr="00DD72AC">
        <w:rPr>
          <w:rFonts w:asciiTheme="minorHAnsi" w:eastAsia="Times New Roman" w:hAnsiTheme="minorHAnsi"/>
          <w:snapToGrid w:val="0"/>
        </w:rPr>
        <w:t xml:space="preserve">in Year 1, and from </w:t>
      </w:r>
      <w:r w:rsidR="00F949AA" w:rsidRPr="00F949AA">
        <w:rPr>
          <w:rFonts w:asciiTheme="minorHAnsi" w:eastAsia="Times New Roman" w:hAnsiTheme="minorHAnsi"/>
          <w:snapToGrid w:val="0"/>
        </w:rPr>
        <w:t>$40 million to &lt; $50 million</w:t>
      </w:r>
      <w:r w:rsidR="00F949AA" w:rsidRPr="00F949AA" w:rsidDel="00F949AA">
        <w:rPr>
          <w:rFonts w:asciiTheme="minorHAnsi" w:eastAsia="Times New Roman" w:hAnsiTheme="minorHAnsi"/>
          <w:snapToGrid w:val="0"/>
        </w:rPr>
        <w:t xml:space="preserve"> </w:t>
      </w:r>
      <w:r w:rsidR="000640AD" w:rsidRPr="00DD72AC">
        <w:rPr>
          <w:rFonts w:asciiTheme="minorHAnsi" w:eastAsia="Times New Roman" w:hAnsiTheme="minorHAnsi"/>
          <w:snapToGrid w:val="0"/>
        </w:rPr>
        <w:t xml:space="preserve">to </w:t>
      </w:r>
      <w:r w:rsidR="00F949AA" w:rsidRPr="00F949AA">
        <w:rPr>
          <w:rFonts w:asciiTheme="minorHAnsi" w:eastAsia="Times New Roman" w:hAnsiTheme="minorHAnsi"/>
          <w:snapToGrid w:val="0"/>
        </w:rPr>
        <w:t>$40 million to &lt; $50 million</w:t>
      </w:r>
      <w:r w:rsidR="00F949AA" w:rsidRPr="00F949AA" w:rsidDel="00F949AA">
        <w:rPr>
          <w:rFonts w:asciiTheme="minorHAnsi" w:eastAsia="Times New Roman" w:hAnsiTheme="minorHAnsi"/>
          <w:snapToGrid w:val="0"/>
        </w:rPr>
        <w:t xml:space="preserve"> </w:t>
      </w:r>
      <w:r w:rsidR="000640AD" w:rsidRPr="00DD72AC">
        <w:rPr>
          <w:rFonts w:asciiTheme="minorHAnsi" w:eastAsia="Times New Roman" w:hAnsiTheme="minorHAnsi"/>
          <w:snapToGrid w:val="0"/>
        </w:rPr>
        <w:t>in Year 6.</w:t>
      </w:r>
    </w:p>
    <w:p w14:paraId="70E1DA06" w14:textId="77777777" w:rsidR="00485FE1" w:rsidRPr="00DD72AC" w:rsidRDefault="00485FE1" w:rsidP="00485FE1">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lastRenderedPageBreak/>
        <w:t>Uptake rates are uncertain and may be underestimated, especially for grandfathered patients without a clear indication to not continue therapy, and for untreated patients for which there is no alternative treatment.</w:t>
      </w:r>
    </w:p>
    <w:p w14:paraId="23760C52" w14:textId="77777777" w:rsidR="00485FE1" w:rsidRPr="00DD72AC" w:rsidRDefault="00485FE1" w:rsidP="00485FE1">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t>Assuming a compliance level of 98.8% is a likely overestimate for this chronic treatment.</w:t>
      </w:r>
    </w:p>
    <w:p w14:paraId="59B8C929" w14:textId="77777777" w:rsidR="00485FE1" w:rsidRPr="00DD72AC" w:rsidRDefault="00485FE1" w:rsidP="00485FE1">
      <w:pPr>
        <w:rPr>
          <w:rFonts w:ascii="Arial Narrow" w:eastAsia="Times New Roman" w:hAnsi="Arial Narrow"/>
          <w:i/>
          <w:iCs/>
          <w:snapToGrid w:val="0"/>
          <w:sz w:val="18"/>
          <w:szCs w:val="22"/>
        </w:rPr>
      </w:pPr>
    </w:p>
    <w:p w14:paraId="439E0520" w14:textId="382479D1" w:rsidR="00BD42E3" w:rsidRPr="00DD72AC" w:rsidRDefault="00BD42E3" w:rsidP="00FC2E66">
      <w:pPr>
        <w:pStyle w:val="4-SubsectionHeading"/>
      </w:pPr>
      <w:r w:rsidRPr="00DD72AC">
        <w:t>Quality Use of Medicines</w:t>
      </w:r>
      <w:bookmarkEnd w:id="71"/>
      <w:bookmarkEnd w:id="72"/>
    </w:p>
    <w:p w14:paraId="5CE55160" w14:textId="203C7E62" w:rsidR="00714A0A" w:rsidRPr="00DD72AC" w:rsidRDefault="00BD42E3" w:rsidP="000640AD">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The submission did not present a quality use of medicines section. Patients</w:t>
      </w:r>
      <w:r w:rsidR="00B9408C" w:rsidRPr="00DD72AC">
        <w:rPr>
          <w:rFonts w:asciiTheme="minorHAnsi" w:eastAsia="Times New Roman" w:hAnsiTheme="minorHAnsi"/>
          <w:snapToGrid w:val="0"/>
        </w:rPr>
        <w:t xml:space="preserve"> are</w:t>
      </w:r>
      <w:r w:rsidRPr="00DD72AC">
        <w:rPr>
          <w:rFonts w:asciiTheme="minorHAnsi" w:eastAsia="Times New Roman" w:hAnsiTheme="minorHAnsi"/>
          <w:snapToGrid w:val="0"/>
        </w:rPr>
        <w:t xml:space="preserve"> already under regular specialist oversight. The proposal to utilise nurse practitioners to prescribe this medicine to continuing and grandfathered patients may pose quality use of medicine issues with regards to training which has not been discussed.</w:t>
      </w:r>
      <w:r w:rsidRPr="00DD72AC">
        <w:t xml:space="preserve"> </w:t>
      </w:r>
      <w:r w:rsidR="00714A0A" w:rsidRPr="00DD72AC">
        <w:rPr>
          <w:rFonts w:asciiTheme="minorHAnsi" w:eastAsia="Times New Roman" w:hAnsiTheme="minorHAnsi"/>
          <w:snapToGrid w:val="0"/>
        </w:rPr>
        <w:t xml:space="preserve">DUSC considered the lack of any planned training for prescribers or carers administering vosoritide to be </w:t>
      </w:r>
      <w:r w:rsidR="00A15811" w:rsidRPr="00DD72AC">
        <w:rPr>
          <w:rFonts w:asciiTheme="minorHAnsi" w:eastAsia="Times New Roman" w:hAnsiTheme="minorHAnsi"/>
          <w:snapToGrid w:val="0"/>
        </w:rPr>
        <w:t>a concern</w:t>
      </w:r>
      <w:r w:rsidR="00714A0A" w:rsidRPr="00DD72AC">
        <w:rPr>
          <w:rFonts w:asciiTheme="minorHAnsi" w:eastAsia="Times New Roman" w:hAnsiTheme="minorHAnsi"/>
          <w:snapToGrid w:val="0"/>
        </w:rPr>
        <w:t xml:space="preserve"> given that the proposed vials for administration have different concentrations. DUSC considered that a training program should be devised and implemented if the medication was recommended by PBAC. </w:t>
      </w:r>
      <w:r w:rsidR="00E27B1E" w:rsidRPr="00DD72AC">
        <w:rPr>
          <w:rFonts w:asciiTheme="minorHAnsi" w:eastAsia="Times New Roman" w:hAnsiTheme="minorHAnsi"/>
          <w:snapToGrid w:val="0"/>
        </w:rPr>
        <w:t>The pre-PBAC response stated the sponsor would</w:t>
      </w:r>
      <w:r w:rsidR="00E27B1E" w:rsidRPr="00DD72AC">
        <w:t xml:space="preserve"> provide educational material for doctors and nurses and a comprehensive patient support program to support quality use of vosoritide, including components such as demonstration injection kits, written and online dosage and administration instructional guides, and a smartphone app to support caregivers to administer injections safely and effectively.</w:t>
      </w:r>
    </w:p>
    <w:p w14:paraId="08B1DCF6" w14:textId="59923794" w:rsidR="00BD42E3" w:rsidRPr="00DD72AC" w:rsidRDefault="00BD42E3" w:rsidP="00FC2E66">
      <w:pPr>
        <w:pStyle w:val="4-SubsectionHeading"/>
      </w:pPr>
      <w:bookmarkStart w:id="79" w:name="_Toc22897649"/>
      <w:bookmarkStart w:id="80" w:name="_Toc103776189"/>
      <w:r w:rsidRPr="00DD72AC">
        <w:t>Financial Management – Risk Sharing Arrangements</w:t>
      </w:r>
      <w:bookmarkEnd w:id="79"/>
      <w:bookmarkEnd w:id="80"/>
    </w:p>
    <w:p w14:paraId="2A767BA5" w14:textId="5A48BF12" w:rsidR="00BD42E3" w:rsidRPr="00DD72AC" w:rsidRDefault="00BD42E3" w:rsidP="00EB6AD4">
      <w:pPr>
        <w:numPr>
          <w:ilvl w:val="1"/>
          <w:numId w:val="1"/>
        </w:numPr>
        <w:spacing w:after="120"/>
        <w:rPr>
          <w:rFonts w:asciiTheme="minorHAnsi" w:eastAsia="Times New Roman" w:hAnsiTheme="minorHAnsi"/>
          <w:i/>
          <w:iCs/>
          <w:snapToGrid w:val="0"/>
          <w:color w:val="0066FF"/>
        </w:rPr>
      </w:pPr>
      <w:r w:rsidRPr="00DD72AC">
        <w:rPr>
          <w:rFonts w:asciiTheme="minorHAnsi" w:eastAsia="Times New Roman" w:hAnsiTheme="minorHAnsi"/>
          <w:snapToGrid w:val="0"/>
        </w:rPr>
        <w:t xml:space="preserve">The submission indicated that given the uncertainty associated with estimated uptake of vosoritide as demonstrated by the sensitivity analyses, the sponsor is amenable to discussing appropriate risk-sharing arrangements to manage any relevant uncertainties and ensure vosoritide can be included on the PBS in a cost-effective manner. </w:t>
      </w:r>
    </w:p>
    <w:p w14:paraId="0AA2066F" w14:textId="77777777" w:rsidR="00212469" w:rsidRPr="00DD72AC" w:rsidRDefault="00212469" w:rsidP="00212469">
      <w:pPr>
        <w:spacing w:after="120"/>
        <w:ind w:left="720"/>
        <w:rPr>
          <w:rFonts w:asciiTheme="minorHAnsi" w:eastAsia="Times New Roman" w:hAnsiTheme="minorHAnsi"/>
          <w:i/>
          <w:iCs/>
          <w:snapToGrid w:val="0"/>
        </w:rPr>
      </w:pPr>
      <w:r w:rsidRPr="00DD72AC">
        <w:rPr>
          <w:rFonts w:asciiTheme="minorHAnsi" w:eastAsia="Times New Roman" w:hAnsiTheme="minorHAnsi"/>
          <w:i/>
          <w:iCs/>
          <w:snapToGrid w:val="0"/>
        </w:rPr>
        <w:t>For more detail on PBAC’s view, see section 7 PBAC outcome.</w:t>
      </w:r>
    </w:p>
    <w:p w14:paraId="37A33A4C" w14:textId="77777777" w:rsidR="00714A0A" w:rsidRPr="00DD72AC" w:rsidRDefault="00714A0A" w:rsidP="007A3EF7">
      <w:pPr>
        <w:pStyle w:val="2-SectionHeading"/>
      </w:pPr>
      <w:r w:rsidRPr="00DD72AC">
        <w:t>PBAC Outcome</w:t>
      </w:r>
    </w:p>
    <w:p w14:paraId="6D0C2A25" w14:textId="087E2235" w:rsidR="00D90FF5" w:rsidRPr="00DD72AC" w:rsidRDefault="00D90FF5" w:rsidP="00D90FF5">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PBAC did not recommended vosoritide for the treatment of patients with achondroplasia whose epiphyses are not closed. </w:t>
      </w:r>
      <w:r w:rsidR="00B27127" w:rsidRPr="00DD72AC">
        <w:t xml:space="preserve">The PBAC recognised that there are no treatments on the PBS available specifically for this condition, and it considered that the addition of vosoritide offered high added therapeutic value. </w:t>
      </w:r>
      <w:r w:rsidRPr="00DD72AC">
        <w:rPr>
          <w:rFonts w:asciiTheme="minorHAnsi" w:eastAsia="Times New Roman" w:hAnsiTheme="minorHAnsi"/>
          <w:snapToGrid w:val="0"/>
        </w:rPr>
        <w:t>The PBAC considered that the claim of superior efficacy compared to placebo was well-supported in 5 to &lt;18 year old children</w:t>
      </w:r>
      <w:r w:rsidR="00FC393B" w:rsidRPr="00DD72AC">
        <w:rPr>
          <w:rFonts w:asciiTheme="minorHAnsi" w:eastAsia="Times New Roman" w:hAnsiTheme="minorHAnsi"/>
          <w:snapToGrid w:val="0"/>
        </w:rPr>
        <w:t xml:space="preserve"> </w:t>
      </w:r>
      <w:r w:rsidR="00FC393B" w:rsidRPr="00DD72AC">
        <w:rPr>
          <w:rFonts w:eastAsia="Calibri"/>
        </w:rPr>
        <w:t>and uncertain but likely reasonable in children under 5 years old</w:t>
      </w:r>
      <w:r w:rsidRPr="00DD72AC">
        <w:rPr>
          <w:rFonts w:asciiTheme="minorHAnsi" w:eastAsia="Times New Roman" w:hAnsiTheme="minorHAnsi"/>
          <w:snapToGrid w:val="0"/>
        </w:rPr>
        <w:t xml:space="preserve">. The PBAC considered that the safety of vosoritide was inferior to placebo. The PBAC considered the </w:t>
      </w:r>
      <w:r w:rsidR="00654127" w:rsidRPr="00DD72AC">
        <w:t>incremental cost effectiveness ratio (</w:t>
      </w:r>
      <w:r w:rsidRPr="00DD72AC">
        <w:rPr>
          <w:rFonts w:asciiTheme="minorHAnsi" w:eastAsia="Times New Roman" w:hAnsiTheme="minorHAnsi"/>
          <w:snapToGrid w:val="0"/>
        </w:rPr>
        <w:t>ICER</w:t>
      </w:r>
      <w:r w:rsidR="00654127" w:rsidRPr="00DD72AC">
        <w:rPr>
          <w:rFonts w:asciiTheme="minorHAnsi" w:eastAsia="Times New Roman" w:hAnsiTheme="minorHAnsi"/>
          <w:snapToGrid w:val="0"/>
        </w:rPr>
        <w:t>)</w:t>
      </w:r>
      <w:r w:rsidRPr="00DD72AC">
        <w:rPr>
          <w:rFonts w:asciiTheme="minorHAnsi" w:eastAsia="Times New Roman" w:hAnsiTheme="minorHAnsi"/>
          <w:snapToGrid w:val="0"/>
        </w:rPr>
        <w:t xml:space="preserve"> in this </w:t>
      </w:r>
      <w:bookmarkStart w:id="81" w:name="_Hlk109224085"/>
      <w:r w:rsidRPr="00DD72AC">
        <w:rPr>
          <w:rFonts w:asciiTheme="minorHAnsi" w:eastAsia="Times New Roman" w:hAnsiTheme="minorHAnsi"/>
          <w:snapToGrid w:val="0"/>
        </w:rPr>
        <w:t xml:space="preserve">setting was unacceptably high at the proposed price, even in the context of relatively </w:t>
      </w:r>
      <w:r w:rsidRPr="00DD72AC">
        <w:rPr>
          <w:rFonts w:asciiTheme="minorHAnsi" w:eastAsia="Times New Roman" w:hAnsiTheme="minorHAnsi"/>
          <w:snapToGrid w:val="0"/>
        </w:rPr>
        <w:lastRenderedPageBreak/>
        <w:t>rare diseases.</w:t>
      </w:r>
      <w:bookmarkEnd w:id="81"/>
      <w:r w:rsidRPr="00DD72AC">
        <w:rPr>
          <w:rFonts w:asciiTheme="minorHAnsi" w:eastAsia="Times New Roman" w:hAnsiTheme="minorHAnsi"/>
          <w:snapToGrid w:val="0"/>
        </w:rPr>
        <w:t xml:space="preserve"> The PBAC considered that a price reduction would be required to achieve a cost-effective listing.</w:t>
      </w:r>
    </w:p>
    <w:p w14:paraId="1D918072" w14:textId="1F10A21E" w:rsidR="00456546" w:rsidRPr="00DD72AC" w:rsidRDefault="00AE0D3E" w:rsidP="00F673D3">
      <w:pPr>
        <w:numPr>
          <w:ilvl w:val="1"/>
          <w:numId w:val="1"/>
        </w:numPr>
        <w:spacing w:after="120"/>
        <w:rPr>
          <w:rFonts w:asciiTheme="minorHAnsi" w:eastAsia="Times New Roman" w:hAnsiTheme="minorHAnsi"/>
          <w:snapToGrid w:val="0"/>
        </w:rPr>
      </w:pPr>
      <w:r w:rsidRPr="00DD72AC">
        <w:t xml:space="preserve">The PBAC noted the input from individuals and health care professionals highlighting the impact </w:t>
      </w:r>
      <w:r w:rsidRPr="00DD72AC">
        <w:rPr>
          <w:rFonts w:asciiTheme="minorHAnsi" w:hAnsiTheme="minorHAnsi"/>
          <w:bCs/>
          <w:snapToGrid w:val="0"/>
        </w:rPr>
        <w:t xml:space="preserve">of </w:t>
      </w:r>
      <w:r w:rsidR="00F673D3" w:rsidRPr="00DD72AC">
        <w:rPr>
          <w:rFonts w:asciiTheme="minorHAnsi" w:hAnsiTheme="minorHAnsi"/>
          <w:bCs/>
          <w:snapToGrid w:val="0"/>
        </w:rPr>
        <w:t>an</w:t>
      </w:r>
      <w:r w:rsidRPr="00DD72AC">
        <w:rPr>
          <w:rFonts w:asciiTheme="minorHAnsi" w:hAnsiTheme="minorHAnsi"/>
          <w:bCs/>
          <w:snapToGrid w:val="0"/>
        </w:rPr>
        <w:t xml:space="preserve"> increase in final height in terms of accessing environment, improved functionality and exercise tolerance along with the potential for reduced pain and medical complications. </w:t>
      </w:r>
      <w:r w:rsidR="00F673D3" w:rsidRPr="00DD72AC">
        <w:rPr>
          <w:rFonts w:asciiTheme="minorHAnsi" w:eastAsia="Times New Roman" w:hAnsiTheme="minorHAnsi"/>
          <w:snapToGrid w:val="0"/>
        </w:rPr>
        <w:t>The PBAC</w:t>
      </w:r>
      <w:r w:rsidRPr="00DD72AC">
        <w:t xml:space="preserve"> acknowledged there are currently no treatment options available to patients</w:t>
      </w:r>
      <w:r w:rsidR="00F673D3" w:rsidRPr="00DD72AC">
        <w:t>.</w:t>
      </w:r>
    </w:p>
    <w:p w14:paraId="60B97602" w14:textId="77777777" w:rsidR="00F673D3" w:rsidRPr="00DD72AC" w:rsidRDefault="00F673D3" w:rsidP="00F673D3">
      <w:pPr>
        <w:numPr>
          <w:ilvl w:val="1"/>
          <w:numId w:val="1"/>
        </w:numPr>
        <w:spacing w:after="120"/>
        <w:rPr>
          <w:rFonts w:asciiTheme="minorHAnsi" w:eastAsia="Times New Roman" w:hAnsiTheme="minorHAnsi"/>
          <w:snapToGrid w:val="0"/>
        </w:rPr>
      </w:pPr>
      <w:r w:rsidRPr="00DD72AC">
        <w:t>The PBAC considered best supportive care (BSC) is an appropriate comparator given there are no other treatments available.</w:t>
      </w:r>
    </w:p>
    <w:p w14:paraId="1723039A" w14:textId="76F997FD" w:rsidR="005C2D31" w:rsidRPr="00DD72AC" w:rsidRDefault="00456546" w:rsidP="00F673D3">
      <w:pPr>
        <w:numPr>
          <w:ilvl w:val="1"/>
          <w:numId w:val="1"/>
        </w:numPr>
        <w:spacing w:after="120"/>
      </w:pPr>
      <w:r w:rsidRPr="00DD72AC">
        <w:t>The submission was based on two placebo-controlled randomised trials of one year duration (Studies 111-301 [n=121] and 111-206 [n=75</w:t>
      </w:r>
      <w:r w:rsidR="00F673D3" w:rsidRPr="00DD72AC">
        <w:t>])</w:t>
      </w:r>
      <w:r w:rsidRPr="00DD72AC">
        <w:t xml:space="preserve">, and one open-label extension study (Study 111-302 [n=119]). </w:t>
      </w:r>
      <w:r w:rsidR="00EA3C64" w:rsidRPr="00DD72AC">
        <w:t xml:space="preserve">Studies 111-301 and 111-302 provided data on children aged 5 to &lt;18 years with Study 111-206 undertaken in children 0 to &lt; 5 years. The PBAC </w:t>
      </w:r>
      <w:r w:rsidR="005C2D31" w:rsidRPr="00DD72AC">
        <w:t xml:space="preserve">considered that data for Study 111-206 were limited, noting it included only eight sentinel intervention subjects in the </w:t>
      </w:r>
      <w:r w:rsidR="00BB08C1" w:rsidRPr="00DD72AC">
        <w:t xml:space="preserve">initial </w:t>
      </w:r>
      <w:r w:rsidR="005C2D31" w:rsidRPr="00DD72AC">
        <w:t xml:space="preserve">submission, with updated data from the randomised treatment arms provided in the Pre-Sub-Committee (unpublished) and pre-PBAC response (published in a poster). </w:t>
      </w:r>
    </w:p>
    <w:p w14:paraId="18403325" w14:textId="7E9A82F0" w:rsidR="00D12CF5" w:rsidRPr="00DD72AC" w:rsidRDefault="00456546" w:rsidP="00D12CF5">
      <w:pPr>
        <w:pStyle w:val="3-BodyText"/>
        <w:rPr>
          <w:rFonts w:eastAsia="Calibri"/>
        </w:rPr>
      </w:pPr>
      <w:r w:rsidRPr="00DD72AC">
        <w:t xml:space="preserve">Change from baseline in annual </w:t>
      </w:r>
      <w:r w:rsidR="004B2F29" w:rsidRPr="00DD72AC">
        <w:t>g</w:t>
      </w:r>
      <w:r w:rsidRPr="00DD72AC">
        <w:t xml:space="preserve">rowth </w:t>
      </w:r>
      <w:r w:rsidR="004B2F29" w:rsidRPr="00DD72AC">
        <w:t>v</w:t>
      </w:r>
      <w:r w:rsidRPr="00DD72AC">
        <w:t xml:space="preserve">elocity (AGV) was the primary outcome of </w:t>
      </w:r>
      <w:r w:rsidR="00B4505A" w:rsidRPr="00DD72AC">
        <w:t>S</w:t>
      </w:r>
      <w:r w:rsidRPr="00DD72AC">
        <w:t>tudy 111-301 pertaining to patients aged 5 to &lt;18 years</w:t>
      </w:r>
      <w:r w:rsidR="00167CEF" w:rsidRPr="00DD72AC">
        <w:t xml:space="preserve"> with </w:t>
      </w:r>
      <w:r w:rsidR="00B4505A" w:rsidRPr="00DD72AC">
        <w:t xml:space="preserve">change from baseline in height Z-score the key secondary outcome. The PBAC noted </w:t>
      </w:r>
      <w:r w:rsidR="00167CEF" w:rsidRPr="00DD72AC">
        <w:t>that vosoritide resulted in a statistically significant improvement in AGV vs. placebo (</w:t>
      </w:r>
      <w:r w:rsidR="00023D10" w:rsidRPr="00DD72AC">
        <w:t xml:space="preserve">difference in least squares mean change from baseline: </w:t>
      </w:r>
      <w:r w:rsidR="00167CEF" w:rsidRPr="00DD72AC">
        <w:t>1.57 cm/year [95% CI: 1.22, 1.93)</w:t>
      </w:r>
      <w:r w:rsidR="00B4505A" w:rsidRPr="00DD72AC">
        <w:t xml:space="preserve"> </w:t>
      </w:r>
      <w:r w:rsidR="00167CEF" w:rsidRPr="00DD72AC">
        <w:t>and height Z-score (</w:t>
      </w:r>
      <w:r w:rsidR="00023D10" w:rsidRPr="00DD72AC">
        <w:t xml:space="preserve">difference in least squares mean </w:t>
      </w:r>
      <w:r w:rsidR="00167CEF" w:rsidRPr="00DD72AC">
        <w:t xml:space="preserve">+0.28 [95% CI: 0.17, 0.39]). </w:t>
      </w:r>
      <w:r w:rsidR="001D2F76" w:rsidRPr="00DD72AC">
        <w:t xml:space="preserve">The PBAC considered that the AGV of 1.41 cm at 104 weeks follow up reported in the </w:t>
      </w:r>
      <w:r w:rsidR="00BB08C1" w:rsidRPr="00DD72AC">
        <w:t xml:space="preserve">Study 111-301 </w:t>
      </w:r>
      <w:r w:rsidR="001D2F76" w:rsidRPr="00DD72AC">
        <w:t xml:space="preserve">extension </w:t>
      </w:r>
      <w:r w:rsidR="00BB08C1" w:rsidRPr="00DD72AC">
        <w:t>study (</w:t>
      </w:r>
      <w:r w:rsidR="001D2F76" w:rsidRPr="00DD72AC">
        <w:t>Study 111-302</w:t>
      </w:r>
      <w:r w:rsidR="00BB08C1" w:rsidRPr="00DD72AC">
        <w:t>)</w:t>
      </w:r>
      <w:r w:rsidR="001D2F76" w:rsidRPr="00DD72AC">
        <w:t xml:space="preserve"> suggested a similar treatment effect with vosoritide in the second year in the 5 to &lt;18 year age group. </w:t>
      </w:r>
      <w:r w:rsidR="00E2676E" w:rsidRPr="00DD72AC">
        <w:t>Acknowledging the limited available data for Study 111-206, t</w:t>
      </w:r>
      <w:r w:rsidR="00A52F04" w:rsidRPr="00DD72AC">
        <w:t xml:space="preserve">he PBAC noted the difference in least squares change from baseline in AGV was 0.92 cm/year (95% CI: 0.24, 1.59) for patients aged 0 to &lt;5 years. The </w:t>
      </w:r>
      <w:r w:rsidR="00B33170" w:rsidRPr="00DD72AC">
        <w:t xml:space="preserve">PBAC also </w:t>
      </w:r>
      <w:r w:rsidR="00A52F04" w:rsidRPr="00DD72AC">
        <w:t xml:space="preserve">noted that the difference in least squares mean change from baseline in z score </w:t>
      </w:r>
      <w:r w:rsidR="00B33170" w:rsidRPr="00DD72AC">
        <w:t>was</w:t>
      </w:r>
      <w:r w:rsidR="00A52F04" w:rsidRPr="00DD72AC">
        <w:t xml:space="preserve"> </w:t>
      </w:r>
      <w:r w:rsidR="00B33170" w:rsidRPr="00DD72AC">
        <w:t>+</w:t>
      </w:r>
      <w:r w:rsidR="00A52F04" w:rsidRPr="00DD72AC">
        <w:t>0.30</w:t>
      </w:r>
      <w:r w:rsidR="00B33170" w:rsidRPr="00DD72AC">
        <w:t xml:space="preserve"> (</w:t>
      </w:r>
      <w:r w:rsidR="00A52F04" w:rsidRPr="00DD72AC">
        <w:t>95% CI: 0.07, 0.54</w:t>
      </w:r>
      <w:r w:rsidR="00B33170" w:rsidRPr="00DD72AC">
        <w:t xml:space="preserve">) for Study 111-206. </w:t>
      </w:r>
      <w:r w:rsidR="00E2676E" w:rsidRPr="00DD72AC">
        <w:t xml:space="preserve">Overall, the PBAC </w:t>
      </w:r>
      <w:r w:rsidR="00E2676E" w:rsidRPr="00DD72AC">
        <w:rPr>
          <w:rFonts w:eastAsia="Calibri"/>
        </w:rPr>
        <w:t xml:space="preserve">considered that on the basis of improved height outcomes, the claim of superior comparative effectiveness was reasonable in 5 to &lt;18 year old children and uncertain but likely reasonable in children under 5 years old. However, the PBAC agreed </w:t>
      </w:r>
      <w:r w:rsidR="00DE7C37" w:rsidRPr="00DD72AC">
        <w:rPr>
          <w:rFonts w:eastAsia="Calibri"/>
        </w:rPr>
        <w:t xml:space="preserve">with the ESC </w:t>
      </w:r>
      <w:r w:rsidR="00D12CF5" w:rsidRPr="00DD72AC">
        <w:rPr>
          <w:rFonts w:eastAsia="Calibri"/>
        </w:rPr>
        <w:t>that the translation of the height benefits observed</w:t>
      </w:r>
      <w:r w:rsidR="00221C00" w:rsidRPr="00DD72AC">
        <w:rPr>
          <w:rFonts w:eastAsia="Calibri"/>
        </w:rPr>
        <w:t xml:space="preserve"> with vosoritide</w:t>
      </w:r>
      <w:r w:rsidR="00D12CF5" w:rsidRPr="00DD72AC">
        <w:rPr>
          <w:rFonts w:eastAsia="Calibri"/>
        </w:rPr>
        <w:t xml:space="preserve"> into other health benefits </w:t>
      </w:r>
      <w:r w:rsidR="00221C00" w:rsidRPr="00DD72AC">
        <w:rPr>
          <w:rFonts w:eastAsia="Calibri"/>
        </w:rPr>
        <w:t>(such as improved</w:t>
      </w:r>
      <w:r w:rsidR="003F6A12" w:rsidRPr="00DD72AC">
        <w:rPr>
          <w:rFonts w:eastAsia="Calibri"/>
        </w:rPr>
        <w:t xml:space="preserve"> </w:t>
      </w:r>
      <w:r w:rsidR="00221C00" w:rsidRPr="00DD72AC">
        <w:rPr>
          <w:rFonts w:eastAsia="Calibri"/>
        </w:rPr>
        <w:t xml:space="preserve">quality of life (QoL)) </w:t>
      </w:r>
      <w:r w:rsidR="00D12CF5" w:rsidRPr="00DD72AC">
        <w:rPr>
          <w:rFonts w:eastAsia="Calibri"/>
        </w:rPr>
        <w:t>was not well supported</w:t>
      </w:r>
      <w:r w:rsidR="00221C00" w:rsidRPr="00DD72AC">
        <w:rPr>
          <w:rFonts w:eastAsia="Calibri"/>
        </w:rPr>
        <w:t xml:space="preserve"> by the evidence provided in the submission</w:t>
      </w:r>
      <w:r w:rsidR="00D12CF5" w:rsidRPr="00DD72AC">
        <w:rPr>
          <w:rFonts w:eastAsia="Calibri"/>
        </w:rPr>
        <w:t xml:space="preserve">. </w:t>
      </w:r>
    </w:p>
    <w:p w14:paraId="6B284CE5" w14:textId="4A90A1CC" w:rsidR="00650A04" w:rsidRPr="00DD72AC" w:rsidRDefault="00B47397" w:rsidP="00650A04">
      <w:pPr>
        <w:pStyle w:val="3-BodyText"/>
        <w:rPr>
          <w:rFonts w:eastAsia="Calibri"/>
        </w:rPr>
      </w:pPr>
      <w:r w:rsidRPr="00DD72AC">
        <w:t xml:space="preserve">The PBAC </w:t>
      </w:r>
      <w:r w:rsidR="00E470AA" w:rsidRPr="00DD72AC">
        <w:t>noted</w:t>
      </w:r>
      <w:r w:rsidRPr="00DD72AC">
        <w:t xml:space="preserve"> that both vosoritide and placebo groups in study 111-301 and 111-206 received daily subcutaneous injections</w:t>
      </w:r>
      <w:r w:rsidR="00E470AA" w:rsidRPr="00DD72AC">
        <w:t xml:space="preserve"> and </w:t>
      </w:r>
      <w:r w:rsidR="00650A04" w:rsidRPr="00DD72AC">
        <w:t xml:space="preserve">hence the magnitude of impact of </w:t>
      </w:r>
      <w:r w:rsidRPr="00DD72AC">
        <w:t>injection related adverse events compared to the absence of daily injections (as would be seen with BSC)</w:t>
      </w:r>
      <w:r w:rsidR="00650A04" w:rsidRPr="00DD72AC">
        <w:t xml:space="preserve"> was unable to be determined</w:t>
      </w:r>
      <w:r w:rsidRPr="00DD72AC">
        <w:t xml:space="preserve">. </w:t>
      </w:r>
      <w:r w:rsidR="00650A04" w:rsidRPr="00DD72AC">
        <w:t xml:space="preserve">In addition, the PBAC noted injection </w:t>
      </w:r>
      <w:r w:rsidR="00650A04" w:rsidRPr="00DD72AC">
        <w:lastRenderedPageBreak/>
        <w:t>site reactions were higher with vosoritide compared to placebo injection and considered the claim of non-</w:t>
      </w:r>
      <w:r w:rsidR="00573DD7" w:rsidRPr="00DD72AC">
        <w:t xml:space="preserve">inferior </w:t>
      </w:r>
      <w:r w:rsidR="00650A04" w:rsidRPr="00DD72AC">
        <w:t>safety was not supported.</w:t>
      </w:r>
    </w:p>
    <w:p w14:paraId="09F1B0C9" w14:textId="6304D5B6" w:rsidR="0034324D" w:rsidRPr="00DD72AC" w:rsidRDefault="00B51525" w:rsidP="0082722F">
      <w:pPr>
        <w:pStyle w:val="3-BodyText"/>
        <w:rPr>
          <w:rFonts w:eastAsia="Calibri"/>
        </w:rPr>
      </w:pPr>
      <w:bookmarkStart w:id="82" w:name="_Ref109299030"/>
      <w:r w:rsidRPr="00DD72AC">
        <w:rPr>
          <w:rFonts w:eastAsia="Calibri"/>
        </w:rPr>
        <w:t xml:space="preserve">The submission presented a cost-utility analysis comparing vosoritide with BSC based on Study 111-301. </w:t>
      </w:r>
      <w:r w:rsidR="008D51E7" w:rsidRPr="00DD72AC">
        <w:rPr>
          <w:rFonts w:eastAsia="Calibri"/>
        </w:rPr>
        <w:t xml:space="preserve">The </w:t>
      </w:r>
      <w:r w:rsidRPr="00DD72AC">
        <w:rPr>
          <w:rFonts w:eastAsia="Calibri"/>
        </w:rPr>
        <w:t xml:space="preserve">PBAC agreed with the ESC that </w:t>
      </w:r>
      <w:r w:rsidR="008D51E7" w:rsidRPr="00DD72AC">
        <w:rPr>
          <w:rFonts w:eastAsia="Calibri"/>
        </w:rPr>
        <w:t xml:space="preserve">there </w:t>
      </w:r>
      <w:r w:rsidR="00C30EAE" w:rsidRPr="00DD72AC">
        <w:rPr>
          <w:rFonts w:eastAsia="Calibri"/>
        </w:rPr>
        <w:t>we</w:t>
      </w:r>
      <w:r w:rsidR="008D51E7" w:rsidRPr="00DD72AC">
        <w:rPr>
          <w:rFonts w:eastAsia="Calibri"/>
        </w:rPr>
        <w:t>re uncertainties with the extrapolation of relative height (z-scores), translation of relative height into mortality</w:t>
      </w:r>
      <w:r w:rsidRPr="00DD72AC">
        <w:rPr>
          <w:rFonts w:eastAsia="Calibri"/>
        </w:rPr>
        <w:t xml:space="preserve">, </w:t>
      </w:r>
      <w:r w:rsidR="008D51E7" w:rsidRPr="00DD72AC">
        <w:rPr>
          <w:rFonts w:eastAsia="Calibri"/>
        </w:rPr>
        <w:t>complications</w:t>
      </w:r>
      <w:r w:rsidRPr="00DD72AC">
        <w:rPr>
          <w:rFonts w:eastAsia="Calibri"/>
        </w:rPr>
        <w:t xml:space="preserve"> and QoL</w:t>
      </w:r>
      <w:r w:rsidR="008D51E7" w:rsidRPr="00DD72AC">
        <w:rPr>
          <w:rFonts w:eastAsia="Calibri"/>
        </w:rPr>
        <w:t>.</w:t>
      </w:r>
      <w:r w:rsidRPr="00DD72AC">
        <w:rPr>
          <w:rFonts w:eastAsia="Calibri"/>
        </w:rPr>
        <w:t xml:space="preserve"> </w:t>
      </w:r>
      <w:r w:rsidR="00C30EAE" w:rsidRPr="00DD72AC">
        <w:rPr>
          <w:rFonts w:eastAsia="Calibri"/>
        </w:rPr>
        <w:t xml:space="preserve">The PBAC noted that Study 111-301 did not have an appropriate follow up period or study power to determine mortality or complications risk. </w:t>
      </w:r>
      <w:r w:rsidR="003F6A12" w:rsidRPr="00DD72AC">
        <w:rPr>
          <w:rFonts w:eastAsia="Calibri"/>
        </w:rPr>
        <w:t>The PBAC</w:t>
      </w:r>
      <w:r w:rsidR="00C30EAE" w:rsidRPr="00DD72AC">
        <w:rPr>
          <w:rFonts w:eastAsia="Calibri"/>
        </w:rPr>
        <w:t xml:space="preserve"> considered </w:t>
      </w:r>
      <w:r w:rsidR="003F6A12" w:rsidRPr="00DD72AC">
        <w:rPr>
          <w:rFonts w:eastAsia="Calibri"/>
        </w:rPr>
        <w:t xml:space="preserve">that while </w:t>
      </w:r>
      <w:r w:rsidR="00C30EAE" w:rsidRPr="00DD72AC">
        <w:rPr>
          <w:rFonts w:eastAsia="Calibri"/>
        </w:rPr>
        <w:t>a positive impact of vosoritide on the lifetime incidence of the medical comorbidities of achondroplasia</w:t>
      </w:r>
      <w:r w:rsidR="003F6A12" w:rsidRPr="00DD72AC">
        <w:rPr>
          <w:rFonts w:eastAsia="Calibri"/>
        </w:rPr>
        <w:t xml:space="preserve"> was conceivable</w:t>
      </w:r>
      <w:r w:rsidR="00C30EAE" w:rsidRPr="00DD72AC">
        <w:rPr>
          <w:rFonts w:eastAsia="Calibri"/>
        </w:rPr>
        <w:t xml:space="preserve">, evidence to support a link between height and mortality or complications was not provided. </w:t>
      </w:r>
      <w:r w:rsidR="00105D10" w:rsidRPr="00DD72AC">
        <w:rPr>
          <w:rFonts w:eastAsia="Calibri"/>
        </w:rPr>
        <w:t>T</w:t>
      </w:r>
      <w:r w:rsidR="003F6A12" w:rsidRPr="00DD72AC">
        <w:rPr>
          <w:rFonts w:eastAsia="Calibri"/>
        </w:rPr>
        <w:t xml:space="preserve">he PBAC noted the </w:t>
      </w:r>
      <w:r w:rsidR="000E36D4" w:rsidRPr="00DD72AC">
        <w:rPr>
          <w:rFonts w:eastAsia="Calibri"/>
        </w:rPr>
        <w:t xml:space="preserve">base case </w:t>
      </w:r>
      <w:r w:rsidR="0034324D" w:rsidRPr="00DD72AC">
        <w:rPr>
          <w:rFonts w:eastAsia="Calibri"/>
        </w:rPr>
        <w:t>ICER was not sensitive to</w:t>
      </w:r>
      <w:r w:rsidR="000E2B4F" w:rsidRPr="00DD72AC">
        <w:rPr>
          <w:rFonts w:eastAsia="Calibri"/>
        </w:rPr>
        <w:t xml:space="preserve"> assumptions regarding</w:t>
      </w:r>
      <w:r w:rsidR="0034324D" w:rsidRPr="00DD72AC">
        <w:rPr>
          <w:rFonts w:eastAsia="Calibri"/>
        </w:rPr>
        <w:t xml:space="preserve"> mortality or complications. With respect </w:t>
      </w:r>
      <w:r w:rsidR="00105D10" w:rsidRPr="00DD72AC">
        <w:rPr>
          <w:rFonts w:eastAsia="Calibri"/>
        </w:rPr>
        <w:t>to</w:t>
      </w:r>
      <w:r w:rsidR="0034324D" w:rsidRPr="00DD72AC">
        <w:rPr>
          <w:rFonts w:eastAsia="Calibri"/>
        </w:rPr>
        <w:t xml:space="preserve"> QoL, the PBAC noted the utility values </w:t>
      </w:r>
      <w:r w:rsidR="000E36D4" w:rsidRPr="00DD72AC">
        <w:rPr>
          <w:rFonts w:eastAsia="Calibri"/>
        </w:rPr>
        <w:t xml:space="preserve">applied </w:t>
      </w:r>
      <w:r w:rsidR="0034324D" w:rsidRPr="00DD72AC">
        <w:rPr>
          <w:rFonts w:eastAsia="Calibri"/>
        </w:rPr>
        <w:t xml:space="preserve">to patient height </w:t>
      </w:r>
      <w:r w:rsidR="000E36D4" w:rsidRPr="00DD72AC">
        <w:rPr>
          <w:rFonts w:eastAsia="Calibri"/>
        </w:rPr>
        <w:t xml:space="preserve">were </w:t>
      </w:r>
      <w:r w:rsidR="0034324D" w:rsidRPr="00DD72AC">
        <w:rPr>
          <w:rFonts w:eastAsia="Calibri"/>
        </w:rPr>
        <w:t xml:space="preserve">obtained from Christensen </w:t>
      </w:r>
      <w:r w:rsidR="0082722F" w:rsidRPr="00DD72AC">
        <w:rPr>
          <w:rFonts w:eastAsia="Calibri"/>
        </w:rPr>
        <w:t>(</w:t>
      </w:r>
      <w:r w:rsidR="0034324D" w:rsidRPr="00DD72AC">
        <w:rPr>
          <w:rFonts w:eastAsia="Calibri"/>
        </w:rPr>
        <w:t>2007) which was conducted in the general UK population</w:t>
      </w:r>
      <w:r w:rsidR="00F319B4" w:rsidRPr="00DD72AC">
        <w:rPr>
          <w:rFonts w:eastAsia="Calibri"/>
        </w:rPr>
        <w:t xml:space="preserve"> (aged </w:t>
      </w:r>
      <w:r w:rsidR="00F319B4" w:rsidRPr="00DD72AC">
        <w:rPr>
          <w:rFonts w:eastAsia="Times New Roman"/>
        </w:rPr>
        <w:t>≥18 years)</w:t>
      </w:r>
      <w:r w:rsidR="0034324D" w:rsidRPr="00DD72AC">
        <w:rPr>
          <w:rFonts w:eastAsia="Calibri"/>
        </w:rPr>
        <w:t xml:space="preserve">, and not in the achondroplasia population or short stature population. In addition, </w:t>
      </w:r>
      <w:r w:rsidR="0082722F" w:rsidRPr="00DD72AC">
        <w:rPr>
          <w:rFonts w:eastAsia="Calibri"/>
        </w:rPr>
        <w:t>Christensen (2007)</w:t>
      </w:r>
      <w:r w:rsidR="0034324D" w:rsidRPr="00DD72AC">
        <w:rPr>
          <w:rFonts w:eastAsia="Calibri"/>
        </w:rPr>
        <w:t xml:space="preserve"> did not stratify patients with height Z-scores below -3</w:t>
      </w:r>
      <w:r w:rsidR="0082722F" w:rsidRPr="00DD72AC">
        <w:rPr>
          <w:rFonts w:eastAsia="Calibri"/>
        </w:rPr>
        <w:t>,</w:t>
      </w:r>
      <w:r w:rsidR="00105D10" w:rsidRPr="00DD72AC">
        <w:rPr>
          <w:rFonts w:eastAsia="Calibri"/>
        </w:rPr>
        <w:t xml:space="preserve"> with extrapolation performed to </w:t>
      </w:r>
      <w:r w:rsidR="0034324D" w:rsidRPr="00DD72AC">
        <w:rPr>
          <w:rFonts w:eastAsia="Calibri"/>
        </w:rPr>
        <w:t>allow estimation of height-specific utility values beyond those re</w:t>
      </w:r>
      <w:r w:rsidR="0082722F" w:rsidRPr="00DD72AC">
        <w:rPr>
          <w:rFonts w:eastAsia="Calibri"/>
        </w:rPr>
        <w:t>ported</w:t>
      </w:r>
      <w:r w:rsidR="0034324D" w:rsidRPr="00DD72AC">
        <w:rPr>
          <w:rFonts w:eastAsia="Calibri"/>
        </w:rPr>
        <w:t xml:space="preserve">. </w:t>
      </w:r>
      <w:r w:rsidR="00105D10" w:rsidRPr="00DD72AC">
        <w:rPr>
          <w:rFonts w:eastAsia="Calibri"/>
        </w:rPr>
        <w:t>As such, t</w:t>
      </w:r>
      <w:r w:rsidR="0034324D" w:rsidRPr="00DD72AC">
        <w:rPr>
          <w:rFonts w:eastAsia="Calibri"/>
        </w:rPr>
        <w:t xml:space="preserve">he </w:t>
      </w:r>
      <w:r w:rsidR="00105D10" w:rsidRPr="00DD72AC">
        <w:rPr>
          <w:rFonts w:eastAsia="Calibri"/>
        </w:rPr>
        <w:t xml:space="preserve">PBAC </w:t>
      </w:r>
      <w:r w:rsidR="0034324D" w:rsidRPr="00DD72AC">
        <w:rPr>
          <w:rFonts w:eastAsia="Calibri"/>
        </w:rPr>
        <w:t xml:space="preserve">considered that the estimated utilities </w:t>
      </w:r>
      <w:r w:rsidR="00F319B4" w:rsidRPr="00DD72AC">
        <w:rPr>
          <w:rFonts w:eastAsia="Calibri"/>
        </w:rPr>
        <w:t>we</w:t>
      </w:r>
      <w:r w:rsidR="0034324D" w:rsidRPr="00DD72AC">
        <w:rPr>
          <w:rFonts w:eastAsia="Calibri"/>
        </w:rPr>
        <w:t>re highly uncertain and noted that the ICER was highly sensitive to the extrapolation of these utility data.</w:t>
      </w:r>
      <w:r w:rsidR="0082722F" w:rsidRPr="00DD72AC">
        <w:rPr>
          <w:rFonts w:eastAsia="Calibri"/>
        </w:rPr>
        <w:t xml:space="preserve"> </w:t>
      </w:r>
      <w:r w:rsidR="003C25B1" w:rsidRPr="00DD72AC">
        <w:rPr>
          <w:rFonts w:eastAsia="Calibri"/>
        </w:rPr>
        <w:t>The PBAC also</w:t>
      </w:r>
      <w:r w:rsidR="00654127" w:rsidRPr="00DD72AC">
        <w:rPr>
          <w:rFonts w:eastAsia="Calibri"/>
        </w:rPr>
        <w:t xml:space="preserve"> </w:t>
      </w:r>
      <w:r w:rsidR="00B3703A" w:rsidRPr="00DD72AC">
        <w:rPr>
          <w:rFonts w:eastAsia="Calibri"/>
        </w:rPr>
        <w:t xml:space="preserve">noted </w:t>
      </w:r>
      <w:r w:rsidR="003C25B1" w:rsidRPr="00DD72AC">
        <w:rPr>
          <w:rFonts w:eastAsia="Calibri"/>
        </w:rPr>
        <w:t>the ICER was highly sensitive to the time horizon</w:t>
      </w:r>
      <w:r w:rsidR="00654127" w:rsidRPr="00DD72AC">
        <w:rPr>
          <w:rFonts w:eastAsia="Calibri"/>
        </w:rPr>
        <w:t xml:space="preserve">. </w:t>
      </w:r>
      <w:r w:rsidR="003C25B1" w:rsidRPr="00DD72AC">
        <w:rPr>
          <w:rFonts w:eastAsia="Calibri"/>
        </w:rPr>
        <w:t xml:space="preserve">Overall, the PBAC considered the ICER was </w:t>
      </w:r>
      <w:r w:rsidR="003C25B1" w:rsidRPr="00DD72AC">
        <w:rPr>
          <w:rFonts w:eastAsia="Times New Roman"/>
        </w:rPr>
        <w:t>unacceptably high and uncertain at the proposed price, even in the context of relatively rare diseases</w:t>
      </w:r>
      <w:r w:rsidR="00674722" w:rsidRPr="00DD72AC">
        <w:rPr>
          <w:lang w:eastAsia="en-US"/>
        </w:rPr>
        <w:t xml:space="preserve">. </w:t>
      </w:r>
      <w:r w:rsidR="00377CD5" w:rsidRPr="00DD72AC">
        <w:rPr>
          <w:lang w:eastAsia="en-US"/>
        </w:rPr>
        <w:t xml:space="preserve">The PBAC considered </w:t>
      </w:r>
      <w:r w:rsidR="00970E64" w:rsidRPr="00DD72AC">
        <w:rPr>
          <w:lang w:eastAsia="en-US"/>
        </w:rPr>
        <w:t xml:space="preserve">a price reduction would be required to achieve </w:t>
      </w:r>
      <w:r w:rsidR="00377CD5" w:rsidRPr="00DD72AC">
        <w:rPr>
          <w:lang w:eastAsia="en-US"/>
        </w:rPr>
        <w:t>a cost-effective</w:t>
      </w:r>
      <w:r w:rsidR="00970E64" w:rsidRPr="00DD72AC">
        <w:rPr>
          <w:lang w:eastAsia="en-US"/>
        </w:rPr>
        <w:t xml:space="preserve"> ICER and to help mitigate remaining uncertainty associated with the translation and extrapolation of the height benefits observed with vosoritide</w:t>
      </w:r>
      <w:r w:rsidR="008D0A3A" w:rsidRPr="00DD72AC">
        <w:rPr>
          <w:lang w:eastAsia="en-US"/>
        </w:rPr>
        <w:t xml:space="preserve"> over the lifetime horizon</w:t>
      </w:r>
      <w:r w:rsidR="00970E64" w:rsidRPr="00DD72AC">
        <w:rPr>
          <w:lang w:eastAsia="en-US"/>
        </w:rPr>
        <w:t>.</w:t>
      </w:r>
      <w:r w:rsidR="00377CD5" w:rsidRPr="00DD72AC">
        <w:rPr>
          <w:lang w:eastAsia="en-US"/>
        </w:rPr>
        <w:t xml:space="preserve"> </w:t>
      </w:r>
      <w:r w:rsidR="00377CD5" w:rsidRPr="00DD72AC">
        <w:rPr>
          <w:rFonts w:eastAsia="Times New Roman"/>
        </w:rPr>
        <w:t xml:space="preserve">The </w:t>
      </w:r>
      <w:r w:rsidR="00377CD5" w:rsidRPr="00DD72AC">
        <w:rPr>
          <w:lang w:eastAsia="en-US"/>
        </w:rPr>
        <w:t>PBAC considered that</w:t>
      </w:r>
      <w:r w:rsidR="008D0A3A" w:rsidRPr="00DD72AC">
        <w:rPr>
          <w:lang w:eastAsia="en-US"/>
        </w:rPr>
        <w:t xml:space="preserve"> </w:t>
      </w:r>
      <w:r w:rsidR="00A33E44" w:rsidRPr="00DD72AC">
        <w:rPr>
          <w:lang w:eastAsia="en-US"/>
        </w:rPr>
        <w:t>using</w:t>
      </w:r>
      <w:r w:rsidR="008D0A3A" w:rsidRPr="00DD72AC">
        <w:rPr>
          <w:lang w:eastAsia="en-US"/>
        </w:rPr>
        <w:t xml:space="preserve"> the base case model presented in the submission,</w:t>
      </w:r>
      <w:r w:rsidR="00377CD5" w:rsidRPr="00DD72AC">
        <w:rPr>
          <w:lang w:eastAsia="en-US"/>
        </w:rPr>
        <w:t xml:space="preserve"> an ICER in the order of $200,000 per QALY gained would </w:t>
      </w:r>
      <w:r w:rsidR="008D0A3A" w:rsidRPr="00DD72AC">
        <w:rPr>
          <w:lang w:eastAsia="en-US"/>
        </w:rPr>
        <w:t>adequately address the uncertainties noted and be consistent with</w:t>
      </w:r>
      <w:r w:rsidR="00377CD5" w:rsidRPr="00DD72AC">
        <w:rPr>
          <w:lang w:eastAsia="en-US"/>
        </w:rPr>
        <w:t xml:space="preserve"> previous PBAC decisions </w:t>
      </w:r>
      <w:r w:rsidR="008D0A3A" w:rsidRPr="00DD72AC">
        <w:rPr>
          <w:lang w:eastAsia="en-US"/>
        </w:rPr>
        <w:t>for</w:t>
      </w:r>
      <w:r w:rsidR="00377CD5" w:rsidRPr="00DD72AC">
        <w:rPr>
          <w:lang w:eastAsia="en-US"/>
        </w:rPr>
        <w:t xml:space="preserve"> rare disease</w:t>
      </w:r>
      <w:r w:rsidR="008D0A3A" w:rsidRPr="00DD72AC">
        <w:rPr>
          <w:lang w:eastAsia="en-US"/>
        </w:rPr>
        <w:t>s</w:t>
      </w:r>
      <w:r w:rsidR="00377CD5" w:rsidRPr="00DD72AC">
        <w:rPr>
          <w:lang w:eastAsia="en-US"/>
        </w:rPr>
        <w:t xml:space="preserve"> in which no other treatment options were available.</w:t>
      </w:r>
      <w:bookmarkEnd w:id="82"/>
      <w:r w:rsidR="00377CD5" w:rsidRPr="00DD72AC">
        <w:rPr>
          <w:lang w:eastAsia="en-US"/>
        </w:rPr>
        <w:t xml:space="preserve"> </w:t>
      </w:r>
    </w:p>
    <w:p w14:paraId="504DF637" w14:textId="086C54CE" w:rsidR="00E27B1E" w:rsidRPr="00DD72AC" w:rsidRDefault="00E27B1E" w:rsidP="00E27B1E">
      <w:pPr>
        <w:pStyle w:val="3-BodyText"/>
        <w:rPr>
          <w:rFonts w:eastAsia="Calibri"/>
        </w:rPr>
      </w:pPr>
      <w:r w:rsidRPr="00DD72AC">
        <w:rPr>
          <w:rFonts w:eastAsia="Calibri"/>
        </w:rPr>
        <w:t xml:space="preserve">The PBAC noted DUSC considered the financial estimates presented in the submission to be overestimated given patients 0-1 years of age </w:t>
      </w:r>
      <w:r w:rsidR="005656E8" w:rsidRPr="00DD72AC">
        <w:rPr>
          <w:rFonts w:eastAsia="Calibri"/>
        </w:rPr>
        <w:t>we</w:t>
      </w:r>
      <w:r w:rsidRPr="00DD72AC">
        <w:rPr>
          <w:rFonts w:eastAsia="Calibri"/>
        </w:rPr>
        <w:t xml:space="preserve">re included. The pre-PBAC response </w:t>
      </w:r>
      <w:r w:rsidR="005656E8" w:rsidRPr="00DD72AC">
        <w:rPr>
          <w:rFonts w:eastAsia="Calibri"/>
        </w:rPr>
        <w:t>argued that</w:t>
      </w:r>
      <w:r w:rsidRPr="00DD72AC">
        <w:rPr>
          <w:rFonts w:eastAsia="Calibri"/>
        </w:rPr>
        <w:t xml:space="preserve"> </w:t>
      </w:r>
      <w:r w:rsidRPr="00DD72AC">
        <w:rPr>
          <w:rFonts w:eastAsia="Times New Roman"/>
        </w:rPr>
        <w:t xml:space="preserve">inclusion of patients 0-1 years of age </w:t>
      </w:r>
      <w:r w:rsidR="005656E8" w:rsidRPr="00DD72AC">
        <w:rPr>
          <w:rFonts w:eastAsia="Times New Roman"/>
          <w:snapToGrid/>
        </w:rPr>
        <w:t>wa</w:t>
      </w:r>
      <w:r w:rsidRPr="00DD72AC">
        <w:rPr>
          <w:rFonts w:eastAsia="Times New Roman"/>
          <w:snapToGrid/>
        </w:rPr>
        <w:t>s appropriate for the requested age agnostic listing.</w:t>
      </w:r>
      <w:r w:rsidRPr="00DD72AC">
        <w:rPr>
          <w:rFonts w:eastAsia="Calibri"/>
        </w:rPr>
        <w:t xml:space="preserve"> </w:t>
      </w:r>
      <w:r w:rsidRPr="00DD72AC">
        <w:t xml:space="preserve">The PBAC considered that, while evidence for use in patients less than 5 years was limited, an age agnostic restriction and hence inclusion of patients 0-1 years of age in the financials was appropriate.  </w:t>
      </w:r>
    </w:p>
    <w:p w14:paraId="1F97F3A9" w14:textId="77777777" w:rsidR="00A91855" w:rsidRPr="00DD72AC" w:rsidRDefault="00A91855" w:rsidP="00A91855">
      <w:pPr>
        <w:pStyle w:val="3-BodyText"/>
        <w:rPr>
          <w:lang w:eastAsia="en-US"/>
        </w:rPr>
      </w:pPr>
      <w:r w:rsidRPr="00DD72AC">
        <w:rPr>
          <w:lang w:eastAsia="en-US"/>
        </w:rPr>
        <w:t>The PBAC considered the outstanding issues could be easily resolved in a simple resubmission for vosoritide. The PBAC also considered vosoritide addresses a high and urgent unmet clinical need and was expected to provide a substantial and clinically relevant improvement in efficacy, over any alternative therapies. Therefore, the PBAC considered an early resolution pathway would be acceptable. If the sponsor accepts this pathway, the following changes may address these outstanding issues without requiring further re-evaluation:</w:t>
      </w:r>
    </w:p>
    <w:p w14:paraId="08A00D3E" w14:textId="210091F6" w:rsidR="00A91855" w:rsidRPr="00DD72AC" w:rsidRDefault="00F73532" w:rsidP="00A91855">
      <w:pPr>
        <w:numPr>
          <w:ilvl w:val="0"/>
          <w:numId w:val="10"/>
        </w:numPr>
        <w:spacing w:after="120"/>
        <w:ind w:left="1077" w:hanging="357"/>
        <w:rPr>
          <w:lang w:eastAsia="en-US"/>
        </w:rPr>
      </w:pPr>
      <w:r w:rsidRPr="00DD72AC">
        <w:rPr>
          <w:lang w:eastAsia="en-US"/>
        </w:rPr>
        <w:lastRenderedPageBreak/>
        <w:t xml:space="preserve">a price reduction to achieve an ICER </w:t>
      </w:r>
      <w:r w:rsidR="00DB7F31" w:rsidRPr="00DD72AC">
        <w:rPr>
          <w:lang w:eastAsia="en-US"/>
        </w:rPr>
        <w:t>in the order of $200,000 per QALY gained</w:t>
      </w:r>
      <w:r w:rsidR="008D0A3A" w:rsidRPr="00DD72AC">
        <w:rPr>
          <w:lang w:eastAsia="en-US"/>
        </w:rPr>
        <w:t xml:space="preserve"> using the base case model included in the submission</w:t>
      </w:r>
      <w:r w:rsidR="00DB7F31" w:rsidRPr="00DD72AC">
        <w:rPr>
          <w:lang w:eastAsia="en-US"/>
        </w:rPr>
        <w:t xml:space="preserve"> as outlined in paragraph </w:t>
      </w:r>
      <w:r w:rsidR="00DB7F31" w:rsidRPr="00DD72AC">
        <w:rPr>
          <w:lang w:eastAsia="en-US"/>
        </w:rPr>
        <w:fldChar w:fldCharType="begin" w:fldLock="1"/>
      </w:r>
      <w:r w:rsidR="00DB7F31" w:rsidRPr="00DD72AC">
        <w:rPr>
          <w:lang w:eastAsia="en-US"/>
        </w:rPr>
        <w:instrText xml:space="preserve"> REF _Ref109299030 \r \h </w:instrText>
      </w:r>
      <w:r w:rsidR="00DB7F31" w:rsidRPr="00DD72AC">
        <w:rPr>
          <w:lang w:eastAsia="en-US"/>
        </w:rPr>
      </w:r>
      <w:r w:rsidR="00DB7F31" w:rsidRPr="00DD72AC">
        <w:rPr>
          <w:lang w:eastAsia="en-US"/>
        </w:rPr>
        <w:fldChar w:fldCharType="separate"/>
      </w:r>
      <w:r w:rsidR="000F61A3" w:rsidRPr="00DD72AC">
        <w:rPr>
          <w:lang w:eastAsia="en-US"/>
        </w:rPr>
        <w:t>7.7</w:t>
      </w:r>
      <w:r w:rsidR="00DB7F31" w:rsidRPr="00DD72AC">
        <w:rPr>
          <w:lang w:eastAsia="en-US"/>
        </w:rPr>
        <w:fldChar w:fldCharType="end"/>
      </w:r>
      <w:r w:rsidR="00DB7F31" w:rsidRPr="00DD72AC">
        <w:rPr>
          <w:lang w:eastAsia="en-US"/>
        </w:rPr>
        <w:t>.</w:t>
      </w:r>
    </w:p>
    <w:p w14:paraId="30DC2D34" w14:textId="60573C3A" w:rsidR="00DB7F31" w:rsidRPr="00DD72AC" w:rsidRDefault="00DB7F31" w:rsidP="00A91855">
      <w:pPr>
        <w:numPr>
          <w:ilvl w:val="0"/>
          <w:numId w:val="10"/>
        </w:numPr>
        <w:spacing w:after="120"/>
        <w:ind w:left="1077" w:hanging="357"/>
        <w:rPr>
          <w:lang w:eastAsia="en-US"/>
        </w:rPr>
      </w:pPr>
      <w:r w:rsidRPr="00DD72AC">
        <w:rPr>
          <w:lang w:eastAsia="en-US"/>
        </w:rPr>
        <w:t xml:space="preserve">the financial estimates updated with the price reduction outlined in paragraph </w:t>
      </w:r>
      <w:r w:rsidRPr="00DD72AC">
        <w:rPr>
          <w:lang w:eastAsia="en-US"/>
        </w:rPr>
        <w:fldChar w:fldCharType="begin" w:fldLock="1"/>
      </w:r>
      <w:r w:rsidRPr="00DD72AC">
        <w:rPr>
          <w:lang w:eastAsia="en-US"/>
        </w:rPr>
        <w:instrText xml:space="preserve"> REF _Ref109299030 \r \h </w:instrText>
      </w:r>
      <w:r w:rsidRPr="00DD72AC">
        <w:rPr>
          <w:lang w:eastAsia="en-US"/>
        </w:rPr>
      </w:r>
      <w:r w:rsidRPr="00DD72AC">
        <w:rPr>
          <w:lang w:eastAsia="en-US"/>
        </w:rPr>
        <w:fldChar w:fldCharType="separate"/>
      </w:r>
      <w:r w:rsidR="000F61A3" w:rsidRPr="00DD72AC">
        <w:rPr>
          <w:lang w:eastAsia="en-US"/>
        </w:rPr>
        <w:t>7.7</w:t>
      </w:r>
      <w:r w:rsidRPr="00DD72AC">
        <w:rPr>
          <w:lang w:eastAsia="en-US"/>
        </w:rPr>
        <w:fldChar w:fldCharType="end"/>
      </w:r>
      <w:r w:rsidRPr="00DD72AC">
        <w:rPr>
          <w:lang w:eastAsia="en-US"/>
        </w:rPr>
        <w:t>.</w:t>
      </w:r>
    </w:p>
    <w:p w14:paraId="5AC18CFC" w14:textId="34EAB2E6" w:rsidR="00A91855" w:rsidRPr="00DD72AC" w:rsidRDefault="00A91855" w:rsidP="00A91855">
      <w:pPr>
        <w:pStyle w:val="3-BodyText"/>
        <w:rPr>
          <w:lang w:eastAsia="en-US"/>
        </w:rPr>
      </w:pPr>
      <w:r w:rsidRPr="00DD72AC">
        <w:rPr>
          <w:lang w:eastAsia="en-US"/>
        </w:rPr>
        <w:t>The early resolution resubmission must be lodged by week 7 of the current PBAC cycle or the next cycle. If the issues cannot be addressed by the sponsor in a simple resubmission and the early resolution timing is not acceptable, a standard re-entry pathway is available.</w:t>
      </w:r>
    </w:p>
    <w:p w14:paraId="20CF2212" w14:textId="0E98098C" w:rsidR="00714A0A" w:rsidRPr="00DD72AC" w:rsidRDefault="00A91855" w:rsidP="00DB7F31">
      <w:pPr>
        <w:pStyle w:val="3-BodyText"/>
        <w:rPr>
          <w:rFonts w:eastAsia="Times New Roman"/>
        </w:rPr>
      </w:pPr>
      <w:r w:rsidRPr="00DD72AC">
        <w:t xml:space="preserve">The PBAC noted that this submission is eligible for an Independent Review. </w:t>
      </w:r>
    </w:p>
    <w:p w14:paraId="455AD19F" w14:textId="77777777" w:rsidR="00714A0A" w:rsidRPr="00DD72AC" w:rsidRDefault="00714A0A" w:rsidP="00714A0A">
      <w:pPr>
        <w:spacing w:before="240"/>
        <w:rPr>
          <w:rFonts w:asciiTheme="minorHAnsi" w:eastAsia="Times New Roman" w:hAnsiTheme="minorHAnsi"/>
          <w:b/>
          <w:bCs/>
          <w:snapToGrid w:val="0"/>
        </w:rPr>
      </w:pPr>
      <w:r w:rsidRPr="00DD72AC">
        <w:rPr>
          <w:rFonts w:asciiTheme="minorHAnsi" w:eastAsia="Times New Roman" w:hAnsiTheme="minorHAnsi"/>
          <w:b/>
          <w:bCs/>
          <w:snapToGrid w:val="0"/>
        </w:rPr>
        <w:t>Outcome:</w:t>
      </w:r>
    </w:p>
    <w:p w14:paraId="48D88617" w14:textId="063C7AB6" w:rsidR="00714A0A" w:rsidRDefault="00714A0A" w:rsidP="009E0AE9">
      <w:pPr>
        <w:rPr>
          <w:rFonts w:asciiTheme="minorHAnsi" w:eastAsia="Times New Roman" w:hAnsiTheme="minorHAnsi"/>
          <w:bCs/>
          <w:snapToGrid w:val="0"/>
        </w:rPr>
      </w:pPr>
      <w:r w:rsidRPr="00DD72AC">
        <w:rPr>
          <w:rFonts w:asciiTheme="minorHAnsi" w:eastAsia="Times New Roman" w:hAnsiTheme="minorHAnsi"/>
          <w:bCs/>
          <w:snapToGrid w:val="0"/>
        </w:rPr>
        <w:t>Not recommended</w:t>
      </w:r>
    </w:p>
    <w:p w14:paraId="593C4AC4" w14:textId="77777777" w:rsidR="007A3EF7" w:rsidRPr="009E0AE9" w:rsidRDefault="007A3EF7" w:rsidP="009E0AE9">
      <w:pPr>
        <w:rPr>
          <w:rFonts w:asciiTheme="minorHAnsi" w:eastAsia="Times New Roman" w:hAnsiTheme="minorHAnsi"/>
          <w:bCs/>
          <w:snapToGrid w:val="0"/>
        </w:rPr>
      </w:pPr>
    </w:p>
    <w:p w14:paraId="4FC98A8B" w14:textId="2987F149" w:rsidR="007A3EF7" w:rsidRDefault="007A3EF7" w:rsidP="007A3EF7">
      <w:pPr>
        <w:pStyle w:val="2-SectionHeading"/>
        <w:rPr>
          <w:bCs/>
          <w:lang w:val="en-GB"/>
        </w:rPr>
      </w:pPr>
      <w:r w:rsidRPr="00C07617">
        <w:t>Context for Decision</w:t>
      </w:r>
    </w:p>
    <w:p w14:paraId="01D4D609" w14:textId="77777777" w:rsidR="007A3EF7" w:rsidRPr="007129F2" w:rsidRDefault="007A3EF7" w:rsidP="00981010">
      <w:pPr>
        <w:pStyle w:val="3-BodyText"/>
        <w:numPr>
          <w:ilvl w:val="0"/>
          <w:numId w:val="0"/>
        </w:numPr>
        <w:ind w:left="720"/>
        <w:rPr>
          <w:lang w:val="en-GB"/>
        </w:rPr>
      </w:pPr>
      <w:r w:rsidRPr="007129F2">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570D2EE" w14:textId="0F3C7924" w:rsidR="00170DD7" w:rsidRDefault="007A3EF7" w:rsidP="007A3EF7">
      <w:pPr>
        <w:pStyle w:val="2-SectionHeading"/>
      </w:pPr>
      <w:r>
        <w:t>Sponsor’s Comment</w:t>
      </w:r>
    </w:p>
    <w:p w14:paraId="56CD71BD" w14:textId="3CD3D5B3" w:rsidR="00170DD7" w:rsidRDefault="00170DD7" w:rsidP="00981010">
      <w:pPr>
        <w:pStyle w:val="3-BodyText"/>
        <w:numPr>
          <w:ilvl w:val="0"/>
          <w:numId w:val="0"/>
        </w:numPr>
        <w:ind w:left="720"/>
      </w:pPr>
      <w:r>
        <w:t xml:space="preserve">BioMarin is </w:t>
      </w:r>
      <w:r w:rsidRPr="00170DD7">
        <w:t xml:space="preserve">disappointed </w:t>
      </w:r>
      <w:r>
        <w:t xml:space="preserve">with the PBAC’s decision </w:t>
      </w:r>
      <w:r w:rsidRPr="00170DD7">
        <w:t xml:space="preserve">not </w:t>
      </w:r>
      <w:r>
        <w:t xml:space="preserve">to </w:t>
      </w:r>
      <w:r w:rsidRPr="00170DD7">
        <w:t>recommend</w:t>
      </w:r>
      <w:r>
        <w:t xml:space="preserve"> vosoritide for the treatment of patients with achondroplasia, however,</w:t>
      </w:r>
      <w:r w:rsidRPr="00170DD7">
        <w:t xml:space="preserve"> </w:t>
      </w:r>
      <w:r>
        <w:t xml:space="preserve">is </w:t>
      </w:r>
      <w:r w:rsidRPr="00170DD7">
        <w:t xml:space="preserve">encouraged to be working with PBAC on an early resolution </w:t>
      </w:r>
      <w:r>
        <w:t>resubmission to ensure</w:t>
      </w:r>
      <w:r w:rsidRPr="00170DD7">
        <w:t xml:space="preserve"> patients can gain access </w:t>
      </w:r>
      <w:r w:rsidR="007748E3">
        <w:t xml:space="preserve">to this important treatment </w:t>
      </w:r>
      <w:r w:rsidRPr="00170DD7">
        <w:t>without unnecessary delays</w:t>
      </w:r>
      <w:r>
        <w:t>.</w:t>
      </w:r>
    </w:p>
    <w:p w14:paraId="44D120AB" w14:textId="40843C9E" w:rsidR="007748E3" w:rsidRDefault="007748E3" w:rsidP="007A3EF7"/>
    <w:p w14:paraId="2C163F9C" w14:textId="3C9ABE7C" w:rsidR="007748E3" w:rsidRDefault="007748E3" w:rsidP="007A3EF7"/>
    <w:p w14:paraId="178A671A" w14:textId="33A211EF" w:rsidR="00CE2717" w:rsidRDefault="00CE2717" w:rsidP="007A3EF7"/>
    <w:p w14:paraId="6B96CE38" w14:textId="137236BA" w:rsidR="00CE2717" w:rsidRDefault="00CE2717" w:rsidP="007A3EF7"/>
    <w:p w14:paraId="1FAA4521" w14:textId="622AC85F" w:rsidR="00CE2717" w:rsidRDefault="00CE2717" w:rsidP="007A3EF7"/>
    <w:p w14:paraId="1E55C5FF" w14:textId="5B99872D" w:rsidR="00CE2717" w:rsidRDefault="00CE2717" w:rsidP="007A3EF7"/>
    <w:p w14:paraId="2BE3A463" w14:textId="5726380A" w:rsidR="00CE2717" w:rsidRDefault="00CE2717" w:rsidP="007A3EF7"/>
    <w:p w14:paraId="7040BBCF" w14:textId="7E71EEC7" w:rsidR="00CE2717" w:rsidRDefault="00CE2717" w:rsidP="007A3EF7"/>
    <w:p w14:paraId="73E24EC9" w14:textId="4BF57705" w:rsidR="00CE2717" w:rsidRDefault="00CE2717" w:rsidP="007A3EF7"/>
    <w:p w14:paraId="7BB80CF4" w14:textId="77777777" w:rsidR="00386FE0" w:rsidRDefault="00386FE0" w:rsidP="00630FA9">
      <w:pPr>
        <w:pStyle w:val="3-BodyText"/>
        <w:numPr>
          <w:ilvl w:val="0"/>
          <w:numId w:val="0"/>
        </w:numPr>
        <w:ind w:left="720" w:hanging="720"/>
      </w:pPr>
    </w:p>
    <w:p w14:paraId="4EC9995A" w14:textId="77777777" w:rsidR="00386FE0" w:rsidRDefault="00386FE0" w:rsidP="00630FA9">
      <w:pPr>
        <w:pStyle w:val="3-BodyText"/>
        <w:numPr>
          <w:ilvl w:val="0"/>
          <w:numId w:val="0"/>
        </w:numPr>
      </w:pPr>
    </w:p>
    <w:p w14:paraId="09E7CD59" w14:textId="5ED5E546" w:rsidR="00CE2717" w:rsidRPr="009C4137" w:rsidRDefault="00CE2717" w:rsidP="00CE2717">
      <w:pPr>
        <w:pStyle w:val="1MainTitle"/>
        <w:ind w:left="1134" w:hanging="1134"/>
        <w:jc w:val="left"/>
        <w:rPr>
          <w:rFonts w:eastAsia="Calibri"/>
          <w:color w:val="FF0000"/>
          <w:sz w:val="28"/>
          <w:szCs w:val="28"/>
        </w:rPr>
      </w:pPr>
      <w:r w:rsidRPr="009C4137">
        <w:rPr>
          <w:rFonts w:eastAsia="Calibri"/>
          <w:color w:val="FF0000"/>
          <w:sz w:val="28"/>
          <w:szCs w:val="28"/>
        </w:rPr>
        <w:t xml:space="preserve">Addendum to the </w:t>
      </w:r>
      <w:r>
        <w:rPr>
          <w:rFonts w:eastAsia="Calibri"/>
          <w:color w:val="FF0000"/>
          <w:sz w:val="28"/>
          <w:szCs w:val="28"/>
        </w:rPr>
        <w:t>July 2022</w:t>
      </w:r>
      <w:r w:rsidRPr="009C4137">
        <w:rPr>
          <w:rFonts w:eastAsia="Calibri"/>
          <w:color w:val="FF0000"/>
          <w:sz w:val="28"/>
          <w:szCs w:val="28"/>
        </w:rPr>
        <w:t xml:space="preserve"> PBAC </w:t>
      </w:r>
      <w:r w:rsidR="0075741E">
        <w:rPr>
          <w:rFonts w:eastAsia="Calibri"/>
          <w:color w:val="FF0000"/>
          <w:sz w:val="28"/>
          <w:szCs w:val="28"/>
        </w:rPr>
        <w:t>PSD</w:t>
      </w:r>
      <w:r w:rsidRPr="009C4137">
        <w:rPr>
          <w:rFonts w:eastAsia="Calibri"/>
          <w:color w:val="FF0000"/>
          <w:sz w:val="28"/>
          <w:szCs w:val="28"/>
        </w:rPr>
        <w:t>:</w:t>
      </w:r>
    </w:p>
    <w:p w14:paraId="7166EDC7" w14:textId="77777777" w:rsidR="00CE2717" w:rsidRPr="009A7F88" w:rsidRDefault="00CE2717" w:rsidP="00CE2717">
      <w:pPr>
        <w:pStyle w:val="1-MainHeading"/>
      </w:pPr>
      <w:r>
        <w:t>7.03</w:t>
      </w:r>
      <w:r w:rsidRPr="00DD72AC">
        <w:tab/>
        <w:t>VOSORITIDE,</w:t>
      </w:r>
      <w:r w:rsidRPr="00DD72AC">
        <w:br/>
        <w:t xml:space="preserve">Powder for injection 0.4 mg with diluent, </w:t>
      </w:r>
      <w:r w:rsidRPr="00DD72AC">
        <w:br/>
        <w:t xml:space="preserve">Powder for injection 0.56 mg with diluent, </w:t>
      </w:r>
      <w:r w:rsidRPr="00DD72AC">
        <w:br/>
        <w:t xml:space="preserve">Powder for injection 1.2 mg with diluent, </w:t>
      </w:r>
      <w:r w:rsidRPr="00DD72AC">
        <w:br/>
      </w:r>
      <w:proofErr w:type="spellStart"/>
      <w:r w:rsidRPr="00DD72AC">
        <w:t>Voxzogo</w:t>
      </w:r>
      <w:proofErr w:type="spellEnd"/>
      <w:r w:rsidRPr="00DD72AC">
        <w:t>®,</w:t>
      </w:r>
      <w:r w:rsidRPr="00DD72AC">
        <w:br/>
        <w:t>BioMarin Pharmaceutical Australia Pty Ltd</w:t>
      </w:r>
    </w:p>
    <w:p w14:paraId="14BCD5B2" w14:textId="77777777" w:rsidR="00CE2717" w:rsidRPr="00DD72AC" w:rsidRDefault="00CE2717" w:rsidP="00CE2717">
      <w:pPr>
        <w:pStyle w:val="2-SectionHeading"/>
      </w:pPr>
      <w:r>
        <w:t>Background</w:t>
      </w:r>
    </w:p>
    <w:p w14:paraId="2B5EBE72" w14:textId="77777777" w:rsidR="00CE2717" w:rsidRDefault="00CE2717" w:rsidP="00CE2717">
      <w:pPr>
        <w:pStyle w:val="3-BodyText"/>
      </w:pPr>
      <w:r w:rsidRPr="00DD72AC">
        <w:t>The submission requested the Authority Required (Telephone) listing of vosoritide for the treatment of patients with achondroplasia whose epiphyses are not closed</w:t>
      </w:r>
      <w:r>
        <w:t>.</w:t>
      </w:r>
    </w:p>
    <w:p w14:paraId="6CBCD867" w14:textId="77777777" w:rsidR="00CE2717" w:rsidRDefault="00CE2717" w:rsidP="00CE2717">
      <w:pPr>
        <w:pStyle w:val="ExecSumBodyText"/>
        <w:numPr>
          <w:ilvl w:val="1"/>
          <w:numId w:val="1"/>
        </w:numPr>
      </w:pPr>
      <w:r>
        <w:t xml:space="preserve">At the July 2022 PBAC meeting, vosoritide was not recommended. </w:t>
      </w:r>
      <w:r w:rsidRPr="00C77BDB">
        <w:t xml:space="preserve">The resubmission for </w:t>
      </w:r>
      <w:r>
        <w:t>vosoritide</w:t>
      </w:r>
      <w:r w:rsidRPr="00C77BDB">
        <w:t xml:space="preserve"> was made under the early resolution pathway and sought to address the PBAC’s concerns from its July 2022 meeting. </w:t>
      </w:r>
    </w:p>
    <w:p w14:paraId="23C6E214" w14:textId="77777777" w:rsidR="00CE2717" w:rsidRDefault="00CE2717" w:rsidP="00CE2717">
      <w:pPr>
        <w:pStyle w:val="2-SectionHeading"/>
      </w:pPr>
      <w:r>
        <w:t xml:space="preserve">Consideration of the evidence </w:t>
      </w:r>
    </w:p>
    <w:p w14:paraId="1FDBDA15" w14:textId="77777777" w:rsidR="00CE2717" w:rsidRPr="00DD72AC" w:rsidRDefault="00CE2717" w:rsidP="00CE2717">
      <w:pPr>
        <w:pStyle w:val="3-BodyText"/>
        <w:rPr>
          <w:lang w:eastAsia="en-US"/>
        </w:rPr>
      </w:pPr>
      <w:r>
        <w:t xml:space="preserve">In July 2022 the PBAC considered the outstanding issues could be resolved in a simple resubmission and that the </w:t>
      </w:r>
      <w:r w:rsidRPr="00DD72AC">
        <w:rPr>
          <w:lang w:eastAsia="en-US"/>
        </w:rPr>
        <w:t>following changes may address these outstanding issues without requiring further re-evaluation:</w:t>
      </w:r>
    </w:p>
    <w:p w14:paraId="504A0FAD" w14:textId="77777777" w:rsidR="00CE2717" w:rsidRPr="00DD72AC" w:rsidRDefault="00CE2717" w:rsidP="00CE2717">
      <w:pPr>
        <w:numPr>
          <w:ilvl w:val="0"/>
          <w:numId w:val="10"/>
        </w:numPr>
        <w:spacing w:after="120"/>
        <w:ind w:left="1077" w:hanging="357"/>
        <w:rPr>
          <w:lang w:eastAsia="en-US"/>
        </w:rPr>
      </w:pPr>
      <w:r w:rsidRPr="00DD72AC">
        <w:rPr>
          <w:lang w:eastAsia="en-US"/>
        </w:rPr>
        <w:t xml:space="preserve">a price reduction to achieve an ICER in the order of $200,000 per QALY gained using the base case model included in the submission as outlined in paragraph </w:t>
      </w:r>
      <w:r w:rsidRPr="00DD72AC">
        <w:rPr>
          <w:lang w:eastAsia="en-US"/>
        </w:rPr>
        <w:fldChar w:fldCharType="begin" w:fldLock="1"/>
      </w:r>
      <w:r w:rsidRPr="00DD72AC">
        <w:rPr>
          <w:lang w:eastAsia="en-US"/>
        </w:rPr>
        <w:instrText xml:space="preserve"> REF _Ref109299030 \r \h </w:instrText>
      </w:r>
      <w:r w:rsidRPr="00DD72AC">
        <w:rPr>
          <w:lang w:eastAsia="en-US"/>
        </w:rPr>
      </w:r>
      <w:r w:rsidRPr="00DD72AC">
        <w:rPr>
          <w:lang w:eastAsia="en-US"/>
        </w:rPr>
        <w:fldChar w:fldCharType="separate"/>
      </w:r>
      <w:r>
        <w:rPr>
          <w:lang w:eastAsia="en-US"/>
        </w:rPr>
        <w:t>7.7</w:t>
      </w:r>
      <w:r w:rsidRPr="00DD72AC">
        <w:rPr>
          <w:lang w:eastAsia="en-US"/>
        </w:rPr>
        <w:fldChar w:fldCharType="end"/>
      </w:r>
      <w:r>
        <w:rPr>
          <w:lang w:eastAsia="en-US"/>
        </w:rPr>
        <w:t>; and</w:t>
      </w:r>
    </w:p>
    <w:p w14:paraId="44483497" w14:textId="77777777" w:rsidR="00CE2717" w:rsidRPr="00DD72AC" w:rsidRDefault="00CE2717" w:rsidP="00CE2717">
      <w:pPr>
        <w:numPr>
          <w:ilvl w:val="0"/>
          <w:numId w:val="10"/>
        </w:numPr>
        <w:spacing w:after="120"/>
        <w:ind w:left="1077" w:hanging="357"/>
        <w:rPr>
          <w:lang w:eastAsia="en-US"/>
        </w:rPr>
      </w:pPr>
      <w:r w:rsidRPr="00DD72AC">
        <w:rPr>
          <w:lang w:eastAsia="en-US"/>
        </w:rPr>
        <w:t xml:space="preserve">the financial estimates updated with the price reduction outlined in paragraph </w:t>
      </w:r>
      <w:r w:rsidRPr="00DD72AC">
        <w:rPr>
          <w:lang w:eastAsia="en-US"/>
        </w:rPr>
        <w:fldChar w:fldCharType="begin" w:fldLock="1"/>
      </w:r>
      <w:r w:rsidRPr="00DD72AC">
        <w:rPr>
          <w:lang w:eastAsia="en-US"/>
        </w:rPr>
        <w:instrText xml:space="preserve"> REF _Ref109299030 \r \h </w:instrText>
      </w:r>
      <w:r w:rsidRPr="00DD72AC">
        <w:rPr>
          <w:lang w:eastAsia="en-US"/>
        </w:rPr>
      </w:r>
      <w:r w:rsidRPr="00DD72AC">
        <w:rPr>
          <w:lang w:eastAsia="en-US"/>
        </w:rPr>
        <w:fldChar w:fldCharType="separate"/>
      </w:r>
      <w:r w:rsidRPr="00DD72AC">
        <w:rPr>
          <w:lang w:eastAsia="en-US"/>
        </w:rPr>
        <w:t>7.7</w:t>
      </w:r>
      <w:r w:rsidRPr="00DD72AC">
        <w:rPr>
          <w:lang w:eastAsia="en-US"/>
        </w:rPr>
        <w:fldChar w:fldCharType="end"/>
      </w:r>
      <w:r w:rsidRPr="00DD72AC">
        <w:rPr>
          <w:lang w:eastAsia="en-US"/>
        </w:rPr>
        <w:t>.</w:t>
      </w:r>
    </w:p>
    <w:p w14:paraId="21166F68" w14:textId="648D5CF3" w:rsidR="00CE2717" w:rsidRDefault="00CE2717" w:rsidP="00CE2717">
      <w:pPr>
        <w:pStyle w:val="3-BodyText"/>
      </w:pPr>
      <w:r>
        <w:t xml:space="preserve">Table 20 summarises the inputs made by the resubmission to address outstanding matters raised in the PBAC </w:t>
      </w:r>
      <w:r w:rsidR="0075741E">
        <w:t>PSD</w:t>
      </w:r>
      <w:r>
        <w:t xml:space="preserve">. </w:t>
      </w:r>
    </w:p>
    <w:p w14:paraId="0106C6CD" w14:textId="77777777" w:rsidR="00C27277" w:rsidRDefault="00C27277" w:rsidP="00CE2717">
      <w:pPr>
        <w:keepNext/>
        <w:jc w:val="left"/>
        <w:rPr>
          <w:rFonts w:ascii="Arial Narrow" w:eastAsiaTheme="majorEastAsia" w:hAnsi="Arial Narrow" w:cstheme="majorBidi"/>
          <w:b/>
          <w:sz w:val="20"/>
        </w:rPr>
      </w:pPr>
    </w:p>
    <w:p w14:paraId="04728E41" w14:textId="1E33D4C2" w:rsidR="00CE2717" w:rsidRPr="00BF6A33" w:rsidRDefault="00CE2717" w:rsidP="00CE2717">
      <w:pPr>
        <w:keepNext/>
        <w:jc w:val="left"/>
        <w:rPr>
          <w:rFonts w:ascii="Arial Narrow" w:eastAsiaTheme="majorEastAsia" w:hAnsi="Arial Narrow" w:cstheme="majorBidi"/>
          <w:b/>
          <w:sz w:val="20"/>
        </w:rPr>
      </w:pPr>
      <w:r w:rsidRPr="00BF6A33">
        <w:rPr>
          <w:rFonts w:ascii="Arial Narrow" w:eastAsiaTheme="majorEastAsia" w:hAnsi="Arial Narrow" w:cstheme="majorBidi"/>
          <w:b/>
          <w:sz w:val="20"/>
        </w:rPr>
        <w:t xml:space="preserve">Table </w:t>
      </w:r>
      <w:r w:rsidRPr="00BF6A33">
        <w:rPr>
          <w:rFonts w:ascii="Arial Narrow" w:eastAsiaTheme="majorEastAsia" w:hAnsi="Arial Narrow" w:cstheme="majorBidi"/>
          <w:b/>
          <w:sz w:val="20"/>
        </w:rPr>
        <w:fldChar w:fldCharType="begin" w:fldLock="1"/>
      </w:r>
      <w:r w:rsidRPr="00BF6A33">
        <w:rPr>
          <w:rFonts w:ascii="Arial Narrow" w:eastAsiaTheme="majorEastAsia" w:hAnsi="Arial Narrow" w:cstheme="majorBidi"/>
          <w:b/>
          <w:sz w:val="20"/>
        </w:rPr>
        <w:instrText xml:space="preserve"> SEQ Table \* ARABIC </w:instrText>
      </w:r>
      <w:r w:rsidRPr="00BF6A33">
        <w:rPr>
          <w:rFonts w:ascii="Arial Narrow" w:eastAsiaTheme="majorEastAsia" w:hAnsi="Arial Narrow" w:cstheme="majorBidi"/>
          <w:b/>
          <w:sz w:val="20"/>
        </w:rPr>
        <w:fldChar w:fldCharType="separate"/>
      </w:r>
      <w:r>
        <w:rPr>
          <w:rFonts w:ascii="Arial Narrow" w:eastAsiaTheme="majorEastAsia" w:hAnsi="Arial Narrow" w:cstheme="majorBidi"/>
          <w:b/>
          <w:noProof/>
          <w:sz w:val="20"/>
        </w:rPr>
        <w:t>20</w:t>
      </w:r>
      <w:r w:rsidRPr="00BF6A33">
        <w:rPr>
          <w:rFonts w:ascii="Arial Narrow" w:eastAsiaTheme="majorEastAsia" w:hAnsi="Arial Narrow" w:cstheme="majorBidi"/>
          <w:b/>
          <w:sz w:val="20"/>
        </w:rPr>
        <w:fldChar w:fldCharType="end"/>
      </w:r>
      <w:r w:rsidRPr="00BF6A33">
        <w:rPr>
          <w:rFonts w:ascii="Arial Narrow" w:eastAsiaTheme="majorEastAsia" w:hAnsi="Arial Narrow" w:cstheme="majorBidi"/>
          <w:b/>
          <w:sz w:val="20"/>
        </w:rPr>
        <w:t xml:space="preserve"> Summary of inputs made by the resubmission to address outstanding matters raised in the PBAC </w:t>
      </w:r>
      <w:r w:rsidR="0075741E">
        <w:rPr>
          <w:rFonts w:ascii="Arial Narrow" w:eastAsiaTheme="majorEastAsia" w:hAnsi="Arial Narrow" w:cstheme="majorBidi"/>
          <w:b/>
          <w:sz w:val="20"/>
        </w:rPr>
        <w:t>PSD</w:t>
      </w:r>
      <w:r w:rsidR="0075741E" w:rsidRPr="00BF6A33">
        <w:rPr>
          <w:rFonts w:ascii="Arial Narrow" w:eastAsiaTheme="majorEastAsia" w:hAnsi="Arial Narrow" w:cstheme="majorBidi"/>
          <w:b/>
          <w:sz w:val="20"/>
        </w:rPr>
        <w:t xml:space="preserve"> </w:t>
      </w:r>
    </w:p>
    <w:tbl>
      <w:tblPr>
        <w:tblStyle w:val="TableGrid"/>
        <w:tblW w:w="0" w:type="auto"/>
        <w:tblLook w:val="04A0" w:firstRow="1" w:lastRow="0" w:firstColumn="1" w:lastColumn="0" w:noHBand="0" w:noVBand="1"/>
      </w:tblPr>
      <w:tblGrid>
        <w:gridCol w:w="2307"/>
        <w:gridCol w:w="2887"/>
        <w:gridCol w:w="3822"/>
      </w:tblGrid>
      <w:tr w:rsidR="00CE2717" w:rsidRPr="004710DF" w14:paraId="55804A12" w14:textId="77777777" w:rsidTr="00193F44">
        <w:tc>
          <w:tcPr>
            <w:tcW w:w="0" w:type="auto"/>
            <w:shd w:val="clear" w:color="auto" w:fill="auto"/>
          </w:tcPr>
          <w:p w14:paraId="39C8024B" w14:textId="77777777" w:rsidR="00CE2717" w:rsidRPr="00BF6A33" w:rsidRDefault="00CE2717" w:rsidP="00193F44">
            <w:pPr>
              <w:rPr>
                <w:rFonts w:ascii="Arial Narrow" w:hAnsi="Arial Narrow"/>
                <w:b/>
                <w:bCs/>
                <w:sz w:val="20"/>
                <w:szCs w:val="20"/>
              </w:rPr>
            </w:pPr>
          </w:p>
        </w:tc>
        <w:tc>
          <w:tcPr>
            <w:tcW w:w="0" w:type="auto"/>
            <w:shd w:val="clear" w:color="auto" w:fill="auto"/>
          </w:tcPr>
          <w:p w14:paraId="490CD74E" w14:textId="77777777" w:rsidR="00CE2717" w:rsidRPr="00BF6A33" w:rsidRDefault="00CE2717" w:rsidP="00193F44">
            <w:pPr>
              <w:jc w:val="center"/>
              <w:rPr>
                <w:rFonts w:ascii="Arial Narrow" w:hAnsi="Arial Narrow"/>
                <w:b/>
                <w:bCs/>
                <w:sz w:val="20"/>
                <w:szCs w:val="20"/>
              </w:rPr>
            </w:pPr>
            <w:r w:rsidRPr="00BF6A33">
              <w:rPr>
                <w:rFonts w:ascii="Arial Narrow" w:hAnsi="Arial Narrow"/>
                <w:b/>
                <w:bCs/>
                <w:sz w:val="20"/>
                <w:szCs w:val="20"/>
              </w:rPr>
              <w:t>Resubmission changes</w:t>
            </w:r>
          </w:p>
        </w:tc>
        <w:tc>
          <w:tcPr>
            <w:tcW w:w="0" w:type="auto"/>
            <w:shd w:val="clear" w:color="auto" w:fill="auto"/>
          </w:tcPr>
          <w:p w14:paraId="0CAC9FEF" w14:textId="56523EF6" w:rsidR="00CE2717" w:rsidRPr="00BF6A33" w:rsidRDefault="00CE2717" w:rsidP="00193F44">
            <w:pPr>
              <w:jc w:val="center"/>
              <w:rPr>
                <w:rFonts w:ascii="Arial Narrow" w:hAnsi="Arial Narrow"/>
                <w:b/>
                <w:bCs/>
                <w:sz w:val="20"/>
                <w:szCs w:val="20"/>
              </w:rPr>
            </w:pPr>
            <w:r w:rsidRPr="00BF6A33">
              <w:rPr>
                <w:rFonts w:ascii="Arial Narrow" w:hAnsi="Arial Narrow"/>
                <w:b/>
                <w:bCs/>
                <w:sz w:val="20"/>
                <w:szCs w:val="20"/>
              </w:rPr>
              <w:t xml:space="preserve">PBAC </w:t>
            </w:r>
            <w:r w:rsidR="0075741E">
              <w:rPr>
                <w:rFonts w:ascii="Arial Narrow" w:hAnsi="Arial Narrow"/>
                <w:b/>
                <w:bCs/>
                <w:sz w:val="20"/>
                <w:szCs w:val="20"/>
              </w:rPr>
              <w:t>PSD</w:t>
            </w:r>
          </w:p>
        </w:tc>
      </w:tr>
      <w:tr w:rsidR="00CE2717" w:rsidRPr="004710DF" w14:paraId="481DA037" w14:textId="77777777" w:rsidTr="00193F44">
        <w:tc>
          <w:tcPr>
            <w:tcW w:w="0" w:type="auto"/>
            <w:shd w:val="clear" w:color="auto" w:fill="auto"/>
          </w:tcPr>
          <w:p w14:paraId="35A681DC" w14:textId="77777777" w:rsidR="00CE2717" w:rsidRPr="00BF6A33" w:rsidRDefault="00CE2717" w:rsidP="00193F44">
            <w:pPr>
              <w:rPr>
                <w:rFonts w:ascii="Arial Narrow" w:hAnsi="Arial Narrow"/>
                <w:b/>
                <w:bCs/>
                <w:sz w:val="20"/>
                <w:szCs w:val="20"/>
                <w:vertAlign w:val="superscript"/>
              </w:rPr>
            </w:pPr>
            <w:r w:rsidRPr="00BF6A33">
              <w:rPr>
                <w:rFonts w:ascii="Arial Narrow" w:hAnsi="Arial Narrow"/>
                <w:bCs/>
                <w:sz w:val="20"/>
                <w:szCs w:val="20"/>
              </w:rPr>
              <w:t>Effective price per 0.4 mg, 0.56 mg or 1.2 mg vial</w:t>
            </w:r>
          </w:p>
        </w:tc>
        <w:tc>
          <w:tcPr>
            <w:tcW w:w="0" w:type="auto"/>
            <w:shd w:val="clear" w:color="auto" w:fill="auto"/>
            <w:vAlign w:val="center"/>
          </w:tcPr>
          <w:p w14:paraId="4FD0AF49" w14:textId="45EEB6EB" w:rsidR="00CE2717" w:rsidRPr="00BF6A33" w:rsidRDefault="00CE2717" w:rsidP="00193F44">
            <w:pPr>
              <w:jc w:val="center"/>
              <w:rPr>
                <w:rFonts w:ascii="Arial Narrow" w:hAnsi="Arial Narrow"/>
                <w:b/>
                <w:bCs/>
                <w:sz w:val="20"/>
                <w:szCs w:val="20"/>
              </w:rPr>
            </w:pPr>
            <w:r w:rsidRPr="00BF6A33">
              <w:rPr>
                <w:rFonts w:ascii="Arial Narrow" w:hAnsi="Arial Narrow"/>
                <w:bCs/>
                <w:sz w:val="20"/>
                <w:szCs w:val="20"/>
              </w:rPr>
              <w:t>$</w:t>
            </w:r>
            <w:r w:rsidR="00C55149" w:rsidRPr="00C55149">
              <w:rPr>
                <w:rFonts w:ascii="Arial Narrow" w:hAnsi="Arial Narrow"/>
                <w:bCs/>
                <w:color w:val="000000"/>
                <w:sz w:val="20"/>
                <w:szCs w:val="20"/>
                <w:shd w:val="solid" w:color="000000" w:fill="000000"/>
                <w14:textFill>
                  <w14:solidFill>
                    <w14:srgbClr w14:val="000000">
                      <w14:alpha w14:val="100000"/>
                    </w14:srgbClr>
                  </w14:solidFill>
                </w14:textFill>
              </w:rPr>
              <w:t>|</w:t>
            </w:r>
          </w:p>
        </w:tc>
        <w:tc>
          <w:tcPr>
            <w:tcW w:w="0" w:type="auto"/>
            <w:shd w:val="clear" w:color="auto" w:fill="auto"/>
          </w:tcPr>
          <w:p w14:paraId="13E15F9C" w14:textId="0E71F86C" w:rsidR="00CE2717" w:rsidRPr="00BF6A33" w:rsidRDefault="005417B3" w:rsidP="00193F44">
            <w:pPr>
              <w:rPr>
                <w:rFonts w:ascii="Arial Narrow" w:hAnsi="Arial Narrow"/>
                <w:b/>
                <w:bCs/>
                <w:sz w:val="20"/>
                <w:szCs w:val="20"/>
              </w:rPr>
            </w:pPr>
            <w:r w:rsidRPr="005417B3">
              <w:rPr>
                <w:rFonts w:ascii="Arial Narrow" w:hAnsi="Arial Narrow"/>
                <w:bCs/>
                <w:color w:val="000000"/>
                <w:w w:val="39"/>
                <w:sz w:val="20"/>
                <w:szCs w:val="20"/>
                <w:shd w:val="solid" w:color="000000" w:fill="000000"/>
                <w:fitText w:val="70" w:id="-1398533632"/>
                <w14:textFill>
                  <w14:solidFill>
                    <w14:srgbClr w14:val="000000">
                      <w14:alpha w14:val="100000"/>
                    </w14:srgbClr>
                  </w14:solidFill>
                </w14:textFill>
              </w:rPr>
              <w:t>|  |</w:t>
            </w:r>
            <w:r w:rsidR="00CE2717" w:rsidRPr="00BF6A33">
              <w:rPr>
                <w:rFonts w:ascii="Arial Narrow" w:hAnsi="Arial Narrow"/>
                <w:bCs/>
                <w:sz w:val="20"/>
                <w:szCs w:val="20"/>
              </w:rPr>
              <w:t>% lower than proposed in July 2022 submission</w:t>
            </w:r>
          </w:p>
        </w:tc>
      </w:tr>
      <w:tr w:rsidR="00CE2717" w:rsidRPr="004710DF" w14:paraId="1212CA73" w14:textId="77777777" w:rsidTr="00193F44">
        <w:tc>
          <w:tcPr>
            <w:tcW w:w="0" w:type="auto"/>
            <w:shd w:val="clear" w:color="auto" w:fill="auto"/>
          </w:tcPr>
          <w:p w14:paraId="33982ED4" w14:textId="77777777" w:rsidR="00CE2717" w:rsidRPr="00BF6A33" w:rsidRDefault="00CE2717" w:rsidP="00193F44">
            <w:pPr>
              <w:rPr>
                <w:rFonts w:ascii="Arial Narrow" w:hAnsi="Arial Narrow"/>
                <w:bCs/>
                <w:sz w:val="20"/>
                <w:szCs w:val="20"/>
              </w:rPr>
            </w:pPr>
            <w:r w:rsidRPr="00BF6A33">
              <w:rPr>
                <w:rFonts w:ascii="Arial Narrow" w:hAnsi="Arial Narrow"/>
                <w:bCs/>
                <w:sz w:val="20"/>
                <w:szCs w:val="20"/>
              </w:rPr>
              <w:t xml:space="preserve">TGA approval </w:t>
            </w:r>
          </w:p>
        </w:tc>
        <w:tc>
          <w:tcPr>
            <w:tcW w:w="0" w:type="auto"/>
            <w:shd w:val="clear" w:color="auto" w:fill="auto"/>
            <w:vAlign w:val="center"/>
          </w:tcPr>
          <w:p w14:paraId="7049547A" w14:textId="77777777" w:rsidR="00CE2717" w:rsidRPr="00BF6A33" w:rsidRDefault="00CE2717" w:rsidP="00193F44">
            <w:pPr>
              <w:jc w:val="center"/>
              <w:rPr>
                <w:rFonts w:ascii="Arial Narrow" w:hAnsi="Arial Narrow"/>
                <w:bCs/>
                <w:sz w:val="20"/>
                <w:szCs w:val="20"/>
              </w:rPr>
            </w:pPr>
            <w:r w:rsidRPr="00BF6A33">
              <w:rPr>
                <w:rFonts w:ascii="Arial Narrow" w:hAnsi="Arial Narrow"/>
                <w:bCs/>
                <w:sz w:val="20"/>
                <w:szCs w:val="20"/>
              </w:rPr>
              <w:t>Registered on 6 July 2022</w:t>
            </w:r>
          </w:p>
        </w:tc>
        <w:tc>
          <w:tcPr>
            <w:tcW w:w="0" w:type="auto"/>
            <w:shd w:val="clear" w:color="auto" w:fill="auto"/>
          </w:tcPr>
          <w:p w14:paraId="483AC7E0" w14:textId="77777777" w:rsidR="00CE2717" w:rsidRPr="00BF6A33" w:rsidRDefault="00CE2717" w:rsidP="00193F44">
            <w:pPr>
              <w:rPr>
                <w:rFonts w:ascii="Arial Narrow" w:hAnsi="Arial Narrow"/>
                <w:bCs/>
                <w:sz w:val="20"/>
                <w:szCs w:val="20"/>
              </w:rPr>
            </w:pPr>
          </w:p>
        </w:tc>
      </w:tr>
      <w:tr w:rsidR="00CE2717" w:rsidRPr="004710DF" w14:paraId="70F13819" w14:textId="77777777" w:rsidTr="00193F44">
        <w:tc>
          <w:tcPr>
            <w:tcW w:w="0" w:type="auto"/>
            <w:shd w:val="clear" w:color="auto" w:fill="auto"/>
          </w:tcPr>
          <w:p w14:paraId="75ED4ABB" w14:textId="77777777" w:rsidR="00CE2717" w:rsidRPr="00BF6A33" w:rsidRDefault="00CE2717" w:rsidP="00193F44">
            <w:pPr>
              <w:rPr>
                <w:rFonts w:ascii="Arial Narrow" w:hAnsi="Arial Narrow"/>
                <w:bCs/>
                <w:sz w:val="20"/>
                <w:szCs w:val="20"/>
              </w:rPr>
            </w:pPr>
            <w:r w:rsidRPr="00BF6A33">
              <w:rPr>
                <w:rFonts w:ascii="Arial Narrow" w:hAnsi="Arial Narrow"/>
                <w:bCs/>
                <w:sz w:val="20"/>
                <w:szCs w:val="20"/>
              </w:rPr>
              <w:lastRenderedPageBreak/>
              <w:t>Restriction criteria</w:t>
            </w:r>
          </w:p>
        </w:tc>
        <w:tc>
          <w:tcPr>
            <w:tcW w:w="0" w:type="auto"/>
            <w:shd w:val="clear" w:color="auto" w:fill="auto"/>
            <w:vAlign w:val="center"/>
          </w:tcPr>
          <w:p w14:paraId="2B58E78A" w14:textId="77777777" w:rsidR="00CE2717" w:rsidRPr="00BF6A33" w:rsidRDefault="00CE2717" w:rsidP="00193F44">
            <w:pPr>
              <w:jc w:val="center"/>
              <w:rPr>
                <w:rFonts w:ascii="Arial Narrow" w:hAnsi="Arial Narrow"/>
                <w:bCs/>
                <w:sz w:val="20"/>
                <w:szCs w:val="20"/>
              </w:rPr>
            </w:pPr>
            <w:r w:rsidRPr="00BF6A33">
              <w:rPr>
                <w:rFonts w:ascii="Arial Narrow" w:hAnsi="Arial Narrow"/>
                <w:bCs/>
                <w:sz w:val="20"/>
                <w:szCs w:val="20"/>
              </w:rPr>
              <w:t>Incorporated edits suggested by the Secretariat</w:t>
            </w:r>
          </w:p>
        </w:tc>
        <w:tc>
          <w:tcPr>
            <w:tcW w:w="0" w:type="auto"/>
            <w:shd w:val="clear" w:color="auto" w:fill="auto"/>
          </w:tcPr>
          <w:p w14:paraId="0CB75980" w14:textId="2C464F57" w:rsidR="00CE2717" w:rsidRPr="00BF6A33" w:rsidRDefault="00CE2717" w:rsidP="00193F44">
            <w:pPr>
              <w:rPr>
                <w:rFonts w:ascii="Arial Narrow" w:hAnsi="Arial Narrow"/>
                <w:bCs/>
                <w:iCs/>
                <w:sz w:val="20"/>
                <w:szCs w:val="20"/>
              </w:rPr>
            </w:pPr>
            <w:r w:rsidRPr="00BF6A33">
              <w:rPr>
                <w:rFonts w:ascii="Arial Narrow" w:hAnsi="Arial Narrow"/>
                <w:bCs/>
                <w:iCs/>
                <w:sz w:val="20"/>
                <w:szCs w:val="20"/>
              </w:rPr>
              <w:t xml:space="preserve">Consistent with PBAC </w:t>
            </w:r>
            <w:r w:rsidR="0075741E">
              <w:rPr>
                <w:rFonts w:ascii="Arial Narrow" w:hAnsi="Arial Narrow"/>
                <w:bCs/>
                <w:iCs/>
                <w:sz w:val="20"/>
                <w:szCs w:val="20"/>
              </w:rPr>
              <w:t>PSD</w:t>
            </w:r>
            <w:r w:rsidR="0075741E" w:rsidRPr="00BF6A33">
              <w:rPr>
                <w:rFonts w:ascii="Arial Narrow" w:hAnsi="Arial Narrow"/>
                <w:bCs/>
                <w:iCs/>
                <w:sz w:val="20"/>
                <w:szCs w:val="20"/>
              </w:rPr>
              <w:t xml:space="preserve"> </w:t>
            </w:r>
            <w:r w:rsidRPr="00BF6A33">
              <w:rPr>
                <w:rFonts w:ascii="Arial Narrow" w:hAnsi="Arial Narrow"/>
                <w:bCs/>
                <w:iCs/>
                <w:sz w:val="20"/>
                <w:szCs w:val="20"/>
              </w:rPr>
              <w:t>(paragraphs 3.1 and 3.4 to 3.9)</w:t>
            </w:r>
            <w:r>
              <w:rPr>
                <w:rFonts w:ascii="Arial Narrow" w:hAnsi="Arial Narrow"/>
                <w:bCs/>
                <w:iCs/>
                <w:sz w:val="20"/>
                <w:szCs w:val="20"/>
              </w:rPr>
              <w:t>.</w:t>
            </w:r>
          </w:p>
        </w:tc>
      </w:tr>
      <w:tr w:rsidR="00CE2717" w:rsidRPr="004710DF" w14:paraId="0056AF2D" w14:textId="77777777" w:rsidTr="00193F44">
        <w:tc>
          <w:tcPr>
            <w:tcW w:w="0" w:type="auto"/>
            <w:shd w:val="clear" w:color="auto" w:fill="auto"/>
          </w:tcPr>
          <w:p w14:paraId="7102048D" w14:textId="77777777" w:rsidR="00CE2717" w:rsidRPr="00BF6A33" w:rsidRDefault="00CE2717" w:rsidP="00193F44">
            <w:pPr>
              <w:rPr>
                <w:rFonts w:ascii="Arial Narrow" w:hAnsi="Arial Narrow"/>
                <w:bCs/>
                <w:sz w:val="20"/>
                <w:szCs w:val="20"/>
              </w:rPr>
            </w:pPr>
            <w:r w:rsidRPr="00BF6A33">
              <w:rPr>
                <w:rFonts w:ascii="Arial Narrow" w:hAnsi="Arial Narrow"/>
                <w:bCs/>
                <w:sz w:val="20"/>
                <w:szCs w:val="20"/>
              </w:rPr>
              <w:t xml:space="preserve">Comparative effectiveness </w:t>
            </w:r>
          </w:p>
        </w:tc>
        <w:tc>
          <w:tcPr>
            <w:tcW w:w="0" w:type="auto"/>
            <w:shd w:val="clear" w:color="auto" w:fill="auto"/>
            <w:vAlign w:val="center"/>
          </w:tcPr>
          <w:p w14:paraId="75757D98" w14:textId="77777777" w:rsidR="00CE2717" w:rsidRPr="00BF6A33" w:rsidRDefault="00CE2717" w:rsidP="00193F44">
            <w:pPr>
              <w:jc w:val="center"/>
              <w:rPr>
                <w:rFonts w:ascii="Arial Narrow" w:hAnsi="Arial Narrow"/>
                <w:bCs/>
                <w:sz w:val="20"/>
                <w:szCs w:val="20"/>
              </w:rPr>
            </w:pPr>
            <w:r w:rsidRPr="00BF6A33">
              <w:rPr>
                <w:rFonts w:ascii="Arial Narrow" w:hAnsi="Arial Narrow"/>
                <w:bCs/>
                <w:sz w:val="20"/>
                <w:szCs w:val="20"/>
              </w:rPr>
              <w:t>Provided additional data from Study 111-206 (children &lt; 5 years)</w:t>
            </w:r>
          </w:p>
        </w:tc>
        <w:tc>
          <w:tcPr>
            <w:tcW w:w="0" w:type="auto"/>
            <w:shd w:val="clear" w:color="auto" w:fill="auto"/>
          </w:tcPr>
          <w:p w14:paraId="37603179" w14:textId="77777777" w:rsidR="00CE2717" w:rsidRPr="00BF6A33" w:rsidRDefault="00CE2717" w:rsidP="00193F44">
            <w:pPr>
              <w:rPr>
                <w:rFonts w:ascii="Arial Narrow" w:hAnsi="Arial Narrow"/>
                <w:bCs/>
                <w:iCs/>
                <w:sz w:val="20"/>
                <w:szCs w:val="20"/>
              </w:rPr>
            </w:pPr>
          </w:p>
        </w:tc>
      </w:tr>
      <w:tr w:rsidR="00CE2717" w:rsidRPr="004710DF" w14:paraId="26595A71" w14:textId="77777777" w:rsidTr="00193F44">
        <w:tc>
          <w:tcPr>
            <w:tcW w:w="0" w:type="auto"/>
            <w:gridSpan w:val="3"/>
            <w:shd w:val="clear" w:color="auto" w:fill="auto"/>
          </w:tcPr>
          <w:p w14:paraId="188AF803" w14:textId="77777777" w:rsidR="00CE2717" w:rsidRPr="00BF6A33" w:rsidRDefault="00CE2717" w:rsidP="00193F44">
            <w:pPr>
              <w:rPr>
                <w:rFonts w:ascii="Arial Narrow" w:hAnsi="Arial Narrow"/>
                <w:b/>
                <w:iCs/>
                <w:sz w:val="20"/>
                <w:szCs w:val="20"/>
              </w:rPr>
            </w:pPr>
            <w:r w:rsidRPr="00BF6A33">
              <w:rPr>
                <w:rFonts w:ascii="Arial Narrow" w:hAnsi="Arial Narrow"/>
                <w:b/>
                <w:iCs/>
                <w:sz w:val="20"/>
                <w:szCs w:val="20"/>
              </w:rPr>
              <w:t>Economic evaluation</w:t>
            </w:r>
          </w:p>
        </w:tc>
      </w:tr>
      <w:tr w:rsidR="00CE2717" w:rsidRPr="004710DF" w14:paraId="4BE0FB7E" w14:textId="77777777" w:rsidTr="00193F44">
        <w:tc>
          <w:tcPr>
            <w:tcW w:w="0" w:type="auto"/>
            <w:shd w:val="clear" w:color="auto" w:fill="auto"/>
          </w:tcPr>
          <w:p w14:paraId="4CEF709B" w14:textId="77777777" w:rsidR="00CE2717" w:rsidRDefault="00CE2717" w:rsidP="00193F44">
            <w:pPr>
              <w:rPr>
                <w:rFonts w:ascii="Arial Narrow" w:hAnsi="Arial Narrow"/>
                <w:bCs/>
                <w:sz w:val="20"/>
                <w:szCs w:val="20"/>
              </w:rPr>
            </w:pPr>
            <w:r w:rsidRPr="00BF6A33">
              <w:rPr>
                <w:rFonts w:ascii="Arial Narrow" w:hAnsi="Arial Narrow"/>
                <w:bCs/>
                <w:sz w:val="20"/>
                <w:szCs w:val="20"/>
              </w:rPr>
              <w:t xml:space="preserve">- Effective price per vial </w:t>
            </w:r>
          </w:p>
          <w:p w14:paraId="18BFC845" w14:textId="77777777" w:rsidR="00CE2717" w:rsidRPr="00BF6A33" w:rsidRDefault="00CE2717" w:rsidP="00193F44">
            <w:pPr>
              <w:rPr>
                <w:rFonts w:ascii="Arial Narrow" w:hAnsi="Arial Narrow"/>
                <w:bCs/>
                <w:sz w:val="20"/>
                <w:szCs w:val="20"/>
              </w:rPr>
            </w:pPr>
            <w:r w:rsidRPr="00BF6A33">
              <w:rPr>
                <w:rFonts w:ascii="Arial Narrow" w:hAnsi="Arial Narrow"/>
                <w:bCs/>
                <w:sz w:val="20"/>
                <w:szCs w:val="20"/>
              </w:rPr>
              <w:t>(ex-man)</w:t>
            </w:r>
          </w:p>
        </w:tc>
        <w:tc>
          <w:tcPr>
            <w:tcW w:w="0" w:type="auto"/>
            <w:shd w:val="clear" w:color="auto" w:fill="auto"/>
            <w:vAlign w:val="center"/>
          </w:tcPr>
          <w:p w14:paraId="1072D05E" w14:textId="69EF0ABE" w:rsidR="00CE2717" w:rsidRPr="00BF6A33" w:rsidRDefault="00CE2717" w:rsidP="00193F44">
            <w:pPr>
              <w:jc w:val="center"/>
              <w:rPr>
                <w:rFonts w:ascii="Arial Narrow" w:hAnsi="Arial Narrow"/>
                <w:bCs/>
                <w:sz w:val="20"/>
                <w:szCs w:val="20"/>
              </w:rPr>
            </w:pPr>
            <w:r w:rsidRPr="00BF6A33">
              <w:rPr>
                <w:rFonts w:ascii="Arial Narrow" w:hAnsi="Arial Narrow"/>
                <w:bCs/>
                <w:sz w:val="20"/>
                <w:szCs w:val="20"/>
              </w:rPr>
              <w:t>$</w:t>
            </w:r>
            <w:r w:rsidR="00C55149" w:rsidRPr="00C55149">
              <w:rPr>
                <w:rFonts w:ascii="Arial Narrow" w:hAnsi="Arial Narrow"/>
                <w:bCs/>
                <w:color w:val="000000"/>
                <w:sz w:val="20"/>
                <w:szCs w:val="20"/>
                <w:shd w:val="solid" w:color="000000" w:fill="000000"/>
                <w14:textFill>
                  <w14:solidFill>
                    <w14:srgbClr w14:val="000000">
                      <w14:alpha w14:val="100000"/>
                    </w14:srgbClr>
                  </w14:solidFill>
                </w14:textFill>
              </w:rPr>
              <w:t>|</w:t>
            </w:r>
          </w:p>
        </w:tc>
        <w:tc>
          <w:tcPr>
            <w:tcW w:w="0" w:type="auto"/>
            <w:vMerge w:val="restart"/>
            <w:shd w:val="clear" w:color="auto" w:fill="auto"/>
          </w:tcPr>
          <w:p w14:paraId="1FB05CB3" w14:textId="205E8CA2" w:rsidR="00CE2717" w:rsidRPr="00BF6A33" w:rsidRDefault="00CE2717" w:rsidP="00193F44">
            <w:pPr>
              <w:rPr>
                <w:rFonts w:ascii="Arial Narrow" w:hAnsi="Arial Narrow"/>
                <w:bCs/>
                <w:iCs/>
                <w:sz w:val="20"/>
                <w:szCs w:val="20"/>
              </w:rPr>
            </w:pPr>
            <w:r w:rsidRPr="00BF6A33">
              <w:rPr>
                <w:rFonts w:ascii="Arial Narrow" w:hAnsi="Arial Narrow"/>
                <w:bCs/>
                <w:iCs/>
                <w:sz w:val="20"/>
                <w:szCs w:val="20"/>
              </w:rPr>
              <w:t xml:space="preserve">A change to the discount rate was not consistent with the PBAC </w:t>
            </w:r>
            <w:r w:rsidR="0075741E">
              <w:rPr>
                <w:rFonts w:ascii="Arial Narrow" w:hAnsi="Arial Narrow"/>
                <w:bCs/>
                <w:iCs/>
                <w:sz w:val="20"/>
                <w:szCs w:val="20"/>
              </w:rPr>
              <w:t>PSD</w:t>
            </w:r>
            <w:r>
              <w:rPr>
                <w:rFonts w:ascii="Arial Narrow" w:hAnsi="Arial Narrow"/>
                <w:bCs/>
                <w:iCs/>
                <w:sz w:val="20"/>
                <w:szCs w:val="20"/>
              </w:rPr>
              <w:t>.</w:t>
            </w:r>
          </w:p>
        </w:tc>
      </w:tr>
      <w:tr w:rsidR="00CE2717" w:rsidRPr="004710DF" w14:paraId="5891254B" w14:textId="77777777" w:rsidTr="00193F44">
        <w:tc>
          <w:tcPr>
            <w:tcW w:w="0" w:type="auto"/>
            <w:shd w:val="clear" w:color="auto" w:fill="auto"/>
          </w:tcPr>
          <w:p w14:paraId="111D0105" w14:textId="77777777" w:rsidR="00CE2717" w:rsidRPr="00BF6A33" w:rsidRDefault="00CE2717" w:rsidP="00193F44">
            <w:pPr>
              <w:rPr>
                <w:rFonts w:ascii="Arial Narrow" w:hAnsi="Arial Narrow"/>
                <w:bCs/>
                <w:sz w:val="20"/>
                <w:szCs w:val="20"/>
              </w:rPr>
            </w:pPr>
            <w:r w:rsidRPr="00BF6A33">
              <w:rPr>
                <w:rFonts w:ascii="Arial Narrow" w:hAnsi="Arial Narrow"/>
                <w:bCs/>
                <w:sz w:val="20"/>
                <w:szCs w:val="20"/>
              </w:rPr>
              <w:t xml:space="preserve">- Discount rate </w:t>
            </w:r>
          </w:p>
        </w:tc>
        <w:tc>
          <w:tcPr>
            <w:tcW w:w="0" w:type="auto"/>
            <w:shd w:val="clear" w:color="auto" w:fill="auto"/>
            <w:vAlign w:val="center"/>
          </w:tcPr>
          <w:p w14:paraId="20BCD40A" w14:textId="77777777" w:rsidR="00CE2717" w:rsidRPr="00BF6A33" w:rsidRDefault="00CE2717" w:rsidP="00193F44">
            <w:pPr>
              <w:jc w:val="center"/>
              <w:rPr>
                <w:rFonts w:ascii="Arial Narrow" w:hAnsi="Arial Narrow"/>
                <w:bCs/>
                <w:sz w:val="20"/>
                <w:szCs w:val="20"/>
              </w:rPr>
            </w:pPr>
            <w:r w:rsidRPr="00BF6A33">
              <w:rPr>
                <w:rFonts w:ascii="Arial Narrow" w:hAnsi="Arial Narrow"/>
                <w:bCs/>
                <w:sz w:val="20"/>
                <w:szCs w:val="20"/>
              </w:rPr>
              <w:t>3%</w:t>
            </w:r>
          </w:p>
        </w:tc>
        <w:tc>
          <w:tcPr>
            <w:tcW w:w="0" w:type="auto"/>
            <w:vMerge/>
            <w:shd w:val="clear" w:color="auto" w:fill="auto"/>
          </w:tcPr>
          <w:p w14:paraId="071F5875" w14:textId="77777777" w:rsidR="00CE2717" w:rsidRPr="00BF6A33" w:rsidRDefault="00CE2717" w:rsidP="00193F44">
            <w:pPr>
              <w:rPr>
                <w:rFonts w:ascii="Arial Narrow" w:hAnsi="Arial Narrow"/>
                <w:bCs/>
                <w:iCs/>
                <w:sz w:val="20"/>
                <w:szCs w:val="20"/>
              </w:rPr>
            </w:pPr>
          </w:p>
        </w:tc>
      </w:tr>
      <w:tr w:rsidR="00CE2717" w:rsidRPr="004710DF" w14:paraId="4C84D74B" w14:textId="77777777" w:rsidTr="00193F44">
        <w:tc>
          <w:tcPr>
            <w:tcW w:w="0" w:type="auto"/>
            <w:shd w:val="clear" w:color="auto" w:fill="auto"/>
          </w:tcPr>
          <w:p w14:paraId="53508F34" w14:textId="77777777" w:rsidR="00CE2717" w:rsidRPr="00BF6A33" w:rsidRDefault="00CE2717" w:rsidP="00193F44">
            <w:pPr>
              <w:rPr>
                <w:rFonts w:ascii="Arial Narrow" w:hAnsi="Arial Narrow"/>
                <w:b/>
                <w:sz w:val="20"/>
                <w:szCs w:val="20"/>
              </w:rPr>
            </w:pPr>
            <w:r w:rsidRPr="00BF6A33">
              <w:rPr>
                <w:rFonts w:ascii="Arial Narrow" w:hAnsi="Arial Narrow"/>
                <w:b/>
                <w:sz w:val="20"/>
                <w:szCs w:val="20"/>
              </w:rPr>
              <w:t xml:space="preserve">Financial estimates </w:t>
            </w:r>
          </w:p>
        </w:tc>
        <w:tc>
          <w:tcPr>
            <w:tcW w:w="0" w:type="auto"/>
            <w:shd w:val="clear" w:color="auto" w:fill="auto"/>
            <w:vAlign w:val="center"/>
          </w:tcPr>
          <w:p w14:paraId="54929961" w14:textId="77777777" w:rsidR="00CE2717" w:rsidRPr="00BF6A33" w:rsidRDefault="00CE2717" w:rsidP="00193F44">
            <w:pPr>
              <w:jc w:val="center"/>
              <w:rPr>
                <w:rFonts w:ascii="Arial Narrow" w:hAnsi="Arial Narrow"/>
                <w:bCs/>
                <w:sz w:val="20"/>
                <w:szCs w:val="20"/>
              </w:rPr>
            </w:pPr>
          </w:p>
        </w:tc>
        <w:tc>
          <w:tcPr>
            <w:tcW w:w="0" w:type="auto"/>
            <w:shd w:val="clear" w:color="auto" w:fill="auto"/>
          </w:tcPr>
          <w:p w14:paraId="1712EFC3" w14:textId="77777777" w:rsidR="00CE2717" w:rsidRPr="00BF6A33" w:rsidRDefault="00CE2717" w:rsidP="00193F44">
            <w:pPr>
              <w:rPr>
                <w:rFonts w:ascii="Arial Narrow" w:hAnsi="Arial Narrow"/>
                <w:bCs/>
                <w:iCs/>
                <w:sz w:val="20"/>
                <w:szCs w:val="20"/>
              </w:rPr>
            </w:pPr>
          </w:p>
        </w:tc>
      </w:tr>
      <w:tr w:rsidR="00CE2717" w:rsidRPr="004710DF" w14:paraId="4AA2310E" w14:textId="77777777" w:rsidTr="00193F44">
        <w:tc>
          <w:tcPr>
            <w:tcW w:w="0" w:type="auto"/>
            <w:shd w:val="clear" w:color="auto" w:fill="auto"/>
          </w:tcPr>
          <w:p w14:paraId="1F442EB7" w14:textId="77777777" w:rsidR="00CE2717" w:rsidRDefault="00CE2717" w:rsidP="00193F44">
            <w:pPr>
              <w:rPr>
                <w:rFonts w:ascii="Arial Narrow" w:hAnsi="Arial Narrow"/>
                <w:bCs/>
                <w:sz w:val="20"/>
                <w:szCs w:val="20"/>
              </w:rPr>
            </w:pPr>
            <w:r w:rsidRPr="00BF6A33">
              <w:rPr>
                <w:rFonts w:ascii="Arial Narrow" w:hAnsi="Arial Narrow"/>
                <w:bCs/>
                <w:sz w:val="20"/>
                <w:szCs w:val="20"/>
              </w:rPr>
              <w:t xml:space="preserve">- Effective price per vial </w:t>
            </w:r>
          </w:p>
          <w:p w14:paraId="15C0ED7D" w14:textId="77777777" w:rsidR="00CE2717" w:rsidRPr="00BF6A33" w:rsidRDefault="00CE2717" w:rsidP="00193F44">
            <w:pPr>
              <w:rPr>
                <w:rFonts w:ascii="Arial Narrow" w:hAnsi="Arial Narrow"/>
                <w:bCs/>
                <w:sz w:val="20"/>
                <w:szCs w:val="20"/>
              </w:rPr>
            </w:pPr>
            <w:r w:rsidRPr="00BF6A33">
              <w:rPr>
                <w:rFonts w:ascii="Arial Narrow" w:hAnsi="Arial Narrow"/>
                <w:bCs/>
                <w:sz w:val="20"/>
                <w:szCs w:val="20"/>
              </w:rPr>
              <w:t>(ex-man)</w:t>
            </w:r>
          </w:p>
        </w:tc>
        <w:tc>
          <w:tcPr>
            <w:tcW w:w="0" w:type="auto"/>
            <w:shd w:val="clear" w:color="auto" w:fill="auto"/>
            <w:vAlign w:val="center"/>
          </w:tcPr>
          <w:p w14:paraId="25638112" w14:textId="5CAC4599" w:rsidR="00CE2717" w:rsidRPr="00BF6A33" w:rsidRDefault="00CE2717" w:rsidP="00193F44">
            <w:pPr>
              <w:jc w:val="center"/>
              <w:rPr>
                <w:rFonts w:ascii="Arial Narrow" w:hAnsi="Arial Narrow"/>
                <w:bCs/>
                <w:sz w:val="20"/>
                <w:szCs w:val="20"/>
              </w:rPr>
            </w:pPr>
            <w:r w:rsidRPr="00BF6A33">
              <w:rPr>
                <w:rFonts w:ascii="Arial Narrow" w:hAnsi="Arial Narrow"/>
                <w:bCs/>
                <w:sz w:val="20"/>
                <w:szCs w:val="20"/>
              </w:rPr>
              <w:t>$</w:t>
            </w:r>
            <w:r w:rsidR="00C55149" w:rsidRPr="00C55149">
              <w:rPr>
                <w:rFonts w:ascii="Arial Narrow" w:hAnsi="Arial Narrow"/>
                <w:bCs/>
                <w:color w:val="000000"/>
                <w:sz w:val="20"/>
                <w:szCs w:val="20"/>
                <w:shd w:val="solid" w:color="000000" w:fill="000000"/>
                <w14:textFill>
                  <w14:solidFill>
                    <w14:srgbClr w14:val="000000">
                      <w14:alpha w14:val="100000"/>
                    </w14:srgbClr>
                  </w14:solidFill>
                </w14:textFill>
              </w:rPr>
              <w:t>|</w:t>
            </w:r>
          </w:p>
        </w:tc>
        <w:tc>
          <w:tcPr>
            <w:tcW w:w="0" w:type="auto"/>
            <w:shd w:val="clear" w:color="auto" w:fill="auto"/>
          </w:tcPr>
          <w:p w14:paraId="755B4CE7" w14:textId="6645D607" w:rsidR="00CE2717" w:rsidRPr="00BF6A33" w:rsidRDefault="00CE2717" w:rsidP="00193F44">
            <w:pPr>
              <w:rPr>
                <w:rFonts w:ascii="Arial Narrow" w:hAnsi="Arial Narrow"/>
                <w:bCs/>
                <w:iCs/>
                <w:sz w:val="20"/>
                <w:szCs w:val="20"/>
              </w:rPr>
            </w:pPr>
            <w:r w:rsidRPr="00BF6A33">
              <w:rPr>
                <w:rFonts w:ascii="Arial Narrow" w:hAnsi="Arial Narrow"/>
                <w:bCs/>
                <w:iCs/>
                <w:sz w:val="20"/>
                <w:szCs w:val="20"/>
              </w:rPr>
              <w:t xml:space="preserve">Financial estimates updated with the revised price, consistent with the PBAC </w:t>
            </w:r>
            <w:r w:rsidR="0075741E">
              <w:rPr>
                <w:rFonts w:ascii="Arial Narrow" w:hAnsi="Arial Narrow"/>
                <w:bCs/>
                <w:iCs/>
                <w:sz w:val="20"/>
                <w:szCs w:val="20"/>
              </w:rPr>
              <w:t>PSD</w:t>
            </w:r>
            <w:r w:rsidR="0075741E" w:rsidRPr="00BF6A33">
              <w:rPr>
                <w:rFonts w:ascii="Arial Narrow" w:hAnsi="Arial Narrow"/>
                <w:bCs/>
                <w:iCs/>
                <w:sz w:val="20"/>
                <w:szCs w:val="20"/>
              </w:rPr>
              <w:t xml:space="preserve"> </w:t>
            </w:r>
            <w:r w:rsidRPr="00BF6A33">
              <w:rPr>
                <w:rFonts w:ascii="Arial Narrow" w:hAnsi="Arial Narrow"/>
                <w:bCs/>
                <w:iCs/>
                <w:sz w:val="20"/>
                <w:szCs w:val="20"/>
              </w:rPr>
              <w:t xml:space="preserve">(paragraph </w:t>
            </w:r>
            <w:r>
              <w:rPr>
                <w:rFonts w:ascii="Arial Narrow" w:hAnsi="Arial Narrow"/>
                <w:bCs/>
                <w:iCs/>
                <w:sz w:val="20"/>
                <w:szCs w:val="20"/>
              </w:rPr>
              <w:fldChar w:fldCharType="begin" w:fldLock="1"/>
            </w:r>
            <w:r>
              <w:rPr>
                <w:rFonts w:ascii="Arial Narrow" w:hAnsi="Arial Narrow"/>
                <w:bCs/>
                <w:iCs/>
                <w:sz w:val="20"/>
                <w:szCs w:val="20"/>
              </w:rPr>
              <w:instrText xml:space="preserve"> REF _Ref114490224 \r \h </w:instrText>
            </w:r>
            <w:r>
              <w:rPr>
                <w:rFonts w:ascii="Arial Narrow" w:hAnsi="Arial Narrow"/>
                <w:bCs/>
                <w:iCs/>
                <w:sz w:val="20"/>
                <w:szCs w:val="20"/>
              </w:rPr>
            </w:r>
            <w:r>
              <w:rPr>
                <w:rFonts w:ascii="Arial Narrow" w:hAnsi="Arial Narrow"/>
                <w:bCs/>
                <w:iCs/>
                <w:sz w:val="20"/>
                <w:szCs w:val="20"/>
              </w:rPr>
              <w:fldChar w:fldCharType="separate"/>
            </w:r>
            <w:r>
              <w:rPr>
                <w:rFonts w:ascii="Arial Narrow" w:hAnsi="Arial Narrow"/>
                <w:bCs/>
                <w:iCs/>
                <w:sz w:val="20"/>
                <w:szCs w:val="20"/>
              </w:rPr>
              <w:t>7.9</w:t>
            </w:r>
            <w:r>
              <w:rPr>
                <w:rFonts w:ascii="Arial Narrow" w:hAnsi="Arial Narrow"/>
                <w:bCs/>
                <w:iCs/>
                <w:sz w:val="20"/>
                <w:szCs w:val="20"/>
              </w:rPr>
              <w:fldChar w:fldCharType="end"/>
            </w:r>
            <w:r w:rsidRPr="00BF6A33">
              <w:rPr>
                <w:rFonts w:ascii="Arial Narrow" w:hAnsi="Arial Narrow"/>
                <w:bCs/>
                <w:iCs/>
                <w:sz w:val="20"/>
                <w:szCs w:val="20"/>
              </w:rPr>
              <w:t>)</w:t>
            </w:r>
            <w:r>
              <w:rPr>
                <w:rFonts w:ascii="Arial Narrow" w:hAnsi="Arial Narrow"/>
                <w:bCs/>
                <w:iCs/>
                <w:sz w:val="20"/>
                <w:szCs w:val="20"/>
              </w:rPr>
              <w:t>.</w:t>
            </w:r>
          </w:p>
        </w:tc>
      </w:tr>
    </w:tbl>
    <w:p w14:paraId="4B40B8BB" w14:textId="77777777" w:rsidR="00CE2717" w:rsidRPr="004710DF" w:rsidRDefault="00CE2717" w:rsidP="00CE2717"/>
    <w:p w14:paraId="0CFBC530" w14:textId="77777777" w:rsidR="00CE2717" w:rsidRPr="00DD72AC" w:rsidRDefault="00CE2717" w:rsidP="00CE2717">
      <w:pPr>
        <w:pStyle w:val="4-SubsectionHeading"/>
        <w:rPr>
          <w:rFonts w:eastAsia="SimSun"/>
          <w:lang w:eastAsia="zh-CN"/>
        </w:rPr>
      </w:pPr>
      <w:bookmarkStart w:id="83" w:name="_Ref112317228"/>
      <w:bookmarkStart w:id="84" w:name="_Toc112414458"/>
      <w:r w:rsidRPr="00DD72AC">
        <w:t>Comparative effectiveness</w:t>
      </w:r>
    </w:p>
    <w:p w14:paraId="31C88174" w14:textId="77777777" w:rsidR="00CE2717" w:rsidRDefault="00CE2717" w:rsidP="00CE2717">
      <w:pPr>
        <w:pStyle w:val="3-BodyText"/>
      </w:pPr>
      <w:r>
        <w:t>The resubmission noted that since the PBAC consideration in July 2022, the CSR for Study 111-206 had become available. In relation to relevant clinical data beyond height improvement, the resubmission presented MRI data for children &lt;5 years from Study 111-206 for facial volume, sinus volume and foramen magnum area (</w:t>
      </w:r>
      <w:r>
        <w:fldChar w:fldCharType="begin" w:fldLock="1"/>
      </w:r>
      <w:r>
        <w:instrText xml:space="preserve"> REF _Ref114494872 \h  \* MERGEFORMAT </w:instrText>
      </w:r>
      <w:r>
        <w:fldChar w:fldCharType="separate"/>
      </w:r>
      <w:r w:rsidRPr="00ED3ACE">
        <w:t>Table 21</w:t>
      </w:r>
      <w:r>
        <w:fldChar w:fldCharType="end"/>
      </w:r>
      <w:r>
        <w:t>).</w:t>
      </w:r>
    </w:p>
    <w:p w14:paraId="741B0FC3" w14:textId="77777777" w:rsidR="00CE2717" w:rsidRDefault="00CE2717" w:rsidP="00CE2717">
      <w:pPr>
        <w:pStyle w:val="3-BodyText"/>
      </w:pPr>
      <w:r>
        <w:t xml:space="preserve">The resubmission stated that based on comparison of MRI parameters at Week 52, positive numerical changes were observed with vosoritide treatment compared to placebo, most notably in Cohort 3 (aged &lt; 6 months), including marked positive percentage change from baseline in facial volume, sinus volume and the area of foramen magnum. The resubmission stated that the changes observed in the youngest cohort (aged &lt; 6 months) versus those aged </w:t>
      </w:r>
      <w:r w:rsidRPr="00ED3ACE">
        <w:t>≥</w:t>
      </w:r>
      <w:r>
        <w:t xml:space="preserve">6 months was consistent with the </w:t>
      </w:r>
      <w:r w:rsidRPr="004D1E6D">
        <w:t>growth of the foramen magnum</w:t>
      </w:r>
      <w:r>
        <w:t xml:space="preserve"> being </w:t>
      </w:r>
      <w:r w:rsidRPr="004D1E6D">
        <w:t xml:space="preserve">negligible </w:t>
      </w:r>
      <w:r>
        <w:t xml:space="preserve">beyond 6 months of age in children with achondroplasia (Hecht 1989), and highlighted the importance of commencing treatment as early as possible. </w:t>
      </w:r>
    </w:p>
    <w:p w14:paraId="4D3896C3" w14:textId="77777777" w:rsidR="00CE2717" w:rsidRPr="00ED3ACE" w:rsidRDefault="00CE2717" w:rsidP="00CE2717">
      <w:pPr>
        <w:pStyle w:val="3-BodyText"/>
        <w:rPr>
          <w:rFonts w:eastAsiaTheme="majorEastAsia" w:cstheme="majorBidi"/>
          <w:b/>
          <w:i/>
          <w:spacing w:val="5"/>
          <w:kern w:val="28"/>
          <w:sz w:val="28"/>
          <w:szCs w:val="36"/>
        </w:rPr>
      </w:pPr>
      <w:r>
        <w:t xml:space="preserve">The resubmission stated that whilst the dataset was small and the data were variable, the observed MRI finding from Study 111-206 indicate that vosoritide treatment may have the potential to impact on craniofacial and foramen magnum growth, meaning it is possible that early onset treatment with vosoritide could in turn reduce the risk of sudden death, sleep disordered breathing and need for decompression surgery. The resubmission stated that longer-term follow up from Study 111-208 together with the </w:t>
      </w:r>
      <w:r w:rsidRPr="003E74E3">
        <w:t xml:space="preserve">ongoing study comparing current standard of care versus vosoritide treatment in infants age less than 1 year with achondroplasia at risk of requiring surgical decompression of the foramen magnum </w:t>
      </w:r>
      <w:r>
        <w:t>(Study 111-209) will continue to assess whether these observed MRI changes translate to decreased death and complications.</w:t>
      </w:r>
    </w:p>
    <w:p w14:paraId="0EFC987A" w14:textId="77777777" w:rsidR="00CE2717" w:rsidRPr="00ED3ACE" w:rsidRDefault="00CE2717" w:rsidP="00CE2717">
      <w:pPr>
        <w:keepNext/>
        <w:jc w:val="left"/>
        <w:rPr>
          <w:rFonts w:ascii="Arial Narrow" w:eastAsiaTheme="majorEastAsia" w:hAnsi="Arial Narrow" w:cstheme="majorBidi"/>
          <w:b/>
          <w:sz w:val="20"/>
        </w:rPr>
      </w:pPr>
      <w:bookmarkStart w:id="85" w:name="_Ref114494872"/>
      <w:r w:rsidRPr="00ED3ACE">
        <w:rPr>
          <w:rFonts w:ascii="Arial Narrow" w:eastAsiaTheme="majorEastAsia" w:hAnsi="Arial Narrow" w:cstheme="majorBidi"/>
          <w:b/>
          <w:sz w:val="20"/>
        </w:rPr>
        <w:lastRenderedPageBreak/>
        <w:t xml:space="preserve">Table </w:t>
      </w:r>
      <w:r w:rsidRPr="00ED3ACE">
        <w:rPr>
          <w:rFonts w:ascii="Arial Narrow" w:eastAsiaTheme="majorEastAsia" w:hAnsi="Arial Narrow" w:cstheme="majorBidi"/>
          <w:b/>
          <w:sz w:val="20"/>
        </w:rPr>
        <w:fldChar w:fldCharType="begin" w:fldLock="1"/>
      </w:r>
      <w:r w:rsidRPr="00ED3ACE">
        <w:rPr>
          <w:rFonts w:ascii="Arial Narrow" w:eastAsiaTheme="majorEastAsia" w:hAnsi="Arial Narrow" w:cstheme="majorBidi"/>
          <w:b/>
          <w:sz w:val="20"/>
        </w:rPr>
        <w:instrText xml:space="preserve"> SEQ Table \* ARABIC </w:instrText>
      </w:r>
      <w:r w:rsidRPr="00ED3ACE">
        <w:rPr>
          <w:rFonts w:ascii="Arial Narrow" w:eastAsiaTheme="majorEastAsia" w:hAnsi="Arial Narrow" w:cstheme="majorBidi"/>
          <w:b/>
          <w:sz w:val="20"/>
        </w:rPr>
        <w:fldChar w:fldCharType="separate"/>
      </w:r>
      <w:r>
        <w:rPr>
          <w:rFonts w:ascii="Arial Narrow" w:eastAsiaTheme="majorEastAsia" w:hAnsi="Arial Narrow" w:cstheme="majorBidi"/>
          <w:b/>
          <w:noProof/>
          <w:sz w:val="20"/>
        </w:rPr>
        <w:t>21</w:t>
      </w:r>
      <w:r w:rsidRPr="00ED3ACE">
        <w:rPr>
          <w:rFonts w:ascii="Arial Narrow" w:eastAsiaTheme="majorEastAsia" w:hAnsi="Arial Narrow" w:cstheme="majorBidi"/>
          <w:b/>
          <w:sz w:val="20"/>
        </w:rPr>
        <w:fldChar w:fldCharType="end"/>
      </w:r>
      <w:bookmarkEnd w:id="85"/>
      <w:r w:rsidRPr="00ED3ACE">
        <w:rPr>
          <w:rFonts w:ascii="Arial Narrow" w:eastAsiaTheme="majorEastAsia" w:hAnsi="Arial Narrow" w:cstheme="majorBidi"/>
          <w:b/>
          <w:sz w:val="20"/>
        </w:rPr>
        <w:t xml:space="preserve"> Change in select MRI parameters from baseline to Week 52 by Cohort – Safety population</w:t>
      </w:r>
    </w:p>
    <w:tbl>
      <w:tblPr>
        <w:tblStyle w:val="THEMA"/>
        <w:tblW w:w="0" w:type="auto"/>
        <w:tblLook w:val="04A0" w:firstRow="1" w:lastRow="0" w:firstColumn="1" w:lastColumn="0" w:noHBand="0" w:noVBand="1"/>
      </w:tblPr>
      <w:tblGrid>
        <w:gridCol w:w="1060"/>
        <w:gridCol w:w="843"/>
        <w:gridCol w:w="508"/>
        <w:gridCol w:w="909"/>
        <w:gridCol w:w="457"/>
        <w:gridCol w:w="849"/>
        <w:gridCol w:w="442"/>
        <w:gridCol w:w="915"/>
        <w:gridCol w:w="376"/>
        <w:gridCol w:w="930"/>
        <w:gridCol w:w="436"/>
        <w:gridCol w:w="920"/>
        <w:gridCol w:w="371"/>
      </w:tblGrid>
      <w:tr w:rsidR="00CE2717" w:rsidRPr="009E022A" w14:paraId="253CDC5D" w14:textId="77777777" w:rsidTr="00193F44">
        <w:trPr>
          <w:cnfStyle w:val="100000000000" w:firstRow="1" w:lastRow="0" w:firstColumn="0" w:lastColumn="0" w:oddVBand="0" w:evenVBand="0" w:oddHBand="0" w:evenHBand="0" w:firstRowFirstColumn="0" w:firstRowLastColumn="0" w:lastRowFirstColumn="0" w:lastRowLastColumn="0"/>
        </w:trPr>
        <w:tc>
          <w:tcPr>
            <w:tcW w:w="1167" w:type="dxa"/>
            <w:tcBorders>
              <w:bottom w:val="nil"/>
            </w:tcBorders>
            <w:shd w:val="clear" w:color="auto" w:fill="auto"/>
          </w:tcPr>
          <w:p w14:paraId="0B722770" w14:textId="77777777" w:rsidR="00CE2717" w:rsidRPr="009E022A" w:rsidRDefault="00CE2717" w:rsidP="00193F44">
            <w:pPr>
              <w:pStyle w:val="TableText0"/>
            </w:pPr>
            <w:r w:rsidRPr="009E022A">
              <w:t>Variable</w:t>
            </w:r>
          </w:p>
        </w:tc>
        <w:tc>
          <w:tcPr>
            <w:tcW w:w="2903" w:type="dxa"/>
            <w:gridSpan w:val="4"/>
            <w:shd w:val="clear" w:color="auto" w:fill="auto"/>
          </w:tcPr>
          <w:p w14:paraId="355FA01F" w14:textId="77777777" w:rsidR="00CE2717" w:rsidRPr="009E022A" w:rsidRDefault="00CE2717" w:rsidP="00193F44">
            <w:pPr>
              <w:pStyle w:val="TableText0"/>
              <w:jc w:val="center"/>
            </w:pPr>
            <w:r w:rsidRPr="009E022A">
              <w:t>Cohort 1</w:t>
            </w:r>
            <w:r>
              <w:t xml:space="preserve"> (</w:t>
            </w:r>
            <w:r w:rsidRPr="009E022A">
              <w:rPr>
                <w:rFonts w:hint="eastAsia"/>
              </w:rPr>
              <w:t xml:space="preserve">Age </w:t>
            </w:r>
            <w:r>
              <w:t>≥</w:t>
            </w:r>
            <w:r w:rsidRPr="009E022A">
              <w:rPr>
                <w:rFonts w:hint="eastAsia"/>
              </w:rPr>
              <w:t xml:space="preserve"> 24 to &lt; 60 months</w:t>
            </w:r>
            <w:r>
              <w:t>)</w:t>
            </w:r>
          </w:p>
        </w:tc>
        <w:tc>
          <w:tcPr>
            <w:tcW w:w="2745" w:type="dxa"/>
            <w:gridSpan w:val="4"/>
            <w:shd w:val="clear" w:color="auto" w:fill="auto"/>
          </w:tcPr>
          <w:p w14:paraId="308E9416" w14:textId="77777777" w:rsidR="00CE2717" w:rsidRPr="009E022A" w:rsidRDefault="00CE2717" w:rsidP="00193F44">
            <w:pPr>
              <w:pStyle w:val="TableText0"/>
              <w:jc w:val="center"/>
            </w:pPr>
            <w:r w:rsidRPr="009E022A">
              <w:t>Cohort 2</w:t>
            </w:r>
            <w:r>
              <w:t xml:space="preserve"> (</w:t>
            </w:r>
            <w:r w:rsidRPr="00E74CC6">
              <w:rPr>
                <w:rFonts w:hint="eastAsia"/>
              </w:rPr>
              <w:t xml:space="preserve">Age </w:t>
            </w:r>
            <w:r>
              <w:t xml:space="preserve">≥ </w:t>
            </w:r>
            <w:r w:rsidRPr="00E74CC6">
              <w:rPr>
                <w:rFonts w:hint="eastAsia"/>
              </w:rPr>
              <w:t>6 to &lt; 24 months</w:t>
            </w:r>
            <w:r>
              <w:t>)</w:t>
            </w:r>
          </w:p>
        </w:tc>
        <w:tc>
          <w:tcPr>
            <w:tcW w:w="2813" w:type="dxa"/>
            <w:gridSpan w:val="4"/>
            <w:shd w:val="clear" w:color="auto" w:fill="auto"/>
          </w:tcPr>
          <w:p w14:paraId="68D3ED20" w14:textId="77777777" w:rsidR="00CE2717" w:rsidRPr="009E022A" w:rsidRDefault="00CE2717" w:rsidP="00193F44">
            <w:pPr>
              <w:pStyle w:val="TableText0"/>
              <w:jc w:val="center"/>
            </w:pPr>
            <w:r w:rsidRPr="009E022A">
              <w:t>Cohort 3</w:t>
            </w:r>
            <w:r>
              <w:t xml:space="preserve"> (</w:t>
            </w:r>
            <w:r w:rsidRPr="00E74CC6">
              <w:rPr>
                <w:rFonts w:hint="eastAsia"/>
              </w:rPr>
              <w:t xml:space="preserve">Age </w:t>
            </w:r>
            <w:r>
              <w:t xml:space="preserve">&lt; </w:t>
            </w:r>
            <w:r w:rsidRPr="00E74CC6">
              <w:rPr>
                <w:rFonts w:hint="eastAsia"/>
              </w:rPr>
              <w:t>6 months</w:t>
            </w:r>
            <w:r>
              <w:t>)</w:t>
            </w:r>
          </w:p>
        </w:tc>
      </w:tr>
      <w:tr w:rsidR="00CE2717" w:rsidRPr="009E022A" w14:paraId="2165685C" w14:textId="77777777" w:rsidTr="00193F44">
        <w:tc>
          <w:tcPr>
            <w:tcW w:w="1167" w:type="dxa"/>
            <w:tcBorders>
              <w:top w:val="nil"/>
              <w:bottom w:val="nil"/>
            </w:tcBorders>
          </w:tcPr>
          <w:p w14:paraId="2ADE994E" w14:textId="77777777" w:rsidR="00CE2717" w:rsidRPr="009E022A" w:rsidRDefault="00CE2717" w:rsidP="00193F44">
            <w:pPr>
              <w:pStyle w:val="TableText0"/>
              <w:rPr>
                <w:b/>
              </w:rPr>
            </w:pPr>
          </w:p>
        </w:tc>
        <w:tc>
          <w:tcPr>
            <w:tcW w:w="1464" w:type="dxa"/>
            <w:gridSpan w:val="2"/>
          </w:tcPr>
          <w:p w14:paraId="38ABFDAF" w14:textId="77777777" w:rsidR="00CE2717" w:rsidRPr="009E022A" w:rsidRDefault="00CE2717" w:rsidP="00193F44">
            <w:pPr>
              <w:pStyle w:val="TableText0"/>
              <w:jc w:val="center"/>
              <w:rPr>
                <w:b/>
              </w:rPr>
            </w:pPr>
            <w:r w:rsidRPr="009E022A">
              <w:rPr>
                <w:b/>
              </w:rPr>
              <w:t>Vosoritide (N=19)</w:t>
            </w:r>
          </w:p>
        </w:tc>
        <w:tc>
          <w:tcPr>
            <w:tcW w:w="1439" w:type="dxa"/>
            <w:gridSpan w:val="2"/>
          </w:tcPr>
          <w:p w14:paraId="392FECD4" w14:textId="77777777" w:rsidR="00CE2717" w:rsidRPr="009E022A" w:rsidRDefault="00CE2717" w:rsidP="00193F44">
            <w:pPr>
              <w:pStyle w:val="TableText0"/>
              <w:jc w:val="center"/>
              <w:rPr>
                <w:b/>
              </w:rPr>
            </w:pPr>
            <w:r w:rsidRPr="009E022A">
              <w:rPr>
                <w:b/>
              </w:rPr>
              <w:t>Placebo (N=16)</w:t>
            </w:r>
          </w:p>
        </w:tc>
        <w:tc>
          <w:tcPr>
            <w:tcW w:w="1372" w:type="dxa"/>
            <w:gridSpan w:val="2"/>
          </w:tcPr>
          <w:p w14:paraId="7E9D5B13" w14:textId="77777777" w:rsidR="00CE2717" w:rsidRPr="009E022A" w:rsidRDefault="00CE2717" w:rsidP="00193F44">
            <w:pPr>
              <w:pStyle w:val="TableText0"/>
              <w:jc w:val="center"/>
              <w:rPr>
                <w:b/>
              </w:rPr>
            </w:pPr>
            <w:r w:rsidRPr="009E022A">
              <w:rPr>
                <w:b/>
              </w:rPr>
              <w:t>Vosoritide (N=12)</w:t>
            </w:r>
          </w:p>
        </w:tc>
        <w:tc>
          <w:tcPr>
            <w:tcW w:w="1373" w:type="dxa"/>
            <w:gridSpan w:val="2"/>
          </w:tcPr>
          <w:p w14:paraId="75BBF4D7" w14:textId="77777777" w:rsidR="00CE2717" w:rsidRPr="009E022A" w:rsidRDefault="00CE2717" w:rsidP="00193F44">
            <w:pPr>
              <w:pStyle w:val="TableText0"/>
              <w:jc w:val="center"/>
              <w:rPr>
                <w:b/>
              </w:rPr>
            </w:pPr>
            <w:r w:rsidRPr="009E022A">
              <w:rPr>
                <w:b/>
              </w:rPr>
              <w:t>Placebo (N=8)</w:t>
            </w:r>
          </w:p>
        </w:tc>
        <w:tc>
          <w:tcPr>
            <w:tcW w:w="1440" w:type="dxa"/>
            <w:gridSpan w:val="2"/>
          </w:tcPr>
          <w:p w14:paraId="46ACCF92" w14:textId="77777777" w:rsidR="00CE2717" w:rsidRPr="009E022A" w:rsidRDefault="00CE2717" w:rsidP="00193F44">
            <w:pPr>
              <w:pStyle w:val="TableText0"/>
              <w:jc w:val="center"/>
              <w:rPr>
                <w:b/>
              </w:rPr>
            </w:pPr>
            <w:r w:rsidRPr="009E022A">
              <w:rPr>
                <w:b/>
              </w:rPr>
              <w:t>Vosoritide (N=12)</w:t>
            </w:r>
          </w:p>
        </w:tc>
        <w:tc>
          <w:tcPr>
            <w:tcW w:w="1373" w:type="dxa"/>
            <w:gridSpan w:val="2"/>
          </w:tcPr>
          <w:p w14:paraId="6EA3EA6E" w14:textId="77777777" w:rsidR="00CE2717" w:rsidRPr="009E022A" w:rsidRDefault="00CE2717" w:rsidP="00193F44">
            <w:pPr>
              <w:pStyle w:val="TableText0"/>
              <w:jc w:val="center"/>
              <w:rPr>
                <w:b/>
              </w:rPr>
            </w:pPr>
            <w:r w:rsidRPr="009E022A">
              <w:rPr>
                <w:b/>
              </w:rPr>
              <w:t>Placebo (N=8)</w:t>
            </w:r>
          </w:p>
        </w:tc>
      </w:tr>
      <w:tr w:rsidR="00CE2717" w14:paraId="4221B2D6" w14:textId="77777777" w:rsidTr="00193F44">
        <w:tc>
          <w:tcPr>
            <w:tcW w:w="1167" w:type="dxa"/>
            <w:tcBorders>
              <w:top w:val="nil"/>
              <w:bottom w:val="single" w:sz="4" w:space="0" w:color="auto"/>
            </w:tcBorders>
          </w:tcPr>
          <w:p w14:paraId="4A616890" w14:textId="77777777" w:rsidR="00CE2717" w:rsidRDefault="00CE2717" w:rsidP="00193F44">
            <w:pPr>
              <w:pStyle w:val="TableText0"/>
            </w:pPr>
          </w:p>
        </w:tc>
        <w:tc>
          <w:tcPr>
            <w:tcW w:w="899" w:type="dxa"/>
            <w:tcBorders>
              <w:bottom w:val="single" w:sz="4" w:space="0" w:color="auto"/>
            </w:tcBorders>
          </w:tcPr>
          <w:p w14:paraId="15F53FAC" w14:textId="77777777" w:rsidR="00CE2717" w:rsidRDefault="00CE2717" w:rsidP="00193F44">
            <w:pPr>
              <w:pStyle w:val="TableText0"/>
              <w:jc w:val="center"/>
            </w:pPr>
            <w:r>
              <w:t>Mean (SD)</w:t>
            </w:r>
          </w:p>
        </w:tc>
        <w:tc>
          <w:tcPr>
            <w:tcW w:w="565" w:type="dxa"/>
            <w:tcBorders>
              <w:bottom w:val="single" w:sz="4" w:space="0" w:color="auto"/>
            </w:tcBorders>
          </w:tcPr>
          <w:p w14:paraId="7C985769" w14:textId="77777777" w:rsidR="00CE2717" w:rsidRDefault="00CE2717" w:rsidP="00193F44">
            <w:pPr>
              <w:pStyle w:val="TableText0"/>
              <w:jc w:val="center"/>
            </w:pPr>
            <w:r>
              <w:t>n</w:t>
            </w:r>
          </w:p>
        </w:tc>
        <w:tc>
          <w:tcPr>
            <w:tcW w:w="952" w:type="dxa"/>
            <w:tcBorders>
              <w:bottom w:val="single" w:sz="4" w:space="0" w:color="auto"/>
            </w:tcBorders>
          </w:tcPr>
          <w:p w14:paraId="7B5E649B" w14:textId="77777777" w:rsidR="00CE2717" w:rsidRDefault="00CE2717" w:rsidP="00193F44">
            <w:pPr>
              <w:pStyle w:val="TableText0"/>
              <w:jc w:val="center"/>
            </w:pPr>
            <w:r>
              <w:t>Mean (SD)</w:t>
            </w:r>
          </w:p>
        </w:tc>
        <w:tc>
          <w:tcPr>
            <w:tcW w:w="487" w:type="dxa"/>
            <w:tcBorders>
              <w:bottom w:val="single" w:sz="4" w:space="0" w:color="auto"/>
            </w:tcBorders>
          </w:tcPr>
          <w:p w14:paraId="6F468C1C" w14:textId="77777777" w:rsidR="00CE2717" w:rsidRDefault="00CE2717" w:rsidP="00193F44">
            <w:pPr>
              <w:pStyle w:val="TableText0"/>
              <w:jc w:val="center"/>
            </w:pPr>
            <w:r>
              <w:t>n</w:t>
            </w:r>
          </w:p>
        </w:tc>
        <w:tc>
          <w:tcPr>
            <w:tcW w:w="908" w:type="dxa"/>
            <w:tcBorders>
              <w:bottom w:val="single" w:sz="4" w:space="0" w:color="auto"/>
            </w:tcBorders>
          </w:tcPr>
          <w:p w14:paraId="007A0D7B" w14:textId="77777777" w:rsidR="00CE2717" w:rsidRDefault="00CE2717" w:rsidP="00193F44">
            <w:pPr>
              <w:pStyle w:val="TableText0"/>
              <w:jc w:val="center"/>
            </w:pPr>
            <w:r>
              <w:t>Mean (SD)</w:t>
            </w:r>
          </w:p>
        </w:tc>
        <w:tc>
          <w:tcPr>
            <w:tcW w:w="464" w:type="dxa"/>
            <w:tcBorders>
              <w:bottom w:val="single" w:sz="4" w:space="0" w:color="auto"/>
            </w:tcBorders>
          </w:tcPr>
          <w:p w14:paraId="6563CC2C" w14:textId="77777777" w:rsidR="00CE2717" w:rsidRDefault="00CE2717" w:rsidP="00193F44">
            <w:pPr>
              <w:pStyle w:val="TableText0"/>
              <w:jc w:val="center"/>
            </w:pPr>
            <w:r>
              <w:t>n</w:t>
            </w:r>
          </w:p>
        </w:tc>
        <w:tc>
          <w:tcPr>
            <w:tcW w:w="961" w:type="dxa"/>
            <w:tcBorders>
              <w:bottom w:val="single" w:sz="4" w:space="0" w:color="auto"/>
            </w:tcBorders>
          </w:tcPr>
          <w:p w14:paraId="409C9F6F" w14:textId="77777777" w:rsidR="00CE2717" w:rsidRDefault="00CE2717" w:rsidP="00193F44">
            <w:pPr>
              <w:pStyle w:val="TableText0"/>
              <w:jc w:val="center"/>
            </w:pPr>
            <w:r>
              <w:t>Mean (SD)</w:t>
            </w:r>
          </w:p>
        </w:tc>
        <w:tc>
          <w:tcPr>
            <w:tcW w:w="412" w:type="dxa"/>
            <w:tcBorders>
              <w:bottom w:val="single" w:sz="4" w:space="0" w:color="auto"/>
            </w:tcBorders>
          </w:tcPr>
          <w:p w14:paraId="539D3665" w14:textId="77777777" w:rsidR="00CE2717" w:rsidRDefault="00CE2717" w:rsidP="00193F44">
            <w:pPr>
              <w:pStyle w:val="TableText0"/>
              <w:jc w:val="center"/>
            </w:pPr>
            <w:r>
              <w:t>n</w:t>
            </w:r>
          </w:p>
        </w:tc>
        <w:tc>
          <w:tcPr>
            <w:tcW w:w="984" w:type="dxa"/>
            <w:tcBorders>
              <w:bottom w:val="single" w:sz="4" w:space="0" w:color="auto"/>
            </w:tcBorders>
          </w:tcPr>
          <w:p w14:paraId="513CAF0F" w14:textId="77777777" w:rsidR="00CE2717" w:rsidRDefault="00CE2717" w:rsidP="00193F44">
            <w:pPr>
              <w:pStyle w:val="TableText0"/>
              <w:jc w:val="center"/>
            </w:pPr>
            <w:r>
              <w:t>Mean (SD)</w:t>
            </w:r>
          </w:p>
        </w:tc>
        <w:tc>
          <w:tcPr>
            <w:tcW w:w="456" w:type="dxa"/>
            <w:tcBorders>
              <w:bottom w:val="single" w:sz="4" w:space="0" w:color="auto"/>
            </w:tcBorders>
          </w:tcPr>
          <w:p w14:paraId="2014C1A5" w14:textId="77777777" w:rsidR="00CE2717" w:rsidRDefault="00CE2717" w:rsidP="00193F44">
            <w:pPr>
              <w:pStyle w:val="TableText0"/>
              <w:jc w:val="center"/>
            </w:pPr>
            <w:r>
              <w:t>n</w:t>
            </w:r>
          </w:p>
        </w:tc>
        <w:tc>
          <w:tcPr>
            <w:tcW w:w="969" w:type="dxa"/>
            <w:tcBorders>
              <w:bottom w:val="single" w:sz="4" w:space="0" w:color="auto"/>
            </w:tcBorders>
          </w:tcPr>
          <w:p w14:paraId="57559FB2" w14:textId="77777777" w:rsidR="00CE2717" w:rsidRDefault="00CE2717" w:rsidP="00193F44">
            <w:pPr>
              <w:pStyle w:val="TableText0"/>
              <w:jc w:val="center"/>
            </w:pPr>
            <w:r>
              <w:t>Mean (SD)</w:t>
            </w:r>
          </w:p>
        </w:tc>
        <w:tc>
          <w:tcPr>
            <w:tcW w:w="404" w:type="dxa"/>
            <w:tcBorders>
              <w:bottom w:val="single" w:sz="4" w:space="0" w:color="auto"/>
            </w:tcBorders>
          </w:tcPr>
          <w:p w14:paraId="0ADC57D1" w14:textId="77777777" w:rsidR="00CE2717" w:rsidRDefault="00CE2717" w:rsidP="00193F44">
            <w:pPr>
              <w:pStyle w:val="TableText0"/>
              <w:jc w:val="center"/>
            </w:pPr>
            <w:r>
              <w:t>n</w:t>
            </w:r>
          </w:p>
        </w:tc>
      </w:tr>
      <w:tr w:rsidR="00CE2717" w:rsidRPr="00E74CC6" w14:paraId="3D2A49D9" w14:textId="77777777" w:rsidTr="00193F44">
        <w:tc>
          <w:tcPr>
            <w:tcW w:w="9628" w:type="dxa"/>
            <w:gridSpan w:val="13"/>
            <w:shd w:val="clear" w:color="auto" w:fill="F2F2F2" w:themeFill="background1" w:themeFillShade="F2"/>
          </w:tcPr>
          <w:p w14:paraId="21D68147" w14:textId="77777777" w:rsidR="00CE2717" w:rsidRPr="00E74CC6" w:rsidRDefault="00CE2717" w:rsidP="00193F44">
            <w:pPr>
              <w:pStyle w:val="TableText0"/>
              <w:rPr>
                <w:b/>
                <w:bCs w:val="0"/>
              </w:rPr>
            </w:pPr>
            <w:r w:rsidRPr="00E74CC6">
              <w:rPr>
                <w:b/>
                <w:bCs w:val="0"/>
              </w:rPr>
              <w:t>Volume of face (cm</w:t>
            </w:r>
            <w:r w:rsidRPr="00E74CC6">
              <w:rPr>
                <w:b/>
                <w:bCs w:val="0"/>
                <w:vertAlign w:val="superscript"/>
              </w:rPr>
              <w:t>3</w:t>
            </w:r>
            <w:r w:rsidRPr="00E74CC6">
              <w:rPr>
                <w:b/>
                <w:bCs w:val="0"/>
              </w:rPr>
              <w:t>)</w:t>
            </w:r>
          </w:p>
        </w:tc>
      </w:tr>
      <w:tr w:rsidR="00CE2717" w14:paraId="17B73994" w14:textId="77777777" w:rsidTr="00193F44">
        <w:tc>
          <w:tcPr>
            <w:tcW w:w="1167" w:type="dxa"/>
          </w:tcPr>
          <w:p w14:paraId="1A5FE77F" w14:textId="77777777" w:rsidR="00CE2717" w:rsidRDefault="00CE2717" w:rsidP="00193F44">
            <w:pPr>
              <w:pStyle w:val="TableText0"/>
            </w:pPr>
            <w:r>
              <w:t>Baseline</w:t>
            </w:r>
          </w:p>
        </w:tc>
        <w:tc>
          <w:tcPr>
            <w:tcW w:w="899" w:type="dxa"/>
          </w:tcPr>
          <w:p w14:paraId="6C40A88F" w14:textId="77777777" w:rsidR="00CE2717" w:rsidRDefault="00CE2717" w:rsidP="00193F44">
            <w:pPr>
              <w:pStyle w:val="TableText0"/>
              <w:jc w:val="center"/>
            </w:pPr>
            <w:r w:rsidRPr="007E467E">
              <w:t>582.4</w:t>
            </w:r>
            <w:r>
              <w:t>1</w:t>
            </w:r>
            <w:r w:rsidRPr="007E467E">
              <w:t xml:space="preserve"> (88.15)</w:t>
            </w:r>
          </w:p>
        </w:tc>
        <w:tc>
          <w:tcPr>
            <w:tcW w:w="565" w:type="dxa"/>
          </w:tcPr>
          <w:p w14:paraId="078F6359" w14:textId="77777777" w:rsidR="00CE2717" w:rsidRDefault="00CE2717" w:rsidP="00193F44">
            <w:pPr>
              <w:pStyle w:val="TableText0"/>
              <w:jc w:val="center"/>
            </w:pPr>
            <w:r>
              <w:t>16</w:t>
            </w:r>
          </w:p>
        </w:tc>
        <w:tc>
          <w:tcPr>
            <w:tcW w:w="952" w:type="dxa"/>
          </w:tcPr>
          <w:p w14:paraId="22E3084D" w14:textId="77777777" w:rsidR="00CE2717" w:rsidRDefault="00CE2717" w:rsidP="00193F44">
            <w:pPr>
              <w:pStyle w:val="TableText0"/>
              <w:jc w:val="center"/>
            </w:pPr>
            <w:r w:rsidRPr="007E467E">
              <w:t>573.83 (91.0</w:t>
            </w:r>
            <w:r>
              <w:t>2)</w:t>
            </w:r>
          </w:p>
        </w:tc>
        <w:tc>
          <w:tcPr>
            <w:tcW w:w="487" w:type="dxa"/>
          </w:tcPr>
          <w:p w14:paraId="7AC249EF" w14:textId="77777777" w:rsidR="00CE2717" w:rsidRDefault="00CE2717" w:rsidP="00193F44">
            <w:pPr>
              <w:pStyle w:val="TableText0"/>
              <w:jc w:val="center"/>
            </w:pPr>
            <w:r>
              <w:t>13</w:t>
            </w:r>
          </w:p>
        </w:tc>
        <w:tc>
          <w:tcPr>
            <w:tcW w:w="908" w:type="dxa"/>
          </w:tcPr>
          <w:p w14:paraId="0A9B5F79" w14:textId="77777777" w:rsidR="00CE2717" w:rsidRDefault="00CE2717" w:rsidP="00193F44">
            <w:pPr>
              <w:pStyle w:val="TableText0"/>
              <w:jc w:val="center"/>
            </w:pPr>
            <w:r w:rsidRPr="007E467E">
              <w:t>451.48 (61.43)</w:t>
            </w:r>
          </w:p>
        </w:tc>
        <w:tc>
          <w:tcPr>
            <w:tcW w:w="464" w:type="dxa"/>
          </w:tcPr>
          <w:p w14:paraId="05AA4C00" w14:textId="77777777" w:rsidR="00CE2717" w:rsidRDefault="00CE2717" w:rsidP="00193F44">
            <w:pPr>
              <w:pStyle w:val="TableText0"/>
              <w:jc w:val="center"/>
            </w:pPr>
            <w:r>
              <w:t>12</w:t>
            </w:r>
          </w:p>
        </w:tc>
        <w:tc>
          <w:tcPr>
            <w:tcW w:w="961" w:type="dxa"/>
          </w:tcPr>
          <w:p w14:paraId="71324176" w14:textId="77777777" w:rsidR="00CE2717" w:rsidRDefault="00CE2717" w:rsidP="00193F44">
            <w:pPr>
              <w:pStyle w:val="TableText0"/>
              <w:jc w:val="center"/>
            </w:pPr>
            <w:r w:rsidRPr="007E467E">
              <w:t>450.79 (71.</w:t>
            </w:r>
            <w:r>
              <w:t>20</w:t>
            </w:r>
            <w:r w:rsidRPr="007E467E">
              <w:t>)</w:t>
            </w:r>
          </w:p>
        </w:tc>
        <w:tc>
          <w:tcPr>
            <w:tcW w:w="412" w:type="dxa"/>
          </w:tcPr>
          <w:p w14:paraId="3006452D" w14:textId="77777777" w:rsidR="00CE2717" w:rsidRDefault="00CE2717" w:rsidP="00193F44">
            <w:pPr>
              <w:pStyle w:val="TableText0"/>
              <w:jc w:val="center"/>
            </w:pPr>
            <w:r>
              <w:t>8</w:t>
            </w:r>
          </w:p>
        </w:tc>
        <w:tc>
          <w:tcPr>
            <w:tcW w:w="984" w:type="dxa"/>
          </w:tcPr>
          <w:p w14:paraId="7B98AC2E" w14:textId="77777777" w:rsidR="00CE2717" w:rsidRDefault="00CE2717" w:rsidP="00193F44">
            <w:pPr>
              <w:pStyle w:val="TableText0"/>
              <w:jc w:val="center"/>
            </w:pPr>
            <w:r w:rsidRPr="007E467E">
              <w:t>340.3</w:t>
            </w:r>
            <w:r>
              <w:t>7</w:t>
            </w:r>
            <w:r w:rsidRPr="007E467E">
              <w:t xml:space="preserve"> (38.68</w:t>
            </w:r>
            <w:r>
              <w:t>)</w:t>
            </w:r>
          </w:p>
        </w:tc>
        <w:tc>
          <w:tcPr>
            <w:tcW w:w="456" w:type="dxa"/>
          </w:tcPr>
          <w:p w14:paraId="2B1262F0" w14:textId="77777777" w:rsidR="00CE2717" w:rsidRDefault="00CE2717" w:rsidP="00193F44">
            <w:pPr>
              <w:pStyle w:val="TableText0"/>
              <w:jc w:val="center"/>
            </w:pPr>
            <w:r>
              <w:t>11</w:t>
            </w:r>
          </w:p>
        </w:tc>
        <w:tc>
          <w:tcPr>
            <w:tcW w:w="969" w:type="dxa"/>
          </w:tcPr>
          <w:p w14:paraId="7B6A5F56" w14:textId="77777777" w:rsidR="00CE2717" w:rsidRDefault="00CE2717" w:rsidP="00193F44">
            <w:pPr>
              <w:pStyle w:val="TableText0"/>
              <w:jc w:val="center"/>
            </w:pPr>
            <w:r w:rsidRPr="007E467E">
              <w:t>357.5</w:t>
            </w:r>
            <w:r>
              <w:t>3</w:t>
            </w:r>
            <w:r w:rsidRPr="007E467E">
              <w:t xml:space="preserve"> (51.1</w:t>
            </w:r>
            <w:r>
              <w:t>6</w:t>
            </w:r>
            <w:r w:rsidRPr="007E467E">
              <w:t>)</w:t>
            </w:r>
          </w:p>
        </w:tc>
        <w:tc>
          <w:tcPr>
            <w:tcW w:w="404" w:type="dxa"/>
          </w:tcPr>
          <w:p w14:paraId="3AD85164" w14:textId="77777777" w:rsidR="00CE2717" w:rsidRDefault="00CE2717" w:rsidP="00193F44">
            <w:pPr>
              <w:pStyle w:val="TableText0"/>
              <w:jc w:val="center"/>
            </w:pPr>
            <w:r>
              <w:t>8</w:t>
            </w:r>
          </w:p>
        </w:tc>
      </w:tr>
      <w:tr w:rsidR="00CE2717" w14:paraId="2A987878" w14:textId="77777777" w:rsidTr="00193F44">
        <w:tc>
          <w:tcPr>
            <w:tcW w:w="1167" w:type="dxa"/>
          </w:tcPr>
          <w:p w14:paraId="6B28AAD8" w14:textId="77777777" w:rsidR="00CE2717" w:rsidRDefault="00CE2717" w:rsidP="00193F44">
            <w:pPr>
              <w:pStyle w:val="TableText0"/>
            </w:pPr>
            <w:r>
              <w:t xml:space="preserve">Change at </w:t>
            </w:r>
            <w:proofErr w:type="spellStart"/>
            <w:r>
              <w:t>Wk</w:t>
            </w:r>
            <w:proofErr w:type="spellEnd"/>
            <w:r>
              <w:t xml:space="preserve"> 52 </w:t>
            </w:r>
          </w:p>
        </w:tc>
        <w:tc>
          <w:tcPr>
            <w:tcW w:w="899" w:type="dxa"/>
          </w:tcPr>
          <w:p w14:paraId="122F16A2" w14:textId="77777777" w:rsidR="00CE2717" w:rsidRDefault="00CE2717" w:rsidP="00193F44">
            <w:pPr>
              <w:pStyle w:val="TableText0"/>
              <w:jc w:val="center"/>
            </w:pPr>
            <w:r w:rsidRPr="007E467E">
              <w:t>34.95 (39.15)</w:t>
            </w:r>
          </w:p>
        </w:tc>
        <w:tc>
          <w:tcPr>
            <w:tcW w:w="565" w:type="dxa"/>
          </w:tcPr>
          <w:p w14:paraId="33840990" w14:textId="77777777" w:rsidR="00CE2717" w:rsidRDefault="00CE2717" w:rsidP="00193F44">
            <w:pPr>
              <w:pStyle w:val="TableText0"/>
              <w:jc w:val="center"/>
            </w:pPr>
            <w:r>
              <w:t>14</w:t>
            </w:r>
          </w:p>
        </w:tc>
        <w:tc>
          <w:tcPr>
            <w:tcW w:w="952" w:type="dxa"/>
          </w:tcPr>
          <w:p w14:paraId="6B6FA271" w14:textId="77777777" w:rsidR="00CE2717" w:rsidRDefault="00CE2717" w:rsidP="00193F44">
            <w:pPr>
              <w:pStyle w:val="TableText0"/>
              <w:jc w:val="center"/>
            </w:pPr>
            <w:r w:rsidRPr="007E467E">
              <w:t>61.45 (23.21)</w:t>
            </w:r>
          </w:p>
        </w:tc>
        <w:tc>
          <w:tcPr>
            <w:tcW w:w="487" w:type="dxa"/>
          </w:tcPr>
          <w:p w14:paraId="34B7ADAE" w14:textId="77777777" w:rsidR="00CE2717" w:rsidRDefault="00CE2717" w:rsidP="00193F44">
            <w:pPr>
              <w:pStyle w:val="TableText0"/>
              <w:jc w:val="center"/>
            </w:pPr>
            <w:r>
              <w:t>8</w:t>
            </w:r>
          </w:p>
        </w:tc>
        <w:tc>
          <w:tcPr>
            <w:tcW w:w="908" w:type="dxa"/>
          </w:tcPr>
          <w:p w14:paraId="058EC3F5" w14:textId="77777777" w:rsidR="00CE2717" w:rsidRDefault="00CE2717" w:rsidP="00193F44">
            <w:pPr>
              <w:pStyle w:val="TableText0"/>
              <w:jc w:val="center"/>
            </w:pPr>
            <w:r w:rsidRPr="007E467E">
              <w:t>89.58 (42.33)</w:t>
            </w:r>
          </w:p>
        </w:tc>
        <w:tc>
          <w:tcPr>
            <w:tcW w:w="464" w:type="dxa"/>
          </w:tcPr>
          <w:p w14:paraId="51003604" w14:textId="77777777" w:rsidR="00CE2717" w:rsidRDefault="00CE2717" w:rsidP="00193F44">
            <w:pPr>
              <w:pStyle w:val="TableText0"/>
              <w:jc w:val="center"/>
            </w:pPr>
            <w:r>
              <w:t>7</w:t>
            </w:r>
          </w:p>
        </w:tc>
        <w:tc>
          <w:tcPr>
            <w:tcW w:w="961" w:type="dxa"/>
          </w:tcPr>
          <w:p w14:paraId="10251125" w14:textId="77777777" w:rsidR="00CE2717" w:rsidRDefault="00CE2717" w:rsidP="00193F44">
            <w:pPr>
              <w:pStyle w:val="TableText0"/>
              <w:jc w:val="center"/>
            </w:pPr>
            <w:r w:rsidRPr="007E467E">
              <w:t>68.80 (24.63)</w:t>
            </w:r>
          </w:p>
        </w:tc>
        <w:tc>
          <w:tcPr>
            <w:tcW w:w="412" w:type="dxa"/>
          </w:tcPr>
          <w:p w14:paraId="790F7C2C" w14:textId="77777777" w:rsidR="00CE2717" w:rsidRDefault="00CE2717" w:rsidP="00193F44">
            <w:pPr>
              <w:pStyle w:val="TableText0"/>
              <w:jc w:val="center"/>
            </w:pPr>
            <w:r>
              <w:t>7</w:t>
            </w:r>
          </w:p>
        </w:tc>
        <w:tc>
          <w:tcPr>
            <w:tcW w:w="984" w:type="dxa"/>
          </w:tcPr>
          <w:p w14:paraId="621BABFA" w14:textId="77777777" w:rsidR="00CE2717" w:rsidRDefault="00CE2717" w:rsidP="00193F44">
            <w:pPr>
              <w:pStyle w:val="TableText0"/>
              <w:jc w:val="center"/>
            </w:pPr>
            <w:r w:rsidRPr="007E467E">
              <w:t>144.38 (24.11)</w:t>
            </w:r>
          </w:p>
        </w:tc>
        <w:tc>
          <w:tcPr>
            <w:tcW w:w="456" w:type="dxa"/>
          </w:tcPr>
          <w:p w14:paraId="5AA189BC" w14:textId="77777777" w:rsidR="00CE2717" w:rsidRDefault="00CE2717" w:rsidP="00193F44">
            <w:pPr>
              <w:pStyle w:val="TableText0"/>
              <w:jc w:val="center"/>
            </w:pPr>
            <w:r>
              <w:t>9</w:t>
            </w:r>
          </w:p>
        </w:tc>
        <w:tc>
          <w:tcPr>
            <w:tcW w:w="969" w:type="dxa"/>
          </w:tcPr>
          <w:p w14:paraId="022DCB11" w14:textId="77777777" w:rsidR="00CE2717" w:rsidRDefault="00CE2717" w:rsidP="00193F44">
            <w:pPr>
              <w:pStyle w:val="TableText0"/>
              <w:jc w:val="center"/>
            </w:pPr>
            <w:r w:rsidRPr="009E022A">
              <w:t>111.17 (33.0</w:t>
            </w:r>
            <w:r>
              <w:t>9</w:t>
            </w:r>
            <w:r w:rsidRPr="009E022A">
              <w:t>)</w:t>
            </w:r>
          </w:p>
        </w:tc>
        <w:tc>
          <w:tcPr>
            <w:tcW w:w="404" w:type="dxa"/>
          </w:tcPr>
          <w:p w14:paraId="31D3EF84" w14:textId="77777777" w:rsidR="00CE2717" w:rsidRDefault="00CE2717" w:rsidP="00193F44">
            <w:pPr>
              <w:pStyle w:val="TableText0"/>
              <w:jc w:val="center"/>
            </w:pPr>
            <w:r>
              <w:t>6</w:t>
            </w:r>
          </w:p>
        </w:tc>
      </w:tr>
      <w:tr w:rsidR="00CE2717" w14:paraId="3B07012D" w14:textId="77777777" w:rsidTr="00193F44">
        <w:tc>
          <w:tcPr>
            <w:tcW w:w="1167" w:type="dxa"/>
            <w:tcBorders>
              <w:bottom w:val="single" w:sz="4" w:space="0" w:color="auto"/>
            </w:tcBorders>
          </w:tcPr>
          <w:p w14:paraId="36525216" w14:textId="77777777" w:rsidR="00CE2717" w:rsidRDefault="00CE2717" w:rsidP="00193F44">
            <w:pPr>
              <w:pStyle w:val="TableText0"/>
            </w:pPr>
            <w:r>
              <w:t xml:space="preserve">% Change at </w:t>
            </w:r>
            <w:proofErr w:type="spellStart"/>
            <w:r>
              <w:t>Wk</w:t>
            </w:r>
            <w:proofErr w:type="spellEnd"/>
            <w:r>
              <w:t xml:space="preserve"> 52</w:t>
            </w:r>
          </w:p>
        </w:tc>
        <w:tc>
          <w:tcPr>
            <w:tcW w:w="899" w:type="dxa"/>
            <w:tcBorders>
              <w:bottom w:val="single" w:sz="4" w:space="0" w:color="auto"/>
            </w:tcBorders>
          </w:tcPr>
          <w:p w14:paraId="0F23DC34" w14:textId="77777777" w:rsidR="00CE2717" w:rsidRDefault="00CE2717" w:rsidP="00193F44">
            <w:pPr>
              <w:pStyle w:val="TableText0"/>
              <w:jc w:val="center"/>
            </w:pPr>
            <w:r w:rsidRPr="009E022A">
              <w:t>6.32 (7.82)</w:t>
            </w:r>
          </w:p>
        </w:tc>
        <w:tc>
          <w:tcPr>
            <w:tcW w:w="565" w:type="dxa"/>
            <w:tcBorders>
              <w:bottom w:val="single" w:sz="4" w:space="0" w:color="auto"/>
            </w:tcBorders>
          </w:tcPr>
          <w:p w14:paraId="6DC371EF" w14:textId="77777777" w:rsidR="00CE2717" w:rsidRDefault="00CE2717" w:rsidP="00193F44">
            <w:pPr>
              <w:pStyle w:val="TableText0"/>
              <w:jc w:val="center"/>
            </w:pPr>
            <w:r>
              <w:t>14</w:t>
            </w:r>
          </w:p>
        </w:tc>
        <w:tc>
          <w:tcPr>
            <w:tcW w:w="952" w:type="dxa"/>
            <w:tcBorders>
              <w:bottom w:val="single" w:sz="4" w:space="0" w:color="auto"/>
            </w:tcBorders>
          </w:tcPr>
          <w:p w14:paraId="7DF6BCC1" w14:textId="77777777" w:rsidR="00CE2717" w:rsidRDefault="00CE2717" w:rsidP="00193F44">
            <w:pPr>
              <w:pStyle w:val="TableText0"/>
              <w:jc w:val="center"/>
            </w:pPr>
            <w:r w:rsidRPr="009E022A">
              <w:t>11.85 (4.96)</w:t>
            </w:r>
          </w:p>
        </w:tc>
        <w:tc>
          <w:tcPr>
            <w:tcW w:w="487" w:type="dxa"/>
            <w:tcBorders>
              <w:bottom w:val="single" w:sz="4" w:space="0" w:color="auto"/>
            </w:tcBorders>
          </w:tcPr>
          <w:p w14:paraId="7DB43DB5" w14:textId="77777777" w:rsidR="00CE2717" w:rsidRDefault="00CE2717" w:rsidP="00193F44">
            <w:pPr>
              <w:pStyle w:val="TableText0"/>
              <w:jc w:val="center"/>
            </w:pPr>
            <w:r>
              <w:t>8</w:t>
            </w:r>
          </w:p>
        </w:tc>
        <w:tc>
          <w:tcPr>
            <w:tcW w:w="908" w:type="dxa"/>
            <w:tcBorders>
              <w:bottom w:val="single" w:sz="4" w:space="0" w:color="auto"/>
            </w:tcBorders>
          </w:tcPr>
          <w:p w14:paraId="06B043DD" w14:textId="77777777" w:rsidR="00CE2717" w:rsidRDefault="00CE2717" w:rsidP="00193F44">
            <w:pPr>
              <w:pStyle w:val="TableText0"/>
              <w:jc w:val="center"/>
            </w:pPr>
            <w:r w:rsidRPr="009E022A">
              <w:t>20.56 (10.48)</w:t>
            </w:r>
          </w:p>
        </w:tc>
        <w:tc>
          <w:tcPr>
            <w:tcW w:w="464" w:type="dxa"/>
            <w:tcBorders>
              <w:bottom w:val="single" w:sz="4" w:space="0" w:color="auto"/>
            </w:tcBorders>
          </w:tcPr>
          <w:p w14:paraId="3328398C" w14:textId="77777777" w:rsidR="00CE2717" w:rsidRDefault="00CE2717" w:rsidP="00193F44">
            <w:pPr>
              <w:pStyle w:val="TableText0"/>
              <w:jc w:val="center"/>
            </w:pPr>
            <w:r>
              <w:t>7</w:t>
            </w:r>
          </w:p>
        </w:tc>
        <w:tc>
          <w:tcPr>
            <w:tcW w:w="961" w:type="dxa"/>
            <w:tcBorders>
              <w:bottom w:val="single" w:sz="4" w:space="0" w:color="auto"/>
            </w:tcBorders>
          </w:tcPr>
          <w:p w14:paraId="2934758B" w14:textId="77777777" w:rsidR="00CE2717" w:rsidRDefault="00CE2717" w:rsidP="00193F44">
            <w:pPr>
              <w:pStyle w:val="TableText0"/>
              <w:jc w:val="center"/>
            </w:pPr>
            <w:r w:rsidRPr="009E022A">
              <w:t>15.08 (5.66)</w:t>
            </w:r>
          </w:p>
        </w:tc>
        <w:tc>
          <w:tcPr>
            <w:tcW w:w="412" w:type="dxa"/>
            <w:tcBorders>
              <w:bottom w:val="single" w:sz="4" w:space="0" w:color="auto"/>
            </w:tcBorders>
          </w:tcPr>
          <w:p w14:paraId="5C8E2C7D" w14:textId="77777777" w:rsidR="00CE2717" w:rsidRDefault="00CE2717" w:rsidP="00193F44">
            <w:pPr>
              <w:pStyle w:val="TableText0"/>
              <w:jc w:val="center"/>
            </w:pPr>
            <w:r>
              <w:t>7</w:t>
            </w:r>
          </w:p>
        </w:tc>
        <w:tc>
          <w:tcPr>
            <w:tcW w:w="984" w:type="dxa"/>
            <w:tcBorders>
              <w:bottom w:val="single" w:sz="4" w:space="0" w:color="auto"/>
            </w:tcBorders>
          </w:tcPr>
          <w:p w14:paraId="554D8CD4" w14:textId="77777777" w:rsidR="00CE2717" w:rsidRDefault="00CE2717" w:rsidP="00193F44">
            <w:pPr>
              <w:pStyle w:val="TableText0"/>
              <w:jc w:val="center"/>
            </w:pPr>
            <w:r w:rsidRPr="009E022A">
              <w:t>43.49 (10.33)</w:t>
            </w:r>
          </w:p>
        </w:tc>
        <w:tc>
          <w:tcPr>
            <w:tcW w:w="456" w:type="dxa"/>
            <w:tcBorders>
              <w:bottom w:val="single" w:sz="4" w:space="0" w:color="auto"/>
            </w:tcBorders>
          </w:tcPr>
          <w:p w14:paraId="1B207D8E" w14:textId="77777777" w:rsidR="00CE2717" w:rsidRDefault="00CE2717" w:rsidP="00193F44">
            <w:pPr>
              <w:pStyle w:val="TableText0"/>
              <w:jc w:val="center"/>
            </w:pPr>
            <w:r>
              <w:t>9</w:t>
            </w:r>
          </w:p>
        </w:tc>
        <w:tc>
          <w:tcPr>
            <w:tcW w:w="969" w:type="dxa"/>
            <w:tcBorders>
              <w:bottom w:val="single" w:sz="4" w:space="0" w:color="auto"/>
            </w:tcBorders>
          </w:tcPr>
          <w:p w14:paraId="487D7093" w14:textId="77777777" w:rsidR="00CE2717" w:rsidRDefault="00CE2717" w:rsidP="00193F44">
            <w:pPr>
              <w:pStyle w:val="TableText0"/>
              <w:jc w:val="center"/>
            </w:pPr>
            <w:r w:rsidRPr="009E022A">
              <w:t>33.74 (12.66)</w:t>
            </w:r>
          </w:p>
        </w:tc>
        <w:tc>
          <w:tcPr>
            <w:tcW w:w="404" w:type="dxa"/>
            <w:tcBorders>
              <w:bottom w:val="single" w:sz="4" w:space="0" w:color="auto"/>
            </w:tcBorders>
          </w:tcPr>
          <w:p w14:paraId="0F5495E4" w14:textId="77777777" w:rsidR="00CE2717" w:rsidRDefault="00CE2717" w:rsidP="00193F44">
            <w:pPr>
              <w:pStyle w:val="TableText0"/>
              <w:jc w:val="center"/>
            </w:pPr>
            <w:r>
              <w:t>6</w:t>
            </w:r>
          </w:p>
        </w:tc>
      </w:tr>
      <w:tr w:rsidR="00CE2717" w:rsidRPr="00E74CC6" w14:paraId="1EE1EE63" w14:textId="77777777" w:rsidTr="00193F44">
        <w:tc>
          <w:tcPr>
            <w:tcW w:w="9628" w:type="dxa"/>
            <w:gridSpan w:val="13"/>
            <w:shd w:val="clear" w:color="auto" w:fill="F2F2F2" w:themeFill="background1" w:themeFillShade="F2"/>
          </w:tcPr>
          <w:p w14:paraId="16C501C7" w14:textId="77777777" w:rsidR="00CE2717" w:rsidRPr="00E74CC6" w:rsidRDefault="00CE2717" w:rsidP="00193F44">
            <w:pPr>
              <w:pStyle w:val="TableText0"/>
              <w:rPr>
                <w:b/>
                <w:bCs w:val="0"/>
              </w:rPr>
            </w:pPr>
            <w:r>
              <w:rPr>
                <w:b/>
                <w:bCs w:val="0"/>
              </w:rPr>
              <w:t>Volume of sinus</w:t>
            </w:r>
            <w:r w:rsidRPr="00E74CC6">
              <w:rPr>
                <w:b/>
                <w:bCs w:val="0"/>
              </w:rPr>
              <w:t xml:space="preserve"> (cm</w:t>
            </w:r>
            <w:r w:rsidRPr="00E74CC6">
              <w:rPr>
                <w:b/>
                <w:bCs w:val="0"/>
                <w:vertAlign w:val="superscript"/>
              </w:rPr>
              <w:t>3</w:t>
            </w:r>
            <w:r w:rsidRPr="00E74CC6">
              <w:rPr>
                <w:b/>
                <w:bCs w:val="0"/>
              </w:rPr>
              <w:t>)</w:t>
            </w:r>
          </w:p>
        </w:tc>
      </w:tr>
      <w:tr w:rsidR="00CE2717" w14:paraId="48EB3A5F" w14:textId="77777777" w:rsidTr="00193F44">
        <w:tc>
          <w:tcPr>
            <w:tcW w:w="1167" w:type="dxa"/>
          </w:tcPr>
          <w:p w14:paraId="5C82FD31" w14:textId="77777777" w:rsidR="00CE2717" w:rsidRDefault="00CE2717" w:rsidP="00193F44">
            <w:pPr>
              <w:pStyle w:val="TableText0"/>
            </w:pPr>
            <w:r>
              <w:t>Baseline</w:t>
            </w:r>
          </w:p>
        </w:tc>
        <w:tc>
          <w:tcPr>
            <w:tcW w:w="899" w:type="dxa"/>
          </w:tcPr>
          <w:p w14:paraId="2838279B" w14:textId="77777777" w:rsidR="00CE2717" w:rsidRDefault="00CE2717" w:rsidP="00193F44">
            <w:pPr>
              <w:pStyle w:val="TableText0"/>
              <w:jc w:val="center"/>
            </w:pPr>
            <w:r w:rsidRPr="00432A06">
              <w:t>9.48 (4.20)</w:t>
            </w:r>
          </w:p>
        </w:tc>
        <w:tc>
          <w:tcPr>
            <w:tcW w:w="565" w:type="dxa"/>
          </w:tcPr>
          <w:p w14:paraId="0D5420E1" w14:textId="77777777" w:rsidR="00CE2717" w:rsidRDefault="00CE2717" w:rsidP="00193F44">
            <w:pPr>
              <w:pStyle w:val="TableText0"/>
              <w:jc w:val="center"/>
            </w:pPr>
            <w:r>
              <w:t>19</w:t>
            </w:r>
          </w:p>
        </w:tc>
        <w:tc>
          <w:tcPr>
            <w:tcW w:w="952" w:type="dxa"/>
          </w:tcPr>
          <w:p w14:paraId="6F7E1AB9" w14:textId="77777777" w:rsidR="00CE2717" w:rsidRDefault="00CE2717" w:rsidP="00193F44">
            <w:pPr>
              <w:pStyle w:val="TableText0"/>
              <w:jc w:val="center"/>
            </w:pPr>
            <w:r w:rsidRPr="00432A06">
              <w:t>8.</w:t>
            </w:r>
            <w:r>
              <w:t>90</w:t>
            </w:r>
            <w:r w:rsidRPr="00432A06">
              <w:t xml:space="preserve"> (3.9</w:t>
            </w:r>
            <w:r>
              <w:t>1</w:t>
            </w:r>
            <w:r w:rsidRPr="00432A06">
              <w:t>)</w:t>
            </w:r>
          </w:p>
        </w:tc>
        <w:tc>
          <w:tcPr>
            <w:tcW w:w="487" w:type="dxa"/>
          </w:tcPr>
          <w:p w14:paraId="53D413E2" w14:textId="77777777" w:rsidR="00CE2717" w:rsidRDefault="00CE2717" w:rsidP="00193F44">
            <w:pPr>
              <w:pStyle w:val="TableText0"/>
              <w:jc w:val="center"/>
            </w:pPr>
            <w:r>
              <w:t>16</w:t>
            </w:r>
          </w:p>
        </w:tc>
        <w:tc>
          <w:tcPr>
            <w:tcW w:w="908" w:type="dxa"/>
          </w:tcPr>
          <w:p w14:paraId="0A0B9581" w14:textId="77777777" w:rsidR="00CE2717" w:rsidRDefault="00CE2717" w:rsidP="00193F44">
            <w:pPr>
              <w:pStyle w:val="TableText0"/>
              <w:jc w:val="center"/>
            </w:pPr>
            <w:r w:rsidRPr="00432A06">
              <w:t>4.35 (3.4</w:t>
            </w:r>
            <w:r>
              <w:t>6</w:t>
            </w:r>
            <w:r w:rsidRPr="00432A06">
              <w:t>)</w:t>
            </w:r>
          </w:p>
        </w:tc>
        <w:tc>
          <w:tcPr>
            <w:tcW w:w="464" w:type="dxa"/>
          </w:tcPr>
          <w:p w14:paraId="79732584" w14:textId="77777777" w:rsidR="00CE2717" w:rsidRDefault="00CE2717" w:rsidP="00193F44">
            <w:pPr>
              <w:pStyle w:val="TableText0"/>
              <w:jc w:val="center"/>
            </w:pPr>
            <w:r>
              <w:t>12</w:t>
            </w:r>
          </w:p>
        </w:tc>
        <w:tc>
          <w:tcPr>
            <w:tcW w:w="961" w:type="dxa"/>
          </w:tcPr>
          <w:p w14:paraId="517326DF" w14:textId="77777777" w:rsidR="00CE2717" w:rsidRDefault="00CE2717" w:rsidP="00193F44">
            <w:pPr>
              <w:pStyle w:val="TableText0"/>
              <w:jc w:val="center"/>
            </w:pPr>
            <w:r w:rsidRPr="00432A06">
              <w:t>5.3</w:t>
            </w:r>
            <w:r>
              <w:t>8</w:t>
            </w:r>
            <w:r w:rsidRPr="00432A06">
              <w:t xml:space="preserve"> (4.48)</w:t>
            </w:r>
          </w:p>
        </w:tc>
        <w:tc>
          <w:tcPr>
            <w:tcW w:w="412" w:type="dxa"/>
          </w:tcPr>
          <w:p w14:paraId="49A724D5" w14:textId="77777777" w:rsidR="00CE2717" w:rsidRDefault="00CE2717" w:rsidP="00193F44">
            <w:pPr>
              <w:pStyle w:val="TableText0"/>
              <w:jc w:val="center"/>
            </w:pPr>
            <w:r>
              <w:t>8</w:t>
            </w:r>
          </w:p>
        </w:tc>
        <w:tc>
          <w:tcPr>
            <w:tcW w:w="984" w:type="dxa"/>
          </w:tcPr>
          <w:p w14:paraId="2C3CE7D5" w14:textId="77777777" w:rsidR="00CE2717" w:rsidRDefault="00CE2717" w:rsidP="00193F44">
            <w:pPr>
              <w:pStyle w:val="TableText0"/>
              <w:jc w:val="center"/>
            </w:pPr>
            <w:r w:rsidRPr="00432A06">
              <w:t>2.33 (1.62)</w:t>
            </w:r>
            <w:r>
              <w:rPr>
                <w:noProof/>
              </w:rPr>
              <w:t xml:space="preserve"> </w:t>
            </w:r>
          </w:p>
        </w:tc>
        <w:tc>
          <w:tcPr>
            <w:tcW w:w="456" w:type="dxa"/>
          </w:tcPr>
          <w:p w14:paraId="379691CC" w14:textId="77777777" w:rsidR="00CE2717" w:rsidRDefault="00CE2717" w:rsidP="00193F44">
            <w:pPr>
              <w:pStyle w:val="TableText0"/>
              <w:jc w:val="center"/>
            </w:pPr>
            <w:r>
              <w:t>12</w:t>
            </w:r>
          </w:p>
        </w:tc>
        <w:tc>
          <w:tcPr>
            <w:tcW w:w="969" w:type="dxa"/>
          </w:tcPr>
          <w:p w14:paraId="26641A86" w14:textId="77777777" w:rsidR="00CE2717" w:rsidRDefault="00CE2717" w:rsidP="00193F44">
            <w:pPr>
              <w:pStyle w:val="TableText0"/>
              <w:jc w:val="center"/>
            </w:pPr>
            <w:r w:rsidRPr="00432A06">
              <w:t>2.78 (2.20)</w:t>
            </w:r>
          </w:p>
        </w:tc>
        <w:tc>
          <w:tcPr>
            <w:tcW w:w="404" w:type="dxa"/>
          </w:tcPr>
          <w:p w14:paraId="695A513B" w14:textId="77777777" w:rsidR="00CE2717" w:rsidRDefault="00CE2717" w:rsidP="00193F44">
            <w:pPr>
              <w:pStyle w:val="TableText0"/>
              <w:jc w:val="center"/>
            </w:pPr>
            <w:r>
              <w:t>8</w:t>
            </w:r>
          </w:p>
        </w:tc>
      </w:tr>
      <w:tr w:rsidR="00CE2717" w14:paraId="0BE885BC" w14:textId="77777777" w:rsidTr="00193F44">
        <w:tc>
          <w:tcPr>
            <w:tcW w:w="1167" w:type="dxa"/>
          </w:tcPr>
          <w:p w14:paraId="032B249C" w14:textId="77777777" w:rsidR="00CE2717" w:rsidRDefault="00CE2717" w:rsidP="00193F44">
            <w:pPr>
              <w:pStyle w:val="TableText0"/>
            </w:pPr>
            <w:r>
              <w:t xml:space="preserve">Change at </w:t>
            </w:r>
            <w:proofErr w:type="spellStart"/>
            <w:r>
              <w:t>Wk</w:t>
            </w:r>
            <w:proofErr w:type="spellEnd"/>
            <w:r>
              <w:t xml:space="preserve"> 52 </w:t>
            </w:r>
          </w:p>
        </w:tc>
        <w:tc>
          <w:tcPr>
            <w:tcW w:w="899" w:type="dxa"/>
          </w:tcPr>
          <w:p w14:paraId="29281CD6" w14:textId="77777777" w:rsidR="00CE2717" w:rsidRDefault="00CE2717" w:rsidP="00193F44">
            <w:pPr>
              <w:pStyle w:val="TableText0"/>
              <w:jc w:val="center"/>
            </w:pPr>
            <w:r w:rsidRPr="00432A06">
              <w:t>12.75 (5.51)</w:t>
            </w:r>
          </w:p>
        </w:tc>
        <w:tc>
          <w:tcPr>
            <w:tcW w:w="565" w:type="dxa"/>
          </w:tcPr>
          <w:p w14:paraId="02E6FF03" w14:textId="77777777" w:rsidR="00CE2717" w:rsidRDefault="00CE2717" w:rsidP="00193F44">
            <w:pPr>
              <w:pStyle w:val="TableText0"/>
              <w:jc w:val="center"/>
            </w:pPr>
            <w:r>
              <w:t>17</w:t>
            </w:r>
          </w:p>
        </w:tc>
        <w:tc>
          <w:tcPr>
            <w:tcW w:w="952" w:type="dxa"/>
          </w:tcPr>
          <w:p w14:paraId="72D1C238" w14:textId="77777777" w:rsidR="00CE2717" w:rsidRDefault="00CE2717" w:rsidP="00193F44">
            <w:pPr>
              <w:pStyle w:val="TableText0"/>
              <w:jc w:val="center"/>
            </w:pPr>
            <w:r w:rsidRPr="00432A06">
              <w:t>11.0</w:t>
            </w:r>
            <w:r>
              <w:t>9</w:t>
            </w:r>
            <w:r w:rsidRPr="00432A06">
              <w:t xml:space="preserve"> (3.0</w:t>
            </w:r>
            <w:r>
              <w:t>9</w:t>
            </w:r>
            <w:r w:rsidRPr="00432A06">
              <w:t>)</w:t>
            </w:r>
          </w:p>
        </w:tc>
        <w:tc>
          <w:tcPr>
            <w:tcW w:w="487" w:type="dxa"/>
          </w:tcPr>
          <w:p w14:paraId="7414DE05" w14:textId="77777777" w:rsidR="00CE2717" w:rsidRDefault="00CE2717" w:rsidP="00193F44">
            <w:pPr>
              <w:pStyle w:val="TableText0"/>
              <w:jc w:val="center"/>
            </w:pPr>
            <w:r>
              <w:t>11</w:t>
            </w:r>
          </w:p>
        </w:tc>
        <w:tc>
          <w:tcPr>
            <w:tcW w:w="908" w:type="dxa"/>
          </w:tcPr>
          <w:p w14:paraId="5F966A83" w14:textId="77777777" w:rsidR="00CE2717" w:rsidRDefault="00CE2717" w:rsidP="00193F44">
            <w:pPr>
              <w:pStyle w:val="TableText0"/>
              <w:jc w:val="center"/>
            </w:pPr>
            <w:r w:rsidRPr="00432A06">
              <w:t>1.11 (3.7</w:t>
            </w:r>
            <w:r>
              <w:t>3</w:t>
            </w:r>
            <w:r w:rsidRPr="00432A06">
              <w:t>)</w:t>
            </w:r>
          </w:p>
        </w:tc>
        <w:tc>
          <w:tcPr>
            <w:tcW w:w="464" w:type="dxa"/>
          </w:tcPr>
          <w:p w14:paraId="288117CE" w14:textId="77777777" w:rsidR="00CE2717" w:rsidRDefault="00CE2717" w:rsidP="00193F44">
            <w:pPr>
              <w:pStyle w:val="TableText0"/>
              <w:jc w:val="center"/>
            </w:pPr>
            <w:r>
              <w:t>8</w:t>
            </w:r>
          </w:p>
        </w:tc>
        <w:tc>
          <w:tcPr>
            <w:tcW w:w="961" w:type="dxa"/>
          </w:tcPr>
          <w:p w14:paraId="7B7B091B" w14:textId="77777777" w:rsidR="00CE2717" w:rsidRDefault="00CE2717" w:rsidP="00193F44">
            <w:pPr>
              <w:pStyle w:val="TableText0"/>
              <w:jc w:val="center"/>
            </w:pPr>
            <w:r w:rsidRPr="00432A06">
              <w:t>0.0</w:t>
            </w:r>
            <w:r>
              <w:t>8</w:t>
            </w:r>
            <w:r w:rsidRPr="00432A06">
              <w:t xml:space="preserve"> (3.4</w:t>
            </w:r>
            <w:r>
              <w:t>3</w:t>
            </w:r>
            <w:r w:rsidRPr="00432A06">
              <w:t>)</w:t>
            </w:r>
          </w:p>
        </w:tc>
        <w:tc>
          <w:tcPr>
            <w:tcW w:w="412" w:type="dxa"/>
          </w:tcPr>
          <w:p w14:paraId="3A1957C1" w14:textId="77777777" w:rsidR="00CE2717" w:rsidRDefault="00CE2717" w:rsidP="00193F44">
            <w:pPr>
              <w:pStyle w:val="TableText0"/>
              <w:jc w:val="center"/>
            </w:pPr>
            <w:r>
              <w:t>7</w:t>
            </w:r>
          </w:p>
        </w:tc>
        <w:tc>
          <w:tcPr>
            <w:tcW w:w="984" w:type="dxa"/>
          </w:tcPr>
          <w:p w14:paraId="79486632" w14:textId="77777777" w:rsidR="00CE2717" w:rsidRDefault="00CE2717" w:rsidP="00193F44">
            <w:pPr>
              <w:pStyle w:val="TableText0"/>
              <w:jc w:val="center"/>
            </w:pPr>
            <w:r w:rsidRPr="00432A06">
              <w:t>1.86 (2.3</w:t>
            </w:r>
            <w:r>
              <w:t>9</w:t>
            </w:r>
            <w:r w:rsidRPr="00432A06">
              <w:t>)</w:t>
            </w:r>
          </w:p>
        </w:tc>
        <w:tc>
          <w:tcPr>
            <w:tcW w:w="456" w:type="dxa"/>
          </w:tcPr>
          <w:p w14:paraId="69857942" w14:textId="77777777" w:rsidR="00CE2717" w:rsidRDefault="00CE2717" w:rsidP="00193F44">
            <w:pPr>
              <w:pStyle w:val="TableText0"/>
              <w:jc w:val="center"/>
            </w:pPr>
            <w:r>
              <w:t>10</w:t>
            </w:r>
          </w:p>
        </w:tc>
        <w:tc>
          <w:tcPr>
            <w:tcW w:w="969" w:type="dxa"/>
          </w:tcPr>
          <w:p w14:paraId="4089C4CC" w14:textId="77777777" w:rsidR="00CE2717" w:rsidRDefault="00CE2717" w:rsidP="00193F44">
            <w:pPr>
              <w:pStyle w:val="TableText0"/>
              <w:jc w:val="center"/>
            </w:pPr>
            <w:r w:rsidRPr="00432A06">
              <w:t>-1.01 (3.</w:t>
            </w:r>
            <w:r>
              <w:t>40</w:t>
            </w:r>
            <w:r w:rsidRPr="00432A06">
              <w:t>)</w:t>
            </w:r>
          </w:p>
        </w:tc>
        <w:tc>
          <w:tcPr>
            <w:tcW w:w="404" w:type="dxa"/>
          </w:tcPr>
          <w:p w14:paraId="004FAE90" w14:textId="77777777" w:rsidR="00CE2717" w:rsidRDefault="00CE2717" w:rsidP="00193F44">
            <w:pPr>
              <w:pStyle w:val="TableText0"/>
              <w:jc w:val="center"/>
            </w:pPr>
            <w:r>
              <w:t>6</w:t>
            </w:r>
          </w:p>
        </w:tc>
      </w:tr>
      <w:tr w:rsidR="00CE2717" w14:paraId="54B5157B" w14:textId="77777777" w:rsidTr="00193F44">
        <w:tc>
          <w:tcPr>
            <w:tcW w:w="1167" w:type="dxa"/>
            <w:tcBorders>
              <w:bottom w:val="single" w:sz="4" w:space="0" w:color="auto"/>
            </w:tcBorders>
          </w:tcPr>
          <w:p w14:paraId="725F3258" w14:textId="77777777" w:rsidR="00CE2717" w:rsidRDefault="00CE2717" w:rsidP="00193F44">
            <w:pPr>
              <w:pStyle w:val="TableText0"/>
            </w:pPr>
            <w:r>
              <w:t xml:space="preserve">% Change at </w:t>
            </w:r>
            <w:proofErr w:type="spellStart"/>
            <w:r>
              <w:t>Wk</w:t>
            </w:r>
            <w:proofErr w:type="spellEnd"/>
            <w:r>
              <w:t xml:space="preserve"> 52</w:t>
            </w:r>
          </w:p>
        </w:tc>
        <w:tc>
          <w:tcPr>
            <w:tcW w:w="899" w:type="dxa"/>
            <w:tcBorders>
              <w:bottom w:val="single" w:sz="4" w:space="0" w:color="auto"/>
            </w:tcBorders>
          </w:tcPr>
          <w:p w14:paraId="491B5943" w14:textId="77777777" w:rsidR="00CE2717" w:rsidRDefault="00CE2717" w:rsidP="00193F44">
            <w:pPr>
              <w:pStyle w:val="TableText0"/>
              <w:jc w:val="center"/>
            </w:pPr>
            <w:r w:rsidRPr="00432A06">
              <w:t>52.01 (82.95)</w:t>
            </w:r>
          </w:p>
        </w:tc>
        <w:tc>
          <w:tcPr>
            <w:tcW w:w="565" w:type="dxa"/>
            <w:tcBorders>
              <w:bottom w:val="single" w:sz="4" w:space="0" w:color="auto"/>
            </w:tcBorders>
          </w:tcPr>
          <w:p w14:paraId="393C4146" w14:textId="77777777" w:rsidR="00CE2717" w:rsidRDefault="00CE2717" w:rsidP="00193F44">
            <w:pPr>
              <w:pStyle w:val="TableText0"/>
              <w:jc w:val="center"/>
            </w:pPr>
            <w:r>
              <w:t>17</w:t>
            </w:r>
          </w:p>
        </w:tc>
        <w:tc>
          <w:tcPr>
            <w:tcW w:w="952" w:type="dxa"/>
            <w:tcBorders>
              <w:bottom w:val="single" w:sz="4" w:space="0" w:color="auto"/>
            </w:tcBorders>
          </w:tcPr>
          <w:p w14:paraId="57A0DD6A" w14:textId="77777777" w:rsidR="00CE2717" w:rsidRDefault="00CE2717" w:rsidP="00193F44">
            <w:pPr>
              <w:pStyle w:val="TableText0"/>
              <w:jc w:val="center"/>
            </w:pPr>
            <w:r w:rsidRPr="00432A06">
              <w:t>100.9 (177.15)</w:t>
            </w:r>
          </w:p>
        </w:tc>
        <w:tc>
          <w:tcPr>
            <w:tcW w:w="487" w:type="dxa"/>
            <w:tcBorders>
              <w:bottom w:val="single" w:sz="4" w:space="0" w:color="auto"/>
            </w:tcBorders>
          </w:tcPr>
          <w:p w14:paraId="515B142F" w14:textId="77777777" w:rsidR="00CE2717" w:rsidRDefault="00CE2717" w:rsidP="00193F44">
            <w:pPr>
              <w:pStyle w:val="TableText0"/>
              <w:jc w:val="center"/>
            </w:pPr>
            <w:r>
              <w:t>11</w:t>
            </w:r>
          </w:p>
        </w:tc>
        <w:tc>
          <w:tcPr>
            <w:tcW w:w="908" w:type="dxa"/>
            <w:tcBorders>
              <w:bottom w:val="single" w:sz="4" w:space="0" w:color="auto"/>
            </w:tcBorders>
          </w:tcPr>
          <w:p w14:paraId="2E221F66" w14:textId="77777777" w:rsidR="00CE2717" w:rsidRDefault="00CE2717" w:rsidP="00193F44">
            <w:pPr>
              <w:pStyle w:val="TableText0"/>
              <w:jc w:val="center"/>
            </w:pPr>
            <w:r w:rsidRPr="00432A06">
              <w:t>44.91 (78.80)</w:t>
            </w:r>
          </w:p>
        </w:tc>
        <w:tc>
          <w:tcPr>
            <w:tcW w:w="464" w:type="dxa"/>
            <w:tcBorders>
              <w:bottom w:val="single" w:sz="4" w:space="0" w:color="auto"/>
            </w:tcBorders>
          </w:tcPr>
          <w:p w14:paraId="6E1B5B1A" w14:textId="77777777" w:rsidR="00CE2717" w:rsidRDefault="00CE2717" w:rsidP="00193F44">
            <w:pPr>
              <w:pStyle w:val="TableText0"/>
              <w:jc w:val="center"/>
            </w:pPr>
            <w:r>
              <w:t>8</w:t>
            </w:r>
          </w:p>
        </w:tc>
        <w:tc>
          <w:tcPr>
            <w:tcW w:w="961" w:type="dxa"/>
            <w:tcBorders>
              <w:bottom w:val="single" w:sz="4" w:space="0" w:color="auto"/>
            </w:tcBorders>
          </w:tcPr>
          <w:p w14:paraId="2A82E67D" w14:textId="77777777" w:rsidR="00CE2717" w:rsidRDefault="00CE2717" w:rsidP="00193F44">
            <w:pPr>
              <w:pStyle w:val="TableText0"/>
              <w:jc w:val="center"/>
            </w:pPr>
            <w:r w:rsidRPr="00432A06">
              <w:t>80.91 (160.39)</w:t>
            </w:r>
          </w:p>
        </w:tc>
        <w:tc>
          <w:tcPr>
            <w:tcW w:w="412" w:type="dxa"/>
            <w:tcBorders>
              <w:bottom w:val="single" w:sz="4" w:space="0" w:color="auto"/>
            </w:tcBorders>
          </w:tcPr>
          <w:p w14:paraId="7AD10E91" w14:textId="77777777" w:rsidR="00CE2717" w:rsidRDefault="00CE2717" w:rsidP="00193F44">
            <w:pPr>
              <w:pStyle w:val="TableText0"/>
              <w:jc w:val="center"/>
            </w:pPr>
            <w:r>
              <w:t>7</w:t>
            </w:r>
          </w:p>
        </w:tc>
        <w:tc>
          <w:tcPr>
            <w:tcW w:w="984" w:type="dxa"/>
            <w:tcBorders>
              <w:bottom w:val="single" w:sz="4" w:space="0" w:color="auto"/>
            </w:tcBorders>
          </w:tcPr>
          <w:p w14:paraId="4128C39E" w14:textId="77777777" w:rsidR="00CE2717" w:rsidRDefault="00CE2717" w:rsidP="00193F44">
            <w:pPr>
              <w:pStyle w:val="TableText0"/>
              <w:jc w:val="center"/>
            </w:pPr>
            <w:r w:rsidRPr="00432A06">
              <w:t>128.81 (128.18)</w:t>
            </w:r>
          </w:p>
        </w:tc>
        <w:tc>
          <w:tcPr>
            <w:tcW w:w="456" w:type="dxa"/>
            <w:tcBorders>
              <w:bottom w:val="single" w:sz="4" w:space="0" w:color="auto"/>
            </w:tcBorders>
          </w:tcPr>
          <w:p w14:paraId="53E55073" w14:textId="77777777" w:rsidR="00CE2717" w:rsidRDefault="00CE2717" w:rsidP="00193F44">
            <w:pPr>
              <w:pStyle w:val="TableText0"/>
              <w:jc w:val="center"/>
            </w:pPr>
            <w:r>
              <w:t>10</w:t>
            </w:r>
          </w:p>
        </w:tc>
        <w:tc>
          <w:tcPr>
            <w:tcW w:w="969" w:type="dxa"/>
            <w:tcBorders>
              <w:bottom w:val="single" w:sz="4" w:space="0" w:color="auto"/>
            </w:tcBorders>
          </w:tcPr>
          <w:p w14:paraId="1F4C33A1" w14:textId="77777777" w:rsidR="00CE2717" w:rsidRDefault="00CE2717" w:rsidP="00193F44">
            <w:pPr>
              <w:pStyle w:val="TableText0"/>
              <w:jc w:val="center"/>
            </w:pPr>
            <w:r w:rsidRPr="00432A06">
              <w:t>48.49 (191.74)</w:t>
            </w:r>
          </w:p>
        </w:tc>
        <w:tc>
          <w:tcPr>
            <w:tcW w:w="404" w:type="dxa"/>
            <w:tcBorders>
              <w:bottom w:val="single" w:sz="4" w:space="0" w:color="auto"/>
            </w:tcBorders>
          </w:tcPr>
          <w:p w14:paraId="496577E3" w14:textId="77777777" w:rsidR="00CE2717" w:rsidRDefault="00CE2717" w:rsidP="00193F44">
            <w:pPr>
              <w:pStyle w:val="TableText0"/>
              <w:jc w:val="center"/>
            </w:pPr>
            <w:r>
              <w:t>6</w:t>
            </w:r>
          </w:p>
        </w:tc>
      </w:tr>
      <w:tr w:rsidR="00CE2717" w:rsidRPr="00E74CC6" w14:paraId="7ADEE8B0" w14:textId="77777777" w:rsidTr="00193F44">
        <w:tc>
          <w:tcPr>
            <w:tcW w:w="9628" w:type="dxa"/>
            <w:gridSpan w:val="13"/>
            <w:shd w:val="clear" w:color="auto" w:fill="F2F2F2" w:themeFill="background1" w:themeFillShade="F2"/>
          </w:tcPr>
          <w:p w14:paraId="4205FD9B" w14:textId="77777777" w:rsidR="00CE2717" w:rsidRPr="00E74CC6" w:rsidRDefault="00CE2717" w:rsidP="00193F44">
            <w:pPr>
              <w:pStyle w:val="TableText0"/>
              <w:rPr>
                <w:b/>
                <w:bCs w:val="0"/>
              </w:rPr>
            </w:pPr>
            <w:r w:rsidRPr="00E74CC6">
              <w:rPr>
                <w:b/>
                <w:bCs w:val="0"/>
              </w:rPr>
              <w:t>Area of foramen magnum (cm</w:t>
            </w:r>
            <w:r w:rsidRPr="005055B5">
              <w:rPr>
                <w:b/>
                <w:bCs w:val="0"/>
                <w:vertAlign w:val="superscript"/>
              </w:rPr>
              <w:t>3</w:t>
            </w:r>
            <w:r w:rsidRPr="00E74CC6">
              <w:rPr>
                <w:b/>
                <w:bCs w:val="0"/>
              </w:rPr>
              <w:t>)</w:t>
            </w:r>
          </w:p>
        </w:tc>
      </w:tr>
      <w:tr w:rsidR="00CE2717" w14:paraId="7B1A0F40" w14:textId="77777777" w:rsidTr="00193F44">
        <w:tc>
          <w:tcPr>
            <w:tcW w:w="1167" w:type="dxa"/>
          </w:tcPr>
          <w:p w14:paraId="5491AFC8" w14:textId="77777777" w:rsidR="00CE2717" w:rsidRDefault="00CE2717" w:rsidP="00193F44">
            <w:pPr>
              <w:pStyle w:val="TableText0"/>
            </w:pPr>
            <w:r>
              <w:t>Baseline</w:t>
            </w:r>
          </w:p>
        </w:tc>
        <w:tc>
          <w:tcPr>
            <w:tcW w:w="899" w:type="dxa"/>
          </w:tcPr>
          <w:p w14:paraId="741171A1" w14:textId="77777777" w:rsidR="00CE2717" w:rsidRDefault="00CE2717" w:rsidP="00193F44">
            <w:pPr>
              <w:pStyle w:val="TableText0"/>
              <w:jc w:val="center"/>
            </w:pPr>
            <w:r w:rsidRPr="00DF5771">
              <w:t>0.139 (0.021)</w:t>
            </w:r>
          </w:p>
        </w:tc>
        <w:tc>
          <w:tcPr>
            <w:tcW w:w="565" w:type="dxa"/>
          </w:tcPr>
          <w:p w14:paraId="5C4135DB" w14:textId="77777777" w:rsidR="00CE2717" w:rsidRDefault="00CE2717" w:rsidP="00193F44">
            <w:pPr>
              <w:pStyle w:val="TableText0"/>
              <w:jc w:val="center"/>
            </w:pPr>
            <w:r>
              <w:t>19</w:t>
            </w:r>
          </w:p>
        </w:tc>
        <w:tc>
          <w:tcPr>
            <w:tcW w:w="952" w:type="dxa"/>
          </w:tcPr>
          <w:p w14:paraId="4CBC02E0" w14:textId="77777777" w:rsidR="00CE2717" w:rsidRDefault="00CE2717" w:rsidP="00193F44">
            <w:pPr>
              <w:pStyle w:val="TableText0"/>
              <w:jc w:val="center"/>
            </w:pPr>
            <w:r w:rsidRPr="00DF5771">
              <w:t>0.136 (0.022)</w:t>
            </w:r>
          </w:p>
        </w:tc>
        <w:tc>
          <w:tcPr>
            <w:tcW w:w="487" w:type="dxa"/>
          </w:tcPr>
          <w:p w14:paraId="63C72FED" w14:textId="77777777" w:rsidR="00CE2717" w:rsidRDefault="00CE2717" w:rsidP="00193F44">
            <w:pPr>
              <w:pStyle w:val="TableText0"/>
              <w:jc w:val="center"/>
            </w:pPr>
            <w:r>
              <w:t>12</w:t>
            </w:r>
          </w:p>
        </w:tc>
        <w:tc>
          <w:tcPr>
            <w:tcW w:w="908" w:type="dxa"/>
          </w:tcPr>
          <w:p w14:paraId="6B868E28" w14:textId="77777777" w:rsidR="00CE2717" w:rsidRDefault="00CE2717" w:rsidP="00193F44">
            <w:pPr>
              <w:pStyle w:val="TableText0"/>
              <w:jc w:val="center"/>
            </w:pPr>
            <w:r w:rsidRPr="00DF5771">
              <w:t>0.140 (0.032)</w:t>
            </w:r>
          </w:p>
        </w:tc>
        <w:tc>
          <w:tcPr>
            <w:tcW w:w="464" w:type="dxa"/>
          </w:tcPr>
          <w:p w14:paraId="2408866D" w14:textId="77777777" w:rsidR="00CE2717" w:rsidRDefault="00CE2717" w:rsidP="00193F44">
            <w:pPr>
              <w:pStyle w:val="TableText0"/>
              <w:jc w:val="center"/>
            </w:pPr>
            <w:r>
              <w:t>12</w:t>
            </w:r>
          </w:p>
        </w:tc>
        <w:tc>
          <w:tcPr>
            <w:tcW w:w="961" w:type="dxa"/>
          </w:tcPr>
          <w:p w14:paraId="7619BAAB" w14:textId="77777777" w:rsidR="00CE2717" w:rsidRDefault="00CE2717" w:rsidP="00193F44">
            <w:pPr>
              <w:pStyle w:val="TableText0"/>
              <w:jc w:val="center"/>
            </w:pPr>
            <w:r w:rsidRPr="00DF5771">
              <w:t>0.130 (0.031)</w:t>
            </w:r>
          </w:p>
        </w:tc>
        <w:tc>
          <w:tcPr>
            <w:tcW w:w="412" w:type="dxa"/>
          </w:tcPr>
          <w:p w14:paraId="541B1F5E" w14:textId="77777777" w:rsidR="00CE2717" w:rsidRDefault="00CE2717" w:rsidP="00193F44">
            <w:pPr>
              <w:pStyle w:val="TableText0"/>
              <w:jc w:val="center"/>
            </w:pPr>
            <w:r>
              <w:t>8</w:t>
            </w:r>
          </w:p>
        </w:tc>
        <w:tc>
          <w:tcPr>
            <w:tcW w:w="984" w:type="dxa"/>
          </w:tcPr>
          <w:p w14:paraId="2F8F2CB2" w14:textId="77777777" w:rsidR="00CE2717" w:rsidRDefault="00CE2717" w:rsidP="00193F44">
            <w:pPr>
              <w:pStyle w:val="TableText0"/>
              <w:jc w:val="center"/>
            </w:pPr>
            <w:r w:rsidRPr="00DF5771">
              <w:t>0.091 (0.033)</w:t>
            </w:r>
          </w:p>
        </w:tc>
        <w:tc>
          <w:tcPr>
            <w:tcW w:w="456" w:type="dxa"/>
          </w:tcPr>
          <w:p w14:paraId="22B27073" w14:textId="77777777" w:rsidR="00CE2717" w:rsidRDefault="00CE2717" w:rsidP="00193F44">
            <w:pPr>
              <w:pStyle w:val="TableText0"/>
              <w:jc w:val="center"/>
            </w:pPr>
            <w:r>
              <w:t>12</w:t>
            </w:r>
          </w:p>
        </w:tc>
        <w:tc>
          <w:tcPr>
            <w:tcW w:w="969" w:type="dxa"/>
          </w:tcPr>
          <w:p w14:paraId="32909FB4" w14:textId="77777777" w:rsidR="00CE2717" w:rsidRDefault="00CE2717" w:rsidP="00193F44">
            <w:pPr>
              <w:pStyle w:val="TableText0"/>
              <w:jc w:val="center"/>
            </w:pPr>
            <w:r w:rsidRPr="00DF5771">
              <w:t>0.094 (0.026)</w:t>
            </w:r>
          </w:p>
        </w:tc>
        <w:tc>
          <w:tcPr>
            <w:tcW w:w="404" w:type="dxa"/>
          </w:tcPr>
          <w:p w14:paraId="714B9182" w14:textId="77777777" w:rsidR="00CE2717" w:rsidRDefault="00CE2717" w:rsidP="00193F44">
            <w:pPr>
              <w:pStyle w:val="TableText0"/>
              <w:jc w:val="center"/>
            </w:pPr>
            <w:r>
              <w:t>8</w:t>
            </w:r>
          </w:p>
        </w:tc>
      </w:tr>
      <w:tr w:rsidR="00CE2717" w14:paraId="5C0A10F8" w14:textId="77777777" w:rsidTr="00193F44">
        <w:tc>
          <w:tcPr>
            <w:tcW w:w="1167" w:type="dxa"/>
          </w:tcPr>
          <w:p w14:paraId="31C8012A" w14:textId="77777777" w:rsidR="00CE2717" w:rsidRDefault="00CE2717" w:rsidP="00193F44">
            <w:pPr>
              <w:pStyle w:val="TableText0"/>
            </w:pPr>
            <w:r>
              <w:t xml:space="preserve">Change at </w:t>
            </w:r>
            <w:proofErr w:type="spellStart"/>
            <w:r>
              <w:t>Wk</w:t>
            </w:r>
            <w:proofErr w:type="spellEnd"/>
            <w:r>
              <w:t xml:space="preserve"> 52 </w:t>
            </w:r>
          </w:p>
        </w:tc>
        <w:tc>
          <w:tcPr>
            <w:tcW w:w="899" w:type="dxa"/>
          </w:tcPr>
          <w:p w14:paraId="60E165EC" w14:textId="77777777" w:rsidR="00CE2717" w:rsidRDefault="00CE2717" w:rsidP="00193F44">
            <w:pPr>
              <w:pStyle w:val="TableText0"/>
              <w:jc w:val="center"/>
            </w:pPr>
            <w:r w:rsidRPr="00DF5771">
              <w:t>-0.012 (0.034)</w:t>
            </w:r>
          </w:p>
        </w:tc>
        <w:tc>
          <w:tcPr>
            <w:tcW w:w="565" w:type="dxa"/>
          </w:tcPr>
          <w:p w14:paraId="420FFB61" w14:textId="77777777" w:rsidR="00CE2717" w:rsidRDefault="00CE2717" w:rsidP="00193F44">
            <w:pPr>
              <w:pStyle w:val="TableText0"/>
              <w:jc w:val="center"/>
            </w:pPr>
            <w:r>
              <w:t>17</w:t>
            </w:r>
          </w:p>
        </w:tc>
        <w:tc>
          <w:tcPr>
            <w:tcW w:w="952" w:type="dxa"/>
          </w:tcPr>
          <w:p w14:paraId="7A2BA09C" w14:textId="77777777" w:rsidR="00CE2717" w:rsidRDefault="00CE2717" w:rsidP="00193F44">
            <w:pPr>
              <w:pStyle w:val="TableText0"/>
              <w:jc w:val="center"/>
            </w:pPr>
            <w:r w:rsidRPr="00DF5771">
              <w:t>0.000 (0.022)</w:t>
            </w:r>
          </w:p>
        </w:tc>
        <w:tc>
          <w:tcPr>
            <w:tcW w:w="487" w:type="dxa"/>
          </w:tcPr>
          <w:p w14:paraId="76BD81D8" w14:textId="77777777" w:rsidR="00CE2717" w:rsidRDefault="00CE2717" w:rsidP="00193F44">
            <w:pPr>
              <w:pStyle w:val="TableText0"/>
              <w:jc w:val="center"/>
            </w:pPr>
            <w:r>
              <w:t>12</w:t>
            </w:r>
          </w:p>
        </w:tc>
        <w:tc>
          <w:tcPr>
            <w:tcW w:w="908" w:type="dxa"/>
          </w:tcPr>
          <w:p w14:paraId="5F2B415D" w14:textId="77777777" w:rsidR="00CE2717" w:rsidRDefault="00CE2717" w:rsidP="00193F44">
            <w:pPr>
              <w:pStyle w:val="TableText0"/>
              <w:jc w:val="center"/>
            </w:pPr>
            <w:r w:rsidRPr="00DF5771">
              <w:t>-0.001 (0.022)</w:t>
            </w:r>
          </w:p>
        </w:tc>
        <w:tc>
          <w:tcPr>
            <w:tcW w:w="464" w:type="dxa"/>
          </w:tcPr>
          <w:p w14:paraId="19777D68" w14:textId="77777777" w:rsidR="00CE2717" w:rsidRDefault="00CE2717" w:rsidP="00193F44">
            <w:pPr>
              <w:pStyle w:val="TableText0"/>
              <w:jc w:val="center"/>
            </w:pPr>
            <w:r>
              <w:t>8</w:t>
            </w:r>
          </w:p>
        </w:tc>
        <w:tc>
          <w:tcPr>
            <w:tcW w:w="961" w:type="dxa"/>
          </w:tcPr>
          <w:p w14:paraId="1812B27C" w14:textId="77777777" w:rsidR="00CE2717" w:rsidRDefault="00CE2717" w:rsidP="00193F44">
            <w:pPr>
              <w:pStyle w:val="TableText0"/>
              <w:jc w:val="center"/>
            </w:pPr>
            <w:r w:rsidRPr="00DF5771">
              <w:t>0.006 (0.018)</w:t>
            </w:r>
          </w:p>
        </w:tc>
        <w:tc>
          <w:tcPr>
            <w:tcW w:w="412" w:type="dxa"/>
          </w:tcPr>
          <w:p w14:paraId="2055FF43" w14:textId="77777777" w:rsidR="00CE2717" w:rsidRDefault="00CE2717" w:rsidP="00193F44">
            <w:pPr>
              <w:pStyle w:val="TableText0"/>
              <w:jc w:val="center"/>
            </w:pPr>
            <w:r>
              <w:t>7</w:t>
            </w:r>
          </w:p>
        </w:tc>
        <w:tc>
          <w:tcPr>
            <w:tcW w:w="984" w:type="dxa"/>
          </w:tcPr>
          <w:p w14:paraId="1E2E7A5E" w14:textId="77777777" w:rsidR="00CE2717" w:rsidRDefault="00CE2717" w:rsidP="00193F44">
            <w:pPr>
              <w:pStyle w:val="TableText0"/>
              <w:jc w:val="center"/>
            </w:pPr>
            <w:r w:rsidRPr="00DF5771">
              <w:t>0.006 (0.018)</w:t>
            </w:r>
          </w:p>
        </w:tc>
        <w:tc>
          <w:tcPr>
            <w:tcW w:w="456" w:type="dxa"/>
          </w:tcPr>
          <w:p w14:paraId="7819377F" w14:textId="77777777" w:rsidR="00CE2717" w:rsidRDefault="00CE2717" w:rsidP="00193F44">
            <w:pPr>
              <w:pStyle w:val="TableText0"/>
              <w:jc w:val="center"/>
            </w:pPr>
            <w:r>
              <w:t>10</w:t>
            </w:r>
          </w:p>
        </w:tc>
        <w:tc>
          <w:tcPr>
            <w:tcW w:w="969" w:type="dxa"/>
          </w:tcPr>
          <w:p w14:paraId="7A72EAAF" w14:textId="77777777" w:rsidR="00CE2717" w:rsidRDefault="00CE2717" w:rsidP="00193F44">
            <w:pPr>
              <w:pStyle w:val="TableText0"/>
              <w:jc w:val="center"/>
            </w:pPr>
            <w:r w:rsidRPr="00DF5771">
              <w:t>0.018 (0.018)</w:t>
            </w:r>
          </w:p>
        </w:tc>
        <w:tc>
          <w:tcPr>
            <w:tcW w:w="404" w:type="dxa"/>
          </w:tcPr>
          <w:p w14:paraId="25A23CFA" w14:textId="77777777" w:rsidR="00CE2717" w:rsidRDefault="00CE2717" w:rsidP="00193F44">
            <w:pPr>
              <w:pStyle w:val="TableText0"/>
              <w:jc w:val="center"/>
            </w:pPr>
            <w:r>
              <w:t>6</w:t>
            </w:r>
          </w:p>
        </w:tc>
      </w:tr>
      <w:tr w:rsidR="00CE2717" w14:paraId="68210795" w14:textId="77777777" w:rsidTr="00193F44">
        <w:tc>
          <w:tcPr>
            <w:tcW w:w="1167" w:type="dxa"/>
          </w:tcPr>
          <w:p w14:paraId="0939E53F" w14:textId="77777777" w:rsidR="00CE2717" w:rsidRDefault="00CE2717" w:rsidP="00193F44">
            <w:pPr>
              <w:pStyle w:val="TableText0"/>
            </w:pPr>
            <w:r>
              <w:t xml:space="preserve">% Change at </w:t>
            </w:r>
            <w:proofErr w:type="spellStart"/>
            <w:r>
              <w:t>Wk</w:t>
            </w:r>
            <w:proofErr w:type="spellEnd"/>
            <w:r>
              <w:t xml:space="preserve"> 52</w:t>
            </w:r>
          </w:p>
        </w:tc>
        <w:tc>
          <w:tcPr>
            <w:tcW w:w="899" w:type="dxa"/>
          </w:tcPr>
          <w:p w14:paraId="0D1C4BA0" w14:textId="77777777" w:rsidR="00CE2717" w:rsidRDefault="00CE2717" w:rsidP="00193F44">
            <w:pPr>
              <w:pStyle w:val="TableText0"/>
              <w:jc w:val="center"/>
            </w:pPr>
            <w:r w:rsidRPr="00DF5771">
              <w:t>-7.26 (21.86)</w:t>
            </w:r>
          </w:p>
        </w:tc>
        <w:tc>
          <w:tcPr>
            <w:tcW w:w="565" w:type="dxa"/>
          </w:tcPr>
          <w:p w14:paraId="118DF346" w14:textId="77777777" w:rsidR="00CE2717" w:rsidRDefault="00CE2717" w:rsidP="00193F44">
            <w:pPr>
              <w:pStyle w:val="TableText0"/>
              <w:jc w:val="center"/>
            </w:pPr>
            <w:r>
              <w:t>17</w:t>
            </w:r>
          </w:p>
        </w:tc>
        <w:tc>
          <w:tcPr>
            <w:tcW w:w="952" w:type="dxa"/>
          </w:tcPr>
          <w:p w14:paraId="0DBA761C" w14:textId="77777777" w:rsidR="00CE2717" w:rsidRDefault="00CE2717" w:rsidP="00193F44">
            <w:pPr>
              <w:pStyle w:val="TableText0"/>
              <w:jc w:val="center"/>
            </w:pPr>
            <w:r w:rsidRPr="00DF5771">
              <w:t>0.93 (16.07)</w:t>
            </w:r>
          </w:p>
        </w:tc>
        <w:tc>
          <w:tcPr>
            <w:tcW w:w="487" w:type="dxa"/>
          </w:tcPr>
          <w:p w14:paraId="4551D40F" w14:textId="77777777" w:rsidR="00CE2717" w:rsidRDefault="00CE2717" w:rsidP="00193F44">
            <w:pPr>
              <w:pStyle w:val="TableText0"/>
              <w:jc w:val="center"/>
            </w:pPr>
            <w:r>
              <w:t>12</w:t>
            </w:r>
          </w:p>
        </w:tc>
        <w:tc>
          <w:tcPr>
            <w:tcW w:w="908" w:type="dxa"/>
          </w:tcPr>
          <w:p w14:paraId="6F410CA7" w14:textId="77777777" w:rsidR="00CE2717" w:rsidRDefault="00CE2717" w:rsidP="00193F44">
            <w:pPr>
              <w:pStyle w:val="TableText0"/>
              <w:jc w:val="center"/>
            </w:pPr>
            <w:r w:rsidRPr="00DF5771">
              <w:t>0.76 (14.82)</w:t>
            </w:r>
          </w:p>
        </w:tc>
        <w:tc>
          <w:tcPr>
            <w:tcW w:w="464" w:type="dxa"/>
          </w:tcPr>
          <w:p w14:paraId="2D8F4E44" w14:textId="77777777" w:rsidR="00CE2717" w:rsidRDefault="00CE2717" w:rsidP="00193F44">
            <w:pPr>
              <w:pStyle w:val="TableText0"/>
              <w:jc w:val="center"/>
            </w:pPr>
            <w:r>
              <w:t>8</w:t>
            </w:r>
          </w:p>
        </w:tc>
        <w:tc>
          <w:tcPr>
            <w:tcW w:w="961" w:type="dxa"/>
          </w:tcPr>
          <w:p w14:paraId="6DBA5A3F" w14:textId="77777777" w:rsidR="00CE2717" w:rsidRDefault="00CE2717" w:rsidP="00193F44">
            <w:pPr>
              <w:pStyle w:val="TableText0"/>
              <w:jc w:val="center"/>
            </w:pPr>
            <w:r w:rsidRPr="00DF5771">
              <w:t>4.00 (11.99)</w:t>
            </w:r>
          </w:p>
        </w:tc>
        <w:tc>
          <w:tcPr>
            <w:tcW w:w="412" w:type="dxa"/>
          </w:tcPr>
          <w:p w14:paraId="21251109" w14:textId="77777777" w:rsidR="00CE2717" w:rsidRDefault="00CE2717" w:rsidP="00193F44">
            <w:pPr>
              <w:pStyle w:val="TableText0"/>
              <w:jc w:val="center"/>
            </w:pPr>
            <w:r>
              <w:t>7</w:t>
            </w:r>
          </w:p>
        </w:tc>
        <w:tc>
          <w:tcPr>
            <w:tcW w:w="984" w:type="dxa"/>
          </w:tcPr>
          <w:p w14:paraId="260B3A59" w14:textId="77777777" w:rsidR="00CE2717" w:rsidRDefault="00CE2717" w:rsidP="00193F44">
            <w:pPr>
              <w:pStyle w:val="TableText0"/>
              <w:jc w:val="center"/>
            </w:pPr>
            <w:r w:rsidRPr="00DF5771">
              <w:t>43.89 (74.44)</w:t>
            </w:r>
          </w:p>
        </w:tc>
        <w:tc>
          <w:tcPr>
            <w:tcW w:w="456" w:type="dxa"/>
          </w:tcPr>
          <w:p w14:paraId="17CA2507" w14:textId="77777777" w:rsidR="00CE2717" w:rsidRDefault="00CE2717" w:rsidP="00193F44">
            <w:pPr>
              <w:pStyle w:val="TableText0"/>
              <w:jc w:val="center"/>
            </w:pPr>
            <w:r>
              <w:t>10</w:t>
            </w:r>
          </w:p>
        </w:tc>
        <w:tc>
          <w:tcPr>
            <w:tcW w:w="969" w:type="dxa"/>
          </w:tcPr>
          <w:p w14:paraId="40FB35F7" w14:textId="77777777" w:rsidR="00CE2717" w:rsidRDefault="00CE2717" w:rsidP="00193F44">
            <w:pPr>
              <w:pStyle w:val="TableText0"/>
              <w:jc w:val="center"/>
            </w:pPr>
            <w:r w:rsidRPr="00DF5771">
              <w:t>24.</w:t>
            </w:r>
            <w:r>
              <w:rPr>
                <w:noProof/>
              </w:rPr>
              <w:t xml:space="preserve"> </w:t>
            </w:r>
            <w:r w:rsidRPr="00DF5771">
              <w:t>74 (26.07)</w:t>
            </w:r>
          </w:p>
        </w:tc>
        <w:tc>
          <w:tcPr>
            <w:tcW w:w="404" w:type="dxa"/>
          </w:tcPr>
          <w:p w14:paraId="005215F5" w14:textId="77777777" w:rsidR="00CE2717" w:rsidRDefault="00CE2717" w:rsidP="00193F44">
            <w:pPr>
              <w:pStyle w:val="TableText0"/>
              <w:jc w:val="center"/>
            </w:pPr>
            <w:r>
              <w:t>6</w:t>
            </w:r>
          </w:p>
        </w:tc>
      </w:tr>
    </w:tbl>
    <w:p w14:paraId="562CC615" w14:textId="77777777" w:rsidR="00CE2717" w:rsidRPr="00ED3ACE" w:rsidRDefault="00CE2717" w:rsidP="00CE2717">
      <w:pPr>
        <w:pStyle w:val="TableFootnote"/>
        <w:rPr>
          <w:rFonts w:ascii="Arial Narrow" w:hAnsi="Arial Narrow"/>
          <w:sz w:val="18"/>
          <w:szCs w:val="18"/>
        </w:rPr>
      </w:pPr>
      <w:r w:rsidRPr="00ED3ACE">
        <w:rPr>
          <w:rFonts w:ascii="Arial Narrow" w:hAnsi="Arial Narrow"/>
          <w:sz w:val="18"/>
          <w:szCs w:val="18"/>
        </w:rPr>
        <w:t xml:space="preserve">SD, standard deviation. </w:t>
      </w:r>
    </w:p>
    <w:p w14:paraId="0EB7EB86" w14:textId="77777777" w:rsidR="00CE2717" w:rsidRPr="00BF6A33" w:rsidRDefault="00CE2717" w:rsidP="00CE2717">
      <w:pPr>
        <w:pStyle w:val="TableFootnote"/>
        <w:keepNext/>
        <w:keepLines/>
        <w:rPr>
          <w:rFonts w:ascii="Arial Narrow" w:hAnsi="Arial Narrow"/>
          <w:sz w:val="18"/>
          <w:szCs w:val="18"/>
        </w:rPr>
      </w:pPr>
      <w:r w:rsidRPr="00BF6A33">
        <w:rPr>
          <w:rFonts w:ascii="Arial Narrow" w:hAnsi="Arial Narrow"/>
          <w:sz w:val="18"/>
          <w:szCs w:val="18"/>
        </w:rPr>
        <w:t xml:space="preserve">Source: Table </w:t>
      </w:r>
      <w:r>
        <w:rPr>
          <w:rFonts w:ascii="Arial Narrow" w:hAnsi="Arial Narrow"/>
          <w:sz w:val="18"/>
          <w:szCs w:val="18"/>
        </w:rPr>
        <w:t>3</w:t>
      </w:r>
      <w:r w:rsidRPr="00BF6A33">
        <w:rPr>
          <w:rFonts w:ascii="Arial Narrow" w:hAnsi="Arial Narrow"/>
          <w:sz w:val="18"/>
          <w:szCs w:val="18"/>
        </w:rPr>
        <w:t>, p</w:t>
      </w:r>
      <w:r>
        <w:rPr>
          <w:rFonts w:ascii="Arial Narrow" w:hAnsi="Arial Narrow"/>
          <w:sz w:val="18"/>
          <w:szCs w:val="18"/>
        </w:rPr>
        <w:t>8</w:t>
      </w:r>
      <w:r w:rsidRPr="00BF6A33">
        <w:rPr>
          <w:rFonts w:ascii="Arial Narrow" w:hAnsi="Arial Narrow"/>
          <w:sz w:val="18"/>
          <w:szCs w:val="18"/>
        </w:rPr>
        <w:t xml:space="preserve"> of the resubmission</w:t>
      </w:r>
    </w:p>
    <w:p w14:paraId="40D329A1" w14:textId="77777777" w:rsidR="00CE2717" w:rsidRDefault="00CE2717" w:rsidP="00CE2717">
      <w:pPr>
        <w:pStyle w:val="3-BodyText"/>
        <w:numPr>
          <w:ilvl w:val="0"/>
          <w:numId w:val="0"/>
        </w:numPr>
        <w:rPr>
          <w:rFonts w:eastAsiaTheme="majorEastAsia" w:cstheme="majorBidi"/>
          <w:b/>
          <w:i/>
          <w:spacing w:val="5"/>
          <w:kern w:val="28"/>
          <w:sz w:val="28"/>
          <w:szCs w:val="36"/>
        </w:rPr>
      </w:pPr>
    </w:p>
    <w:p w14:paraId="7FF0D6EF" w14:textId="77777777" w:rsidR="00CE2717" w:rsidRPr="00BF6A33" w:rsidRDefault="00CE2717" w:rsidP="00CE2717">
      <w:pPr>
        <w:keepNext/>
        <w:spacing w:before="120" w:after="120"/>
        <w:outlineLvl w:val="1"/>
        <w:rPr>
          <w:rFonts w:asciiTheme="minorHAnsi" w:eastAsiaTheme="majorEastAsia" w:hAnsiTheme="minorHAnsi" w:cstheme="majorBidi"/>
          <w:b/>
          <w:i/>
          <w:spacing w:val="5"/>
          <w:kern w:val="28"/>
          <w:sz w:val="28"/>
          <w:szCs w:val="36"/>
        </w:rPr>
      </w:pPr>
      <w:r w:rsidRPr="00BF6A33">
        <w:rPr>
          <w:rFonts w:asciiTheme="minorHAnsi" w:eastAsiaTheme="majorEastAsia" w:hAnsiTheme="minorHAnsi" w:cstheme="majorBidi"/>
          <w:b/>
          <w:i/>
          <w:spacing w:val="5"/>
          <w:kern w:val="28"/>
          <w:sz w:val="28"/>
          <w:szCs w:val="36"/>
        </w:rPr>
        <w:t>Economic analysis</w:t>
      </w:r>
    </w:p>
    <w:p w14:paraId="557279AC" w14:textId="64CD57E0" w:rsidR="00CE2717" w:rsidRPr="00ED3ACE" w:rsidRDefault="00CE2717" w:rsidP="00CE2717">
      <w:pPr>
        <w:pStyle w:val="3-BodyText"/>
      </w:pPr>
      <w:r w:rsidRPr="00BF6A33">
        <w:t xml:space="preserve">The resubmission proposed a </w:t>
      </w:r>
      <w:r w:rsidR="005417B3" w:rsidRPr="005417B3">
        <w:rPr>
          <w:color w:val="000000"/>
          <w:w w:val="30"/>
          <w:shd w:val="solid" w:color="000000" w:fill="000000"/>
          <w:fitText w:val="100" w:id="-1398533631"/>
          <w14:textFill>
            <w14:solidFill>
              <w14:srgbClr w14:val="000000">
                <w14:alpha w14:val="100000"/>
              </w14:srgbClr>
            </w14:solidFill>
          </w14:textFill>
        </w:rPr>
        <w:t>|  |</w:t>
      </w:r>
      <w:r w:rsidRPr="00BF6A33">
        <w:t>% price reduction (ex-man $</w:t>
      </w:r>
      <w:r w:rsidR="00C55149" w:rsidRPr="00C55149">
        <w:rPr>
          <w:color w:val="000000"/>
          <w:spacing w:val="20"/>
          <w:w w:val="45"/>
          <w:shd w:val="solid" w:color="000000" w:fill="000000"/>
          <w:fitText w:val="630" w:id="-1404829440"/>
          <w14:textFill>
            <w14:solidFill>
              <w14:srgbClr w14:val="000000">
                <w14:alpha w14:val="100000"/>
              </w14:srgbClr>
            </w14:solidFill>
          </w14:textFill>
        </w:rPr>
        <w:t>||||  |||</w:t>
      </w:r>
      <w:r w:rsidR="00C55149" w:rsidRPr="00C55149">
        <w:rPr>
          <w:color w:val="000000"/>
          <w:spacing w:val="4"/>
          <w:w w:val="45"/>
          <w:shd w:val="solid" w:color="000000" w:fill="000000"/>
          <w:fitText w:val="630" w:id="-1404829440"/>
          <w14:textFill>
            <w14:solidFill>
              <w14:srgbClr w14:val="000000">
                <w14:alpha w14:val="100000"/>
              </w14:srgbClr>
            </w14:solidFill>
          </w14:textFill>
        </w:rPr>
        <w:t>|</w:t>
      </w:r>
      <w:r w:rsidRPr="00BF6A33">
        <w:t xml:space="preserve"> per 0.4 mg, 0.56 mg or 1.2 mg vial compared to $</w:t>
      </w:r>
      <w:r w:rsidR="00C55149" w:rsidRPr="00DA600A">
        <w:rPr>
          <w:color w:val="000000"/>
          <w:w w:val="15"/>
          <w:shd w:val="solid" w:color="000000" w:fill="000000"/>
          <w:fitText w:val="-20" w:id="-1404829439"/>
          <w14:textFill>
            <w14:solidFill>
              <w14:srgbClr w14:val="000000">
                <w14:alpha w14:val="100000"/>
              </w14:srgbClr>
            </w14:solidFill>
          </w14:textFill>
        </w:rPr>
        <w:t xml:space="preserve">|  </w:t>
      </w:r>
      <w:r w:rsidR="00C55149" w:rsidRPr="00DA600A">
        <w:rPr>
          <w:color w:val="000000"/>
          <w:spacing w:val="-69"/>
          <w:w w:val="15"/>
          <w:shd w:val="solid" w:color="000000" w:fill="000000"/>
          <w:fitText w:val="-20" w:id="-1404829439"/>
          <w14:textFill>
            <w14:solidFill>
              <w14:srgbClr w14:val="000000">
                <w14:alpha w14:val="100000"/>
              </w14:srgbClr>
            </w14:solidFill>
          </w14:textFill>
        </w:rPr>
        <w:t>|</w:t>
      </w:r>
      <w:r w:rsidRPr="00BF6A33">
        <w:t xml:space="preserve"> per 0.4 mg, 0.56 mg or 1.2 mg vial in the original submission). </w:t>
      </w:r>
      <w:r w:rsidRPr="004710DF">
        <w:t>The revised price result</w:t>
      </w:r>
      <w:r>
        <w:t>ed</w:t>
      </w:r>
      <w:r w:rsidRPr="004710DF">
        <w:t xml:space="preserve"> in an ICER of </w:t>
      </w:r>
      <w:r w:rsidR="0055231F" w:rsidRPr="0055231F">
        <w:t>$255,000 to &lt; $355,000</w:t>
      </w:r>
      <w:r w:rsidR="0055231F">
        <w:t xml:space="preserve"> </w:t>
      </w:r>
      <w:r w:rsidRPr="004710DF">
        <w:t xml:space="preserve">per QALY gained when a 3% discount rate </w:t>
      </w:r>
      <w:r>
        <w:t>was</w:t>
      </w:r>
      <w:r w:rsidRPr="004710DF">
        <w:t xml:space="preserve"> applied. </w:t>
      </w:r>
      <w:r w:rsidRPr="00BF6A33">
        <w:t>In July 2022, the PBAC considered a price reduction to achieve an ICER in the order of $200,000 per QALY gained using the base case model (which incorporated a 5% discount rate) may address the outstanding issues. The results of the economic model are presented in</w:t>
      </w:r>
      <w:r>
        <w:t xml:space="preserve"> </w:t>
      </w:r>
      <w:r>
        <w:fldChar w:fldCharType="begin" w:fldLock="1"/>
      </w:r>
      <w:r>
        <w:instrText xml:space="preserve"> REF _Ref114490412 \h  \* MERGEFORMAT </w:instrText>
      </w:r>
      <w:r>
        <w:fldChar w:fldCharType="separate"/>
      </w:r>
      <w:r w:rsidRPr="00ED3ACE">
        <w:t>Table 22</w:t>
      </w:r>
      <w:r>
        <w:fldChar w:fldCharType="end"/>
      </w:r>
      <w:r w:rsidRPr="00BF6A33">
        <w:t>, including the ICERs corresponding to alternative discount rates.</w:t>
      </w:r>
    </w:p>
    <w:p w14:paraId="23B29639" w14:textId="77777777" w:rsidR="00CE2717" w:rsidRPr="00BF6A33" w:rsidRDefault="00CE2717" w:rsidP="00CE2717">
      <w:pPr>
        <w:pStyle w:val="Caption"/>
        <w:keepNext/>
        <w:keepLines/>
        <w:spacing w:after="0"/>
        <w:rPr>
          <w:rFonts w:ascii="Arial Narrow" w:eastAsiaTheme="majorEastAsia" w:hAnsi="Arial Narrow" w:cstheme="majorBidi"/>
          <w:b/>
          <w:i w:val="0"/>
          <w:iCs w:val="0"/>
          <w:color w:val="auto"/>
          <w:sz w:val="20"/>
          <w:szCs w:val="24"/>
        </w:rPr>
      </w:pPr>
      <w:bookmarkStart w:id="86" w:name="_Ref114571232"/>
      <w:bookmarkStart w:id="87" w:name="_Ref114571222"/>
      <w:bookmarkEnd w:id="83"/>
      <w:bookmarkEnd w:id="84"/>
      <w:r w:rsidRPr="00ED3ACE">
        <w:rPr>
          <w:rFonts w:ascii="Arial Narrow" w:eastAsiaTheme="majorEastAsia" w:hAnsi="Arial Narrow" w:cstheme="majorBidi"/>
          <w:b/>
          <w:i w:val="0"/>
          <w:iCs w:val="0"/>
          <w:color w:val="auto"/>
          <w:sz w:val="20"/>
          <w:szCs w:val="24"/>
        </w:rPr>
        <w:lastRenderedPageBreak/>
        <w:t xml:space="preserve">Table </w:t>
      </w:r>
      <w:r w:rsidRPr="00ED3ACE">
        <w:rPr>
          <w:rFonts w:ascii="Arial Narrow" w:eastAsiaTheme="majorEastAsia" w:hAnsi="Arial Narrow" w:cstheme="majorBidi"/>
          <w:b/>
          <w:i w:val="0"/>
          <w:iCs w:val="0"/>
          <w:color w:val="auto"/>
          <w:sz w:val="20"/>
          <w:szCs w:val="24"/>
        </w:rPr>
        <w:fldChar w:fldCharType="begin" w:fldLock="1"/>
      </w:r>
      <w:r w:rsidRPr="00ED3ACE">
        <w:rPr>
          <w:rFonts w:ascii="Arial Narrow" w:eastAsiaTheme="majorEastAsia" w:hAnsi="Arial Narrow" w:cstheme="majorBidi"/>
          <w:b/>
          <w:i w:val="0"/>
          <w:iCs w:val="0"/>
          <w:color w:val="auto"/>
          <w:sz w:val="20"/>
          <w:szCs w:val="24"/>
        </w:rPr>
        <w:instrText xml:space="preserve"> SEQ Table \* ARABIC </w:instrText>
      </w:r>
      <w:r w:rsidRPr="00ED3ACE">
        <w:rPr>
          <w:rFonts w:ascii="Arial Narrow" w:eastAsiaTheme="majorEastAsia" w:hAnsi="Arial Narrow" w:cstheme="majorBidi"/>
          <w:b/>
          <w:i w:val="0"/>
          <w:iCs w:val="0"/>
          <w:color w:val="auto"/>
          <w:sz w:val="20"/>
          <w:szCs w:val="24"/>
        </w:rPr>
        <w:fldChar w:fldCharType="separate"/>
      </w:r>
      <w:r>
        <w:rPr>
          <w:rFonts w:ascii="Arial Narrow" w:eastAsiaTheme="majorEastAsia" w:hAnsi="Arial Narrow" w:cstheme="majorBidi"/>
          <w:b/>
          <w:i w:val="0"/>
          <w:iCs w:val="0"/>
          <w:noProof/>
          <w:color w:val="auto"/>
          <w:sz w:val="20"/>
          <w:szCs w:val="24"/>
        </w:rPr>
        <w:t>22</w:t>
      </w:r>
      <w:r w:rsidRPr="00ED3ACE">
        <w:rPr>
          <w:rFonts w:ascii="Arial Narrow" w:eastAsiaTheme="majorEastAsia" w:hAnsi="Arial Narrow" w:cstheme="majorBidi"/>
          <w:b/>
          <w:i w:val="0"/>
          <w:iCs w:val="0"/>
          <w:color w:val="auto"/>
          <w:sz w:val="20"/>
          <w:szCs w:val="24"/>
        </w:rPr>
        <w:fldChar w:fldCharType="end"/>
      </w:r>
      <w:bookmarkEnd w:id="86"/>
      <w:r w:rsidRPr="00BF6A33">
        <w:rPr>
          <w:rFonts w:ascii="Arial Narrow" w:eastAsiaTheme="majorEastAsia" w:hAnsi="Arial Narrow" w:cstheme="majorBidi"/>
          <w:b/>
          <w:i w:val="0"/>
          <w:iCs w:val="0"/>
          <w:color w:val="auto"/>
          <w:sz w:val="20"/>
          <w:szCs w:val="24"/>
        </w:rPr>
        <w:t xml:space="preserve"> Results of the economic model for the early resolution resubmission</w:t>
      </w:r>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2 Results of the economic model for the early resolution resubmission"/>
      </w:tblPr>
      <w:tblGrid>
        <w:gridCol w:w="3680"/>
        <w:gridCol w:w="1778"/>
        <w:gridCol w:w="1780"/>
        <w:gridCol w:w="1778"/>
      </w:tblGrid>
      <w:tr w:rsidR="00CE2717" w:rsidRPr="004710DF" w14:paraId="058E49BA" w14:textId="77777777" w:rsidTr="00193F44">
        <w:trPr>
          <w:trHeight w:val="255"/>
        </w:trPr>
        <w:tc>
          <w:tcPr>
            <w:tcW w:w="2041" w:type="pct"/>
            <w:shd w:val="clear" w:color="auto" w:fill="auto"/>
            <w:noWrap/>
            <w:hideMark/>
          </w:tcPr>
          <w:p w14:paraId="1539E146" w14:textId="77777777" w:rsidR="00CE2717" w:rsidRPr="004710DF" w:rsidRDefault="00CE2717" w:rsidP="00193F44">
            <w:pPr>
              <w:pStyle w:val="PBACTabletext"/>
              <w:spacing w:after="0"/>
              <w:rPr>
                <w:b/>
                <w:bCs/>
              </w:rPr>
            </w:pPr>
            <w:r w:rsidRPr="004710DF">
              <w:rPr>
                <w:b/>
                <w:bCs/>
              </w:rPr>
              <w:t>Scenario</w:t>
            </w:r>
          </w:p>
        </w:tc>
        <w:tc>
          <w:tcPr>
            <w:tcW w:w="986" w:type="pct"/>
            <w:shd w:val="clear" w:color="auto" w:fill="auto"/>
            <w:noWrap/>
          </w:tcPr>
          <w:p w14:paraId="688408BA" w14:textId="77777777" w:rsidR="00CE2717" w:rsidRPr="004710DF" w:rsidRDefault="00CE2717" w:rsidP="00193F44">
            <w:pPr>
              <w:pStyle w:val="PBACTabletext"/>
              <w:spacing w:after="0"/>
              <w:rPr>
                <w:b/>
                <w:bCs/>
              </w:rPr>
            </w:pPr>
            <w:r w:rsidRPr="004710DF">
              <w:rPr>
                <w:b/>
                <w:bCs/>
              </w:rPr>
              <w:t>Incremental cost</w:t>
            </w:r>
          </w:p>
        </w:tc>
        <w:tc>
          <w:tcPr>
            <w:tcW w:w="987" w:type="pct"/>
            <w:shd w:val="clear" w:color="auto" w:fill="auto"/>
            <w:noWrap/>
            <w:vAlign w:val="center"/>
          </w:tcPr>
          <w:p w14:paraId="2C4FC0A8" w14:textId="77777777" w:rsidR="00CE2717" w:rsidRPr="004710DF" w:rsidRDefault="00CE2717" w:rsidP="00193F44">
            <w:pPr>
              <w:pStyle w:val="PBACTabletext"/>
              <w:spacing w:after="0"/>
              <w:rPr>
                <w:b/>
                <w:bCs/>
              </w:rPr>
            </w:pPr>
            <w:r w:rsidRPr="004710DF">
              <w:rPr>
                <w:b/>
                <w:bCs/>
              </w:rPr>
              <w:t>Incremental QALYs</w:t>
            </w:r>
          </w:p>
        </w:tc>
        <w:tc>
          <w:tcPr>
            <w:tcW w:w="986" w:type="pct"/>
            <w:shd w:val="clear" w:color="auto" w:fill="auto"/>
            <w:noWrap/>
            <w:vAlign w:val="center"/>
          </w:tcPr>
          <w:p w14:paraId="0A9EB4E4" w14:textId="77777777" w:rsidR="00CE2717" w:rsidRPr="004710DF" w:rsidRDefault="00CE2717" w:rsidP="00193F44">
            <w:pPr>
              <w:pStyle w:val="PBACTabletext"/>
              <w:spacing w:after="0"/>
              <w:rPr>
                <w:b/>
                <w:bCs/>
              </w:rPr>
            </w:pPr>
            <w:r w:rsidRPr="004710DF">
              <w:rPr>
                <w:b/>
                <w:bCs/>
              </w:rPr>
              <w:t>ICER</w:t>
            </w:r>
          </w:p>
        </w:tc>
      </w:tr>
      <w:tr w:rsidR="00CE2717" w:rsidRPr="004710DF" w14:paraId="00233129" w14:textId="77777777" w:rsidTr="00193F44">
        <w:trPr>
          <w:trHeight w:val="255"/>
        </w:trPr>
        <w:tc>
          <w:tcPr>
            <w:tcW w:w="2041" w:type="pct"/>
            <w:shd w:val="clear" w:color="auto" w:fill="auto"/>
            <w:noWrap/>
          </w:tcPr>
          <w:p w14:paraId="3EAF0F34" w14:textId="77777777" w:rsidR="00CE2717" w:rsidRPr="004710DF" w:rsidRDefault="00CE2717" w:rsidP="00193F44">
            <w:pPr>
              <w:pStyle w:val="PBACTabletext"/>
              <w:spacing w:after="0"/>
              <w:rPr>
                <w:b/>
                <w:bCs/>
                <w:u w:val="single"/>
                <w:vertAlign w:val="superscript"/>
              </w:rPr>
            </w:pPr>
            <w:r w:rsidRPr="004710DF">
              <w:rPr>
                <w:b/>
                <w:bCs/>
                <w:u w:val="single"/>
              </w:rPr>
              <w:t>July 2022 PBAC meeting</w:t>
            </w:r>
          </w:p>
          <w:p w14:paraId="5CE7254A" w14:textId="7B568F50" w:rsidR="00CE2717" w:rsidRPr="004710DF" w:rsidRDefault="00CE2717" w:rsidP="00193F44">
            <w:pPr>
              <w:pStyle w:val="PBACTabletext"/>
              <w:spacing w:after="0"/>
            </w:pPr>
            <w:r w:rsidRPr="004710DF">
              <w:t>Price = $</w:t>
            </w:r>
            <w:r w:rsidR="00C55149" w:rsidRPr="00C55149">
              <w:rPr>
                <w:color w:val="000000"/>
                <w:spacing w:val="48"/>
                <w:shd w:val="solid" w:color="000000" w:fill="000000"/>
                <w:fitText w:val="500" w:id="-1404829438"/>
                <w14:textFill>
                  <w14:solidFill>
                    <w14:srgbClr w14:val="000000">
                      <w14:alpha w14:val="100000"/>
                    </w14:srgbClr>
                  </w14:solidFill>
                </w14:textFill>
              </w:rPr>
              <w:t>|||||</w:t>
            </w:r>
            <w:r w:rsidR="00C55149" w:rsidRPr="00C55149">
              <w:rPr>
                <w:color w:val="000000"/>
                <w:spacing w:val="5"/>
                <w:shd w:val="solid" w:color="000000" w:fill="000000"/>
                <w:fitText w:val="500" w:id="-1404829438"/>
                <w14:textFill>
                  <w14:solidFill>
                    <w14:srgbClr w14:val="000000">
                      <w14:alpha w14:val="100000"/>
                    </w14:srgbClr>
                  </w14:solidFill>
                </w14:textFill>
              </w:rPr>
              <w:t>|</w:t>
            </w:r>
            <w:r w:rsidRPr="004710DF">
              <w:t>; Discount rate = 5%</w:t>
            </w:r>
          </w:p>
        </w:tc>
        <w:tc>
          <w:tcPr>
            <w:tcW w:w="986" w:type="pct"/>
            <w:shd w:val="clear" w:color="auto" w:fill="auto"/>
            <w:noWrap/>
          </w:tcPr>
          <w:p w14:paraId="2A8E7B33" w14:textId="0002CD4C" w:rsidR="00CE2717" w:rsidRPr="004710DF" w:rsidRDefault="00CE2717" w:rsidP="00193F44">
            <w:pPr>
              <w:pStyle w:val="PBACTabletext"/>
              <w:spacing w:after="0"/>
            </w:pPr>
            <w:r w:rsidRPr="004710DF">
              <w:t>$</w:t>
            </w:r>
            <w:r w:rsidR="00C55149" w:rsidRPr="00C55149">
              <w:rPr>
                <w:color w:val="000000"/>
                <w:spacing w:val="48"/>
                <w:shd w:val="solid" w:color="000000" w:fill="000000"/>
                <w:fitText w:val="500" w:id="-1404829437"/>
                <w14:textFill>
                  <w14:solidFill>
                    <w14:srgbClr w14:val="000000">
                      <w14:alpha w14:val="100000"/>
                    </w14:srgbClr>
                  </w14:solidFill>
                </w14:textFill>
              </w:rPr>
              <w:t>|||||</w:t>
            </w:r>
            <w:r w:rsidR="00C55149" w:rsidRPr="00C55149">
              <w:rPr>
                <w:color w:val="000000"/>
                <w:spacing w:val="5"/>
                <w:shd w:val="solid" w:color="000000" w:fill="000000"/>
                <w:fitText w:val="500" w:id="-1404829437"/>
                <w14:textFill>
                  <w14:solidFill>
                    <w14:srgbClr w14:val="000000">
                      <w14:alpha w14:val="100000"/>
                    </w14:srgbClr>
                  </w14:solidFill>
                </w14:textFill>
              </w:rPr>
              <w:t>|</w:t>
            </w:r>
          </w:p>
        </w:tc>
        <w:tc>
          <w:tcPr>
            <w:tcW w:w="987" w:type="pct"/>
            <w:shd w:val="clear" w:color="auto" w:fill="auto"/>
            <w:noWrap/>
          </w:tcPr>
          <w:p w14:paraId="37191BE9" w14:textId="77777777" w:rsidR="00CE2717" w:rsidRPr="004710DF" w:rsidRDefault="00CE2717" w:rsidP="00193F44">
            <w:pPr>
              <w:pStyle w:val="PBACTabletext"/>
              <w:spacing w:after="0"/>
            </w:pPr>
            <w:r w:rsidRPr="004710DF">
              <w:t>3.3459</w:t>
            </w:r>
          </w:p>
        </w:tc>
        <w:tc>
          <w:tcPr>
            <w:tcW w:w="986" w:type="pct"/>
            <w:shd w:val="clear" w:color="auto" w:fill="auto"/>
            <w:noWrap/>
          </w:tcPr>
          <w:p w14:paraId="59507EF4" w14:textId="19D1D5FA" w:rsidR="00CE2717" w:rsidRPr="00F64580" w:rsidRDefault="00CE2717" w:rsidP="00193F44">
            <w:pPr>
              <w:pStyle w:val="PBACTabletext"/>
              <w:spacing w:after="0"/>
              <w:rPr>
                <w:vertAlign w:val="superscript"/>
              </w:rPr>
            </w:pPr>
            <w:r w:rsidRPr="004710DF">
              <w:t>$</w:t>
            </w:r>
            <w:r w:rsidR="00C55149" w:rsidRPr="00C55149">
              <w:rPr>
                <w:color w:val="000000"/>
                <w:spacing w:val="48"/>
                <w:shd w:val="solid" w:color="000000" w:fill="000000"/>
                <w:fitText w:val="500" w:id="-1404829436"/>
                <w14:textFill>
                  <w14:solidFill>
                    <w14:srgbClr w14:val="000000">
                      <w14:alpha w14:val="100000"/>
                    </w14:srgbClr>
                  </w14:solidFill>
                </w14:textFill>
              </w:rPr>
              <w:t>|||||</w:t>
            </w:r>
            <w:r w:rsidR="00C55149" w:rsidRPr="00C55149">
              <w:rPr>
                <w:color w:val="000000"/>
                <w:spacing w:val="5"/>
                <w:shd w:val="solid" w:color="000000" w:fill="000000"/>
                <w:fitText w:val="500" w:id="-1404829436"/>
                <w14:textFill>
                  <w14:solidFill>
                    <w14:srgbClr w14:val="000000">
                      <w14:alpha w14:val="100000"/>
                    </w14:srgbClr>
                  </w14:solidFill>
                </w14:textFill>
              </w:rPr>
              <w:t>|</w:t>
            </w:r>
            <w:r w:rsidR="00F64580">
              <w:rPr>
                <w:vertAlign w:val="superscript"/>
              </w:rPr>
              <w:t>1</w:t>
            </w:r>
          </w:p>
        </w:tc>
      </w:tr>
      <w:tr w:rsidR="00CE2717" w:rsidRPr="004710DF" w14:paraId="448BF00B" w14:textId="77777777" w:rsidTr="00193F44">
        <w:trPr>
          <w:trHeight w:val="255"/>
        </w:trPr>
        <w:tc>
          <w:tcPr>
            <w:tcW w:w="2041" w:type="pct"/>
            <w:shd w:val="clear" w:color="auto" w:fill="auto"/>
            <w:noWrap/>
          </w:tcPr>
          <w:p w14:paraId="61218F31" w14:textId="3DC7AE46" w:rsidR="00CE2717" w:rsidRPr="004710DF" w:rsidRDefault="00CE2717" w:rsidP="00193F44">
            <w:pPr>
              <w:pStyle w:val="PBACTabletext"/>
              <w:spacing w:after="0"/>
            </w:pPr>
            <w:r w:rsidRPr="004710DF">
              <w:rPr>
                <w:b/>
                <w:bCs/>
                <w:u w:val="single"/>
              </w:rPr>
              <w:t>Revised price</w:t>
            </w:r>
            <w:r w:rsidRPr="004710DF">
              <w:rPr>
                <w:b/>
                <w:bCs/>
                <w:u w:val="single"/>
              </w:rPr>
              <w:br/>
            </w:r>
            <w:r w:rsidRPr="004710DF">
              <w:t>Price = $</w:t>
            </w:r>
            <w:r w:rsidR="00C55149" w:rsidRPr="00C55149">
              <w:rPr>
                <w:color w:val="000000"/>
                <w:spacing w:val="48"/>
                <w:shd w:val="solid" w:color="000000" w:fill="000000"/>
                <w:fitText w:val="500" w:id="-1404829435"/>
                <w14:textFill>
                  <w14:solidFill>
                    <w14:srgbClr w14:val="000000">
                      <w14:alpha w14:val="100000"/>
                    </w14:srgbClr>
                  </w14:solidFill>
                </w14:textFill>
              </w:rPr>
              <w:t>|||||</w:t>
            </w:r>
            <w:r w:rsidR="00C55149" w:rsidRPr="00C55149">
              <w:rPr>
                <w:color w:val="000000"/>
                <w:spacing w:val="5"/>
                <w:shd w:val="solid" w:color="000000" w:fill="000000"/>
                <w:fitText w:val="500" w:id="-1404829435"/>
                <w14:textFill>
                  <w14:solidFill>
                    <w14:srgbClr w14:val="000000">
                      <w14:alpha w14:val="100000"/>
                    </w14:srgbClr>
                  </w14:solidFill>
                </w14:textFill>
              </w:rPr>
              <w:t>|</w:t>
            </w:r>
            <w:r w:rsidRPr="004710DF">
              <w:t>; Discount rate = 5%</w:t>
            </w:r>
          </w:p>
        </w:tc>
        <w:tc>
          <w:tcPr>
            <w:tcW w:w="986" w:type="pct"/>
            <w:shd w:val="clear" w:color="auto" w:fill="auto"/>
            <w:noWrap/>
          </w:tcPr>
          <w:p w14:paraId="5F7F2577" w14:textId="12587BE9" w:rsidR="00CE2717" w:rsidRPr="004710DF" w:rsidRDefault="00CE2717" w:rsidP="00193F44">
            <w:pPr>
              <w:pStyle w:val="PBACTabletext"/>
              <w:spacing w:after="0"/>
            </w:pPr>
            <w:r w:rsidRPr="004710DF">
              <w:t>$</w:t>
            </w:r>
            <w:r w:rsidR="00C55149" w:rsidRPr="00C55149">
              <w:rPr>
                <w:color w:val="000000"/>
                <w:spacing w:val="48"/>
                <w:shd w:val="solid" w:color="000000" w:fill="000000"/>
                <w:fitText w:val="500" w:id="-1404829434"/>
                <w14:textFill>
                  <w14:solidFill>
                    <w14:srgbClr w14:val="000000">
                      <w14:alpha w14:val="100000"/>
                    </w14:srgbClr>
                  </w14:solidFill>
                </w14:textFill>
              </w:rPr>
              <w:t>|||||</w:t>
            </w:r>
            <w:r w:rsidR="00C55149" w:rsidRPr="00C55149">
              <w:rPr>
                <w:color w:val="000000"/>
                <w:spacing w:val="5"/>
                <w:shd w:val="solid" w:color="000000" w:fill="000000"/>
                <w:fitText w:val="500" w:id="-1404829434"/>
                <w14:textFill>
                  <w14:solidFill>
                    <w14:srgbClr w14:val="000000">
                      <w14:alpha w14:val="100000"/>
                    </w14:srgbClr>
                  </w14:solidFill>
                </w14:textFill>
              </w:rPr>
              <w:t>|</w:t>
            </w:r>
          </w:p>
        </w:tc>
        <w:tc>
          <w:tcPr>
            <w:tcW w:w="987" w:type="pct"/>
            <w:shd w:val="clear" w:color="auto" w:fill="auto"/>
            <w:noWrap/>
          </w:tcPr>
          <w:p w14:paraId="2BCD2637" w14:textId="77777777" w:rsidR="00CE2717" w:rsidRPr="004710DF" w:rsidRDefault="00CE2717" w:rsidP="00193F44">
            <w:pPr>
              <w:pStyle w:val="PBACTabletext"/>
              <w:spacing w:after="0"/>
            </w:pPr>
            <w:r w:rsidRPr="004710DF">
              <w:t>3.3459</w:t>
            </w:r>
          </w:p>
        </w:tc>
        <w:tc>
          <w:tcPr>
            <w:tcW w:w="986" w:type="pct"/>
            <w:shd w:val="clear" w:color="auto" w:fill="auto"/>
            <w:noWrap/>
          </w:tcPr>
          <w:p w14:paraId="783FD99A" w14:textId="77E2936D" w:rsidR="00CE2717" w:rsidRPr="00F64580" w:rsidRDefault="00CE2717" w:rsidP="00193F44">
            <w:pPr>
              <w:pStyle w:val="PBACTabletext"/>
              <w:spacing w:after="0"/>
              <w:rPr>
                <w:vertAlign w:val="superscript"/>
              </w:rPr>
            </w:pPr>
            <w:r w:rsidRPr="004710DF">
              <w:t>$</w:t>
            </w:r>
            <w:r w:rsidR="00C55149" w:rsidRPr="00C55149">
              <w:rPr>
                <w:color w:val="000000"/>
                <w:spacing w:val="48"/>
                <w:shd w:val="solid" w:color="000000" w:fill="000000"/>
                <w:fitText w:val="500" w:id="-1404829433"/>
                <w14:textFill>
                  <w14:solidFill>
                    <w14:srgbClr w14:val="000000">
                      <w14:alpha w14:val="100000"/>
                    </w14:srgbClr>
                  </w14:solidFill>
                </w14:textFill>
              </w:rPr>
              <w:t>|||||</w:t>
            </w:r>
            <w:r w:rsidR="00C55149" w:rsidRPr="00C55149">
              <w:rPr>
                <w:color w:val="000000"/>
                <w:spacing w:val="5"/>
                <w:shd w:val="solid" w:color="000000" w:fill="000000"/>
                <w:fitText w:val="500" w:id="-1404829433"/>
                <w14:textFill>
                  <w14:solidFill>
                    <w14:srgbClr w14:val="000000">
                      <w14:alpha w14:val="100000"/>
                    </w14:srgbClr>
                  </w14:solidFill>
                </w14:textFill>
              </w:rPr>
              <w:t>|</w:t>
            </w:r>
            <w:r w:rsidR="00F64580">
              <w:rPr>
                <w:vertAlign w:val="superscript"/>
              </w:rPr>
              <w:t>2</w:t>
            </w:r>
          </w:p>
        </w:tc>
      </w:tr>
      <w:tr w:rsidR="00CE2717" w:rsidRPr="004710DF" w14:paraId="7784FE12" w14:textId="77777777" w:rsidTr="00193F44">
        <w:trPr>
          <w:trHeight w:val="255"/>
        </w:trPr>
        <w:tc>
          <w:tcPr>
            <w:tcW w:w="2041" w:type="pct"/>
            <w:shd w:val="clear" w:color="auto" w:fill="auto"/>
            <w:noWrap/>
          </w:tcPr>
          <w:p w14:paraId="47849CA7" w14:textId="77777777" w:rsidR="00CE2717" w:rsidRPr="004710DF" w:rsidRDefault="00CE2717" w:rsidP="00193F44">
            <w:pPr>
              <w:pStyle w:val="PBACTabletext"/>
              <w:spacing w:after="0"/>
              <w:rPr>
                <w:b/>
                <w:bCs/>
                <w:u w:val="single"/>
              </w:rPr>
            </w:pPr>
            <w:r w:rsidRPr="004710DF">
              <w:rPr>
                <w:b/>
                <w:bCs/>
                <w:u w:val="single"/>
              </w:rPr>
              <w:t>Early resolution resubmission base case</w:t>
            </w:r>
          </w:p>
          <w:p w14:paraId="457A9785" w14:textId="6594FA33" w:rsidR="00CE2717" w:rsidRPr="004710DF" w:rsidRDefault="00CE2717" w:rsidP="00193F44">
            <w:pPr>
              <w:pStyle w:val="PBACTabletext"/>
              <w:spacing w:after="0"/>
              <w:rPr>
                <w:u w:val="single"/>
              </w:rPr>
            </w:pPr>
            <w:r w:rsidRPr="004710DF">
              <w:t>Price = $</w:t>
            </w:r>
            <w:r w:rsidR="00C55149" w:rsidRPr="00C55149">
              <w:rPr>
                <w:color w:val="000000"/>
                <w:spacing w:val="48"/>
                <w:shd w:val="solid" w:color="000000" w:fill="000000"/>
                <w:fitText w:val="500" w:id="-1404829432"/>
                <w14:textFill>
                  <w14:solidFill>
                    <w14:srgbClr w14:val="000000">
                      <w14:alpha w14:val="100000"/>
                    </w14:srgbClr>
                  </w14:solidFill>
                </w14:textFill>
              </w:rPr>
              <w:t>|||||</w:t>
            </w:r>
            <w:r w:rsidR="00C55149" w:rsidRPr="00C55149">
              <w:rPr>
                <w:color w:val="000000"/>
                <w:spacing w:val="5"/>
                <w:shd w:val="solid" w:color="000000" w:fill="000000"/>
                <w:fitText w:val="500" w:id="-1404829432"/>
                <w14:textFill>
                  <w14:solidFill>
                    <w14:srgbClr w14:val="000000">
                      <w14:alpha w14:val="100000"/>
                    </w14:srgbClr>
                  </w14:solidFill>
                </w14:textFill>
              </w:rPr>
              <w:t>|</w:t>
            </w:r>
            <w:r w:rsidRPr="004710DF">
              <w:t>; Discount rate = 3%</w:t>
            </w:r>
          </w:p>
        </w:tc>
        <w:tc>
          <w:tcPr>
            <w:tcW w:w="986" w:type="pct"/>
            <w:shd w:val="clear" w:color="auto" w:fill="auto"/>
            <w:noWrap/>
          </w:tcPr>
          <w:p w14:paraId="0B13B5E4" w14:textId="2622890E" w:rsidR="00CE2717" w:rsidRPr="004710DF" w:rsidRDefault="00CE2717" w:rsidP="00193F44">
            <w:pPr>
              <w:pStyle w:val="PBACTabletext"/>
              <w:spacing w:after="0"/>
              <w:rPr>
                <w:b/>
                <w:bCs/>
              </w:rPr>
            </w:pPr>
            <w:r w:rsidRPr="004710DF">
              <w:rPr>
                <w:b/>
                <w:bCs/>
              </w:rPr>
              <w:t>$</w:t>
            </w:r>
            <w:r w:rsidR="00C55149" w:rsidRPr="00C55149">
              <w:rPr>
                <w:b/>
                <w:bCs/>
                <w:color w:val="000000"/>
                <w:spacing w:val="40"/>
                <w:shd w:val="solid" w:color="000000" w:fill="000000"/>
                <w:fitText w:val="480" w:id="-1404829431"/>
                <w14:textFill>
                  <w14:solidFill>
                    <w14:srgbClr w14:val="000000">
                      <w14:alpha w14:val="100000"/>
                    </w14:srgbClr>
                  </w14:solidFill>
                </w14:textFill>
              </w:rPr>
              <w:t>|||||</w:t>
            </w:r>
            <w:r w:rsidR="00C55149" w:rsidRPr="00C55149">
              <w:rPr>
                <w:b/>
                <w:bCs/>
                <w:color w:val="000000"/>
                <w:spacing w:val="5"/>
                <w:shd w:val="solid" w:color="000000" w:fill="000000"/>
                <w:fitText w:val="480" w:id="-1404829431"/>
                <w14:textFill>
                  <w14:solidFill>
                    <w14:srgbClr w14:val="000000">
                      <w14:alpha w14:val="100000"/>
                    </w14:srgbClr>
                  </w14:solidFill>
                </w14:textFill>
              </w:rPr>
              <w:t>|</w:t>
            </w:r>
          </w:p>
        </w:tc>
        <w:tc>
          <w:tcPr>
            <w:tcW w:w="987" w:type="pct"/>
            <w:shd w:val="clear" w:color="auto" w:fill="auto"/>
            <w:noWrap/>
          </w:tcPr>
          <w:p w14:paraId="0E35A6E0" w14:textId="77777777" w:rsidR="00CE2717" w:rsidRPr="004710DF" w:rsidRDefault="00CE2717" w:rsidP="00193F44">
            <w:pPr>
              <w:pStyle w:val="PBACTabletext"/>
              <w:spacing w:after="0"/>
              <w:rPr>
                <w:b/>
                <w:bCs/>
              </w:rPr>
            </w:pPr>
            <w:r w:rsidRPr="004710DF">
              <w:rPr>
                <w:b/>
                <w:bCs/>
              </w:rPr>
              <w:t>5.5931</w:t>
            </w:r>
          </w:p>
        </w:tc>
        <w:tc>
          <w:tcPr>
            <w:tcW w:w="986" w:type="pct"/>
            <w:shd w:val="clear" w:color="auto" w:fill="auto"/>
            <w:noWrap/>
          </w:tcPr>
          <w:p w14:paraId="3B4F97F2" w14:textId="400744CD" w:rsidR="00CE2717" w:rsidRPr="00F64580" w:rsidRDefault="00CE2717" w:rsidP="00193F44">
            <w:pPr>
              <w:pStyle w:val="PBACTabletext"/>
              <w:spacing w:after="0"/>
              <w:rPr>
                <w:vertAlign w:val="superscript"/>
              </w:rPr>
            </w:pPr>
            <w:r w:rsidRPr="004710DF">
              <w:rPr>
                <w:b/>
                <w:bCs/>
              </w:rPr>
              <w:t>$</w:t>
            </w:r>
            <w:r w:rsidR="00C55149" w:rsidRPr="00C55149">
              <w:rPr>
                <w:b/>
                <w:bCs/>
                <w:color w:val="000000"/>
                <w:spacing w:val="40"/>
                <w:shd w:val="solid" w:color="000000" w:fill="000000"/>
                <w:fitText w:val="480" w:id="-1404829430"/>
                <w14:textFill>
                  <w14:solidFill>
                    <w14:srgbClr w14:val="000000">
                      <w14:alpha w14:val="100000"/>
                    </w14:srgbClr>
                  </w14:solidFill>
                </w14:textFill>
              </w:rPr>
              <w:t>|||||</w:t>
            </w:r>
            <w:r w:rsidR="00C55149" w:rsidRPr="00C55149">
              <w:rPr>
                <w:b/>
                <w:bCs/>
                <w:color w:val="000000"/>
                <w:spacing w:val="5"/>
                <w:shd w:val="solid" w:color="000000" w:fill="000000"/>
                <w:fitText w:val="480" w:id="-1404829430"/>
                <w14:textFill>
                  <w14:solidFill>
                    <w14:srgbClr w14:val="000000">
                      <w14:alpha w14:val="100000"/>
                    </w14:srgbClr>
                  </w14:solidFill>
                </w14:textFill>
              </w:rPr>
              <w:t>|</w:t>
            </w:r>
            <w:r w:rsidR="00F64580">
              <w:rPr>
                <w:vertAlign w:val="superscript"/>
              </w:rPr>
              <w:t>3</w:t>
            </w:r>
          </w:p>
        </w:tc>
      </w:tr>
      <w:tr w:rsidR="00CE2717" w:rsidRPr="004710DF" w14:paraId="27EDDC3F" w14:textId="77777777" w:rsidTr="00193F44">
        <w:trPr>
          <w:trHeight w:val="255"/>
        </w:trPr>
        <w:tc>
          <w:tcPr>
            <w:tcW w:w="2041" w:type="pct"/>
            <w:shd w:val="clear" w:color="auto" w:fill="auto"/>
            <w:noWrap/>
          </w:tcPr>
          <w:p w14:paraId="4413EC9A" w14:textId="77777777" w:rsidR="00CE2717" w:rsidRPr="00BF6A33" w:rsidRDefault="00CE2717" w:rsidP="00193F44">
            <w:pPr>
              <w:pStyle w:val="PBACTabletext"/>
              <w:spacing w:after="0"/>
              <w:rPr>
                <w:b/>
                <w:bCs/>
                <w:u w:val="single"/>
                <w:vertAlign w:val="superscript"/>
              </w:rPr>
            </w:pPr>
            <w:r w:rsidRPr="00BF6A33">
              <w:rPr>
                <w:b/>
                <w:bCs/>
                <w:u w:val="single"/>
              </w:rPr>
              <w:t xml:space="preserve">Impact of alternative discount </w:t>
            </w:r>
            <w:proofErr w:type="spellStart"/>
            <w:r w:rsidRPr="00BF6A33">
              <w:rPr>
                <w:b/>
                <w:bCs/>
                <w:u w:val="single"/>
              </w:rPr>
              <w:t>rates</w:t>
            </w:r>
            <w:r w:rsidRPr="00BF6A33">
              <w:rPr>
                <w:b/>
                <w:bCs/>
                <w:u w:val="single"/>
                <w:vertAlign w:val="superscript"/>
              </w:rPr>
              <w:t>a</w:t>
            </w:r>
            <w:proofErr w:type="spellEnd"/>
          </w:p>
          <w:p w14:paraId="4B68B7B8" w14:textId="0D717D98" w:rsidR="00CE2717" w:rsidRPr="00BF6A33" w:rsidRDefault="00CE2717" w:rsidP="00193F44">
            <w:pPr>
              <w:pStyle w:val="PBACTabletext"/>
              <w:spacing w:after="0"/>
            </w:pPr>
            <w:r w:rsidRPr="004710DF">
              <w:t>Price = $</w:t>
            </w:r>
            <w:r w:rsidR="00C55149" w:rsidRPr="00C55149">
              <w:rPr>
                <w:color w:val="000000"/>
                <w:spacing w:val="48"/>
                <w:shd w:val="solid" w:color="000000" w:fill="000000"/>
                <w:fitText w:val="500" w:id="-1404829429"/>
                <w14:textFill>
                  <w14:solidFill>
                    <w14:srgbClr w14:val="000000">
                      <w14:alpha w14:val="100000"/>
                    </w14:srgbClr>
                  </w14:solidFill>
                </w14:textFill>
              </w:rPr>
              <w:t>|||||</w:t>
            </w:r>
            <w:r w:rsidR="00C55149" w:rsidRPr="00C55149">
              <w:rPr>
                <w:color w:val="000000"/>
                <w:spacing w:val="5"/>
                <w:shd w:val="solid" w:color="000000" w:fill="000000"/>
                <w:fitText w:val="500" w:id="-1404829429"/>
                <w14:textFill>
                  <w14:solidFill>
                    <w14:srgbClr w14:val="000000">
                      <w14:alpha w14:val="100000"/>
                    </w14:srgbClr>
                  </w14:solidFill>
                </w14:textFill>
              </w:rPr>
              <w:t>|</w:t>
            </w:r>
            <w:r w:rsidRPr="004710DF">
              <w:t xml:space="preserve">; </w:t>
            </w:r>
            <w:r w:rsidRPr="00BF6A33">
              <w:t>Discount rate = 4.5%</w:t>
            </w:r>
          </w:p>
          <w:p w14:paraId="0B5CFDA4" w14:textId="2E7D0A00" w:rsidR="00CE2717" w:rsidRPr="00BF6A33" w:rsidRDefault="00CE2717" w:rsidP="00193F44">
            <w:pPr>
              <w:pStyle w:val="PBACTabletext"/>
              <w:spacing w:after="0"/>
            </w:pPr>
            <w:r w:rsidRPr="004710DF">
              <w:t>Price = $</w:t>
            </w:r>
            <w:r w:rsidR="00C55149" w:rsidRPr="00C55149">
              <w:rPr>
                <w:color w:val="000000"/>
                <w:spacing w:val="48"/>
                <w:shd w:val="solid" w:color="000000" w:fill="000000"/>
                <w:fitText w:val="500" w:id="-1404829428"/>
                <w14:textFill>
                  <w14:solidFill>
                    <w14:srgbClr w14:val="000000">
                      <w14:alpha w14:val="100000"/>
                    </w14:srgbClr>
                  </w14:solidFill>
                </w14:textFill>
              </w:rPr>
              <w:t>|||||</w:t>
            </w:r>
            <w:r w:rsidR="00C55149" w:rsidRPr="00C55149">
              <w:rPr>
                <w:color w:val="000000"/>
                <w:spacing w:val="5"/>
                <w:shd w:val="solid" w:color="000000" w:fill="000000"/>
                <w:fitText w:val="500" w:id="-1404829428"/>
                <w14:textFill>
                  <w14:solidFill>
                    <w14:srgbClr w14:val="000000">
                      <w14:alpha w14:val="100000"/>
                    </w14:srgbClr>
                  </w14:solidFill>
                </w14:textFill>
              </w:rPr>
              <w:t>|</w:t>
            </w:r>
            <w:r w:rsidRPr="004710DF">
              <w:t xml:space="preserve">; </w:t>
            </w:r>
            <w:r w:rsidRPr="00BF6A33">
              <w:t>Discount rate = 4.0%</w:t>
            </w:r>
          </w:p>
          <w:p w14:paraId="097B305B" w14:textId="055D2DE8" w:rsidR="00CE2717" w:rsidRPr="00BF6A33" w:rsidRDefault="00CE2717" w:rsidP="00193F44">
            <w:pPr>
              <w:pStyle w:val="PBACTabletext"/>
              <w:spacing w:after="0"/>
              <w:rPr>
                <w:u w:val="single"/>
              </w:rPr>
            </w:pPr>
            <w:r w:rsidRPr="004710DF">
              <w:t>Price = $</w:t>
            </w:r>
            <w:r w:rsidR="00C55149" w:rsidRPr="00C55149">
              <w:rPr>
                <w:color w:val="000000"/>
                <w:spacing w:val="48"/>
                <w:shd w:val="solid" w:color="000000" w:fill="000000"/>
                <w:fitText w:val="500" w:id="-1404829427"/>
                <w14:textFill>
                  <w14:solidFill>
                    <w14:srgbClr w14:val="000000">
                      <w14:alpha w14:val="100000"/>
                    </w14:srgbClr>
                  </w14:solidFill>
                </w14:textFill>
              </w:rPr>
              <w:t>|||||</w:t>
            </w:r>
            <w:r w:rsidR="00C55149" w:rsidRPr="00C55149">
              <w:rPr>
                <w:color w:val="000000"/>
                <w:spacing w:val="5"/>
                <w:shd w:val="solid" w:color="000000" w:fill="000000"/>
                <w:fitText w:val="500" w:id="-1404829427"/>
                <w14:textFill>
                  <w14:solidFill>
                    <w14:srgbClr w14:val="000000">
                      <w14:alpha w14:val="100000"/>
                    </w14:srgbClr>
                  </w14:solidFill>
                </w14:textFill>
              </w:rPr>
              <w:t>|</w:t>
            </w:r>
            <w:r w:rsidRPr="004710DF">
              <w:t xml:space="preserve">; </w:t>
            </w:r>
            <w:r w:rsidRPr="00BF6A33">
              <w:t>Discount rate = 3.5%</w:t>
            </w:r>
          </w:p>
        </w:tc>
        <w:tc>
          <w:tcPr>
            <w:tcW w:w="986" w:type="pct"/>
            <w:shd w:val="clear" w:color="auto" w:fill="auto"/>
            <w:noWrap/>
          </w:tcPr>
          <w:p w14:paraId="55FADA3D" w14:textId="77777777" w:rsidR="00CE2717" w:rsidRPr="00BF6A33" w:rsidRDefault="00CE2717" w:rsidP="00193F44">
            <w:pPr>
              <w:pStyle w:val="PBACTabletext"/>
              <w:spacing w:after="0"/>
            </w:pPr>
          </w:p>
          <w:p w14:paraId="1393456F" w14:textId="158165A0" w:rsidR="00CE2717" w:rsidRPr="00BF6A33" w:rsidRDefault="00CE2717" w:rsidP="00193F44">
            <w:pPr>
              <w:pStyle w:val="PBACTabletext"/>
              <w:spacing w:after="0"/>
            </w:pPr>
            <w:r w:rsidRPr="00BF6A33">
              <w:t>$</w:t>
            </w:r>
            <w:r w:rsidR="00C55149" w:rsidRPr="00C55149">
              <w:rPr>
                <w:color w:val="000000"/>
                <w:spacing w:val="48"/>
                <w:shd w:val="solid" w:color="000000" w:fill="000000"/>
                <w:fitText w:val="500" w:id="-1404829426"/>
                <w14:textFill>
                  <w14:solidFill>
                    <w14:srgbClr w14:val="000000">
                      <w14:alpha w14:val="100000"/>
                    </w14:srgbClr>
                  </w14:solidFill>
                </w14:textFill>
              </w:rPr>
              <w:t>|||||</w:t>
            </w:r>
            <w:r w:rsidR="00C55149" w:rsidRPr="00C55149">
              <w:rPr>
                <w:color w:val="000000"/>
                <w:spacing w:val="5"/>
                <w:shd w:val="solid" w:color="000000" w:fill="000000"/>
                <w:fitText w:val="500" w:id="-1404829426"/>
                <w14:textFill>
                  <w14:solidFill>
                    <w14:srgbClr w14:val="000000">
                      <w14:alpha w14:val="100000"/>
                    </w14:srgbClr>
                  </w14:solidFill>
                </w14:textFill>
              </w:rPr>
              <w:t>|</w:t>
            </w:r>
          </w:p>
          <w:p w14:paraId="13DB5CB0" w14:textId="1E53A158" w:rsidR="00CE2717" w:rsidRPr="00BF6A33" w:rsidRDefault="00CE2717" w:rsidP="00193F44">
            <w:pPr>
              <w:pStyle w:val="PBACTabletext"/>
              <w:spacing w:after="0"/>
            </w:pPr>
            <w:r w:rsidRPr="00BF6A33">
              <w:t>$</w:t>
            </w:r>
            <w:r w:rsidR="00C55149" w:rsidRPr="00C55149">
              <w:rPr>
                <w:color w:val="000000"/>
                <w:spacing w:val="48"/>
                <w:shd w:val="solid" w:color="000000" w:fill="000000"/>
                <w:fitText w:val="500" w:id="-1404829425"/>
                <w14:textFill>
                  <w14:solidFill>
                    <w14:srgbClr w14:val="000000">
                      <w14:alpha w14:val="100000"/>
                    </w14:srgbClr>
                  </w14:solidFill>
                </w14:textFill>
              </w:rPr>
              <w:t>|||||</w:t>
            </w:r>
            <w:r w:rsidR="00C55149" w:rsidRPr="00C55149">
              <w:rPr>
                <w:color w:val="000000"/>
                <w:spacing w:val="5"/>
                <w:shd w:val="solid" w:color="000000" w:fill="000000"/>
                <w:fitText w:val="500" w:id="-1404829425"/>
                <w14:textFill>
                  <w14:solidFill>
                    <w14:srgbClr w14:val="000000">
                      <w14:alpha w14:val="100000"/>
                    </w14:srgbClr>
                  </w14:solidFill>
                </w14:textFill>
              </w:rPr>
              <w:t>|</w:t>
            </w:r>
          </w:p>
          <w:p w14:paraId="617F899A" w14:textId="0F5CAB6C" w:rsidR="00CE2717" w:rsidRPr="00BF6A33" w:rsidRDefault="00CE2717" w:rsidP="00193F44">
            <w:pPr>
              <w:pStyle w:val="PBACTabletext"/>
              <w:spacing w:after="0"/>
            </w:pPr>
            <w:r w:rsidRPr="00BF6A33">
              <w:t>$</w:t>
            </w:r>
            <w:r w:rsidR="00C55149" w:rsidRPr="00C55149">
              <w:rPr>
                <w:color w:val="000000"/>
                <w:spacing w:val="48"/>
                <w:shd w:val="solid" w:color="000000" w:fill="000000"/>
                <w:fitText w:val="500" w:id="-1404829424"/>
                <w14:textFill>
                  <w14:solidFill>
                    <w14:srgbClr w14:val="000000">
                      <w14:alpha w14:val="100000"/>
                    </w14:srgbClr>
                  </w14:solidFill>
                </w14:textFill>
              </w:rPr>
              <w:t>|||||</w:t>
            </w:r>
            <w:r w:rsidR="00C55149" w:rsidRPr="00C55149">
              <w:rPr>
                <w:color w:val="000000"/>
                <w:spacing w:val="5"/>
                <w:shd w:val="solid" w:color="000000" w:fill="000000"/>
                <w:fitText w:val="500" w:id="-1404829424"/>
                <w14:textFill>
                  <w14:solidFill>
                    <w14:srgbClr w14:val="000000">
                      <w14:alpha w14:val="100000"/>
                    </w14:srgbClr>
                  </w14:solidFill>
                </w14:textFill>
              </w:rPr>
              <w:t>|</w:t>
            </w:r>
          </w:p>
        </w:tc>
        <w:tc>
          <w:tcPr>
            <w:tcW w:w="987" w:type="pct"/>
            <w:shd w:val="clear" w:color="auto" w:fill="auto"/>
            <w:noWrap/>
          </w:tcPr>
          <w:p w14:paraId="74CEC597" w14:textId="77777777" w:rsidR="00CE2717" w:rsidRPr="00BF6A33" w:rsidRDefault="00CE2717" w:rsidP="00193F44">
            <w:pPr>
              <w:pStyle w:val="PBACTabletext"/>
              <w:spacing w:after="0"/>
            </w:pPr>
          </w:p>
          <w:p w14:paraId="3B7F1A3B" w14:textId="77777777" w:rsidR="00CE2717" w:rsidRPr="00BF6A33" w:rsidRDefault="00CE2717" w:rsidP="00193F44">
            <w:pPr>
              <w:pStyle w:val="PBACTabletext"/>
              <w:spacing w:after="0"/>
            </w:pPr>
            <w:r w:rsidRPr="00BF6A33">
              <w:t>3.7568</w:t>
            </w:r>
          </w:p>
          <w:p w14:paraId="161E2453" w14:textId="77777777" w:rsidR="00CE2717" w:rsidRPr="00BF6A33" w:rsidRDefault="00CE2717" w:rsidP="00193F44">
            <w:pPr>
              <w:pStyle w:val="PBACTabletext"/>
              <w:spacing w:after="0"/>
            </w:pPr>
            <w:r w:rsidRPr="00BF6A33">
              <w:t>4.2515</w:t>
            </w:r>
          </w:p>
          <w:p w14:paraId="1D64444B" w14:textId="77777777" w:rsidR="00CE2717" w:rsidRPr="00BF6A33" w:rsidRDefault="00CE2717" w:rsidP="00193F44">
            <w:pPr>
              <w:pStyle w:val="PBACTabletext"/>
              <w:spacing w:after="0"/>
            </w:pPr>
            <w:r w:rsidRPr="00BF6A33">
              <w:t>4.8532</w:t>
            </w:r>
          </w:p>
        </w:tc>
        <w:tc>
          <w:tcPr>
            <w:tcW w:w="986" w:type="pct"/>
            <w:shd w:val="clear" w:color="auto" w:fill="auto"/>
            <w:noWrap/>
          </w:tcPr>
          <w:p w14:paraId="2A9CB74E" w14:textId="77777777" w:rsidR="00CE2717" w:rsidRPr="00BF6A33" w:rsidRDefault="00CE2717" w:rsidP="00193F44">
            <w:pPr>
              <w:pStyle w:val="PBACTabletext"/>
              <w:spacing w:after="0"/>
            </w:pPr>
          </w:p>
          <w:p w14:paraId="5930FECE" w14:textId="5285F3E0" w:rsidR="00CE2717" w:rsidRPr="00F64580" w:rsidRDefault="00CE2717" w:rsidP="00193F44">
            <w:pPr>
              <w:pStyle w:val="PBACTabletext"/>
              <w:spacing w:after="0"/>
              <w:rPr>
                <w:vertAlign w:val="superscript"/>
              </w:rPr>
            </w:pPr>
            <w:r w:rsidRPr="00BF6A33">
              <w:t>$</w:t>
            </w:r>
            <w:r w:rsidR="00C55149" w:rsidRPr="00C55149">
              <w:rPr>
                <w:color w:val="000000"/>
                <w:spacing w:val="48"/>
                <w:shd w:val="solid" w:color="000000" w:fill="000000"/>
                <w:fitText w:val="500" w:id="-1404829440"/>
                <w14:textFill>
                  <w14:solidFill>
                    <w14:srgbClr w14:val="000000">
                      <w14:alpha w14:val="100000"/>
                    </w14:srgbClr>
                  </w14:solidFill>
                </w14:textFill>
              </w:rPr>
              <w:t>|||||</w:t>
            </w:r>
            <w:r w:rsidR="00C55149" w:rsidRPr="00C55149">
              <w:rPr>
                <w:color w:val="000000"/>
                <w:spacing w:val="5"/>
                <w:shd w:val="solid" w:color="000000" w:fill="000000"/>
                <w:fitText w:val="500" w:id="-1404829440"/>
                <w14:textFill>
                  <w14:solidFill>
                    <w14:srgbClr w14:val="000000">
                      <w14:alpha w14:val="100000"/>
                    </w14:srgbClr>
                  </w14:solidFill>
                </w14:textFill>
              </w:rPr>
              <w:t>|</w:t>
            </w:r>
            <w:r w:rsidR="00F64580">
              <w:rPr>
                <w:vertAlign w:val="superscript"/>
              </w:rPr>
              <w:t>2</w:t>
            </w:r>
          </w:p>
          <w:p w14:paraId="47AC0C03" w14:textId="4B4E3BD9" w:rsidR="00CE2717" w:rsidRPr="00F64580" w:rsidRDefault="00CE2717" w:rsidP="00193F44">
            <w:pPr>
              <w:pStyle w:val="PBACTabletext"/>
              <w:spacing w:after="0"/>
              <w:rPr>
                <w:vertAlign w:val="superscript"/>
              </w:rPr>
            </w:pPr>
            <w:r w:rsidRPr="00BF6A33">
              <w:t>$</w:t>
            </w:r>
            <w:r w:rsidR="00C55149" w:rsidRPr="00C55149">
              <w:rPr>
                <w:color w:val="000000"/>
                <w:spacing w:val="48"/>
                <w:shd w:val="solid" w:color="000000" w:fill="000000"/>
                <w:fitText w:val="500" w:id="-1404829439"/>
                <w14:textFill>
                  <w14:solidFill>
                    <w14:srgbClr w14:val="000000">
                      <w14:alpha w14:val="100000"/>
                    </w14:srgbClr>
                  </w14:solidFill>
                </w14:textFill>
              </w:rPr>
              <w:t>|||||</w:t>
            </w:r>
            <w:r w:rsidR="00C55149" w:rsidRPr="00C55149">
              <w:rPr>
                <w:color w:val="000000"/>
                <w:spacing w:val="5"/>
                <w:shd w:val="solid" w:color="000000" w:fill="000000"/>
                <w:fitText w:val="500" w:id="-1404829439"/>
                <w14:textFill>
                  <w14:solidFill>
                    <w14:srgbClr w14:val="000000">
                      <w14:alpha w14:val="100000"/>
                    </w14:srgbClr>
                  </w14:solidFill>
                </w14:textFill>
              </w:rPr>
              <w:t>|</w:t>
            </w:r>
            <w:r w:rsidR="00F64580">
              <w:rPr>
                <w:vertAlign w:val="superscript"/>
              </w:rPr>
              <w:t>2</w:t>
            </w:r>
          </w:p>
          <w:p w14:paraId="2E55AD80" w14:textId="4E3D66C9" w:rsidR="00CE2717" w:rsidRPr="00F64580" w:rsidRDefault="00CE2717" w:rsidP="00193F44">
            <w:pPr>
              <w:pStyle w:val="PBACTabletext"/>
              <w:spacing w:after="0"/>
              <w:rPr>
                <w:vertAlign w:val="superscript"/>
              </w:rPr>
            </w:pPr>
            <w:r w:rsidRPr="00BF6A33">
              <w:t>$</w:t>
            </w:r>
            <w:r w:rsidR="00C55149" w:rsidRPr="00C55149">
              <w:rPr>
                <w:color w:val="000000"/>
                <w:spacing w:val="48"/>
                <w:shd w:val="solid" w:color="000000" w:fill="000000"/>
                <w:fitText w:val="500" w:id="-1404829438"/>
                <w14:textFill>
                  <w14:solidFill>
                    <w14:srgbClr w14:val="000000">
                      <w14:alpha w14:val="100000"/>
                    </w14:srgbClr>
                  </w14:solidFill>
                </w14:textFill>
              </w:rPr>
              <w:t>|||||</w:t>
            </w:r>
            <w:r w:rsidR="00C55149" w:rsidRPr="00C55149">
              <w:rPr>
                <w:color w:val="000000"/>
                <w:spacing w:val="5"/>
                <w:shd w:val="solid" w:color="000000" w:fill="000000"/>
                <w:fitText w:val="500" w:id="-1404829438"/>
                <w14:textFill>
                  <w14:solidFill>
                    <w14:srgbClr w14:val="000000">
                      <w14:alpha w14:val="100000"/>
                    </w14:srgbClr>
                  </w14:solidFill>
                </w14:textFill>
              </w:rPr>
              <w:t>|</w:t>
            </w:r>
            <w:r w:rsidR="00F64580">
              <w:rPr>
                <w:vertAlign w:val="superscript"/>
              </w:rPr>
              <w:t>3</w:t>
            </w:r>
          </w:p>
        </w:tc>
      </w:tr>
      <w:tr w:rsidR="00CE2717" w:rsidRPr="004710DF" w14:paraId="4121DC3A" w14:textId="77777777" w:rsidTr="00193F44">
        <w:trPr>
          <w:trHeight w:val="255"/>
        </w:trPr>
        <w:tc>
          <w:tcPr>
            <w:tcW w:w="2041" w:type="pct"/>
            <w:shd w:val="clear" w:color="auto" w:fill="auto"/>
            <w:noWrap/>
          </w:tcPr>
          <w:p w14:paraId="6B272112" w14:textId="77777777" w:rsidR="00CE2717" w:rsidRPr="00B52851" w:rsidRDefault="00CE2717" w:rsidP="00193F44">
            <w:pPr>
              <w:pStyle w:val="PBACTabletext"/>
              <w:spacing w:after="0"/>
              <w:rPr>
                <w:b/>
                <w:bCs/>
                <w:u w:val="single"/>
                <w:vertAlign w:val="superscript"/>
              </w:rPr>
            </w:pPr>
            <w:r>
              <w:rPr>
                <w:b/>
                <w:bCs/>
                <w:u w:val="single"/>
              </w:rPr>
              <w:t xml:space="preserve">Starting age reduced to 0 in the </w:t>
            </w:r>
            <w:proofErr w:type="spellStart"/>
            <w:r>
              <w:rPr>
                <w:b/>
                <w:bCs/>
                <w:u w:val="single"/>
              </w:rPr>
              <w:t>model</w:t>
            </w:r>
            <w:r w:rsidRPr="004E7C7C">
              <w:rPr>
                <w:b/>
                <w:bCs/>
                <w:u w:val="single"/>
                <w:vertAlign w:val="superscript"/>
              </w:rPr>
              <w:t>b</w:t>
            </w:r>
            <w:proofErr w:type="spellEnd"/>
          </w:p>
          <w:p w14:paraId="572C949E" w14:textId="7553CD5A" w:rsidR="00CE2717" w:rsidRPr="00964B95" w:rsidRDefault="00CE2717" w:rsidP="00193F44">
            <w:pPr>
              <w:pStyle w:val="PBACTabletext"/>
              <w:spacing w:after="0"/>
            </w:pPr>
            <w:r w:rsidRPr="004710DF">
              <w:t>Price = $</w:t>
            </w:r>
            <w:r w:rsidR="00C55149" w:rsidRPr="00C55149">
              <w:rPr>
                <w:color w:val="000000"/>
                <w:spacing w:val="48"/>
                <w:shd w:val="solid" w:color="000000" w:fill="000000"/>
                <w:fitText w:val="500" w:id="-1404829437"/>
                <w14:textFill>
                  <w14:solidFill>
                    <w14:srgbClr w14:val="000000">
                      <w14:alpha w14:val="100000"/>
                    </w14:srgbClr>
                  </w14:solidFill>
                </w14:textFill>
              </w:rPr>
              <w:t>|||||</w:t>
            </w:r>
            <w:r w:rsidR="00C55149" w:rsidRPr="00C55149">
              <w:rPr>
                <w:color w:val="000000"/>
                <w:spacing w:val="5"/>
                <w:shd w:val="solid" w:color="000000" w:fill="000000"/>
                <w:fitText w:val="500" w:id="-1404829437"/>
                <w14:textFill>
                  <w14:solidFill>
                    <w14:srgbClr w14:val="000000">
                      <w14:alpha w14:val="100000"/>
                    </w14:srgbClr>
                  </w14:solidFill>
                </w14:textFill>
              </w:rPr>
              <w:t>|</w:t>
            </w:r>
            <w:r w:rsidRPr="004710DF">
              <w:t xml:space="preserve">; </w:t>
            </w:r>
            <w:r w:rsidRPr="00964B95">
              <w:t>Discount rate = 3%</w:t>
            </w:r>
          </w:p>
          <w:p w14:paraId="644E4C96" w14:textId="7193DAA7" w:rsidR="00CE2717" w:rsidRDefault="00CE2717" w:rsidP="00193F44">
            <w:pPr>
              <w:pStyle w:val="PBACTabletext"/>
              <w:spacing w:after="0"/>
            </w:pPr>
            <w:r w:rsidRPr="004710DF">
              <w:t>Price = $</w:t>
            </w:r>
            <w:r w:rsidR="00C55149" w:rsidRPr="00C55149">
              <w:rPr>
                <w:color w:val="000000"/>
                <w:spacing w:val="48"/>
                <w:shd w:val="solid" w:color="000000" w:fill="000000"/>
                <w:fitText w:val="500" w:id="-1404829436"/>
                <w14:textFill>
                  <w14:solidFill>
                    <w14:srgbClr w14:val="000000">
                      <w14:alpha w14:val="100000"/>
                    </w14:srgbClr>
                  </w14:solidFill>
                </w14:textFill>
              </w:rPr>
              <w:t>|||||</w:t>
            </w:r>
            <w:r w:rsidR="00C55149" w:rsidRPr="00C55149">
              <w:rPr>
                <w:color w:val="000000"/>
                <w:spacing w:val="5"/>
                <w:shd w:val="solid" w:color="000000" w:fill="000000"/>
                <w:fitText w:val="500" w:id="-1404829436"/>
                <w14:textFill>
                  <w14:solidFill>
                    <w14:srgbClr w14:val="000000">
                      <w14:alpha w14:val="100000"/>
                    </w14:srgbClr>
                  </w14:solidFill>
                </w14:textFill>
              </w:rPr>
              <w:t>|</w:t>
            </w:r>
            <w:r w:rsidRPr="004710DF">
              <w:t xml:space="preserve">; </w:t>
            </w:r>
            <w:r w:rsidRPr="00964B95">
              <w:t>Discount rate = 3.5%</w:t>
            </w:r>
          </w:p>
          <w:p w14:paraId="2ADCF281" w14:textId="13A20955" w:rsidR="00CE2717" w:rsidRPr="00507DB2" w:rsidRDefault="00CE2717" w:rsidP="00193F44">
            <w:pPr>
              <w:pStyle w:val="PBACTabletext"/>
              <w:spacing w:after="0"/>
            </w:pPr>
            <w:r>
              <w:t>Price = $</w:t>
            </w:r>
            <w:r w:rsidR="00C55149" w:rsidRPr="00C55149">
              <w:rPr>
                <w:color w:val="000000"/>
                <w:spacing w:val="48"/>
                <w:shd w:val="solid" w:color="000000" w:fill="000000"/>
                <w:fitText w:val="500" w:id="-1404829435"/>
                <w14:textFill>
                  <w14:solidFill>
                    <w14:srgbClr w14:val="000000">
                      <w14:alpha w14:val="100000"/>
                    </w14:srgbClr>
                  </w14:solidFill>
                </w14:textFill>
              </w:rPr>
              <w:t>|||||</w:t>
            </w:r>
            <w:r w:rsidR="00C55149" w:rsidRPr="00C55149">
              <w:rPr>
                <w:color w:val="000000"/>
                <w:spacing w:val="5"/>
                <w:shd w:val="solid" w:color="000000" w:fill="000000"/>
                <w:fitText w:val="500" w:id="-1404829435"/>
                <w14:textFill>
                  <w14:solidFill>
                    <w14:srgbClr w14:val="000000">
                      <w14:alpha w14:val="100000"/>
                    </w14:srgbClr>
                  </w14:solidFill>
                </w14:textFill>
              </w:rPr>
              <w:t>|</w:t>
            </w:r>
            <w:r>
              <w:t>; Discount rate = 5%</w:t>
            </w:r>
          </w:p>
        </w:tc>
        <w:tc>
          <w:tcPr>
            <w:tcW w:w="986" w:type="pct"/>
            <w:shd w:val="clear" w:color="auto" w:fill="auto"/>
            <w:noWrap/>
          </w:tcPr>
          <w:p w14:paraId="79501ACC" w14:textId="77777777" w:rsidR="00CE2717" w:rsidRDefault="00CE2717" w:rsidP="00193F44">
            <w:pPr>
              <w:pStyle w:val="PBACTabletext"/>
              <w:spacing w:after="0"/>
            </w:pPr>
          </w:p>
          <w:p w14:paraId="1120FF72" w14:textId="4F1346A5" w:rsidR="00CE2717" w:rsidRDefault="00CE2717" w:rsidP="00193F44">
            <w:pPr>
              <w:pStyle w:val="PBACTabletext"/>
              <w:spacing w:after="0"/>
            </w:pPr>
            <w:r>
              <w:t>$</w:t>
            </w:r>
            <w:r w:rsidR="00C55149" w:rsidRPr="00C55149">
              <w:rPr>
                <w:color w:val="000000"/>
                <w:spacing w:val="48"/>
                <w:shd w:val="solid" w:color="000000" w:fill="000000"/>
                <w:fitText w:val="500" w:id="-1404829434"/>
                <w14:textFill>
                  <w14:solidFill>
                    <w14:srgbClr w14:val="000000">
                      <w14:alpha w14:val="100000"/>
                    </w14:srgbClr>
                  </w14:solidFill>
                </w14:textFill>
              </w:rPr>
              <w:t>|||||</w:t>
            </w:r>
            <w:r w:rsidR="00C55149" w:rsidRPr="00C55149">
              <w:rPr>
                <w:color w:val="000000"/>
                <w:spacing w:val="5"/>
                <w:shd w:val="solid" w:color="000000" w:fill="000000"/>
                <w:fitText w:val="500" w:id="-1404829434"/>
                <w14:textFill>
                  <w14:solidFill>
                    <w14:srgbClr w14:val="000000">
                      <w14:alpha w14:val="100000"/>
                    </w14:srgbClr>
                  </w14:solidFill>
                </w14:textFill>
              </w:rPr>
              <w:t>|</w:t>
            </w:r>
          </w:p>
          <w:p w14:paraId="39F46B4B" w14:textId="2C935849" w:rsidR="00CE2717" w:rsidRDefault="00CE2717" w:rsidP="00193F44">
            <w:pPr>
              <w:pStyle w:val="PBACTabletext"/>
              <w:spacing w:after="0"/>
            </w:pPr>
            <w:r>
              <w:t>$</w:t>
            </w:r>
            <w:r w:rsidR="00C55149" w:rsidRPr="00C55149">
              <w:rPr>
                <w:color w:val="000000"/>
                <w:spacing w:val="48"/>
                <w:shd w:val="solid" w:color="000000" w:fill="000000"/>
                <w:fitText w:val="500" w:id="-1404829433"/>
                <w14:textFill>
                  <w14:solidFill>
                    <w14:srgbClr w14:val="000000">
                      <w14:alpha w14:val="100000"/>
                    </w14:srgbClr>
                  </w14:solidFill>
                </w14:textFill>
              </w:rPr>
              <w:t>|||||</w:t>
            </w:r>
            <w:r w:rsidR="00C55149" w:rsidRPr="00C55149">
              <w:rPr>
                <w:color w:val="000000"/>
                <w:spacing w:val="5"/>
                <w:shd w:val="solid" w:color="000000" w:fill="000000"/>
                <w:fitText w:val="500" w:id="-1404829433"/>
                <w14:textFill>
                  <w14:solidFill>
                    <w14:srgbClr w14:val="000000">
                      <w14:alpha w14:val="100000"/>
                    </w14:srgbClr>
                  </w14:solidFill>
                </w14:textFill>
              </w:rPr>
              <w:t>|</w:t>
            </w:r>
          </w:p>
          <w:p w14:paraId="70C4DC88" w14:textId="591F9D73" w:rsidR="00CE2717" w:rsidRPr="00BF6A33" w:rsidRDefault="00CE2717" w:rsidP="00193F44">
            <w:pPr>
              <w:pStyle w:val="PBACTabletext"/>
              <w:spacing w:after="0"/>
            </w:pPr>
            <w:r>
              <w:t>$</w:t>
            </w:r>
            <w:r w:rsidR="00C55149" w:rsidRPr="00C55149">
              <w:rPr>
                <w:color w:val="000000"/>
                <w:spacing w:val="48"/>
                <w:shd w:val="solid" w:color="000000" w:fill="000000"/>
                <w:fitText w:val="500" w:id="-1404829432"/>
                <w14:textFill>
                  <w14:solidFill>
                    <w14:srgbClr w14:val="000000">
                      <w14:alpha w14:val="100000"/>
                    </w14:srgbClr>
                  </w14:solidFill>
                </w14:textFill>
              </w:rPr>
              <w:t>|||||</w:t>
            </w:r>
            <w:r w:rsidR="00C55149" w:rsidRPr="00C55149">
              <w:rPr>
                <w:color w:val="000000"/>
                <w:spacing w:val="5"/>
                <w:shd w:val="solid" w:color="000000" w:fill="000000"/>
                <w:fitText w:val="500" w:id="-1404829432"/>
                <w14:textFill>
                  <w14:solidFill>
                    <w14:srgbClr w14:val="000000">
                      <w14:alpha w14:val="100000"/>
                    </w14:srgbClr>
                  </w14:solidFill>
                </w14:textFill>
              </w:rPr>
              <w:t>|</w:t>
            </w:r>
          </w:p>
        </w:tc>
        <w:tc>
          <w:tcPr>
            <w:tcW w:w="987" w:type="pct"/>
            <w:shd w:val="clear" w:color="auto" w:fill="auto"/>
            <w:noWrap/>
          </w:tcPr>
          <w:p w14:paraId="4B4D47C4" w14:textId="77777777" w:rsidR="00CE2717" w:rsidRDefault="00CE2717" w:rsidP="00193F44">
            <w:pPr>
              <w:pStyle w:val="PBACTabletext"/>
              <w:spacing w:after="0"/>
            </w:pPr>
          </w:p>
          <w:p w14:paraId="6EC6F581" w14:textId="77777777" w:rsidR="00CE2717" w:rsidRDefault="00CE2717" w:rsidP="00193F44">
            <w:pPr>
              <w:pStyle w:val="PBACTabletext"/>
              <w:spacing w:after="0"/>
            </w:pPr>
            <w:r>
              <w:t>8.8219</w:t>
            </w:r>
          </w:p>
          <w:p w14:paraId="61C544C1" w14:textId="77777777" w:rsidR="00CE2717" w:rsidRDefault="00CE2717" w:rsidP="00193F44">
            <w:pPr>
              <w:pStyle w:val="PBACTabletext"/>
              <w:spacing w:after="0"/>
            </w:pPr>
            <w:r>
              <w:t>7.6642</w:t>
            </w:r>
          </w:p>
          <w:p w14:paraId="67EB99B8" w14:textId="77777777" w:rsidR="00CE2717" w:rsidRPr="00BF6A33" w:rsidRDefault="00CE2717" w:rsidP="00193F44">
            <w:pPr>
              <w:pStyle w:val="PBACTabletext"/>
              <w:spacing w:after="0"/>
            </w:pPr>
            <w:r>
              <w:t>5.3418</w:t>
            </w:r>
          </w:p>
        </w:tc>
        <w:tc>
          <w:tcPr>
            <w:tcW w:w="986" w:type="pct"/>
            <w:shd w:val="clear" w:color="auto" w:fill="auto"/>
            <w:noWrap/>
          </w:tcPr>
          <w:p w14:paraId="5475207A" w14:textId="77777777" w:rsidR="00CE2717" w:rsidRDefault="00CE2717" w:rsidP="00193F44">
            <w:pPr>
              <w:pStyle w:val="PBACTabletext"/>
              <w:spacing w:after="0"/>
            </w:pPr>
          </w:p>
          <w:p w14:paraId="2C6BD318" w14:textId="6DB10F4A" w:rsidR="00CE2717" w:rsidRPr="00F64580" w:rsidRDefault="00CE2717" w:rsidP="00193F44">
            <w:pPr>
              <w:pStyle w:val="PBACTabletext"/>
              <w:spacing w:after="0"/>
              <w:rPr>
                <w:vertAlign w:val="superscript"/>
              </w:rPr>
            </w:pPr>
            <w:r>
              <w:t>$</w:t>
            </w:r>
            <w:r w:rsidR="00C55149" w:rsidRPr="00C55149">
              <w:rPr>
                <w:color w:val="000000"/>
                <w:spacing w:val="48"/>
                <w:shd w:val="solid" w:color="000000" w:fill="000000"/>
                <w:fitText w:val="500" w:id="-1404829431"/>
                <w14:textFill>
                  <w14:solidFill>
                    <w14:srgbClr w14:val="000000">
                      <w14:alpha w14:val="100000"/>
                    </w14:srgbClr>
                  </w14:solidFill>
                </w14:textFill>
              </w:rPr>
              <w:t>|||||</w:t>
            </w:r>
            <w:r w:rsidR="00C55149" w:rsidRPr="00C55149">
              <w:rPr>
                <w:color w:val="000000"/>
                <w:spacing w:val="5"/>
                <w:shd w:val="solid" w:color="000000" w:fill="000000"/>
                <w:fitText w:val="500" w:id="-1404829431"/>
                <w14:textFill>
                  <w14:solidFill>
                    <w14:srgbClr w14:val="000000">
                      <w14:alpha w14:val="100000"/>
                    </w14:srgbClr>
                  </w14:solidFill>
                </w14:textFill>
              </w:rPr>
              <w:t>|</w:t>
            </w:r>
            <w:r w:rsidR="00F64580">
              <w:rPr>
                <w:vertAlign w:val="superscript"/>
              </w:rPr>
              <w:t>4</w:t>
            </w:r>
          </w:p>
          <w:p w14:paraId="3F8E1357" w14:textId="314445DD" w:rsidR="00CE2717" w:rsidRPr="00F64580" w:rsidRDefault="00CE2717" w:rsidP="00193F44">
            <w:pPr>
              <w:pStyle w:val="PBACTabletext"/>
              <w:spacing w:after="0"/>
              <w:rPr>
                <w:vertAlign w:val="superscript"/>
              </w:rPr>
            </w:pPr>
            <w:r>
              <w:t>$</w:t>
            </w:r>
            <w:r w:rsidR="00C55149" w:rsidRPr="00C55149">
              <w:rPr>
                <w:color w:val="000000"/>
                <w:spacing w:val="48"/>
                <w:shd w:val="solid" w:color="000000" w:fill="000000"/>
                <w:fitText w:val="500" w:id="-1404829430"/>
                <w14:textFill>
                  <w14:solidFill>
                    <w14:srgbClr w14:val="000000">
                      <w14:alpha w14:val="100000"/>
                    </w14:srgbClr>
                  </w14:solidFill>
                </w14:textFill>
              </w:rPr>
              <w:t>|||||</w:t>
            </w:r>
            <w:r w:rsidR="00C55149" w:rsidRPr="00C55149">
              <w:rPr>
                <w:color w:val="000000"/>
                <w:spacing w:val="5"/>
                <w:shd w:val="solid" w:color="000000" w:fill="000000"/>
                <w:fitText w:val="500" w:id="-1404829430"/>
                <w14:textFill>
                  <w14:solidFill>
                    <w14:srgbClr w14:val="000000">
                      <w14:alpha w14:val="100000"/>
                    </w14:srgbClr>
                  </w14:solidFill>
                </w14:textFill>
              </w:rPr>
              <w:t>|</w:t>
            </w:r>
            <w:r w:rsidR="00F64580">
              <w:rPr>
                <w:vertAlign w:val="superscript"/>
              </w:rPr>
              <w:t>3</w:t>
            </w:r>
          </w:p>
          <w:p w14:paraId="4888BF5B" w14:textId="34FD7139" w:rsidR="00CE2717" w:rsidRPr="00F64580" w:rsidRDefault="00CE2717" w:rsidP="00193F44">
            <w:pPr>
              <w:pStyle w:val="PBACTabletext"/>
              <w:spacing w:after="0"/>
              <w:rPr>
                <w:vertAlign w:val="superscript"/>
              </w:rPr>
            </w:pPr>
            <w:r>
              <w:t>$</w:t>
            </w:r>
            <w:r w:rsidR="00C55149" w:rsidRPr="00C55149">
              <w:rPr>
                <w:color w:val="000000"/>
                <w:spacing w:val="48"/>
                <w:shd w:val="solid" w:color="000000" w:fill="000000"/>
                <w:fitText w:val="500" w:id="-1404829429"/>
                <w14:textFill>
                  <w14:solidFill>
                    <w14:srgbClr w14:val="000000">
                      <w14:alpha w14:val="100000"/>
                    </w14:srgbClr>
                  </w14:solidFill>
                </w14:textFill>
              </w:rPr>
              <w:t>|||||</w:t>
            </w:r>
            <w:r w:rsidR="00C55149" w:rsidRPr="00C55149">
              <w:rPr>
                <w:color w:val="000000"/>
                <w:spacing w:val="5"/>
                <w:shd w:val="solid" w:color="000000" w:fill="000000"/>
                <w:fitText w:val="500" w:id="-1404829429"/>
                <w14:textFill>
                  <w14:solidFill>
                    <w14:srgbClr w14:val="000000">
                      <w14:alpha w14:val="100000"/>
                    </w14:srgbClr>
                  </w14:solidFill>
                </w14:textFill>
              </w:rPr>
              <w:t>|</w:t>
            </w:r>
            <w:r w:rsidR="00F64580">
              <w:rPr>
                <w:vertAlign w:val="superscript"/>
              </w:rPr>
              <w:t>3</w:t>
            </w:r>
          </w:p>
        </w:tc>
      </w:tr>
    </w:tbl>
    <w:p w14:paraId="4B0A7290" w14:textId="3E5C366F" w:rsidR="00CE2717" w:rsidRDefault="00CE2717" w:rsidP="00CE2717">
      <w:pPr>
        <w:pStyle w:val="TableFootnote"/>
        <w:keepNext/>
        <w:keepLines/>
        <w:numPr>
          <w:ilvl w:val="0"/>
          <w:numId w:val="33"/>
        </w:numPr>
        <w:rPr>
          <w:rFonts w:ascii="Arial Narrow" w:hAnsi="Arial Narrow"/>
          <w:sz w:val="18"/>
          <w:szCs w:val="18"/>
        </w:rPr>
      </w:pPr>
      <w:r w:rsidRPr="00BF6A33">
        <w:rPr>
          <w:rFonts w:ascii="Arial Narrow" w:hAnsi="Arial Narrow"/>
          <w:sz w:val="18"/>
          <w:szCs w:val="18"/>
        </w:rPr>
        <w:t xml:space="preserve">Calculated </w:t>
      </w:r>
      <w:r>
        <w:rPr>
          <w:rFonts w:ascii="Arial Narrow" w:hAnsi="Arial Narrow"/>
          <w:sz w:val="18"/>
          <w:szCs w:val="18"/>
        </w:rPr>
        <w:t>for the September 2022 Intracycle consideration of this item</w:t>
      </w:r>
      <w:r w:rsidRPr="00BF6A33">
        <w:rPr>
          <w:rFonts w:ascii="Arial Narrow" w:hAnsi="Arial Narrow"/>
          <w:sz w:val="18"/>
          <w:szCs w:val="18"/>
        </w:rPr>
        <w:t>.  Inputs as for the Early resolution resubmission base case (Price = $</w:t>
      </w:r>
      <w:r w:rsidR="00C55149" w:rsidRPr="00C55149">
        <w:rPr>
          <w:rFonts w:ascii="Arial Narrow" w:hAnsi="Arial Narrow"/>
          <w:color w:val="000000"/>
          <w:spacing w:val="6"/>
          <w:w w:val="26"/>
          <w:kern w:val="0"/>
          <w:sz w:val="18"/>
          <w:szCs w:val="18"/>
          <w:shd w:val="solid" w:color="000000" w:fill="000000"/>
          <w:fitText w:val="60" w:id="-1404829428"/>
          <w14:textFill>
            <w14:solidFill>
              <w14:srgbClr w14:val="000000">
                <w14:alpha w14:val="100000"/>
              </w14:srgbClr>
            </w14:solidFill>
          </w14:textFill>
        </w:rPr>
        <w:t xml:space="preserve">|  </w:t>
      </w:r>
      <w:r w:rsidR="00C55149" w:rsidRPr="00C55149">
        <w:rPr>
          <w:rFonts w:ascii="Arial Narrow" w:hAnsi="Arial Narrow"/>
          <w:color w:val="000000"/>
          <w:spacing w:val="1"/>
          <w:w w:val="26"/>
          <w:kern w:val="0"/>
          <w:sz w:val="18"/>
          <w:szCs w:val="18"/>
          <w:shd w:val="solid" w:color="000000" w:fill="000000"/>
          <w:fitText w:val="60" w:id="-1404829428"/>
          <w14:textFill>
            <w14:solidFill>
              <w14:srgbClr w14:val="000000">
                <w14:alpha w14:val="100000"/>
              </w14:srgbClr>
            </w14:solidFill>
          </w14:textFill>
        </w:rPr>
        <w:t>|</w:t>
      </w:r>
      <w:r w:rsidRPr="00BF6A33">
        <w:rPr>
          <w:rFonts w:ascii="Arial Narrow" w:hAnsi="Arial Narrow"/>
          <w:sz w:val="18"/>
          <w:szCs w:val="18"/>
        </w:rPr>
        <w:t>) with discount rates as shown.</w:t>
      </w:r>
    </w:p>
    <w:p w14:paraId="6AD9E1D1" w14:textId="0A6C6F06" w:rsidR="00CE2717" w:rsidRDefault="00CE2717" w:rsidP="00CE2717">
      <w:pPr>
        <w:pStyle w:val="TableFootnote"/>
        <w:keepNext/>
        <w:keepLines/>
        <w:numPr>
          <w:ilvl w:val="0"/>
          <w:numId w:val="33"/>
        </w:numPr>
        <w:rPr>
          <w:rFonts w:ascii="Arial Narrow" w:hAnsi="Arial Narrow"/>
          <w:sz w:val="18"/>
          <w:szCs w:val="18"/>
        </w:rPr>
      </w:pPr>
      <w:r w:rsidRPr="00BF6A33">
        <w:rPr>
          <w:rFonts w:ascii="Arial Narrow" w:hAnsi="Arial Narrow"/>
          <w:sz w:val="18"/>
          <w:szCs w:val="18"/>
        </w:rPr>
        <w:t xml:space="preserve">Calculated </w:t>
      </w:r>
      <w:r>
        <w:rPr>
          <w:rFonts w:ascii="Arial Narrow" w:hAnsi="Arial Narrow"/>
          <w:sz w:val="18"/>
          <w:szCs w:val="18"/>
        </w:rPr>
        <w:t>for the September 2022 Intracycle consideration of this item</w:t>
      </w:r>
      <w:r w:rsidRPr="00BF6A33">
        <w:rPr>
          <w:rFonts w:ascii="Arial Narrow" w:hAnsi="Arial Narrow"/>
          <w:sz w:val="18"/>
          <w:szCs w:val="18"/>
        </w:rPr>
        <w:t>.  Inputs as for the Early resolution resubmission base case (Price = $</w:t>
      </w:r>
      <w:r w:rsidR="00C55149" w:rsidRPr="00C55149">
        <w:rPr>
          <w:rFonts w:ascii="Arial Narrow" w:hAnsi="Arial Narrow"/>
          <w:color w:val="000000"/>
          <w:spacing w:val="6"/>
          <w:w w:val="26"/>
          <w:kern w:val="0"/>
          <w:sz w:val="18"/>
          <w:szCs w:val="18"/>
          <w:shd w:val="solid" w:color="000000" w:fill="000000"/>
          <w:fitText w:val="60" w:id="-1404829427"/>
          <w14:textFill>
            <w14:solidFill>
              <w14:srgbClr w14:val="000000">
                <w14:alpha w14:val="100000"/>
              </w14:srgbClr>
            </w14:solidFill>
          </w14:textFill>
        </w:rPr>
        <w:t xml:space="preserve">|  </w:t>
      </w:r>
      <w:r w:rsidR="00C55149" w:rsidRPr="00C55149">
        <w:rPr>
          <w:rFonts w:ascii="Arial Narrow" w:hAnsi="Arial Narrow"/>
          <w:color w:val="000000"/>
          <w:spacing w:val="1"/>
          <w:w w:val="26"/>
          <w:kern w:val="0"/>
          <w:sz w:val="18"/>
          <w:szCs w:val="18"/>
          <w:shd w:val="solid" w:color="000000" w:fill="000000"/>
          <w:fitText w:val="60" w:id="-1404829427"/>
          <w14:textFill>
            <w14:solidFill>
              <w14:srgbClr w14:val="000000">
                <w14:alpha w14:val="100000"/>
              </w14:srgbClr>
            </w14:solidFill>
          </w14:textFill>
        </w:rPr>
        <w:t>|</w:t>
      </w:r>
      <w:r w:rsidRPr="00BF6A33">
        <w:rPr>
          <w:rFonts w:ascii="Arial Narrow" w:hAnsi="Arial Narrow"/>
          <w:sz w:val="18"/>
          <w:szCs w:val="18"/>
        </w:rPr>
        <w:t xml:space="preserve">) with </w:t>
      </w:r>
      <w:r>
        <w:rPr>
          <w:rFonts w:ascii="Arial Narrow" w:hAnsi="Arial Narrow"/>
          <w:sz w:val="18"/>
          <w:szCs w:val="18"/>
        </w:rPr>
        <w:t xml:space="preserve">starting age reduced to 0 in the model and </w:t>
      </w:r>
      <w:r w:rsidRPr="00BF6A33">
        <w:rPr>
          <w:rFonts w:ascii="Arial Narrow" w:hAnsi="Arial Narrow"/>
          <w:sz w:val="18"/>
          <w:szCs w:val="18"/>
        </w:rPr>
        <w:t>discount rates as shown.</w:t>
      </w:r>
    </w:p>
    <w:p w14:paraId="43B8F128" w14:textId="6A609592" w:rsidR="00CE2717" w:rsidRDefault="00CE2717" w:rsidP="00CE2717">
      <w:pPr>
        <w:pStyle w:val="TableFootnote"/>
        <w:keepNext/>
        <w:keepLines/>
        <w:rPr>
          <w:rFonts w:ascii="Arial Narrow" w:hAnsi="Arial Narrow"/>
          <w:sz w:val="18"/>
          <w:szCs w:val="18"/>
        </w:rPr>
      </w:pPr>
      <w:r w:rsidRPr="00BF6A33">
        <w:rPr>
          <w:rFonts w:ascii="Arial Narrow" w:hAnsi="Arial Narrow"/>
          <w:sz w:val="18"/>
          <w:szCs w:val="18"/>
        </w:rPr>
        <w:t>Source: Table 4, p10 of the resubmission</w:t>
      </w:r>
    </w:p>
    <w:p w14:paraId="1656E133" w14:textId="1E0A2F3B" w:rsidR="00F64580" w:rsidRDefault="00F64580" w:rsidP="00CE2717">
      <w:pPr>
        <w:pStyle w:val="TableFootnote"/>
        <w:keepNext/>
        <w:keepLines/>
        <w:rPr>
          <w:rFonts w:ascii="Arial Narrow" w:hAnsi="Arial Narrow"/>
          <w:sz w:val="18"/>
          <w:szCs w:val="18"/>
        </w:rPr>
      </w:pPr>
    </w:p>
    <w:p w14:paraId="07C2ABC6" w14:textId="1D9FBF00" w:rsidR="00F64580" w:rsidRDefault="00F64580" w:rsidP="00CE2717">
      <w:pPr>
        <w:pStyle w:val="TableFootnote"/>
        <w:keepNext/>
        <w:keepLines/>
        <w:rPr>
          <w:rFonts w:ascii="Arial Narrow" w:hAnsi="Arial Narrow"/>
          <w:i/>
          <w:iCs/>
          <w:sz w:val="18"/>
          <w:szCs w:val="18"/>
        </w:rPr>
      </w:pPr>
      <w:r w:rsidRPr="00F64580">
        <w:rPr>
          <w:rFonts w:ascii="Arial Narrow" w:hAnsi="Arial Narrow"/>
          <w:i/>
          <w:iCs/>
          <w:sz w:val="18"/>
          <w:szCs w:val="18"/>
        </w:rPr>
        <w:t>The redacted values correspond to the following ranges:</w:t>
      </w:r>
    </w:p>
    <w:p w14:paraId="146F1EA5" w14:textId="2B64B54F" w:rsidR="00F64580" w:rsidRDefault="00F64580"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1</w:t>
      </w:r>
      <w:r w:rsidRPr="00F64580">
        <w:rPr>
          <w:rFonts w:ascii="Arial Narrow" w:hAnsi="Arial Narrow"/>
          <w:i/>
          <w:iCs/>
          <w:sz w:val="18"/>
          <w:szCs w:val="18"/>
        </w:rPr>
        <w:t>$855,000 to &lt; $955,000</w:t>
      </w:r>
    </w:p>
    <w:p w14:paraId="518C51C5" w14:textId="607DE56C" w:rsidR="00F64580" w:rsidRDefault="00F64580"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2</w:t>
      </w:r>
      <w:r w:rsidRPr="00F64580">
        <w:rPr>
          <w:rFonts w:ascii="Arial Narrow" w:hAnsi="Arial Narrow"/>
          <w:i/>
          <w:iCs/>
          <w:sz w:val="18"/>
          <w:szCs w:val="18"/>
        </w:rPr>
        <w:t>$355,000 to &lt; $455,000</w:t>
      </w:r>
    </w:p>
    <w:p w14:paraId="58D74264" w14:textId="44A2645E" w:rsidR="00F64580" w:rsidRDefault="00F64580"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3</w:t>
      </w:r>
      <w:r w:rsidRPr="00F64580">
        <w:rPr>
          <w:rFonts w:ascii="Arial Narrow" w:hAnsi="Arial Narrow"/>
          <w:i/>
          <w:iCs/>
          <w:sz w:val="18"/>
          <w:szCs w:val="18"/>
        </w:rPr>
        <w:t>$255,000 to &lt; $355,000</w:t>
      </w:r>
    </w:p>
    <w:p w14:paraId="24F140EB" w14:textId="6FA6D68D" w:rsidR="00F64580" w:rsidRPr="00F64580" w:rsidRDefault="00F64580"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4</w:t>
      </w:r>
      <w:r w:rsidRPr="00F64580">
        <w:rPr>
          <w:rFonts w:ascii="Arial Narrow" w:hAnsi="Arial Narrow"/>
          <w:i/>
          <w:iCs/>
          <w:sz w:val="18"/>
          <w:szCs w:val="18"/>
        </w:rPr>
        <w:t>$155,000 to &lt; $255,000</w:t>
      </w:r>
    </w:p>
    <w:p w14:paraId="29086A78" w14:textId="77777777" w:rsidR="00CE2717" w:rsidRDefault="00CE2717" w:rsidP="00CE2717">
      <w:pPr>
        <w:rPr>
          <w:rFonts w:asciiTheme="minorHAnsi" w:hAnsiTheme="minorHAnsi" w:cstheme="minorHAnsi"/>
        </w:rPr>
      </w:pPr>
    </w:p>
    <w:p w14:paraId="42E93664" w14:textId="77777777" w:rsidR="00CE2717" w:rsidRPr="000A2224" w:rsidRDefault="00CE2717" w:rsidP="00CE2717">
      <w:pPr>
        <w:spacing w:line="360" w:lineRule="auto"/>
        <w:outlineLvl w:val="1"/>
        <w:rPr>
          <w:rFonts w:asciiTheme="minorHAnsi" w:eastAsiaTheme="majorEastAsia" w:hAnsiTheme="minorHAnsi" w:cstheme="majorBidi"/>
          <w:b/>
          <w:i/>
          <w:spacing w:val="5"/>
          <w:kern w:val="28"/>
          <w:sz w:val="28"/>
          <w:szCs w:val="36"/>
        </w:rPr>
      </w:pPr>
      <w:r w:rsidRPr="000A2224">
        <w:rPr>
          <w:rFonts w:asciiTheme="minorHAnsi" w:eastAsiaTheme="majorEastAsia" w:hAnsiTheme="minorHAnsi" w:cstheme="majorBidi"/>
          <w:b/>
          <w:i/>
          <w:spacing w:val="5"/>
          <w:kern w:val="28"/>
          <w:sz w:val="28"/>
          <w:szCs w:val="36"/>
        </w:rPr>
        <w:t>Estimated PBS usage &amp; financial implications</w:t>
      </w:r>
    </w:p>
    <w:p w14:paraId="07D86808" w14:textId="05783145" w:rsidR="00CE2717" w:rsidRPr="000A2224" w:rsidRDefault="00CE2717" w:rsidP="00CE2717">
      <w:pPr>
        <w:pStyle w:val="3-BodyText"/>
      </w:pPr>
      <w:r w:rsidRPr="004710DF">
        <w:t>The resubmission presented the budget impact model considered at the July 2022 PBAC meeting updated with the revised price proposed in th</w:t>
      </w:r>
      <w:r>
        <w:t>e</w:t>
      </w:r>
      <w:r w:rsidRPr="004710DF">
        <w:t xml:space="preserve"> early resolution resubmission (see </w:t>
      </w:r>
      <w:r>
        <w:fldChar w:fldCharType="begin" w:fldLock="1"/>
      </w:r>
      <w:r>
        <w:instrText xml:space="preserve"> REF _Ref114490737 \h  \* MERGEFORMAT </w:instrText>
      </w:r>
      <w:r>
        <w:fldChar w:fldCharType="separate"/>
      </w:r>
      <w:r w:rsidRPr="00F147D7">
        <w:t>Table 23</w:t>
      </w:r>
      <w:r>
        <w:fldChar w:fldCharType="end"/>
      </w:r>
      <w:r w:rsidRPr="004710DF">
        <w:t xml:space="preserve">). </w:t>
      </w:r>
      <w:r w:rsidRPr="000A2224">
        <w:t xml:space="preserve">The changes to the financial estimates are consistent with the changes requested in the PBAC </w:t>
      </w:r>
      <w:r w:rsidR="0075741E">
        <w:t>PSD</w:t>
      </w:r>
      <w:r w:rsidRPr="000A2224">
        <w:t xml:space="preserve">. </w:t>
      </w:r>
    </w:p>
    <w:p w14:paraId="141BBC3F" w14:textId="77777777" w:rsidR="00CE2717" w:rsidRPr="000A2224" w:rsidRDefault="00CE2717" w:rsidP="00CE2717">
      <w:pPr>
        <w:pStyle w:val="Caption"/>
        <w:keepNext/>
        <w:keepLines/>
        <w:spacing w:after="0"/>
        <w:rPr>
          <w:rFonts w:ascii="Arial Narrow" w:eastAsiaTheme="majorEastAsia" w:hAnsi="Arial Narrow" w:cstheme="majorBidi"/>
          <w:b/>
          <w:i w:val="0"/>
          <w:iCs w:val="0"/>
          <w:color w:val="auto"/>
          <w:sz w:val="20"/>
          <w:szCs w:val="24"/>
        </w:rPr>
      </w:pPr>
      <w:bookmarkStart w:id="88" w:name="_Ref114490737"/>
      <w:r w:rsidRPr="000A2224">
        <w:rPr>
          <w:rFonts w:ascii="Arial Narrow" w:eastAsiaTheme="majorEastAsia" w:hAnsi="Arial Narrow" w:cstheme="majorBidi"/>
          <w:b/>
          <w:i w:val="0"/>
          <w:iCs w:val="0"/>
          <w:color w:val="auto"/>
          <w:sz w:val="20"/>
          <w:szCs w:val="24"/>
        </w:rPr>
        <w:lastRenderedPageBreak/>
        <w:t xml:space="preserve">Table </w:t>
      </w:r>
      <w:r w:rsidRPr="000A2224">
        <w:rPr>
          <w:rFonts w:ascii="Arial Narrow" w:eastAsiaTheme="majorEastAsia" w:hAnsi="Arial Narrow" w:cstheme="majorBidi"/>
          <w:b/>
          <w:i w:val="0"/>
          <w:iCs w:val="0"/>
          <w:color w:val="auto"/>
          <w:sz w:val="20"/>
          <w:szCs w:val="24"/>
        </w:rPr>
        <w:fldChar w:fldCharType="begin" w:fldLock="1"/>
      </w:r>
      <w:r w:rsidRPr="000A2224">
        <w:rPr>
          <w:rFonts w:ascii="Arial Narrow" w:eastAsiaTheme="majorEastAsia" w:hAnsi="Arial Narrow" w:cstheme="majorBidi"/>
          <w:b/>
          <w:i w:val="0"/>
          <w:iCs w:val="0"/>
          <w:color w:val="auto"/>
          <w:sz w:val="20"/>
          <w:szCs w:val="24"/>
        </w:rPr>
        <w:instrText xml:space="preserve"> SEQ Table \* ARABIC </w:instrText>
      </w:r>
      <w:r w:rsidRPr="000A2224">
        <w:rPr>
          <w:rFonts w:ascii="Arial Narrow" w:eastAsiaTheme="majorEastAsia" w:hAnsi="Arial Narrow" w:cstheme="majorBidi"/>
          <w:b/>
          <w:i w:val="0"/>
          <w:iCs w:val="0"/>
          <w:color w:val="auto"/>
          <w:sz w:val="20"/>
          <w:szCs w:val="24"/>
        </w:rPr>
        <w:fldChar w:fldCharType="separate"/>
      </w:r>
      <w:r>
        <w:rPr>
          <w:rFonts w:ascii="Arial Narrow" w:eastAsiaTheme="majorEastAsia" w:hAnsi="Arial Narrow" w:cstheme="majorBidi"/>
          <w:b/>
          <w:i w:val="0"/>
          <w:iCs w:val="0"/>
          <w:noProof/>
          <w:color w:val="auto"/>
          <w:sz w:val="20"/>
          <w:szCs w:val="24"/>
        </w:rPr>
        <w:t>23</w:t>
      </w:r>
      <w:r w:rsidRPr="000A2224">
        <w:rPr>
          <w:rFonts w:ascii="Arial Narrow" w:eastAsiaTheme="majorEastAsia" w:hAnsi="Arial Narrow" w:cstheme="majorBidi"/>
          <w:b/>
          <w:i w:val="0"/>
          <w:iCs w:val="0"/>
          <w:color w:val="auto"/>
          <w:sz w:val="20"/>
          <w:szCs w:val="24"/>
        </w:rPr>
        <w:fldChar w:fldCharType="end"/>
      </w:r>
      <w:bookmarkEnd w:id="88"/>
      <w:r w:rsidRPr="000A2224">
        <w:rPr>
          <w:rFonts w:ascii="Arial Narrow" w:eastAsiaTheme="majorEastAsia" w:hAnsi="Arial Narrow" w:cstheme="majorBidi"/>
          <w:b/>
          <w:i w:val="0"/>
          <w:iCs w:val="0"/>
          <w:color w:val="auto"/>
          <w:sz w:val="20"/>
          <w:szCs w:val="24"/>
        </w:rPr>
        <w:t xml:space="preserve"> Estimated use and financial implications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3 Estimated use and financial implications"/>
      </w:tblPr>
      <w:tblGrid>
        <w:gridCol w:w="2405"/>
        <w:gridCol w:w="1203"/>
        <w:gridCol w:w="1204"/>
        <w:gridCol w:w="1204"/>
        <w:gridCol w:w="1204"/>
        <w:gridCol w:w="1204"/>
        <w:gridCol w:w="1204"/>
      </w:tblGrid>
      <w:tr w:rsidR="00CE2717" w:rsidRPr="004710DF" w14:paraId="07CA30A9" w14:textId="77777777" w:rsidTr="00193F44">
        <w:trPr>
          <w:trHeight w:val="255"/>
        </w:trPr>
        <w:tc>
          <w:tcPr>
            <w:tcW w:w="2405" w:type="dxa"/>
            <w:shd w:val="clear" w:color="auto" w:fill="auto"/>
            <w:noWrap/>
            <w:hideMark/>
          </w:tcPr>
          <w:p w14:paraId="07117F5A" w14:textId="77777777" w:rsidR="00CE2717" w:rsidRPr="004710DF" w:rsidRDefault="00CE2717" w:rsidP="00193F44">
            <w:pPr>
              <w:pStyle w:val="PBACTabletext"/>
              <w:rPr>
                <w:b/>
                <w:bCs/>
              </w:rPr>
            </w:pPr>
          </w:p>
        </w:tc>
        <w:tc>
          <w:tcPr>
            <w:tcW w:w="1203" w:type="dxa"/>
            <w:shd w:val="clear" w:color="auto" w:fill="auto"/>
            <w:noWrap/>
            <w:hideMark/>
          </w:tcPr>
          <w:p w14:paraId="454F5798" w14:textId="77777777" w:rsidR="00CE2717" w:rsidRPr="004710DF" w:rsidRDefault="00CE2717" w:rsidP="00193F44">
            <w:pPr>
              <w:pStyle w:val="PBACTabletext"/>
              <w:rPr>
                <w:b/>
                <w:bCs/>
              </w:rPr>
            </w:pPr>
            <w:r w:rsidRPr="004710DF">
              <w:rPr>
                <w:b/>
                <w:bCs/>
              </w:rPr>
              <w:t>Year 1</w:t>
            </w:r>
          </w:p>
        </w:tc>
        <w:tc>
          <w:tcPr>
            <w:tcW w:w="1204" w:type="dxa"/>
            <w:shd w:val="clear" w:color="auto" w:fill="auto"/>
            <w:noWrap/>
            <w:hideMark/>
          </w:tcPr>
          <w:p w14:paraId="0FE02907" w14:textId="77777777" w:rsidR="00CE2717" w:rsidRPr="004710DF" w:rsidRDefault="00CE2717" w:rsidP="00193F44">
            <w:pPr>
              <w:pStyle w:val="PBACTabletext"/>
              <w:rPr>
                <w:b/>
                <w:bCs/>
              </w:rPr>
            </w:pPr>
            <w:r w:rsidRPr="004710DF">
              <w:rPr>
                <w:b/>
                <w:bCs/>
              </w:rPr>
              <w:t>Year 2</w:t>
            </w:r>
          </w:p>
        </w:tc>
        <w:tc>
          <w:tcPr>
            <w:tcW w:w="1204" w:type="dxa"/>
            <w:shd w:val="clear" w:color="auto" w:fill="auto"/>
            <w:noWrap/>
            <w:hideMark/>
          </w:tcPr>
          <w:p w14:paraId="2592BDF9" w14:textId="77777777" w:rsidR="00CE2717" w:rsidRPr="004710DF" w:rsidRDefault="00CE2717" w:rsidP="00193F44">
            <w:pPr>
              <w:pStyle w:val="PBACTabletext"/>
              <w:rPr>
                <w:b/>
                <w:bCs/>
              </w:rPr>
            </w:pPr>
            <w:r w:rsidRPr="004710DF">
              <w:rPr>
                <w:b/>
                <w:bCs/>
              </w:rPr>
              <w:t>Year 3</w:t>
            </w:r>
          </w:p>
        </w:tc>
        <w:tc>
          <w:tcPr>
            <w:tcW w:w="1204" w:type="dxa"/>
            <w:shd w:val="clear" w:color="auto" w:fill="auto"/>
            <w:noWrap/>
            <w:hideMark/>
          </w:tcPr>
          <w:p w14:paraId="098EB76D" w14:textId="77777777" w:rsidR="00CE2717" w:rsidRPr="004710DF" w:rsidRDefault="00CE2717" w:rsidP="00193F44">
            <w:pPr>
              <w:pStyle w:val="PBACTabletext"/>
              <w:rPr>
                <w:b/>
                <w:bCs/>
              </w:rPr>
            </w:pPr>
            <w:r w:rsidRPr="004710DF">
              <w:rPr>
                <w:b/>
                <w:bCs/>
              </w:rPr>
              <w:t>Year 4</w:t>
            </w:r>
          </w:p>
        </w:tc>
        <w:tc>
          <w:tcPr>
            <w:tcW w:w="1204" w:type="dxa"/>
            <w:shd w:val="clear" w:color="auto" w:fill="auto"/>
            <w:noWrap/>
            <w:hideMark/>
          </w:tcPr>
          <w:p w14:paraId="431F8C64" w14:textId="77777777" w:rsidR="00CE2717" w:rsidRPr="004710DF" w:rsidRDefault="00CE2717" w:rsidP="00193F44">
            <w:pPr>
              <w:pStyle w:val="PBACTabletext"/>
              <w:rPr>
                <w:b/>
                <w:bCs/>
              </w:rPr>
            </w:pPr>
            <w:r w:rsidRPr="004710DF">
              <w:rPr>
                <w:b/>
                <w:bCs/>
              </w:rPr>
              <w:t>Year 5</w:t>
            </w:r>
          </w:p>
        </w:tc>
        <w:tc>
          <w:tcPr>
            <w:tcW w:w="1204" w:type="dxa"/>
            <w:shd w:val="clear" w:color="auto" w:fill="auto"/>
            <w:noWrap/>
            <w:hideMark/>
          </w:tcPr>
          <w:p w14:paraId="2C59B038" w14:textId="77777777" w:rsidR="00CE2717" w:rsidRPr="004710DF" w:rsidRDefault="00CE2717" w:rsidP="00193F44">
            <w:pPr>
              <w:pStyle w:val="PBACTabletext"/>
              <w:rPr>
                <w:b/>
                <w:bCs/>
              </w:rPr>
            </w:pPr>
            <w:r w:rsidRPr="004710DF">
              <w:rPr>
                <w:b/>
                <w:bCs/>
              </w:rPr>
              <w:t>Year 6</w:t>
            </w:r>
          </w:p>
        </w:tc>
      </w:tr>
      <w:tr w:rsidR="00CE2717" w:rsidRPr="004710DF" w14:paraId="4ED0292B" w14:textId="77777777" w:rsidTr="00193F44">
        <w:trPr>
          <w:trHeight w:val="255"/>
        </w:trPr>
        <w:tc>
          <w:tcPr>
            <w:tcW w:w="9628" w:type="dxa"/>
            <w:gridSpan w:val="7"/>
            <w:shd w:val="clear" w:color="auto" w:fill="auto"/>
            <w:noWrap/>
          </w:tcPr>
          <w:p w14:paraId="72B96E7A" w14:textId="77777777" w:rsidR="00CE2717" w:rsidRPr="004710DF" w:rsidRDefault="00CE2717" w:rsidP="00193F44">
            <w:pPr>
              <w:pStyle w:val="PBACTabletext"/>
              <w:rPr>
                <w:b/>
                <w:bCs/>
              </w:rPr>
            </w:pPr>
            <w:r w:rsidRPr="004710DF">
              <w:rPr>
                <w:b/>
                <w:bCs/>
              </w:rPr>
              <w:t>Estimated extent of use</w:t>
            </w:r>
          </w:p>
        </w:tc>
      </w:tr>
      <w:tr w:rsidR="00CE2717" w:rsidRPr="004710DF" w14:paraId="27AD8389" w14:textId="77777777" w:rsidTr="00193F44">
        <w:trPr>
          <w:trHeight w:val="255"/>
        </w:trPr>
        <w:tc>
          <w:tcPr>
            <w:tcW w:w="2405" w:type="dxa"/>
            <w:shd w:val="clear" w:color="auto" w:fill="auto"/>
            <w:noWrap/>
            <w:hideMark/>
          </w:tcPr>
          <w:p w14:paraId="22C8315D" w14:textId="77777777" w:rsidR="00CE2717" w:rsidRPr="004710DF" w:rsidRDefault="00CE2717" w:rsidP="00193F44">
            <w:pPr>
              <w:pStyle w:val="PBACTabletext"/>
            </w:pPr>
            <w:r w:rsidRPr="004710DF">
              <w:t>Total patients on treatment</w:t>
            </w:r>
          </w:p>
        </w:tc>
        <w:tc>
          <w:tcPr>
            <w:tcW w:w="1203" w:type="dxa"/>
            <w:shd w:val="clear" w:color="auto" w:fill="auto"/>
            <w:noWrap/>
            <w:hideMark/>
          </w:tcPr>
          <w:p w14:paraId="751A6EFC" w14:textId="48BD5650" w:rsidR="00CE2717" w:rsidRPr="00F64580" w:rsidRDefault="00C55149" w:rsidP="00193F44">
            <w:pPr>
              <w:pStyle w:val="PBACTabletext"/>
              <w:rPr>
                <w:vertAlign w:val="superscript"/>
              </w:rPr>
            </w:pPr>
            <w:r w:rsidRPr="00C55149">
              <w:rPr>
                <w:color w:val="000000"/>
                <w:spacing w:val="48"/>
                <w:shd w:val="solid" w:color="000000" w:fill="000000"/>
                <w:fitText w:val="500" w:id="-1404829426"/>
                <w14:textFill>
                  <w14:solidFill>
                    <w14:srgbClr w14:val="000000">
                      <w14:alpha w14:val="100000"/>
                    </w14:srgbClr>
                  </w14:solidFill>
                </w14:textFill>
              </w:rPr>
              <w:t>|||||</w:t>
            </w:r>
            <w:r w:rsidRPr="00C55149">
              <w:rPr>
                <w:color w:val="000000"/>
                <w:spacing w:val="5"/>
                <w:shd w:val="solid" w:color="000000" w:fill="000000"/>
                <w:fitText w:val="500" w:id="-1404829426"/>
                <w14:textFill>
                  <w14:solidFill>
                    <w14:srgbClr w14:val="000000">
                      <w14:alpha w14:val="100000"/>
                    </w14:srgbClr>
                  </w14:solidFill>
                </w14:textFill>
              </w:rPr>
              <w:t>|</w:t>
            </w:r>
            <w:r w:rsidR="00F64580">
              <w:rPr>
                <w:vertAlign w:val="superscript"/>
              </w:rPr>
              <w:t>1</w:t>
            </w:r>
          </w:p>
        </w:tc>
        <w:tc>
          <w:tcPr>
            <w:tcW w:w="1204" w:type="dxa"/>
            <w:shd w:val="clear" w:color="auto" w:fill="auto"/>
            <w:noWrap/>
            <w:hideMark/>
          </w:tcPr>
          <w:p w14:paraId="1220AE37" w14:textId="5F1A9878" w:rsidR="00CE2717" w:rsidRPr="00F64580" w:rsidRDefault="00C55149" w:rsidP="00193F44">
            <w:pPr>
              <w:pStyle w:val="PBACTabletext"/>
              <w:rPr>
                <w:vertAlign w:val="superscript"/>
              </w:rPr>
            </w:pPr>
            <w:r w:rsidRPr="00C55149">
              <w:rPr>
                <w:color w:val="000000"/>
                <w:spacing w:val="48"/>
                <w:shd w:val="solid" w:color="000000" w:fill="000000"/>
                <w:fitText w:val="500" w:id="-1404829425"/>
                <w14:textFill>
                  <w14:solidFill>
                    <w14:srgbClr w14:val="000000">
                      <w14:alpha w14:val="100000"/>
                    </w14:srgbClr>
                  </w14:solidFill>
                </w14:textFill>
              </w:rPr>
              <w:t>|||||</w:t>
            </w:r>
            <w:r w:rsidRPr="00C55149">
              <w:rPr>
                <w:color w:val="000000"/>
                <w:spacing w:val="5"/>
                <w:shd w:val="solid" w:color="000000" w:fill="000000"/>
                <w:fitText w:val="500" w:id="-1404829425"/>
                <w14:textFill>
                  <w14:solidFill>
                    <w14:srgbClr w14:val="000000">
                      <w14:alpha w14:val="100000"/>
                    </w14:srgbClr>
                  </w14:solidFill>
                </w14:textFill>
              </w:rPr>
              <w:t>|</w:t>
            </w:r>
            <w:r w:rsidR="00F64580">
              <w:rPr>
                <w:vertAlign w:val="superscript"/>
              </w:rPr>
              <w:t>1</w:t>
            </w:r>
          </w:p>
        </w:tc>
        <w:tc>
          <w:tcPr>
            <w:tcW w:w="1204" w:type="dxa"/>
            <w:shd w:val="clear" w:color="auto" w:fill="auto"/>
            <w:noWrap/>
            <w:hideMark/>
          </w:tcPr>
          <w:p w14:paraId="0AC8206B" w14:textId="2B9365CE" w:rsidR="00CE2717" w:rsidRPr="00F64580" w:rsidRDefault="00C55149" w:rsidP="00193F44">
            <w:pPr>
              <w:pStyle w:val="PBACTabletext"/>
              <w:rPr>
                <w:vertAlign w:val="superscript"/>
              </w:rPr>
            </w:pPr>
            <w:r w:rsidRPr="00C55149">
              <w:rPr>
                <w:color w:val="000000"/>
                <w:spacing w:val="48"/>
                <w:shd w:val="solid" w:color="000000" w:fill="000000"/>
                <w:fitText w:val="500" w:id="-1404829424"/>
                <w14:textFill>
                  <w14:solidFill>
                    <w14:srgbClr w14:val="000000">
                      <w14:alpha w14:val="100000"/>
                    </w14:srgbClr>
                  </w14:solidFill>
                </w14:textFill>
              </w:rPr>
              <w:t>|||||</w:t>
            </w:r>
            <w:r w:rsidRPr="00C55149">
              <w:rPr>
                <w:color w:val="000000"/>
                <w:spacing w:val="5"/>
                <w:shd w:val="solid" w:color="000000" w:fill="000000"/>
                <w:fitText w:val="500" w:id="-1404829424"/>
                <w14:textFill>
                  <w14:solidFill>
                    <w14:srgbClr w14:val="000000">
                      <w14:alpha w14:val="100000"/>
                    </w14:srgbClr>
                  </w14:solidFill>
                </w14:textFill>
              </w:rPr>
              <w:t>|</w:t>
            </w:r>
            <w:r w:rsidR="00F64580">
              <w:rPr>
                <w:vertAlign w:val="superscript"/>
              </w:rPr>
              <w:t>1</w:t>
            </w:r>
          </w:p>
        </w:tc>
        <w:tc>
          <w:tcPr>
            <w:tcW w:w="1204" w:type="dxa"/>
            <w:shd w:val="clear" w:color="auto" w:fill="auto"/>
            <w:noWrap/>
            <w:hideMark/>
          </w:tcPr>
          <w:p w14:paraId="3A905155" w14:textId="05B7FD0F" w:rsidR="00CE2717" w:rsidRPr="00F64580" w:rsidRDefault="00C55149" w:rsidP="00193F44">
            <w:pPr>
              <w:pStyle w:val="PBACTabletext"/>
              <w:rPr>
                <w:vertAlign w:val="superscript"/>
              </w:rPr>
            </w:pPr>
            <w:r w:rsidRPr="00C55149">
              <w:rPr>
                <w:color w:val="000000"/>
                <w:spacing w:val="48"/>
                <w:shd w:val="solid" w:color="000000" w:fill="000000"/>
                <w:fitText w:val="500" w:id="-1404829440"/>
                <w14:textFill>
                  <w14:solidFill>
                    <w14:srgbClr w14:val="000000">
                      <w14:alpha w14:val="100000"/>
                    </w14:srgbClr>
                  </w14:solidFill>
                </w14:textFill>
              </w:rPr>
              <w:t>|||||</w:t>
            </w:r>
            <w:r w:rsidRPr="00C55149">
              <w:rPr>
                <w:color w:val="000000"/>
                <w:spacing w:val="5"/>
                <w:shd w:val="solid" w:color="000000" w:fill="000000"/>
                <w:fitText w:val="500" w:id="-1404829440"/>
                <w14:textFill>
                  <w14:solidFill>
                    <w14:srgbClr w14:val="000000">
                      <w14:alpha w14:val="100000"/>
                    </w14:srgbClr>
                  </w14:solidFill>
                </w14:textFill>
              </w:rPr>
              <w:t>|</w:t>
            </w:r>
            <w:r w:rsidR="00F64580">
              <w:rPr>
                <w:vertAlign w:val="superscript"/>
              </w:rPr>
              <w:t>1</w:t>
            </w:r>
          </w:p>
        </w:tc>
        <w:tc>
          <w:tcPr>
            <w:tcW w:w="1204" w:type="dxa"/>
            <w:shd w:val="clear" w:color="auto" w:fill="auto"/>
            <w:noWrap/>
            <w:hideMark/>
          </w:tcPr>
          <w:p w14:paraId="4D8D0704" w14:textId="4AFF8B10" w:rsidR="00CE2717" w:rsidRPr="00F64580" w:rsidRDefault="00C55149" w:rsidP="00193F44">
            <w:pPr>
              <w:pStyle w:val="PBACTabletext"/>
              <w:rPr>
                <w:vertAlign w:val="superscript"/>
              </w:rPr>
            </w:pPr>
            <w:r w:rsidRPr="00C55149">
              <w:rPr>
                <w:color w:val="000000"/>
                <w:spacing w:val="48"/>
                <w:shd w:val="solid" w:color="000000" w:fill="000000"/>
                <w:fitText w:val="500" w:id="-1404829439"/>
                <w14:textFill>
                  <w14:solidFill>
                    <w14:srgbClr w14:val="000000">
                      <w14:alpha w14:val="100000"/>
                    </w14:srgbClr>
                  </w14:solidFill>
                </w14:textFill>
              </w:rPr>
              <w:t>|||||</w:t>
            </w:r>
            <w:r w:rsidRPr="00C55149">
              <w:rPr>
                <w:color w:val="000000"/>
                <w:spacing w:val="5"/>
                <w:shd w:val="solid" w:color="000000" w:fill="000000"/>
                <w:fitText w:val="500" w:id="-1404829439"/>
                <w14:textFill>
                  <w14:solidFill>
                    <w14:srgbClr w14:val="000000">
                      <w14:alpha w14:val="100000"/>
                    </w14:srgbClr>
                  </w14:solidFill>
                </w14:textFill>
              </w:rPr>
              <w:t>|</w:t>
            </w:r>
            <w:r w:rsidR="00F64580">
              <w:rPr>
                <w:vertAlign w:val="superscript"/>
              </w:rPr>
              <w:t>1</w:t>
            </w:r>
          </w:p>
        </w:tc>
        <w:tc>
          <w:tcPr>
            <w:tcW w:w="1204" w:type="dxa"/>
            <w:shd w:val="clear" w:color="auto" w:fill="auto"/>
            <w:noWrap/>
            <w:hideMark/>
          </w:tcPr>
          <w:p w14:paraId="3652F5D3" w14:textId="5D9D3D47" w:rsidR="00CE2717" w:rsidRPr="00F64580" w:rsidRDefault="00C55149" w:rsidP="00193F44">
            <w:pPr>
              <w:pStyle w:val="PBACTabletext"/>
              <w:rPr>
                <w:vertAlign w:val="superscript"/>
              </w:rPr>
            </w:pPr>
            <w:r w:rsidRPr="00C55149">
              <w:rPr>
                <w:color w:val="000000"/>
                <w:spacing w:val="48"/>
                <w:shd w:val="solid" w:color="000000" w:fill="000000"/>
                <w:fitText w:val="500" w:id="-1404829438"/>
                <w14:textFill>
                  <w14:solidFill>
                    <w14:srgbClr w14:val="000000">
                      <w14:alpha w14:val="100000"/>
                    </w14:srgbClr>
                  </w14:solidFill>
                </w14:textFill>
              </w:rPr>
              <w:t>|||||</w:t>
            </w:r>
            <w:r w:rsidRPr="00C55149">
              <w:rPr>
                <w:color w:val="000000"/>
                <w:spacing w:val="5"/>
                <w:shd w:val="solid" w:color="000000" w:fill="000000"/>
                <w:fitText w:val="500" w:id="-1404829438"/>
                <w14:textFill>
                  <w14:solidFill>
                    <w14:srgbClr w14:val="000000">
                      <w14:alpha w14:val="100000"/>
                    </w14:srgbClr>
                  </w14:solidFill>
                </w14:textFill>
              </w:rPr>
              <w:t>|</w:t>
            </w:r>
            <w:r w:rsidR="00F64580">
              <w:rPr>
                <w:vertAlign w:val="superscript"/>
              </w:rPr>
              <w:t>1</w:t>
            </w:r>
          </w:p>
        </w:tc>
      </w:tr>
      <w:tr w:rsidR="00CE2717" w:rsidRPr="004710DF" w14:paraId="0017A586" w14:textId="77777777" w:rsidTr="00193F44">
        <w:trPr>
          <w:trHeight w:val="255"/>
        </w:trPr>
        <w:tc>
          <w:tcPr>
            <w:tcW w:w="2405" w:type="dxa"/>
            <w:shd w:val="clear" w:color="auto" w:fill="auto"/>
            <w:noWrap/>
            <w:hideMark/>
          </w:tcPr>
          <w:p w14:paraId="469BD71E" w14:textId="77777777" w:rsidR="00CE2717" w:rsidRPr="004710DF" w:rsidRDefault="00CE2717" w:rsidP="00193F44">
            <w:pPr>
              <w:pStyle w:val="PBACTabletext"/>
            </w:pPr>
            <w:r w:rsidRPr="004710DF">
              <w:t>Number of scripts dispensed</w:t>
            </w:r>
          </w:p>
        </w:tc>
        <w:tc>
          <w:tcPr>
            <w:tcW w:w="1203" w:type="dxa"/>
            <w:shd w:val="clear" w:color="auto" w:fill="auto"/>
            <w:noWrap/>
            <w:hideMark/>
          </w:tcPr>
          <w:p w14:paraId="63986427" w14:textId="6885D4B6" w:rsidR="00CE2717" w:rsidRPr="00F64580" w:rsidRDefault="00C55149" w:rsidP="00193F44">
            <w:pPr>
              <w:pStyle w:val="PBACTabletext"/>
              <w:rPr>
                <w:vertAlign w:val="superscript"/>
              </w:rPr>
            </w:pPr>
            <w:r w:rsidRPr="00C55149">
              <w:rPr>
                <w:color w:val="000000"/>
                <w:spacing w:val="48"/>
                <w:shd w:val="solid" w:color="000000" w:fill="000000"/>
                <w:fitText w:val="500" w:id="-1404829437"/>
                <w14:textFill>
                  <w14:solidFill>
                    <w14:srgbClr w14:val="000000">
                      <w14:alpha w14:val="100000"/>
                    </w14:srgbClr>
                  </w14:solidFill>
                </w14:textFill>
              </w:rPr>
              <w:t>|||||</w:t>
            </w:r>
            <w:r w:rsidRPr="00C55149">
              <w:rPr>
                <w:color w:val="000000"/>
                <w:spacing w:val="5"/>
                <w:shd w:val="solid" w:color="000000" w:fill="000000"/>
                <w:fitText w:val="500" w:id="-1404829437"/>
                <w14:textFill>
                  <w14:solidFill>
                    <w14:srgbClr w14:val="000000">
                      <w14:alpha w14:val="100000"/>
                    </w14:srgbClr>
                  </w14:solidFill>
                </w14:textFill>
              </w:rPr>
              <w:t>|</w:t>
            </w:r>
            <w:r w:rsidR="00F64580">
              <w:rPr>
                <w:vertAlign w:val="superscript"/>
              </w:rPr>
              <w:t>2</w:t>
            </w:r>
          </w:p>
        </w:tc>
        <w:tc>
          <w:tcPr>
            <w:tcW w:w="1204" w:type="dxa"/>
            <w:shd w:val="clear" w:color="auto" w:fill="auto"/>
            <w:noWrap/>
            <w:hideMark/>
          </w:tcPr>
          <w:p w14:paraId="6847063B" w14:textId="5AC5B3F1" w:rsidR="00CE2717" w:rsidRPr="00F64580" w:rsidRDefault="00C55149" w:rsidP="00193F44">
            <w:pPr>
              <w:pStyle w:val="PBACTabletext"/>
              <w:rPr>
                <w:vertAlign w:val="superscript"/>
              </w:rPr>
            </w:pPr>
            <w:r w:rsidRPr="00C55149">
              <w:rPr>
                <w:color w:val="000000"/>
                <w:spacing w:val="48"/>
                <w:shd w:val="solid" w:color="000000" w:fill="000000"/>
                <w:fitText w:val="500" w:id="-1404829436"/>
                <w14:textFill>
                  <w14:solidFill>
                    <w14:srgbClr w14:val="000000">
                      <w14:alpha w14:val="100000"/>
                    </w14:srgbClr>
                  </w14:solidFill>
                </w14:textFill>
              </w:rPr>
              <w:t>|||||</w:t>
            </w:r>
            <w:r w:rsidRPr="00C55149">
              <w:rPr>
                <w:color w:val="000000"/>
                <w:spacing w:val="5"/>
                <w:shd w:val="solid" w:color="000000" w:fill="000000"/>
                <w:fitText w:val="500" w:id="-1404829436"/>
                <w14:textFill>
                  <w14:solidFill>
                    <w14:srgbClr w14:val="000000">
                      <w14:alpha w14:val="100000"/>
                    </w14:srgbClr>
                  </w14:solidFill>
                </w14:textFill>
              </w:rPr>
              <w:t>|</w:t>
            </w:r>
            <w:r w:rsidR="00F64580">
              <w:rPr>
                <w:vertAlign w:val="superscript"/>
              </w:rPr>
              <w:t>2</w:t>
            </w:r>
          </w:p>
        </w:tc>
        <w:tc>
          <w:tcPr>
            <w:tcW w:w="1204" w:type="dxa"/>
            <w:shd w:val="clear" w:color="auto" w:fill="auto"/>
            <w:noWrap/>
            <w:hideMark/>
          </w:tcPr>
          <w:p w14:paraId="07C6EC04" w14:textId="631BD642" w:rsidR="00CE2717" w:rsidRPr="00F64580" w:rsidRDefault="00C55149" w:rsidP="00193F44">
            <w:pPr>
              <w:pStyle w:val="PBACTabletext"/>
              <w:rPr>
                <w:vertAlign w:val="superscript"/>
              </w:rPr>
            </w:pPr>
            <w:r w:rsidRPr="00C55149">
              <w:rPr>
                <w:color w:val="000000"/>
                <w:spacing w:val="48"/>
                <w:shd w:val="solid" w:color="000000" w:fill="000000"/>
                <w:fitText w:val="500" w:id="-1404829435"/>
                <w14:textFill>
                  <w14:solidFill>
                    <w14:srgbClr w14:val="000000">
                      <w14:alpha w14:val="100000"/>
                    </w14:srgbClr>
                  </w14:solidFill>
                </w14:textFill>
              </w:rPr>
              <w:t>|||||</w:t>
            </w:r>
            <w:r w:rsidRPr="00C55149">
              <w:rPr>
                <w:color w:val="000000"/>
                <w:spacing w:val="5"/>
                <w:shd w:val="solid" w:color="000000" w:fill="000000"/>
                <w:fitText w:val="500" w:id="-1404829435"/>
                <w14:textFill>
                  <w14:solidFill>
                    <w14:srgbClr w14:val="000000">
                      <w14:alpha w14:val="100000"/>
                    </w14:srgbClr>
                  </w14:solidFill>
                </w14:textFill>
              </w:rPr>
              <w:t>|</w:t>
            </w:r>
            <w:r w:rsidR="00F64580">
              <w:rPr>
                <w:vertAlign w:val="superscript"/>
              </w:rPr>
              <w:t>2</w:t>
            </w:r>
          </w:p>
        </w:tc>
        <w:tc>
          <w:tcPr>
            <w:tcW w:w="1204" w:type="dxa"/>
            <w:shd w:val="clear" w:color="auto" w:fill="auto"/>
            <w:noWrap/>
            <w:hideMark/>
          </w:tcPr>
          <w:p w14:paraId="7558FC1D" w14:textId="2B4061F1" w:rsidR="00CE2717" w:rsidRPr="00F64580" w:rsidRDefault="00C55149" w:rsidP="00193F44">
            <w:pPr>
              <w:pStyle w:val="PBACTabletext"/>
              <w:rPr>
                <w:vertAlign w:val="superscript"/>
              </w:rPr>
            </w:pPr>
            <w:r w:rsidRPr="00C55149">
              <w:rPr>
                <w:color w:val="000000"/>
                <w:spacing w:val="48"/>
                <w:shd w:val="solid" w:color="000000" w:fill="000000"/>
                <w:fitText w:val="500" w:id="-1404829434"/>
                <w14:textFill>
                  <w14:solidFill>
                    <w14:srgbClr w14:val="000000">
                      <w14:alpha w14:val="100000"/>
                    </w14:srgbClr>
                  </w14:solidFill>
                </w14:textFill>
              </w:rPr>
              <w:t>|||||</w:t>
            </w:r>
            <w:r w:rsidRPr="00C55149">
              <w:rPr>
                <w:color w:val="000000"/>
                <w:spacing w:val="5"/>
                <w:shd w:val="solid" w:color="000000" w:fill="000000"/>
                <w:fitText w:val="500" w:id="-1404829434"/>
                <w14:textFill>
                  <w14:solidFill>
                    <w14:srgbClr w14:val="000000">
                      <w14:alpha w14:val="100000"/>
                    </w14:srgbClr>
                  </w14:solidFill>
                </w14:textFill>
              </w:rPr>
              <w:t>|</w:t>
            </w:r>
            <w:r w:rsidR="00F64580">
              <w:rPr>
                <w:vertAlign w:val="superscript"/>
              </w:rPr>
              <w:t>2</w:t>
            </w:r>
          </w:p>
        </w:tc>
        <w:tc>
          <w:tcPr>
            <w:tcW w:w="1204" w:type="dxa"/>
            <w:shd w:val="clear" w:color="auto" w:fill="auto"/>
            <w:noWrap/>
            <w:hideMark/>
          </w:tcPr>
          <w:p w14:paraId="71CCDA3F" w14:textId="10E8E01F" w:rsidR="00CE2717" w:rsidRPr="00F64580" w:rsidRDefault="00C55149" w:rsidP="00193F44">
            <w:pPr>
              <w:pStyle w:val="PBACTabletext"/>
              <w:rPr>
                <w:vertAlign w:val="superscript"/>
              </w:rPr>
            </w:pPr>
            <w:r w:rsidRPr="00C55149">
              <w:rPr>
                <w:color w:val="000000"/>
                <w:spacing w:val="48"/>
                <w:shd w:val="solid" w:color="000000" w:fill="000000"/>
                <w:fitText w:val="500" w:id="-1404829433"/>
                <w14:textFill>
                  <w14:solidFill>
                    <w14:srgbClr w14:val="000000">
                      <w14:alpha w14:val="100000"/>
                    </w14:srgbClr>
                  </w14:solidFill>
                </w14:textFill>
              </w:rPr>
              <w:t>|||||</w:t>
            </w:r>
            <w:r w:rsidRPr="00C55149">
              <w:rPr>
                <w:color w:val="000000"/>
                <w:spacing w:val="5"/>
                <w:shd w:val="solid" w:color="000000" w:fill="000000"/>
                <w:fitText w:val="500" w:id="-1404829433"/>
                <w14:textFill>
                  <w14:solidFill>
                    <w14:srgbClr w14:val="000000">
                      <w14:alpha w14:val="100000"/>
                    </w14:srgbClr>
                  </w14:solidFill>
                </w14:textFill>
              </w:rPr>
              <w:t>|</w:t>
            </w:r>
            <w:r w:rsidR="00F64580">
              <w:rPr>
                <w:vertAlign w:val="superscript"/>
              </w:rPr>
              <w:t>2</w:t>
            </w:r>
          </w:p>
        </w:tc>
        <w:tc>
          <w:tcPr>
            <w:tcW w:w="1204" w:type="dxa"/>
            <w:shd w:val="clear" w:color="auto" w:fill="auto"/>
            <w:noWrap/>
            <w:hideMark/>
          </w:tcPr>
          <w:p w14:paraId="5ADD8A83" w14:textId="76CF8149" w:rsidR="00CE2717" w:rsidRPr="00F64580" w:rsidRDefault="00C55149" w:rsidP="00193F44">
            <w:pPr>
              <w:pStyle w:val="PBACTabletext"/>
              <w:rPr>
                <w:vertAlign w:val="superscript"/>
              </w:rPr>
            </w:pPr>
            <w:r w:rsidRPr="00C55149">
              <w:rPr>
                <w:color w:val="000000"/>
                <w:spacing w:val="48"/>
                <w:shd w:val="solid" w:color="000000" w:fill="000000"/>
                <w:fitText w:val="500" w:id="-1404829432"/>
                <w14:textFill>
                  <w14:solidFill>
                    <w14:srgbClr w14:val="000000">
                      <w14:alpha w14:val="100000"/>
                    </w14:srgbClr>
                  </w14:solidFill>
                </w14:textFill>
              </w:rPr>
              <w:t>|||||</w:t>
            </w:r>
            <w:r w:rsidRPr="00C55149">
              <w:rPr>
                <w:color w:val="000000"/>
                <w:spacing w:val="5"/>
                <w:shd w:val="solid" w:color="000000" w:fill="000000"/>
                <w:fitText w:val="500" w:id="-1404829432"/>
                <w14:textFill>
                  <w14:solidFill>
                    <w14:srgbClr w14:val="000000">
                      <w14:alpha w14:val="100000"/>
                    </w14:srgbClr>
                  </w14:solidFill>
                </w14:textFill>
              </w:rPr>
              <w:t>|</w:t>
            </w:r>
            <w:r w:rsidR="00F64580">
              <w:rPr>
                <w:vertAlign w:val="superscript"/>
              </w:rPr>
              <w:t>2</w:t>
            </w:r>
          </w:p>
        </w:tc>
      </w:tr>
      <w:tr w:rsidR="00CE2717" w:rsidRPr="004710DF" w14:paraId="78600A6E" w14:textId="77777777" w:rsidTr="00193F44">
        <w:trPr>
          <w:trHeight w:val="255"/>
        </w:trPr>
        <w:tc>
          <w:tcPr>
            <w:tcW w:w="9628" w:type="dxa"/>
            <w:gridSpan w:val="7"/>
            <w:shd w:val="clear" w:color="auto" w:fill="auto"/>
            <w:noWrap/>
          </w:tcPr>
          <w:p w14:paraId="2635C8AB" w14:textId="77777777" w:rsidR="00CE2717" w:rsidRPr="004710DF" w:rsidRDefault="00CE2717" w:rsidP="00193F44">
            <w:pPr>
              <w:pStyle w:val="PBACTabletext"/>
            </w:pPr>
            <w:r w:rsidRPr="004710DF">
              <w:rPr>
                <w:b/>
                <w:bCs/>
              </w:rPr>
              <w:t>Net financial implications</w:t>
            </w:r>
            <w:r w:rsidRPr="004710DF">
              <w:t xml:space="preserve"> </w:t>
            </w:r>
          </w:p>
        </w:tc>
      </w:tr>
      <w:tr w:rsidR="00CE2717" w:rsidRPr="004710DF" w14:paraId="490A43EE" w14:textId="77777777" w:rsidTr="00193F44">
        <w:trPr>
          <w:trHeight w:val="255"/>
        </w:trPr>
        <w:tc>
          <w:tcPr>
            <w:tcW w:w="2405" w:type="dxa"/>
            <w:shd w:val="clear" w:color="auto" w:fill="auto"/>
            <w:noWrap/>
            <w:hideMark/>
          </w:tcPr>
          <w:p w14:paraId="177D224A" w14:textId="77777777" w:rsidR="00CE2717" w:rsidRPr="004710DF" w:rsidRDefault="00CE2717" w:rsidP="00193F44">
            <w:pPr>
              <w:pStyle w:val="PBACTabletext"/>
            </w:pPr>
            <w:r w:rsidRPr="004710DF">
              <w:t>Net cost PBS / RPBS</w:t>
            </w:r>
          </w:p>
        </w:tc>
        <w:tc>
          <w:tcPr>
            <w:tcW w:w="1203" w:type="dxa"/>
            <w:shd w:val="clear" w:color="auto" w:fill="auto"/>
            <w:noWrap/>
            <w:hideMark/>
          </w:tcPr>
          <w:p w14:paraId="36991BF8" w14:textId="357EC51A" w:rsidR="00CE2717" w:rsidRPr="00F64580"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31"/>
                <w14:textFill>
                  <w14:solidFill>
                    <w14:srgbClr w14:val="000000">
                      <w14:alpha w14:val="100000"/>
                    </w14:srgbClr>
                  </w14:solidFill>
                </w14:textFill>
              </w:rPr>
              <w:t>|||||</w:t>
            </w:r>
            <w:r w:rsidR="00C55149" w:rsidRPr="00C55149">
              <w:rPr>
                <w:color w:val="000000"/>
                <w:spacing w:val="5"/>
                <w:shd w:val="solid" w:color="000000" w:fill="000000"/>
                <w:fitText w:val="500" w:id="-1404829431"/>
                <w14:textFill>
                  <w14:solidFill>
                    <w14:srgbClr w14:val="000000">
                      <w14:alpha w14:val="100000"/>
                    </w14:srgbClr>
                  </w14:solidFill>
                </w14:textFill>
              </w:rPr>
              <w:t>|</w:t>
            </w:r>
            <w:r w:rsidR="00F64580">
              <w:rPr>
                <w:vertAlign w:val="superscript"/>
              </w:rPr>
              <w:t>3</w:t>
            </w:r>
          </w:p>
        </w:tc>
        <w:tc>
          <w:tcPr>
            <w:tcW w:w="1204" w:type="dxa"/>
            <w:shd w:val="clear" w:color="auto" w:fill="auto"/>
            <w:noWrap/>
            <w:hideMark/>
          </w:tcPr>
          <w:p w14:paraId="2AD2BD94" w14:textId="067E6009" w:rsidR="00CE2717" w:rsidRPr="00F64580"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30"/>
                <w14:textFill>
                  <w14:solidFill>
                    <w14:srgbClr w14:val="000000">
                      <w14:alpha w14:val="100000"/>
                    </w14:srgbClr>
                  </w14:solidFill>
                </w14:textFill>
              </w:rPr>
              <w:t>|||||</w:t>
            </w:r>
            <w:r w:rsidR="00C55149" w:rsidRPr="00C55149">
              <w:rPr>
                <w:color w:val="000000"/>
                <w:spacing w:val="5"/>
                <w:shd w:val="solid" w:color="000000" w:fill="000000"/>
                <w:fitText w:val="500" w:id="-1404829430"/>
                <w14:textFill>
                  <w14:solidFill>
                    <w14:srgbClr w14:val="000000">
                      <w14:alpha w14:val="100000"/>
                    </w14:srgbClr>
                  </w14:solidFill>
                </w14:textFill>
              </w:rPr>
              <w:t>|</w:t>
            </w:r>
            <w:r w:rsidR="00F64580">
              <w:rPr>
                <w:vertAlign w:val="superscript"/>
              </w:rPr>
              <w:t>3</w:t>
            </w:r>
          </w:p>
        </w:tc>
        <w:tc>
          <w:tcPr>
            <w:tcW w:w="1204" w:type="dxa"/>
            <w:shd w:val="clear" w:color="auto" w:fill="auto"/>
            <w:noWrap/>
            <w:hideMark/>
          </w:tcPr>
          <w:p w14:paraId="71BFB15A" w14:textId="00FE9CA6" w:rsidR="00CE2717" w:rsidRPr="00F64580"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29"/>
                <w14:textFill>
                  <w14:solidFill>
                    <w14:srgbClr w14:val="000000">
                      <w14:alpha w14:val="100000"/>
                    </w14:srgbClr>
                  </w14:solidFill>
                </w14:textFill>
              </w:rPr>
              <w:t>|||||</w:t>
            </w:r>
            <w:r w:rsidR="00C55149" w:rsidRPr="00C55149">
              <w:rPr>
                <w:color w:val="000000"/>
                <w:spacing w:val="5"/>
                <w:shd w:val="solid" w:color="000000" w:fill="000000"/>
                <w:fitText w:val="500" w:id="-1404829429"/>
                <w14:textFill>
                  <w14:solidFill>
                    <w14:srgbClr w14:val="000000">
                      <w14:alpha w14:val="100000"/>
                    </w14:srgbClr>
                  </w14:solidFill>
                </w14:textFill>
              </w:rPr>
              <w:t>|</w:t>
            </w:r>
            <w:r w:rsidR="00F64580">
              <w:rPr>
                <w:vertAlign w:val="superscript"/>
              </w:rPr>
              <w:t>4</w:t>
            </w:r>
          </w:p>
        </w:tc>
        <w:tc>
          <w:tcPr>
            <w:tcW w:w="1204" w:type="dxa"/>
            <w:shd w:val="clear" w:color="auto" w:fill="auto"/>
            <w:noWrap/>
            <w:hideMark/>
          </w:tcPr>
          <w:p w14:paraId="6203BAAF" w14:textId="5A566ADE"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28"/>
                <w14:textFill>
                  <w14:solidFill>
                    <w14:srgbClr w14:val="000000">
                      <w14:alpha w14:val="100000"/>
                    </w14:srgbClr>
                  </w14:solidFill>
                </w14:textFill>
              </w:rPr>
              <w:t>|||||</w:t>
            </w:r>
            <w:r w:rsidR="00C55149" w:rsidRPr="00C55149">
              <w:rPr>
                <w:color w:val="000000"/>
                <w:spacing w:val="5"/>
                <w:shd w:val="solid" w:color="000000" w:fill="000000"/>
                <w:fitText w:val="500" w:id="-1404829428"/>
                <w14:textFill>
                  <w14:solidFill>
                    <w14:srgbClr w14:val="000000">
                      <w14:alpha w14:val="100000"/>
                    </w14:srgbClr>
                  </w14:solidFill>
                </w14:textFill>
              </w:rPr>
              <w:t>|</w:t>
            </w:r>
            <w:r w:rsidR="00C5070A">
              <w:rPr>
                <w:vertAlign w:val="superscript"/>
              </w:rPr>
              <w:t>4</w:t>
            </w:r>
          </w:p>
        </w:tc>
        <w:tc>
          <w:tcPr>
            <w:tcW w:w="1204" w:type="dxa"/>
            <w:shd w:val="clear" w:color="auto" w:fill="auto"/>
            <w:noWrap/>
            <w:hideMark/>
          </w:tcPr>
          <w:p w14:paraId="441DC87B" w14:textId="0464D4D9"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27"/>
                <w14:textFill>
                  <w14:solidFill>
                    <w14:srgbClr w14:val="000000">
                      <w14:alpha w14:val="100000"/>
                    </w14:srgbClr>
                  </w14:solidFill>
                </w14:textFill>
              </w:rPr>
              <w:t>|||||</w:t>
            </w:r>
            <w:r w:rsidR="00C55149" w:rsidRPr="00C55149">
              <w:rPr>
                <w:color w:val="000000"/>
                <w:spacing w:val="5"/>
                <w:shd w:val="solid" w:color="000000" w:fill="000000"/>
                <w:fitText w:val="500" w:id="-1404829427"/>
                <w14:textFill>
                  <w14:solidFill>
                    <w14:srgbClr w14:val="000000">
                      <w14:alpha w14:val="100000"/>
                    </w14:srgbClr>
                  </w14:solidFill>
                </w14:textFill>
              </w:rPr>
              <w:t>|</w:t>
            </w:r>
            <w:r w:rsidR="00C5070A">
              <w:rPr>
                <w:vertAlign w:val="superscript"/>
              </w:rPr>
              <w:t>4</w:t>
            </w:r>
          </w:p>
        </w:tc>
        <w:tc>
          <w:tcPr>
            <w:tcW w:w="1204" w:type="dxa"/>
            <w:shd w:val="clear" w:color="auto" w:fill="auto"/>
            <w:noWrap/>
            <w:hideMark/>
          </w:tcPr>
          <w:p w14:paraId="45A0E8A8" w14:textId="25944233"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26"/>
                <w14:textFill>
                  <w14:solidFill>
                    <w14:srgbClr w14:val="000000">
                      <w14:alpha w14:val="100000"/>
                    </w14:srgbClr>
                  </w14:solidFill>
                </w14:textFill>
              </w:rPr>
              <w:t>|||||</w:t>
            </w:r>
            <w:r w:rsidR="00C55149" w:rsidRPr="00C55149">
              <w:rPr>
                <w:color w:val="000000"/>
                <w:spacing w:val="5"/>
                <w:shd w:val="solid" w:color="000000" w:fill="000000"/>
                <w:fitText w:val="500" w:id="-1404829426"/>
                <w14:textFill>
                  <w14:solidFill>
                    <w14:srgbClr w14:val="000000">
                      <w14:alpha w14:val="100000"/>
                    </w14:srgbClr>
                  </w14:solidFill>
                </w14:textFill>
              </w:rPr>
              <w:t>|</w:t>
            </w:r>
            <w:r w:rsidR="00C5070A">
              <w:rPr>
                <w:vertAlign w:val="superscript"/>
              </w:rPr>
              <w:t>4</w:t>
            </w:r>
          </w:p>
        </w:tc>
      </w:tr>
      <w:tr w:rsidR="00CE2717" w:rsidRPr="004710DF" w14:paraId="1A5FB8EE" w14:textId="77777777" w:rsidTr="00193F44">
        <w:trPr>
          <w:trHeight w:val="255"/>
        </w:trPr>
        <w:tc>
          <w:tcPr>
            <w:tcW w:w="9628" w:type="dxa"/>
            <w:gridSpan w:val="7"/>
            <w:shd w:val="clear" w:color="auto" w:fill="B8CCE4" w:themeFill="accent1" w:themeFillTint="66"/>
            <w:noWrap/>
          </w:tcPr>
          <w:p w14:paraId="29DCE591" w14:textId="77777777" w:rsidR="00CE2717" w:rsidRPr="004710DF" w:rsidRDefault="00CE2717" w:rsidP="00193F44">
            <w:pPr>
              <w:pStyle w:val="PBACTabletext"/>
            </w:pPr>
            <w:r w:rsidRPr="004710DF">
              <w:rPr>
                <w:b/>
                <w:bCs/>
              </w:rPr>
              <w:t>Previous submission</w:t>
            </w:r>
          </w:p>
        </w:tc>
      </w:tr>
      <w:tr w:rsidR="00CE2717" w:rsidRPr="004710DF" w14:paraId="0026DE9D" w14:textId="77777777" w:rsidTr="00193F44">
        <w:trPr>
          <w:trHeight w:val="255"/>
        </w:trPr>
        <w:tc>
          <w:tcPr>
            <w:tcW w:w="2405" w:type="dxa"/>
            <w:shd w:val="clear" w:color="auto" w:fill="B8CCE4" w:themeFill="accent1" w:themeFillTint="66"/>
            <w:noWrap/>
          </w:tcPr>
          <w:p w14:paraId="6546405A" w14:textId="77777777" w:rsidR="00CE2717" w:rsidRPr="004710DF" w:rsidRDefault="00CE2717" w:rsidP="00193F44">
            <w:pPr>
              <w:pStyle w:val="PBACTabletext"/>
              <w:rPr>
                <w:i/>
                <w:iCs/>
                <w:sz w:val="16"/>
                <w:szCs w:val="20"/>
              </w:rPr>
            </w:pPr>
            <w:r w:rsidRPr="004710DF">
              <w:t>Net cost PBS / RPBS</w:t>
            </w:r>
          </w:p>
        </w:tc>
        <w:tc>
          <w:tcPr>
            <w:tcW w:w="1203" w:type="dxa"/>
            <w:shd w:val="clear" w:color="auto" w:fill="B8CCE4" w:themeFill="accent1" w:themeFillTint="66"/>
            <w:noWrap/>
          </w:tcPr>
          <w:p w14:paraId="531F97E2" w14:textId="19F80955"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25"/>
                <w14:textFill>
                  <w14:solidFill>
                    <w14:srgbClr w14:val="000000">
                      <w14:alpha w14:val="100000"/>
                    </w14:srgbClr>
                  </w14:solidFill>
                </w14:textFill>
              </w:rPr>
              <w:t>|||||</w:t>
            </w:r>
            <w:r w:rsidR="00C55149" w:rsidRPr="00C55149">
              <w:rPr>
                <w:color w:val="000000"/>
                <w:spacing w:val="5"/>
                <w:shd w:val="solid" w:color="000000" w:fill="000000"/>
                <w:fitText w:val="500" w:id="-1404829425"/>
                <w14:textFill>
                  <w14:solidFill>
                    <w14:srgbClr w14:val="000000">
                      <w14:alpha w14:val="100000"/>
                    </w14:srgbClr>
                  </w14:solidFill>
                </w14:textFill>
              </w:rPr>
              <w:t>|</w:t>
            </w:r>
            <w:r w:rsidR="00C5070A">
              <w:rPr>
                <w:vertAlign w:val="superscript"/>
              </w:rPr>
              <w:t>5</w:t>
            </w:r>
          </w:p>
        </w:tc>
        <w:tc>
          <w:tcPr>
            <w:tcW w:w="1204" w:type="dxa"/>
            <w:shd w:val="clear" w:color="auto" w:fill="B8CCE4" w:themeFill="accent1" w:themeFillTint="66"/>
            <w:noWrap/>
          </w:tcPr>
          <w:p w14:paraId="7E12951C" w14:textId="2B9D4878"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24"/>
                <w14:textFill>
                  <w14:solidFill>
                    <w14:srgbClr w14:val="000000">
                      <w14:alpha w14:val="100000"/>
                    </w14:srgbClr>
                  </w14:solidFill>
                </w14:textFill>
              </w:rPr>
              <w:t>|||||</w:t>
            </w:r>
            <w:r w:rsidR="00C55149" w:rsidRPr="00C55149">
              <w:rPr>
                <w:color w:val="000000"/>
                <w:spacing w:val="5"/>
                <w:shd w:val="solid" w:color="000000" w:fill="000000"/>
                <w:fitText w:val="500" w:id="-1404829424"/>
                <w14:textFill>
                  <w14:solidFill>
                    <w14:srgbClr w14:val="000000">
                      <w14:alpha w14:val="100000"/>
                    </w14:srgbClr>
                  </w14:solidFill>
                </w14:textFill>
              </w:rPr>
              <w:t>|</w:t>
            </w:r>
            <w:r w:rsidR="00C5070A">
              <w:rPr>
                <w:vertAlign w:val="superscript"/>
              </w:rPr>
              <w:t>5</w:t>
            </w:r>
          </w:p>
        </w:tc>
        <w:tc>
          <w:tcPr>
            <w:tcW w:w="1204" w:type="dxa"/>
            <w:shd w:val="clear" w:color="auto" w:fill="B8CCE4" w:themeFill="accent1" w:themeFillTint="66"/>
            <w:noWrap/>
          </w:tcPr>
          <w:p w14:paraId="29EF5579" w14:textId="7EACB960"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40"/>
                <w14:textFill>
                  <w14:solidFill>
                    <w14:srgbClr w14:val="000000">
                      <w14:alpha w14:val="100000"/>
                    </w14:srgbClr>
                  </w14:solidFill>
                </w14:textFill>
              </w:rPr>
              <w:t>|||||</w:t>
            </w:r>
            <w:r w:rsidR="00C55149" w:rsidRPr="00C55149">
              <w:rPr>
                <w:color w:val="000000"/>
                <w:spacing w:val="5"/>
                <w:shd w:val="solid" w:color="000000" w:fill="000000"/>
                <w:fitText w:val="500" w:id="-1404829440"/>
                <w14:textFill>
                  <w14:solidFill>
                    <w14:srgbClr w14:val="000000">
                      <w14:alpha w14:val="100000"/>
                    </w14:srgbClr>
                  </w14:solidFill>
                </w14:textFill>
              </w:rPr>
              <w:t>|</w:t>
            </w:r>
            <w:r w:rsidR="00C5070A">
              <w:rPr>
                <w:vertAlign w:val="superscript"/>
              </w:rPr>
              <w:t>6</w:t>
            </w:r>
          </w:p>
        </w:tc>
        <w:tc>
          <w:tcPr>
            <w:tcW w:w="1204" w:type="dxa"/>
            <w:shd w:val="clear" w:color="auto" w:fill="B8CCE4" w:themeFill="accent1" w:themeFillTint="66"/>
            <w:noWrap/>
          </w:tcPr>
          <w:p w14:paraId="5DAED800" w14:textId="01F12FB8"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39"/>
                <w14:textFill>
                  <w14:solidFill>
                    <w14:srgbClr w14:val="000000">
                      <w14:alpha w14:val="100000"/>
                    </w14:srgbClr>
                  </w14:solidFill>
                </w14:textFill>
              </w:rPr>
              <w:t>|||||</w:t>
            </w:r>
            <w:r w:rsidR="00C55149" w:rsidRPr="00C55149">
              <w:rPr>
                <w:color w:val="000000"/>
                <w:spacing w:val="5"/>
                <w:shd w:val="solid" w:color="000000" w:fill="000000"/>
                <w:fitText w:val="500" w:id="-1404829439"/>
                <w14:textFill>
                  <w14:solidFill>
                    <w14:srgbClr w14:val="000000">
                      <w14:alpha w14:val="100000"/>
                    </w14:srgbClr>
                  </w14:solidFill>
                </w14:textFill>
              </w:rPr>
              <w:t>|</w:t>
            </w:r>
            <w:r w:rsidR="00C5070A">
              <w:rPr>
                <w:vertAlign w:val="superscript"/>
              </w:rPr>
              <w:t>6</w:t>
            </w:r>
          </w:p>
        </w:tc>
        <w:tc>
          <w:tcPr>
            <w:tcW w:w="1204" w:type="dxa"/>
            <w:shd w:val="clear" w:color="auto" w:fill="B8CCE4" w:themeFill="accent1" w:themeFillTint="66"/>
            <w:noWrap/>
          </w:tcPr>
          <w:p w14:paraId="17A15810" w14:textId="2962DDE2"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38"/>
                <w14:textFill>
                  <w14:solidFill>
                    <w14:srgbClr w14:val="000000">
                      <w14:alpha w14:val="100000"/>
                    </w14:srgbClr>
                  </w14:solidFill>
                </w14:textFill>
              </w:rPr>
              <w:t>|||||</w:t>
            </w:r>
            <w:r w:rsidR="00C55149" w:rsidRPr="00C55149">
              <w:rPr>
                <w:color w:val="000000"/>
                <w:spacing w:val="5"/>
                <w:shd w:val="solid" w:color="000000" w:fill="000000"/>
                <w:fitText w:val="500" w:id="-1404829438"/>
                <w14:textFill>
                  <w14:solidFill>
                    <w14:srgbClr w14:val="000000">
                      <w14:alpha w14:val="100000"/>
                    </w14:srgbClr>
                  </w14:solidFill>
                </w14:textFill>
              </w:rPr>
              <w:t>|</w:t>
            </w:r>
            <w:r w:rsidR="00C5070A">
              <w:rPr>
                <w:vertAlign w:val="superscript"/>
              </w:rPr>
              <w:t>6</w:t>
            </w:r>
          </w:p>
        </w:tc>
        <w:tc>
          <w:tcPr>
            <w:tcW w:w="1204" w:type="dxa"/>
            <w:shd w:val="clear" w:color="auto" w:fill="B8CCE4" w:themeFill="accent1" w:themeFillTint="66"/>
            <w:noWrap/>
          </w:tcPr>
          <w:p w14:paraId="23BC0C0C" w14:textId="3CB6D032"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37"/>
                <w14:textFill>
                  <w14:solidFill>
                    <w14:srgbClr w14:val="000000">
                      <w14:alpha w14:val="100000"/>
                    </w14:srgbClr>
                  </w14:solidFill>
                </w14:textFill>
              </w:rPr>
              <w:t>|||||</w:t>
            </w:r>
            <w:r w:rsidR="00C55149" w:rsidRPr="00C55149">
              <w:rPr>
                <w:color w:val="000000"/>
                <w:spacing w:val="5"/>
                <w:shd w:val="solid" w:color="000000" w:fill="000000"/>
                <w:fitText w:val="500" w:id="-1404829437"/>
                <w14:textFill>
                  <w14:solidFill>
                    <w14:srgbClr w14:val="000000">
                      <w14:alpha w14:val="100000"/>
                    </w14:srgbClr>
                  </w14:solidFill>
                </w14:textFill>
              </w:rPr>
              <w:t>|</w:t>
            </w:r>
            <w:r w:rsidR="00C5070A">
              <w:rPr>
                <w:vertAlign w:val="superscript"/>
              </w:rPr>
              <w:t>6</w:t>
            </w:r>
          </w:p>
        </w:tc>
      </w:tr>
    </w:tbl>
    <w:p w14:paraId="6E36CDA0" w14:textId="25533E0F" w:rsidR="00CE2717" w:rsidRDefault="00CE2717" w:rsidP="00CE2717">
      <w:pPr>
        <w:pStyle w:val="TableFootnote"/>
        <w:keepNext/>
        <w:keepLines/>
        <w:rPr>
          <w:rFonts w:ascii="Arial Narrow" w:hAnsi="Arial Narrow"/>
          <w:sz w:val="18"/>
          <w:szCs w:val="18"/>
        </w:rPr>
      </w:pPr>
      <w:r w:rsidRPr="000A2224">
        <w:rPr>
          <w:rFonts w:ascii="Arial Narrow" w:hAnsi="Arial Narrow"/>
          <w:sz w:val="18"/>
          <w:szCs w:val="18"/>
        </w:rPr>
        <w:t>Source: Table 6, p12 of the resubmission</w:t>
      </w:r>
    </w:p>
    <w:p w14:paraId="05809B3F" w14:textId="31D0728A" w:rsidR="00F64580" w:rsidRDefault="00F64580" w:rsidP="00CE2717">
      <w:pPr>
        <w:pStyle w:val="TableFootnote"/>
        <w:keepNext/>
        <w:keepLines/>
        <w:rPr>
          <w:rFonts w:ascii="Arial Narrow" w:hAnsi="Arial Narrow"/>
          <w:sz w:val="18"/>
          <w:szCs w:val="18"/>
        </w:rPr>
      </w:pPr>
    </w:p>
    <w:p w14:paraId="24C6E9E2" w14:textId="40D8268E" w:rsidR="00F64580" w:rsidRDefault="00F64580" w:rsidP="00CE2717">
      <w:pPr>
        <w:pStyle w:val="TableFootnote"/>
        <w:keepNext/>
        <w:keepLines/>
        <w:rPr>
          <w:rFonts w:ascii="Arial Narrow" w:hAnsi="Arial Narrow"/>
          <w:i/>
          <w:iCs/>
          <w:sz w:val="18"/>
          <w:szCs w:val="18"/>
        </w:rPr>
      </w:pPr>
      <w:r w:rsidRPr="00F64580">
        <w:rPr>
          <w:rFonts w:ascii="Arial Narrow" w:hAnsi="Arial Narrow"/>
          <w:i/>
          <w:iCs/>
          <w:sz w:val="18"/>
          <w:szCs w:val="18"/>
        </w:rPr>
        <w:t>The redacted values correspond to the following ranges:</w:t>
      </w:r>
    </w:p>
    <w:p w14:paraId="3F4BEDA1" w14:textId="5FCE6839" w:rsidR="00F64580" w:rsidRDefault="00F64580"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1</w:t>
      </w:r>
      <w:r w:rsidRPr="00F64580">
        <w:rPr>
          <w:rFonts w:ascii="Arial Narrow" w:hAnsi="Arial Narrow"/>
          <w:i/>
          <w:iCs/>
          <w:sz w:val="18"/>
          <w:szCs w:val="18"/>
        </w:rPr>
        <w:t>&lt; 500</w:t>
      </w:r>
    </w:p>
    <w:p w14:paraId="0C814B45" w14:textId="4E073B1C" w:rsidR="00F64580" w:rsidRDefault="00F64580"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2</w:t>
      </w:r>
      <w:r w:rsidRPr="00F64580">
        <w:rPr>
          <w:rFonts w:ascii="Arial Narrow" w:hAnsi="Arial Narrow"/>
          <w:i/>
          <w:iCs/>
          <w:sz w:val="18"/>
          <w:szCs w:val="18"/>
        </w:rPr>
        <w:t>500 to &lt; 5,000</w:t>
      </w:r>
    </w:p>
    <w:p w14:paraId="06738727" w14:textId="1F1CCD5F" w:rsidR="00F64580" w:rsidRDefault="00F64580"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3</w:t>
      </w:r>
      <w:r w:rsidRPr="00F64580">
        <w:rPr>
          <w:rFonts w:ascii="Arial Narrow" w:hAnsi="Arial Narrow"/>
          <w:i/>
          <w:iCs/>
          <w:sz w:val="18"/>
          <w:szCs w:val="18"/>
        </w:rPr>
        <w:t>$10 million to &lt; $20 million</w:t>
      </w:r>
    </w:p>
    <w:p w14:paraId="2EFF6ADD" w14:textId="05FF6F5D" w:rsidR="00F64580" w:rsidRDefault="00C5070A"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4</w:t>
      </w:r>
      <w:r w:rsidR="00F64580" w:rsidRPr="00F64580">
        <w:rPr>
          <w:rFonts w:ascii="Arial Narrow" w:hAnsi="Arial Narrow"/>
          <w:i/>
          <w:iCs/>
          <w:sz w:val="18"/>
          <w:szCs w:val="18"/>
        </w:rPr>
        <w:t>$20 million to &lt; $30 million</w:t>
      </w:r>
    </w:p>
    <w:p w14:paraId="335FE853" w14:textId="5CFA0137" w:rsidR="00C5070A" w:rsidRDefault="00C5070A"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5</w:t>
      </w:r>
      <w:r w:rsidRPr="00C5070A">
        <w:rPr>
          <w:rFonts w:ascii="Arial Narrow" w:hAnsi="Arial Narrow"/>
          <w:i/>
          <w:iCs/>
          <w:sz w:val="18"/>
          <w:szCs w:val="18"/>
        </w:rPr>
        <w:t>$30 million to &lt; $40 million</w:t>
      </w:r>
    </w:p>
    <w:p w14:paraId="7E0D75CA" w14:textId="05571068" w:rsidR="00C5070A" w:rsidRPr="00F64580" w:rsidRDefault="00C5070A"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6</w:t>
      </w:r>
      <w:r w:rsidRPr="00C5070A">
        <w:rPr>
          <w:rFonts w:ascii="Arial Narrow" w:hAnsi="Arial Narrow"/>
          <w:i/>
          <w:iCs/>
          <w:sz w:val="18"/>
          <w:szCs w:val="18"/>
        </w:rPr>
        <w:t>$40 million to &lt; $50 million</w:t>
      </w:r>
    </w:p>
    <w:p w14:paraId="477B73DA" w14:textId="77777777" w:rsidR="00CE2717" w:rsidRPr="000A2224" w:rsidRDefault="00CE2717" w:rsidP="00CE2717">
      <w:pPr>
        <w:pStyle w:val="2-SectionHeading"/>
      </w:pPr>
      <w:r w:rsidRPr="000A2224">
        <w:t>PBAC Outcome</w:t>
      </w:r>
    </w:p>
    <w:p w14:paraId="66185CAB" w14:textId="77777777" w:rsidR="00CE2717" w:rsidRDefault="00CE2717" w:rsidP="00CE2717">
      <w:pPr>
        <w:pStyle w:val="3-BodyText"/>
        <w:rPr>
          <w:lang w:val="en-GB"/>
        </w:rPr>
      </w:pPr>
      <w:r>
        <w:rPr>
          <w:lang w:val="en-GB"/>
        </w:rPr>
        <w:t xml:space="preserve">The PBAC deferred making a recommendation for vosoritide for the treatment of </w:t>
      </w:r>
      <w:r w:rsidRPr="00DD72AC">
        <w:t>patients with achondroplasia whose epiphyses are not closed</w:t>
      </w:r>
      <w:r>
        <w:rPr>
          <w:lang w:val="en-GB"/>
        </w:rPr>
        <w:t xml:space="preserve"> to allow for further consultation with the sponsor regarding a cost-effective price for vosoritide. In deciding to defer making a recommendation, the PBAC affirmed its view that there was a high clinical need for effective treatments for achondroplasia, however the Committee considered that a further price reduction was required to achieve an </w:t>
      </w:r>
      <w:r w:rsidRPr="00DD72AC">
        <w:t>incremental cost effectiveness ratio (</w:t>
      </w:r>
      <w:r w:rsidRPr="00DD72AC">
        <w:rPr>
          <w:rFonts w:eastAsia="Times New Roman"/>
        </w:rPr>
        <w:t>ICER)</w:t>
      </w:r>
      <w:r>
        <w:rPr>
          <w:rFonts w:eastAsia="Times New Roman"/>
        </w:rPr>
        <w:t xml:space="preserve"> within a cost-effective range</w:t>
      </w:r>
      <w:r>
        <w:rPr>
          <w:lang w:val="en-GB"/>
        </w:rPr>
        <w:t>.</w:t>
      </w:r>
    </w:p>
    <w:p w14:paraId="4FA7EA3B" w14:textId="77777777" w:rsidR="00CE2717" w:rsidRDefault="00CE2717" w:rsidP="00CE2717">
      <w:pPr>
        <w:pStyle w:val="3-BodyText"/>
      </w:pPr>
      <w:r>
        <w:t xml:space="preserve">The PBAC noted the resubmission presented a revised restriction that addressed the listing related issues raised at the July 2022 meeting.  </w:t>
      </w:r>
    </w:p>
    <w:p w14:paraId="77D1B8AA" w14:textId="77777777" w:rsidR="00CE2717" w:rsidRDefault="00CE2717" w:rsidP="00CE2717">
      <w:pPr>
        <w:pStyle w:val="3-BodyText"/>
      </w:pPr>
      <w:r>
        <w:t xml:space="preserve">The PBAC noted the additional data from Study 111-206 for children aged 0 to &lt; 5 years of age provided in the resubmission and the Clinical Study Report. The PBAC considered the change in selected MRI parameters reported </w:t>
      </w:r>
      <w:r w:rsidRPr="000505DD">
        <w:t xml:space="preserve">indicated </w:t>
      </w:r>
      <w:r>
        <w:t xml:space="preserve">a </w:t>
      </w:r>
      <w:r w:rsidRPr="000505DD">
        <w:t>potential positive effect of vosoritide outside of linear growth</w:t>
      </w:r>
      <w:r>
        <w:t xml:space="preserve"> in the youngest participants and highlighted the likely importance of early treatment. However, the PBAC noted the data reported were based on the full analysis set which combined both randomised and non-randomised data. </w:t>
      </w:r>
    </w:p>
    <w:p w14:paraId="43A64CCA" w14:textId="34E80538" w:rsidR="00CE2717" w:rsidRDefault="00CE2717" w:rsidP="00CE2717">
      <w:pPr>
        <w:pStyle w:val="3-BodyText"/>
      </w:pPr>
      <w:r>
        <w:t xml:space="preserve">The PBAC noted the resubmission proposed a revised price which resulted in an ICER of </w:t>
      </w:r>
      <w:r w:rsidR="00C5070A" w:rsidRPr="00C5070A">
        <w:t>$255,000 to &lt; $355,000</w:t>
      </w:r>
      <w:r w:rsidR="00C5070A">
        <w:t xml:space="preserve"> </w:t>
      </w:r>
      <w:r w:rsidRPr="004710DF">
        <w:t xml:space="preserve">per QALY gained when a 3% discount rate </w:t>
      </w:r>
      <w:r>
        <w:t>wa</w:t>
      </w:r>
      <w:r w:rsidRPr="004710DF">
        <w:t>s applied</w:t>
      </w:r>
      <w:r>
        <w:t xml:space="preserve"> or </w:t>
      </w:r>
      <w:r w:rsidR="00C5070A" w:rsidRPr="00C5070A">
        <w:t>$355,000 to &lt; $455,000</w:t>
      </w:r>
      <w:r w:rsidR="00C5070A">
        <w:t xml:space="preserve"> </w:t>
      </w:r>
      <w:r>
        <w:t xml:space="preserve">per QALY gained when a 5% discount rate was applied. The PBAC recalled that in July 2022 it had considered </w:t>
      </w:r>
      <w:r w:rsidRPr="00DD72AC">
        <w:rPr>
          <w:lang w:eastAsia="en-US"/>
        </w:rPr>
        <w:t>that using the base case model presented in the submission, an ICER in the order of $200,000 per QALY gained would adequately address the uncertainties noted and be consistent with previous PBAC decisions for rare diseases in which no other treatment options were available</w:t>
      </w:r>
      <w:r>
        <w:rPr>
          <w:lang w:eastAsia="en-US"/>
        </w:rPr>
        <w:t xml:space="preserve"> (see paragraph </w:t>
      </w:r>
      <w:r>
        <w:rPr>
          <w:lang w:eastAsia="en-US"/>
        </w:rPr>
        <w:fldChar w:fldCharType="begin" w:fldLock="1"/>
      </w:r>
      <w:r>
        <w:rPr>
          <w:lang w:eastAsia="en-US"/>
        </w:rPr>
        <w:instrText xml:space="preserve"> REF _Ref109299030 \r \h </w:instrText>
      </w:r>
      <w:r>
        <w:rPr>
          <w:lang w:eastAsia="en-US"/>
        </w:rPr>
      </w:r>
      <w:r>
        <w:rPr>
          <w:lang w:eastAsia="en-US"/>
        </w:rPr>
        <w:fldChar w:fldCharType="separate"/>
      </w:r>
      <w:r>
        <w:rPr>
          <w:lang w:eastAsia="en-US"/>
        </w:rPr>
        <w:t>7.7</w:t>
      </w:r>
      <w:r>
        <w:rPr>
          <w:lang w:eastAsia="en-US"/>
        </w:rPr>
        <w:fldChar w:fldCharType="end"/>
      </w:r>
      <w:r>
        <w:rPr>
          <w:lang w:eastAsia="en-US"/>
        </w:rPr>
        <w:t>)</w:t>
      </w:r>
      <w:r w:rsidRPr="00DD72AC">
        <w:rPr>
          <w:lang w:eastAsia="en-US"/>
        </w:rPr>
        <w:t>.</w:t>
      </w:r>
      <w:r>
        <w:rPr>
          <w:lang w:eastAsia="en-US"/>
        </w:rPr>
        <w:t xml:space="preserve"> The PBAC considered the ICER proposed in </w:t>
      </w:r>
      <w:r>
        <w:rPr>
          <w:lang w:eastAsia="en-US"/>
        </w:rPr>
        <w:lastRenderedPageBreak/>
        <w:t xml:space="preserve">the resubmission remained above what the Committee considered cost-effective, even with a 3% discount rate. As such, the PBAC considered a further reduction from the price proposed in the resubmission was required to achieve cost-effectiveness. </w:t>
      </w:r>
    </w:p>
    <w:p w14:paraId="5DDCC51C" w14:textId="77777777" w:rsidR="00CE2717" w:rsidRDefault="00CE2717" w:rsidP="00CE2717">
      <w:pPr>
        <w:pStyle w:val="3-BodyText"/>
      </w:pPr>
      <w:r>
        <w:t xml:space="preserve">The PBAC noted that the financial estimates presented were updated with the price reduction proposed in the resubmission. </w:t>
      </w:r>
    </w:p>
    <w:p w14:paraId="0311B286" w14:textId="441D15C7" w:rsidR="007748E3" w:rsidRPr="001179AC" w:rsidRDefault="00CE2717" w:rsidP="007A3EF7">
      <w:r w:rsidRPr="00DF745D">
        <w:rPr>
          <w:rFonts w:asciiTheme="minorHAnsi" w:eastAsia="Times New Roman" w:hAnsiTheme="minorHAnsi"/>
          <w:b/>
          <w:bCs/>
          <w:snapToGrid w:val="0"/>
          <w:lang w:val="en-GB"/>
        </w:rPr>
        <w:t xml:space="preserve">Outcome: </w:t>
      </w:r>
      <w:r w:rsidRPr="00DF745D">
        <w:rPr>
          <w:rFonts w:asciiTheme="minorHAnsi" w:eastAsia="Times New Roman" w:hAnsiTheme="minorHAnsi"/>
          <w:bCs/>
          <w:snapToGrid w:val="0"/>
          <w:lang w:val="en-GB"/>
        </w:rPr>
        <w:t>Deferred</w:t>
      </w:r>
    </w:p>
    <w:p w14:paraId="46ACD95F" w14:textId="01AEDB8F" w:rsidR="0055231F" w:rsidRDefault="0055231F" w:rsidP="0055231F">
      <w:pPr>
        <w:pStyle w:val="2-SectionHeading"/>
        <w:rPr>
          <w:bCs/>
          <w:lang w:val="en-GB"/>
        </w:rPr>
      </w:pPr>
      <w:r w:rsidRPr="00C07617">
        <w:t>Context for Decision</w:t>
      </w:r>
    </w:p>
    <w:p w14:paraId="701BDB77" w14:textId="77777777" w:rsidR="0055231F" w:rsidRPr="007129F2" w:rsidRDefault="0055231F" w:rsidP="0055231F">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7BF48C8" w14:textId="16C3AC05" w:rsidR="0055231F" w:rsidRPr="00C07617" w:rsidRDefault="0055231F" w:rsidP="0055231F">
      <w:pPr>
        <w:pStyle w:val="2-SectionHeading"/>
      </w:pPr>
      <w:r>
        <w:t>Sponsor’s Comment</w:t>
      </w:r>
    </w:p>
    <w:p w14:paraId="071EBE9E" w14:textId="67828748" w:rsidR="00CD2A43" w:rsidRDefault="00CD2A43" w:rsidP="00CD2A43">
      <w:pPr>
        <w:pStyle w:val="3-BodyText"/>
        <w:numPr>
          <w:ilvl w:val="0"/>
          <w:numId w:val="0"/>
        </w:numPr>
        <w:ind w:left="720"/>
        <w:rPr>
          <w:rFonts w:ascii="Calibri" w:hAnsi="Calibri" w:cs="Calibri"/>
          <w:sz w:val="20"/>
          <w:szCs w:val="20"/>
        </w:rPr>
      </w:pPr>
      <w:r>
        <w:t>BioMarin remains encouraged to be working with the PBAC to ensure patients can gain rapid access to this important treatment for patients with a high clinical need without unnecessary delays.</w:t>
      </w:r>
    </w:p>
    <w:p w14:paraId="02B624BA" w14:textId="7DC891E2" w:rsidR="003030A1" w:rsidRDefault="003030A1">
      <w:pPr>
        <w:jc w:val="left"/>
        <w:rPr>
          <w:rFonts w:eastAsia="Times New Roman"/>
          <w:color w:val="3366FF"/>
        </w:rPr>
      </w:pPr>
      <w:r>
        <w:rPr>
          <w:rFonts w:eastAsia="Times New Roman"/>
          <w:color w:val="3366FF"/>
        </w:rPr>
        <w:br w:type="page"/>
      </w:r>
    </w:p>
    <w:p w14:paraId="0DD238A4" w14:textId="0F0A6869" w:rsidR="00873267" w:rsidRPr="009C4137" w:rsidRDefault="00873267" w:rsidP="00873267">
      <w:pPr>
        <w:pStyle w:val="1MainTitle"/>
        <w:ind w:left="1134" w:hanging="1134"/>
        <w:jc w:val="left"/>
        <w:rPr>
          <w:rFonts w:eastAsia="Calibri"/>
          <w:color w:val="FF0000"/>
          <w:sz w:val="28"/>
          <w:szCs w:val="28"/>
        </w:rPr>
      </w:pPr>
      <w:r w:rsidRPr="009C4137">
        <w:rPr>
          <w:rFonts w:eastAsia="Calibri"/>
          <w:color w:val="FF0000"/>
          <w:sz w:val="28"/>
          <w:szCs w:val="28"/>
        </w:rPr>
        <w:lastRenderedPageBreak/>
        <w:t xml:space="preserve">Addendum to the </w:t>
      </w:r>
      <w:r>
        <w:rPr>
          <w:rFonts w:eastAsia="Calibri"/>
          <w:color w:val="FF0000"/>
          <w:sz w:val="28"/>
          <w:szCs w:val="28"/>
        </w:rPr>
        <w:t>September 2022</w:t>
      </w:r>
      <w:r w:rsidRPr="009C4137">
        <w:rPr>
          <w:rFonts w:eastAsia="Calibri"/>
          <w:color w:val="FF0000"/>
          <w:sz w:val="28"/>
          <w:szCs w:val="28"/>
        </w:rPr>
        <w:t xml:space="preserve">  </w:t>
      </w:r>
      <w:r>
        <w:rPr>
          <w:rFonts w:eastAsia="Calibri"/>
          <w:color w:val="FF0000"/>
          <w:sz w:val="28"/>
          <w:szCs w:val="28"/>
        </w:rPr>
        <w:t>PSD</w:t>
      </w:r>
      <w:r w:rsidRPr="009C4137">
        <w:rPr>
          <w:rFonts w:eastAsia="Calibri"/>
          <w:color w:val="FF0000"/>
          <w:sz w:val="28"/>
          <w:szCs w:val="28"/>
        </w:rPr>
        <w:t>:</w:t>
      </w:r>
    </w:p>
    <w:p w14:paraId="019A67FD" w14:textId="59B5FE28" w:rsidR="003030A1" w:rsidRPr="0089664C" w:rsidRDefault="003030A1" w:rsidP="003030A1">
      <w:pPr>
        <w:pStyle w:val="1-MainHeading"/>
      </w:pPr>
      <w:r w:rsidRPr="0089664C">
        <w:t>4.04</w:t>
      </w:r>
      <w:r w:rsidRPr="0089664C">
        <w:tab/>
        <w:t>VOSORITIDE,</w:t>
      </w:r>
      <w:r w:rsidRPr="0089664C">
        <w:br/>
        <w:t xml:space="preserve">Powder for injection 0.4 mg with diluent, </w:t>
      </w:r>
      <w:r w:rsidRPr="0089664C">
        <w:br/>
        <w:t xml:space="preserve">Powder for injection 0.56 mg with diluent, </w:t>
      </w:r>
      <w:r w:rsidRPr="0089664C">
        <w:br/>
        <w:t xml:space="preserve">Powder for injection 1.2 mg with diluent, </w:t>
      </w:r>
      <w:r w:rsidRPr="0089664C">
        <w:br/>
      </w:r>
      <w:proofErr w:type="spellStart"/>
      <w:r w:rsidRPr="0089664C">
        <w:t>Voxzogo</w:t>
      </w:r>
      <w:proofErr w:type="spellEnd"/>
      <w:r w:rsidRPr="0089664C">
        <w:t>®,</w:t>
      </w:r>
      <w:r w:rsidRPr="0089664C">
        <w:br/>
        <w:t>BioMarin Pharmaceutical Australia Pty Ltd</w:t>
      </w:r>
    </w:p>
    <w:p w14:paraId="1B9411FB" w14:textId="77777777" w:rsidR="003030A1" w:rsidRPr="0089664C" w:rsidRDefault="003030A1" w:rsidP="003030A1">
      <w:pPr>
        <w:pStyle w:val="2-SectionHeading"/>
      </w:pPr>
      <w:r w:rsidRPr="0089664C">
        <w:t>Background</w:t>
      </w:r>
    </w:p>
    <w:p w14:paraId="1A827F16" w14:textId="77777777" w:rsidR="003030A1" w:rsidRPr="0089664C" w:rsidRDefault="003030A1" w:rsidP="003030A1">
      <w:pPr>
        <w:pStyle w:val="3-BodyText"/>
        <w:rPr>
          <w:lang w:eastAsia="en-US"/>
        </w:rPr>
      </w:pPr>
      <w:r w:rsidRPr="0089664C">
        <w:t xml:space="preserve">At the July 2022 PBAC meeting, vosoritide was not recommended. At that time the PBAC considered the outstanding issues could be resolved in a simple resubmission and that the </w:t>
      </w:r>
      <w:r w:rsidRPr="0089664C">
        <w:rPr>
          <w:lang w:eastAsia="en-US"/>
        </w:rPr>
        <w:t>following changes may address these outstanding issues without requiring further re-evaluation:</w:t>
      </w:r>
    </w:p>
    <w:p w14:paraId="1B52371D" w14:textId="77777777" w:rsidR="003030A1" w:rsidRPr="0089664C" w:rsidRDefault="003030A1" w:rsidP="003030A1">
      <w:pPr>
        <w:numPr>
          <w:ilvl w:val="0"/>
          <w:numId w:val="10"/>
        </w:numPr>
        <w:spacing w:after="120"/>
        <w:ind w:left="1077" w:hanging="357"/>
        <w:rPr>
          <w:lang w:eastAsia="en-US"/>
        </w:rPr>
      </w:pPr>
      <w:r w:rsidRPr="0089664C">
        <w:rPr>
          <w:lang w:eastAsia="en-US"/>
        </w:rPr>
        <w:t xml:space="preserve">a price reduction to achieve an ICER in the order of $200,000 per QALY gained using the base case model included in the submission as outlined in paragraph </w:t>
      </w:r>
      <w:r w:rsidRPr="0089664C">
        <w:rPr>
          <w:lang w:eastAsia="en-US"/>
        </w:rPr>
        <w:fldChar w:fldCharType="begin" w:fldLock="1"/>
      </w:r>
      <w:r w:rsidRPr="0089664C">
        <w:rPr>
          <w:lang w:eastAsia="en-US"/>
        </w:rPr>
        <w:instrText xml:space="preserve"> REF _Ref109299030 \r \h </w:instrText>
      </w:r>
      <w:r w:rsidRPr="0089664C">
        <w:rPr>
          <w:lang w:eastAsia="en-US"/>
        </w:rPr>
      </w:r>
      <w:r w:rsidRPr="0089664C">
        <w:rPr>
          <w:lang w:eastAsia="en-US"/>
        </w:rPr>
        <w:fldChar w:fldCharType="separate"/>
      </w:r>
      <w:r w:rsidRPr="0089664C">
        <w:rPr>
          <w:lang w:eastAsia="en-US"/>
        </w:rPr>
        <w:t>7.7</w:t>
      </w:r>
      <w:r w:rsidRPr="0089664C">
        <w:rPr>
          <w:lang w:eastAsia="en-US"/>
        </w:rPr>
        <w:fldChar w:fldCharType="end"/>
      </w:r>
      <w:r w:rsidRPr="0089664C">
        <w:rPr>
          <w:lang w:eastAsia="en-US"/>
        </w:rPr>
        <w:t>; and</w:t>
      </w:r>
    </w:p>
    <w:p w14:paraId="3C1913A3" w14:textId="77777777" w:rsidR="003030A1" w:rsidRPr="0089664C" w:rsidRDefault="003030A1" w:rsidP="003030A1">
      <w:pPr>
        <w:numPr>
          <w:ilvl w:val="0"/>
          <w:numId w:val="10"/>
        </w:numPr>
        <w:spacing w:after="120"/>
        <w:ind w:left="1077" w:hanging="357"/>
        <w:rPr>
          <w:lang w:eastAsia="en-US"/>
        </w:rPr>
      </w:pPr>
      <w:r w:rsidRPr="0089664C">
        <w:rPr>
          <w:lang w:eastAsia="en-US"/>
        </w:rPr>
        <w:t xml:space="preserve">the financial estimates updated with the price reduction outlined in paragraph </w:t>
      </w:r>
      <w:r w:rsidRPr="0089664C">
        <w:rPr>
          <w:lang w:eastAsia="en-US"/>
        </w:rPr>
        <w:fldChar w:fldCharType="begin" w:fldLock="1"/>
      </w:r>
      <w:r w:rsidRPr="0089664C">
        <w:rPr>
          <w:lang w:eastAsia="en-US"/>
        </w:rPr>
        <w:instrText xml:space="preserve"> REF _Ref118809758 \r \h </w:instrText>
      </w:r>
      <w:r w:rsidRPr="0089664C">
        <w:rPr>
          <w:lang w:eastAsia="en-US"/>
        </w:rPr>
      </w:r>
      <w:r w:rsidRPr="0089664C">
        <w:rPr>
          <w:lang w:eastAsia="en-US"/>
        </w:rPr>
        <w:fldChar w:fldCharType="separate"/>
      </w:r>
      <w:r w:rsidRPr="0089664C">
        <w:rPr>
          <w:lang w:eastAsia="en-US"/>
        </w:rPr>
        <w:t>7.8</w:t>
      </w:r>
      <w:r w:rsidRPr="0089664C">
        <w:rPr>
          <w:lang w:eastAsia="en-US"/>
        </w:rPr>
        <w:fldChar w:fldCharType="end"/>
      </w:r>
      <w:r w:rsidRPr="0089664C">
        <w:rPr>
          <w:lang w:eastAsia="en-US"/>
        </w:rPr>
        <w:t>.</w:t>
      </w:r>
    </w:p>
    <w:p w14:paraId="291329F9" w14:textId="7A7832AF" w:rsidR="003030A1" w:rsidRPr="0089664C" w:rsidRDefault="003030A1" w:rsidP="003030A1">
      <w:pPr>
        <w:pStyle w:val="3-BodyText"/>
      </w:pPr>
      <w:r w:rsidRPr="0089664C">
        <w:t xml:space="preserve">Table 20 (above) summarises the inputs made by the September 2022 resubmission to address outstanding matters raised in the July 2022 PBAC </w:t>
      </w:r>
      <w:r w:rsidR="007B6FFD">
        <w:t>PSD</w:t>
      </w:r>
      <w:r w:rsidRPr="0089664C">
        <w:t xml:space="preserve">. The inputs proposed in the resubmission included a </w:t>
      </w:r>
      <w:r w:rsidR="007E312F" w:rsidRPr="00DA600A">
        <w:rPr>
          <w:color w:val="000000"/>
          <w:w w:val="15"/>
          <w:shd w:val="solid" w:color="000000" w:fill="000000"/>
          <w:fitText w:val="-20" w:id="-1301047040"/>
          <w14:textFill>
            <w14:solidFill>
              <w14:srgbClr w14:val="000000">
                <w14:alpha w14:val="100000"/>
              </w14:srgbClr>
            </w14:solidFill>
          </w14:textFill>
        </w:rPr>
        <w:t xml:space="preserve">|  </w:t>
      </w:r>
      <w:r w:rsidR="007E312F" w:rsidRPr="00DA600A">
        <w:rPr>
          <w:color w:val="000000"/>
          <w:spacing w:val="-69"/>
          <w:w w:val="15"/>
          <w:shd w:val="solid" w:color="000000" w:fill="000000"/>
          <w:fitText w:val="-20" w:id="-1301047040"/>
          <w14:textFill>
            <w14:solidFill>
              <w14:srgbClr w14:val="000000">
                <w14:alpha w14:val="100000"/>
              </w14:srgbClr>
            </w14:solidFill>
          </w14:textFill>
        </w:rPr>
        <w:t>|</w:t>
      </w:r>
      <w:r w:rsidRPr="0089664C">
        <w:t>% price reduction (EMP $</w:t>
      </w:r>
      <w:r w:rsidR="007E312F" w:rsidRPr="00DA600A">
        <w:rPr>
          <w:color w:val="000000"/>
          <w:w w:val="15"/>
          <w:shd w:val="solid" w:color="000000" w:fill="000000"/>
          <w:fitText w:val="-20" w:id="-1301047039"/>
          <w14:textFill>
            <w14:solidFill>
              <w14:srgbClr w14:val="000000">
                <w14:alpha w14:val="100000"/>
              </w14:srgbClr>
            </w14:solidFill>
          </w14:textFill>
        </w:rPr>
        <w:t xml:space="preserve">|  </w:t>
      </w:r>
      <w:r w:rsidR="007E312F" w:rsidRPr="00DA600A">
        <w:rPr>
          <w:color w:val="000000"/>
          <w:spacing w:val="-69"/>
          <w:w w:val="15"/>
          <w:shd w:val="solid" w:color="000000" w:fill="000000"/>
          <w:fitText w:val="-20" w:id="-1301047039"/>
          <w14:textFill>
            <w14:solidFill>
              <w14:srgbClr w14:val="000000">
                <w14:alpha w14:val="100000"/>
              </w14:srgbClr>
            </w14:solidFill>
          </w14:textFill>
        </w:rPr>
        <w:t>|</w:t>
      </w:r>
      <w:r w:rsidRPr="0089664C">
        <w:t xml:space="preserve"> per 0.4 mg, 0.56 mg or 1.2 mg vial compared to $</w:t>
      </w:r>
      <w:r w:rsidR="007E312F" w:rsidRPr="00DA600A">
        <w:rPr>
          <w:color w:val="000000"/>
          <w:w w:val="15"/>
          <w:shd w:val="solid" w:color="000000" w:fill="000000"/>
          <w:fitText w:val="-20" w:id="-1301047038"/>
          <w14:textFill>
            <w14:solidFill>
              <w14:srgbClr w14:val="000000">
                <w14:alpha w14:val="100000"/>
              </w14:srgbClr>
            </w14:solidFill>
          </w14:textFill>
        </w:rPr>
        <w:t xml:space="preserve">|  </w:t>
      </w:r>
      <w:r w:rsidR="007E312F" w:rsidRPr="00DA600A">
        <w:rPr>
          <w:color w:val="000000"/>
          <w:spacing w:val="-69"/>
          <w:w w:val="15"/>
          <w:shd w:val="solid" w:color="000000" w:fill="000000"/>
          <w:fitText w:val="-20" w:id="-1301047038"/>
          <w14:textFill>
            <w14:solidFill>
              <w14:srgbClr w14:val="000000">
                <w14:alpha w14:val="100000"/>
              </w14:srgbClr>
            </w14:solidFill>
          </w14:textFill>
        </w:rPr>
        <w:t>|</w:t>
      </w:r>
      <w:r w:rsidRPr="0089664C">
        <w:t xml:space="preserve"> per 0.4 mg, 0.56 mg or 1.2 mg vial in the original submission). The revised price for the proposed maximum quantity of 30 vials (EMP = $</w:t>
      </w:r>
      <w:r w:rsidR="007E312F" w:rsidRPr="00DA600A">
        <w:rPr>
          <w:color w:val="000000"/>
          <w:w w:val="15"/>
          <w:shd w:val="solid" w:color="000000" w:fill="000000"/>
          <w:fitText w:val="-20" w:id="-1301047037"/>
          <w14:textFill>
            <w14:solidFill>
              <w14:srgbClr w14:val="000000">
                <w14:alpha w14:val="100000"/>
              </w14:srgbClr>
            </w14:solidFill>
          </w14:textFill>
        </w:rPr>
        <w:t xml:space="preserve">|  </w:t>
      </w:r>
      <w:r w:rsidR="007E312F" w:rsidRPr="00DA600A">
        <w:rPr>
          <w:color w:val="000000"/>
          <w:spacing w:val="-69"/>
          <w:w w:val="15"/>
          <w:shd w:val="solid" w:color="000000" w:fill="000000"/>
          <w:fitText w:val="-20" w:id="-1301047037"/>
          <w14:textFill>
            <w14:solidFill>
              <w14:srgbClr w14:val="000000">
                <w14:alpha w14:val="100000"/>
              </w14:srgbClr>
            </w14:solidFill>
          </w14:textFill>
        </w:rPr>
        <w:t>|</w:t>
      </w:r>
      <w:r w:rsidRPr="0089664C">
        <w:t>; DPMQ = $</w:t>
      </w:r>
      <w:r w:rsidR="007E312F" w:rsidRPr="00DA600A">
        <w:rPr>
          <w:color w:val="000000"/>
          <w:w w:val="15"/>
          <w:shd w:val="solid" w:color="000000" w:fill="000000"/>
          <w:fitText w:val="-20" w:id="-1301047036"/>
          <w14:textFill>
            <w14:solidFill>
              <w14:srgbClr w14:val="000000">
                <w14:alpha w14:val="100000"/>
              </w14:srgbClr>
            </w14:solidFill>
          </w14:textFill>
        </w:rPr>
        <w:t xml:space="preserve">|  </w:t>
      </w:r>
      <w:r w:rsidR="007E312F" w:rsidRPr="00DA600A">
        <w:rPr>
          <w:color w:val="000000"/>
          <w:spacing w:val="-69"/>
          <w:w w:val="15"/>
          <w:shd w:val="solid" w:color="000000" w:fill="000000"/>
          <w:fitText w:val="-20" w:id="-1301047036"/>
          <w14:textFill>
            <w14:solidFill>
              <w14:srgbClr w14:val="000000">
                <w14:alpha w14:val="100000"/>
              </w14:srgbClr>
            </w14:solidFill>
          </w14:textFill>
        </w:rPr>
        <w:t>|</w:t>
      </w:r>
      <w:r w:rsidRPr="0089664C">
        <w:t xml:space="preserve">) resulted in an ICER of </w:t>
      </w:r>
      <w:r w:rsidR="00DB2A73" w:rsidRPr="00DB2A73">
        <w:t>$255,000</w:t>
      </w:r>
      <w:r w:rsidR="008F55BE">
        <w:t> </w:t>
      </w:r>
      <w:r w:rsidR="00DB2A73" w:rsidRPr="00DB2A73">
        <w:t xml:space="preserve"> to</w:t>
      </w:r>
      <w:r w:rsidR="008F55BE">
        <w:t> </w:t>
      </w:r>
      <w:r w:rsidR="00DB2A73" w:rsidRPr="00DB2A73">
        <w:t xml:space="preserve"> &lt; $355,000</w:t>
      </w:r>
      <w:r w:rsidR="008F55BE">
        <w:t> </w:t>
      </w:r>
      <w:r w:rsidR="00DB2A73">
        <w:t xml:space="preserve"> </w:t>
      </w:r>
      <w:r w:rsidRPr="0089664C">
        <w:t xml:space="preserve">per QALY gained when a 3% discount rate was applied. Scenarios based on a range of discount rates are presented in </w:t>
      </w:r>
      <w:r w:rsidRPr="0089664C">
        <w:fldChar w:fldCharType="begin" w:fldLock="1"/>
      </w:r>
      <w:r w:rsidRPr="0089664C">
        <w:instrText xml:space="preserve"> REF _Ref114571232 \h  \* MERGEFORMAT </w:instrText>
      </w:r>
      <w:r w:rsidRPr="0089664C">
        <w:fldChar w:fldCharType="separate"/>
      </w:r>
      <w:r w:rsidRPr="0089664C">
        <w:t>Table 22</w:t>
      </w:r>
      <w:r w:rsidRPr="0089664C">
        <w:fldChar w:fldCharType="end"/>
      </w:r>
      <w:r w:rsidRPr="0089664C">
        <w:t xml:space="preserve"> (above). The financial estimates were updated with the price reduction (see </w:t>
      </w:r>
      <w:r w:rsidRPr="0089664C">
        <w:fldChar w:fldCharType="begin" w:fldLock="1"/>
      </w:r>
      <w:r w:rsidRPr="0089664C">
        <w:instrText xml:space="preserve"> REF _Ref114490737 \h  \* MERGEFORMAT </w:instrText>
      </w:r>
      <w:r w:rsidRPr="0089664C">
        <w:fldChar w:fldCharType="separate"/>
      </w:r>
      <w:r w:rsidRPr="0089664C">
        <w:t>Table 23</w:t>
      </w:r>
      <w:r w:rsidRPr="0089664C">
        <w:fldChar w:fldCharType="end"/>
      </w:r>
      <w:r w:rsidRPr="0089664C">
        <w:t xml:space="preserve"> above).</w:t>
      </w:r>
    </w:p>
    <w:p w14:paraId="5F3DF7D8" w14:textId="77777777" w:rsidR="003030A1" w:rsidRPr="0089664C" w:rsidRDefault="003030A1" w:rsidP="003030A1">
      <w:pPr>
        <w:pStyle w:val="3-BodyText"/>
      </w:pPr>
      <w:r w:rsidRPr="0089664C">
        <w:t>At the September 2022 PBAC meeting, the PBAC deferred making a recommendation for vosoritide to allow for further consultation with the sponsor regarding a cost-effective price for vosoritide.</w:t>
      </w:r>
    </w:p>
    <w:p w14:paraId="6759F0C2" w14:textId="77777777" w:rsidR="003030A1" w:rsidRPr="0089664C" w:rsidRDefault="003030A1" w:rsidP="003030A1">
      <w:pPr>
        <w:pStyle w:val="ExecSumBodyText"/>
        <w:numPr>
          <w:ilvl w:val="1"/>
          <w:numId w:val="1"/>
        </w:numPr>
      </w:pPr>
      <w:r w:rsidRPr="0089664C">
        <w:t xml:space="preserve">Consultation was undertaken with the sponsor on 25 October 2022. The sponsor advised that a further price reduction for vosoritide was not possible. </w:t>
      </w:r>
    </w:p>
    <w:p w14:paraId="007633C6" w14:textId="77777777" w:rsidR="003030A1" w:rsidRPr="0089664C" w:rsidRDefault="003030A1" w:rsidP="003030A1">
      <w:pPr>
        <w:pStyle w:val="2-SectionHeading"/>
      </w:pPr>
      <w:r w:rsidRPr="0089664C">
        <w:lastRenderedPageBreak/>
        <w:t>PBAC Outcome</w:t>
      </w:r>
    </w:p>
    <w:p w14:paraId="51ACD89E" w14:textId="77777777" w:rsidR="003030A1" w:rsidRPr="0089664C" w:rsidRDefault="003030A1" w:rsidP="003030A1">
      <w:pPr>
        <w:pStyle w:val="3-BodyText"/>
      </w:pPr>
      <w:r w:rsidRPr="0089664C">
        <w:t>The PBAC recommended the General Schedule Authority Required (Telephone/Online) listing of vosoritide for the treatment of patients with achondroplasia whose epiphyses are not closed. The PBAC was satisfied that vosoritide provides, for some patients, a significant improvement in efficacy over best supportive care (BSC). The PBAC reaffirmed that there are no treatments on the PBS available specifically for this condition, and it considered that the addition of vosoritide offered high added therapeutic value.</w:t>
      </w:r>
    </w:p>
    <w:p w14:paraId="6EFF0D3F" w14:textId="77777777" w:rsidR="003030A1" w:rsidRPr="0089664C" w:rsidRDefault="003030A1" w:rsidP="003030A1">
      <w:pPr>
        <w:pStyle w:val="3-BodyText"/>
      </w:pPr>
      <w:bookmarkStart w:id="89" w:name="_Ref119064815"/>
      <w:r w:rsidRPr="0089664C">
        <w:t xml:space="preserve">The PBAC’s recommendation for listing was based on, among other matters, its assessment, that the cost-effectiveness of vosoritide would be acceptable at the price </w:t>
      </w:r>
      <w:bookmarkStart w:id="90" w:name="_Hlk119074540"/>
      <w:r w:rsidRPr="0089664C">
        <w:t xml:space="preserve">proposed in the September 2022 resubmission </w:t>
      </w:r>
      <w:bookmarkStart w:id="91" w:name="_Hlk118797482"/>
      <w:r w:rsidRPr="0089664C">
        <w:t>if the following additional measures were implemented:</w:t>
      </w:r>
      <w:bookmarkEnd w:id="89"/>
      <w:r w:rsidRPr="0089664C">
        <w:t xml:space="preserve"> </w:t>
      </w:r>
      <w:bookmarkEnd w:id="90"/>
    </w:p>
    <w:p w14:paraId="49AC2C1D" w14:textId="77777777" w:rsidR="003030A1" w:rsidRPr="0089664C" w:rsidRDefault="003030A1" w:rsidP="003030A1">
      <w:pPr>
        <w:numPr>
          <w:ilvl w:val="0"/>
          <w:numId w:val="10"/>
        </w:numPr>
        <w:spacing w:after="120"/>
        <w:ind w:left="1077" w:hanging="357"/>
        <w:rPr>
          <w:lang w:eastAsia="en-US"/>
        </w:rPr>
      </w:pPr>
      <w:r w:rsidRPr="0089664C">
        <w:rPr>
          <w:lang w:eastAsia="en-US"/>
        </w:rPr>
        <w:t xml:space="preserve">A review of the body of trial evidence available at three years post the date of listing to ensure that the age-based magnitude of change in </w:t>
      </w:r>
      <w:r w:rsidRPr="0089664C">
        <w:t>annual growth velocity (AGV) and height Z-score</w:t>
      </w:r>
      <w:r w:rsidRPr="0089664C">
        <w:rPr>
          <w:lang w:eastAsia="en-US"/>
        </w:rPr>
        <w:t xml:space="preserve"> anticipated from Study 111-301 and Study 111</w:t>
      </w:r>
      <w:r w:rsidRPr="0089664C">
        <w:rPr>
          <w:lang w:eastAsia="en-US"/>
        </w:rPr>
        <w:noBreakHyphen/>
        <w:t xml:space="preserve">206 continued to be realised in the extension studies 111-302 and 111-208. </w:t>
      </w:r>
    </w:p>
    <w:p w14:paraId="6D2522AF" w14:textId="77777777" w:rsidR="003030A1" w:rsidRPr="0089664C" w:rsidRDefault="003030A1" w:rsidP="003030A1">
      <w:pPr>
        <w:numPr>
          <w:ilvl w:val="0"/>
          <w:numId w:val="10"/>
        </w:numPr>
        <w:spacing w:after="120"/>
        <w:ind w:left="1077" w:hanging="357"/>
        <w:rPr>
          <w:lang w:eastAsia="en-US"/>
        </w:rPr>
      </w:pPr>
      <w:r w:rsidRPr="0089664C">
        <w:rPr>
          <w:lang w:eastAsia="en-US"/>
        </w:rPr>
        <w:t xml:space="preserve">A risk sharing arrangement (RSA) to address the risk of potential prescribing of a higher than recommended dose (see paragraph </w:t>
      </w:r>
      <w:r w:rsidRPr="0089664C">
        <w:rPr>
          <w:lang w:eastAsia="en-US"/>
        </w:rPr>
        <w:fldChar w:fldCharType="begin" w:fldLock="1"/>
      </w:r>
      <w:r w:rsidRPr="0089664C">
        <w:rPr>
          <w:lang w:eastAsia="en-US"/>
        </w:rPr>
        <w:instrText xml:space="preserve"> REF _Ref119430716 \r \h  \* MERGEFORMAT </w:instrText>
      </w:r>
      <w:r w:rsidRPr="0089664C">
        <w:rPr>
          <w:lang w:eastAsia="en-US"/>
        </w:rPr>
      </w:r>
      <w:r w:rsidRPr="0089664C">
        <w:rPr>
          <w:lang w:eastAsia="en-US"/>
        </w:rPr>
        <w:fldChar w:fldCharType="separate"/>
      </w:r>
      <w:r w:rsidRPr="0089664C">
        <w:rPr>
          <w:lang w:eastAsia="en-US"/>
        </w:rPr>
        <w:t>12.7</w:t>
      </w:r>
      <w:r w:rsidRPr="0089664C">
        <w:rPr>
          <w:lang w:eastAsia="en-US"/>
        </w:rPr>
        <w:fldChar w:fldCharType="end"/>
      </w:r>
      <w:r w:rsidRPr="0089664C">
        <w:rPr>
          <w:lang w:eastAsia="en-US"/>
        </w:rPr>
        <w:t>).</w:t>
      </w:r>
    </w:p>
    <w:bookmarkEnd w:id="91"/>
    <w:p w14:paraId="44B07EB9" w14:textId="77777777" w:rsidR="003030A1" w:rsidRPr="0089664C" w:rsidRDefault="003030A1" w:rsidP="003030A1">
      <w:pPr>
        <w:pStyle w:val="3-BodyText"/>
      </w:pPr>
      <w:r w:rsidRPr="0089664C">
        <w:t xml:space="preserve">The PBAC recalled the input from individuals and health care professionals highlighting the impact </w:t>
      </w:r>
      <w:r w:rsidRPr="0089664C">
        <w:rPr>
          <w:bCs/>
        </w:rPr>
        <w:t xml:space="preserve">of an increase in final height in terms of accessing environment, improved functionality and exercise tolerance along with the potential for reduced pain and medical complications. </w:t>
      </w:r>
      <w:r w:rsidRPr="0089664C">
        <w:t>The PBAC restated its view that there was a high clinical need for effective treatments for achondroplasia.</w:t>
      </w:r>
    </w:p>
    <w:p w14:paraId="41FA4F75" w14:textId="77777777" w:rsidR="003030A1" w:rsidRPr="0089664C" w:rsidRDefault="003030A1" w:rsidP="003030A1">
      <w:pPr>
        <w:pStyle w:val="3-BodyText"/>
      </w:pPr>
      <w:r w:rsidRPr="0089664C">
        <w:t xml:space="preserve">The PBAC recalled that in July 2022 it had </w:t>
      </w:r>
      <w:r w:rsidRPr="0089664C">
        <w:rPr>
          <w:rFonts w:eastAsia="Calibri"/>
        </w:rPr>
        <w:t xml:space="preserve">considered that on the basis of improved height outcomes, the claim of superior comparative effectiveness was reasonable in 5 to &lt;18 year old children and uncertain but likely reasonable in children under 5 years old (see paragraph </w:t>
      </w:r>
      <w:r w:rsidRPr="0089664C">
        <w:rPr>
          <w:rFonts w:eastAsia="Calibri"/>
        </w:rPr>
        <w:fldChar w:fldCharType="begin" w:fldLock="1"/>
      </w:r>
      <w:r w:rsidRPr="0089664C">
        <w:rPr>
          <w:rFonts w:eastAsia="Calibri"/>
        </w:rPr>
        <w:instrText xml:space="preserve"> REF _Ref118729347 \r \h </w:instrText>
      </w:r>
      <w:r w:rsidRPr="0089664C">
        <w:rPr>
          <w:rFonts w:eastAsia="Calibri"/>
        </w:rPr>
      </w:r>
      <w:r w:rsidRPr="0089664C">
        <w:rPr>
          <w:rFonts w:eastAsia="Calibri"/>
        </w:rPr>
        <w:fldChar w:fldCharType="separate"/>
      </w:r>
      <w:r w:rsidRPr="0089664C">
        <w:rPr>
          <w:rFonts w:eastAsia="Calibri"/>
        </w:rPr>
        <w:t>7.5</w:t>
      </w:r>
      <w:r w:rsidRPr="0089664C">
        <w:rPr>
          <w:rFonts w:eastAsia="Calibri"/>
        </w:rPr>
        <w:fldChar w:fldCharType="end"/>
      </w:r>
      <w:r w:rsidRPr="0089664C">
        <w:rPr>
          <w:rFonts w:eastAsia="Calibri"/>
        </w:rPr>
        <w:t xml:space="preserve">). The PBAC also recalled that </w:t>
      </w:r>
      <w:r w:rsidRPr="0089664C">
        <w:t xml:space="preserve">additional data from Study 111-206 for children aged 0 to &lt; 5 years of age indicating a potential positive effect of vosoritide outside of linear growth was provided in the September 2022 resubmission and the Study 111-206 Clinical Study Report (see paragraph </w:t>
      </w:r>
      <w:r w:rsidRPr="0089664C">
        <w:fldChar w:fldCharType="begin" w:fldLock="1"/>
      </w:r>
      <w:r w:rsidRPr="0089664C">
        <w:instrText xml:space="preserve"> REF _Ref118795215 \r \h </w:instrText>
      </w:r>
      <w:r w:rsidRPr="0089664C">
        <w:fldChar w:fldCharType="separate"/>
      </w:r>
      <w:r w:rsidRPr="0089664C">
        <w:t>10.3</w:t>
      </w:r>
      <w:r w:rsidRPr="0089664C">
        <w:fldChar w:fldCharType="end"/>
      </w:r>
      <w:r w:rsidRPr="0089664C">
        <w:t xml:space="preserve">). The PBAC noted that Study 111-301 and </w:t>
      </w:r>
      <w:r w:rsidRPr="0089664C">
        <w:lastRenderedPageBreak/>
        <w:t>Study 111-206 both have extension studies (111</w:t>
      </w:r>
      <w:r w:rsidRPr="0089664C">
        <w:noBreakHyphen/>
        <w:t>302</w:t>
      </w:r>
      <w:r w:rsidRPr="0089664C">
        <w:rPr>
          <w:rStyle w:val="FootnoteReference"/>
        </w:rPr>
        <w:footnoteReference w:id="6"/>
      </w:r>
      <w:r w:rsidRPr="0089664C">
        <w:t xml:space="preserve"> and 111-208</w:t>
      </w:r>
      <w:r w:rsidRPr="0089664C">
        <w:rPr>
          <w:rStyle w:val="FootnoteReference"/>
        </w:rPr>
        <w:footnoteReference w:id="7"/>
      </w:r>
      <w:r w:rsidRPr="0089664C">
        <w:t xml:space="preserve"> respectively) which will continue to collect AGV and height Z</w:t>
      </w:r>
      <w:r w:rsidRPr="0089664C">
        <w:noBreakHyphen/>
        <w:t>score data on participants. The PBAC noted that extension studies 111</w:t>
      </w:r>
      <w:r w:rsidRPr="0089664C">
        <w:noBreakHyphen/>
        <w:t>302 and 111</w:t>
      </w:r>
      <w:r w:rsidRPr="0089664C">
        <w:noBreakHyphen/>
        <w:t>208 are expected to be ongoing at the time of the aforementioned PBAC review (</w:t>
      </w:r>
      <w:r w:rsidRPr="0089664C">
        <w:rPr>
          <w:lang w:eastAsia="en-US"/>
        </w:rPr>
        <w:t xml:space="preserve">three years post the date of listing; see paragraph </w:t>
      </w:r>
      <w:r w:rsidRPr="0089664C">
        <w:rPr>
          <w:lang w:eastAsia="en-US"/>
        </w:rPr>
        <w:fldChar w:fldCharType="begin" w:fldLock="1"/>
      </w:r>
      <w:r w:rsidRPr="0089664C">
        <w:rPr>
          <w:lang w:eastAsia="en-US"/>
        </w:rPr>
        <w:instrText xml:space="preserve"> REF _Ref119064815 \r \h </w:instrText>
      </w:r>
      <w:r w:rsidRPr="0089664C">
        <w:rPr>
          <w:lang w:eastAsia="en-US"/>
        </w:rPr>
      </w:r>
      <w:r w:rsidRPr="0089664C">
        <w:rPr>
          <w:lang w:eastAsia="en-US"/>
        </w:rPr>
        <w:fldChar w:fldCharType="separate"/>
      </w:r>
      <w:r w:rsidRPr="0089664C">
        <w:rPr>
          <w:lang w:eastAsia="en-US"/>
        </w:rPr>
        <w:t>12.2</w:t>
      </w:r>
      <w:r w:rsidRPr="0089664C">
        <w:rPr>
          <w:lang w:eastAsia="en-US"/>
        </w:rPr>
        <w:fldChar w:fldCharType="end"/>
      </w:r>
      <w:r w:rsidRPr="0089664C">
        <w:rPr>
          <w:lang w:eastAsia="en-US"/>
        </w:rPr>
        <w:t xml:space="preserve">), however it is anticipated that additional analyses will be available to inform the PBAC’s consideration, based on longer follow-up periods of these and other ongoing clinical trials including </w:t>
      </w:r>
      <w:r w:rsidRPr="0089664C">
        <w:rPr>
          <w:rFonts w:eastAsia="Times New Roman"/>
        </w:rPr>
        <w:t>extension study 111-205</w:t>
      </w:r>
      <w:r w:rsidRPr="0089664C">
        <w:rPr>
          <w:rStyle w:val="FootnoteReference"/>
          <w:rFonts w:eastAsia="Times New Roman"/>
        </w:rPr>
        <w:footnoteReference w:id="8"/>
      </w:r>
      <w:r w:rsidRPr="0089664C">
        <w:rPr>
          <w:rFonts w:eastAsia="Times New Roman"/>
        </w:rPr>
        <w:t xml:space="preserve"> which was provided as supportive evidence in the July 2022 submission</w:t>
      </w:r>
      <w:r w:rsidRPr="0089664C">
        <w:rPr>
          <w:lang w:eastAsia="en-US"/>
        </w:rPr>
        <w:t xml:space="preserve">. </w:t>
      </w:r>
    </w:p>
    <w:p w14:paraId="3AC70396" w14:textId="36AECA74" w:rsidR="003030A1" w:rsidRPr="0089664C" w:rsidRDefault="003030A1" w:rsidP="003030A1">
      <w:pPr>
        <w:pStyle w:val="3-BodyText"/>
      </w:pPr>
      <w:r w:rsidRPr="0089664C">
        <w:rPr>
          <w:lang w:eastAsia="en-US"/>
        </w:rPr>
        <w:t xml:space="preserve">The PBAC recalled that based on the price proposed in the September 2022 resubmission, the ICER was </w:t>
      </w:r>
      <w:r w:rsidR="008F55BE" w:rsidRPr="008F55BE">
        <w:rPr>
          <w:lang w:eastAsia="en-US"/>
        </w:rPr>
        <w:t xml:space="preserve">$255,000 to &lt; $355,000 </w:t>
      </w:r>
      <w:r w:rsidRPr="0089664C">
        <w:rPr>
          <w:lang w:eastAsia="en-US"/>
        </w:rPr>
        <w:t xml:space="preserve">per QALY gained with a 3% discount rate, and that it had considered this revised ICER remained above what the Committee considered cost-effective (see paragraph </w:t>
      </w:r>
      <w:r w:rsidRPr="0089664C">
        <w:rPr>
          <w:lang w:eastAsia="en-US"/>
        </w:rPr>
        <w:fldChar w:fldCharType="begin" w:fldLock="1"/>
      </w:r>
      <w:r w:rsidRPr="0089664C">
        <w:rPr>
          <w:lang w:eastAsia="en-US"/>
        </w:rPr>
        <w:instrText xml:space="preserve"> REF _Ref118809051 \r \h </w:instrText>
      </w:r>
      <w:r w:rsidRPr="0089664C">
        <w:rPr>
          <w:lang w:eastAsia="en-US"/>
        </w:rPr>
      </w:r>
      <w:r w:rsidRPr="0089664C">
        <w:rPr>
          <w:lang w:eastAsia="en-US"/>
        </w:rPr>
        <w:fldChar w:fldCharType="separate"/>
      </w:r>
      <w:r w:rsidRPr="0089664C">
        <w:rPr>
          <w:lang w:eastAsia="en-US"/>
        </w:rPr>
        <w:t>10.4</w:t>
      </w:r>
      <w:r w:rsidRPr="0089664C">
        <w:rPr>
          <w:lang w:eastAsia="en-US"/>
        </w:rPr>
        <w:fldChar w:fldCharType="end"/>
      </w:r>
      <w:r w:rsidRPr="0089664C">
        <w:rPr>
          <w:lang w:eastAsia="en-US"/>
        </w:rPr>
        <w:t>).</w:t>
      </w:r>
      <w:r w:rsidRPr="0089664C">
        <w:t xml:space="preserve"> The PBAC recalled that </w:t>
      </w:r>
      <w:r w:rsidRPr="0089664C">
        <w:rPr>
          <w:lang w:eastAsia="en-US"/>
        </w:rPr>
        <w:t xml:space="preserve">it had considered an age agnostic listing appropriate (see paragraph </w:t>
      </w:r>
      <w:r w:rsidRPr="0089664C">
        <w:rPr>
          <w:lang w:eastAsia="en-US"/>
        </w:rPr>
        <w:fldChar w:fldCharType="begin" w:fldLock="1"/>
      </w:r>
      <w:r w:rsidRPr="0089664C">
        <w:rPr>
          <w:lang w:eastAsia="en-US"/>
        </w:rPr>
        <w:instrText xml:space="preserve"> REF _Ref118809758 \r \h </w:instrText>
      </w:r>
      <w:r w:rsidRPr="0089664C">
        <w:rPr>
          <w:lang w:eastAsia="en-US"/>
        </w:rPr>
      </w:r>
      <w:r w:rsidRPr="0089664C">
        <w:rPr>
          <w:lang w:eastAsia="en-US"/>
        </w:rPr>
        <w:fldChar w:fldCharType="separate"/>
      </w:r>
      <w:r w:rsidRPr="0089664C">
        <w:rPr>
          <w:lang w:eastAsia="en-US"/>
        </w:rPr>
        <w:t>7.8</w:t>
      </w:r>
      <w:r w:rsidRPr="0089664C">
        <w:rPr>
          <w:lang w:eastAsia="en-US"/>
        </w:rPr>
        <w:fldChar w:fldCharType="end"/>
      </w:r>
      <w:r w:rsidRPr="0089664C">
        <w:rPr>
          <w:lang w:eastAsia="en-US"/>
        </w:rPr>
        <w:t xml:space="preserve">) and noted that if the starting age was reduced to zero in the model then the ICER reduced to </w:t>
      </w:r>
      <w:r w:rsidR="008F55BE" w:rsidRPr="008F55BE">
        <w:rPr>
          <w:lang w:eastAsia="en-US"/>
        </w:rPr>
        <w:t>$155,000 to &lt; $255,000</w:t>
      </w:r>
      <w:r w:rsidRPr="0089664C">
        <w:rPr>
          <w:lang w:eastAsia="en-US"/>
        </w:rPr>
        <w:t xml:space="preserve">per QALY gained with a 3% discount rate (see </w:t>
      </w:r>
      <w:r w:rsidRPr="0089664C">
        <w:rPr>
          <w:lang w:eastAsia="en-US"/>
        </w:rPr>
        <w:fldChar w:fldCharType="begin" w:fldLock="1"/>
      </w:r>
      <w:r w:rsidRPr="0089664C">
        <w:rPr>
          <w:lang w:eastAsia="en-US"/>
        </w:rPr>
        <w:instrText xml:space="preserve"> REF _Ref114571232 \h  \* MERGEFORMAT </w:instrText>
      </w:r>
      <w:r w:rsidRPr="0089664C">
        <w:rPr>
          <w:lang w:eastAsia="en-US"/>
        </w:rPr>
      </w:r>
      <w:r w:rsidRPr="0089664C">
        <w:rPr>
          <w:lang w:eastAsia="en-US"/>
        </w:rPr>
        <w:fldChar w:fldCharType="separate"/>
      </w:r>
      <w:r w:rsidRPr="0089664C">
        <w:rPr>
          <w:lang w:eastAsia="en-US"/>
        </w:rPr>
        <w:t>Table 22</w:t>
      </w:r>
      <w:r w:rsidRPr="0089664C">
        <w:rPr>
          <w:lang w:eastAsia="en-US"/>
        </w:rPr>
        <w:fldChar w:fldCharType="end"/>
      </w:r>
      <w:r w:rsidRPr="0089664C">
        <w:rPr>
          <w:lang w:eastAsia="en-US"/>
        </w:rPr>
        <w:t xml:space="preserve">). In addition, </w:t>
      </w:r>
      <w:r w:rsidRPr="0089664C">
        <w:t xml:space="preserve">the PBAC previously considered that </w:t>
      </w:r>
      <w:r w:rsidRPr="0089664C">
        <w:rPr>
          <w:lang w:eastAsia="en-US"/>
        </w:rPr>
        <w:t xml:space="preserve">the remaining uncertainty associated with the translation and extrapolation of the height benefits observed with vosoritide could be addressed with a price reduction (see paragraph </w:t>
      </w:r>
      <w:r w:rsidRPr="0089664C">
        <w:rPr>
          <w:lang w:eastAsia="en-US"/>
        </w:rPr>
        <w:fldChar w:fldCharType="begin" w:fldLock="1"/>
      </w:r>
      <w:r w:rsidRPr="0089664C">
        <w:rPr>
          <w:lang w:eastAsia="en-US"/>
        </w:rPr>
        <w:instrText xml:space="preserve"> REF _Ref109299030 \r \h </w:instrText>
      </w:r>
      <w:r w:rsidRPr="0089664C">
        <w:rPr>
          <w:lang w:eastAsia="en-US"/>
        </w:rPr>
      </w:r>
      <w:r w:rsidRPr="0089664C">
        <w:rPr>
          <w:lang w:eastAsia="en-US"/>
        </w:rPr>
        <w:fldChar w:fldCharType="separate"/>
      </w:r>
      <w:r w:rsidRPr="0089664C">
        <w:rPr>
          <w:lang w:eastAsia="en-US"/>
        </w:rPr>
        <w:t>7.7</w:t>
      </w:r>
      <w:r w:rsidRPr="0089664C">
        <w:rPr>
          <w:lang w:eastAsia="en-US"/>
        </w:rPr>
        <w:fldChar w:fldCharType="end"/>
      </w:r>
      <w:r w:rsidRPr="0089664C">
        <w:rPr>
          <w:lang w:eastAsia="en-US"/>
        </w:rPr>
        <w:t xml:space="preserve">). Regarding the modelled efficacy outcomes, </w:t>
      </w:r>
      <w:r w:rsidRPr="0089664C">
        <w:rPr>
          <w:rFonts w:eastAsia="Times New Roman"/>
        </w:rPr>
        <w:t xml:space="preserve">the PBAC recalled that the economic model assumed a treatment effect reflecting </w:t>
      </w:r>
      <w:r w:rsidRPr="0089664C">
        <w:t>72% restoration of height</w:t>
      </w:r>
      <w:r w:rsidRPr="0089664C">
        <w:rPr>
          <w:rFonts w:eastAsia="Times New Roman"/>
        </w:rPr>
        <w:t xml:space="preserve"> for the treated achondroplasia population compared with the </w:t>
      </w:r>
      <w:r w:rsidRPr="0089664C">
        <w:t>general population</w:t>
      </w:r>
      <w:r w:rsidRPr="0089664C">
        <w:rPr>
          <w:rFonts w:eastAsia="Times New Roman"/>
        </w:rPr>
        <w:t xml:space="preserve">, and this 72% was applied to vosoritide treated patients in each year of the model until growth plate closure.  The PBAC considered it was uncertain if this effect would be sustained over </w:t>
      </w:r>
      <w:r w:rsidRPr="0089664C">
        <w:rPr>
          <w:rFonts w:eastAsia="Times New Roman"/>
        </w:rPr>
        <w:lastRenderedPageBreak/>
        <w:t xml:space="preserve">time, particularly beyond the first 5 years of treatment (see paragraph </w:t>
      </w:r>
      <w:r w:rsidRPr="0089664C">
        <w:rPr>
          <w:rFonts w:eastAsia="Times New Roman"/>
        </w:rPr>
        <w:fldChar w:fldCharType="begin" w:fldLock="1"/>
      </w:r>
      <w:r w:rsidRPr="0089664C">
        <w:rPr>
          <w:rFonts w:eastAsia="Times New Roman"/>
        </w:rPr>
        <w:instrText xml:space="preserve"> REF _Ref119073071 \r \h </w:instrText>
      </w:r>
      <w:r w:rsidRPr="0089664C">
        <w:rPr>
          <w:rFonts w:eastAsia="Times New Roman"/>
        </w:rPr>
      </w:r>
      <w:r w:rsidRPr="0089664C">
        <w:rPr>
          <w:rFonts w:eastAsia="Times New Roman"/>
        </w:rPr>
        <w:fldChar w:fldCharType="separate"/>
      </w:r>
      <w:r w:rsidRPr="0089664C">
        <w:rPr>
          <w:rFonts w:eastAsia="Times New Roman"/>
        </w:rPr>
        <w:t>6.37</w:t>
      </w:r>
      <w:r w:rsidRPr="0089664C">
        <w:rPr>
          <w:rFonts w:eastAsia="Times New Roman"/>
        </w:rPr>
        <w:fldChar w:fldCharType="end"/>
      </w:r>
      <w:r w:rsidRPr="0089664C">
        <w:rPr>
          <w:rFonts w:eastAsia="Times New Roman"/>
        </w:rPr>
        <w:t xml:space="preserve">). </w:t>
      </w:r>
      <w:r w:rsidRPr="0089664C">
        <w:rPr>
          <w:lang w:eastAsia="en-US"/>
        </w:rPr>
        <w:t xml:space="preserve">The PBAC reaffirmed its view that vosoritide </w:t>
      </w:r>
      <w:r w:rsidRPr="0089664C">
        <w:t>offered high added therapeutic value</w:t>
      </w:r>
      <w:r w:rsidRPr="0089664C">
        <w:rPr>
          <w:lang w:eastAsia="en-US"/>
        </w:rPr>
        <w:t xml:space="preserve"> for this rare condition and considered that the remaining uncertainties may be addressed by a review of AGV and height Z-score data available in extension studies 111-302 and 111-208 at three years post the date of listing to ensure that the age-based magnitude of change anticipated from Study 111-301 and Study 111-206 continued to be realised.  </w:t>
      </w:r>
      <w:bookmarkStart w:id="92" w:name="_Hlk119941935"/>
      <w:r w:rsidRPr="0089664C">
        <w:rPr>
          <w:lang w:eastAsia="en-US"/>
        </w:rPr>
        <w:t>The PBAC advised that the requirement for a review at three years post the date of listing should be documented in a Deed of Agreement with the sponsor, including an expectation that the sponsor will provide a submission to the PBAC to inform a review of the cost</w:t>
      </w:r>
      <w:r w:rsidRPr="0089664C">
        <w:rPr>
          <w:lang w:eastAsia="en-US"/>
        </w:rPr>
        <w:noBreakHyphen/>
        <w:t>effectiveness of vosoritide.</w:t>
      </w:r>
      <w:bookmarkEnd w:id="92"/>
    </w:p>
    <w:p w14:paraId="7FE1614A" w14:textId="77777777" w:rsidR="003030A1" w:rsidRPr="0089664C" w:rsidRDefault="003030A1" w:rsidP="003030A1">
      <w:pPr>
        <w:pStyle w:val="3-BodyText"/>
      </w:pPr>
      <w:r w:rsidRPr="0089664C">
        <w:t xml:space="preserve">In September 2022, the resubmission presented the budget impact model updated with the revised price proposed in the early resolution resubmission (see </w:t>
      </w:r>
      <w:r w:rsidRPr="0089664C">
        <w:fldChar w:fldCharType="begin" w:fldLock="1"/>
      </w:r>
      <w:r w:rsidRPr="0089664C">
        <w:instrText xml:space="preserve"> REF _Ref114490737 \h  \* MERGEFORMAT </w:instrText>
      </w:r>
      <w:r w:rsidRPr="0089664C">
        <w:fldChar w:fldCharType="separate"/>
      </w:r>
      <w:r w:rsidRPr="0089664C">
        <w:t>Table 23</w:t>
      </w:r>
      <w:r w:rsidRPr="0089664C">
        <w:fldChar w:fldCharType="end"/>
      </w:r>
      <w:r w:rsidRPr="0089664C">
        <w:t xml:space="preserve">). The PBAC considered the financial estimates presented in the September 2022 resubmission were reasonable with the risk of use outside of the proposed population low. </w:t>
      </w:r>
    </w:p>
    <w:p w14:paraId="045E3EE2" w14:textId="77777777" w:rsidR="003030A1" w:rsidRPr="0089664C" w:rsidRDefault="003030A1" w:rsidP="003030A1">
      <w:pPr>
        <w:pStyle w:val="3-BodyText"/>
      </w:pPr>
      <w:bookmarkStart w:id="93" w:name="_Ref119430716"/>
      <w:r w:rsidRPr="0089664C">
        <w:t xml:space="preserve">The PBAC noted the three strengths of vosoritide vials are single use only with the proposed maximum quantity and repeats providing 6 months of treatment. In addition, the PBAC noted the sponsor proposed the same price across the three strengths of vosoritide. However, the PBAC considered there was potential for dose escalation beyond that expected in the submission and therefore an RSA would be appropriate to manage the </w:t>
      </w:r>
      <w:r w:rsidRPr="0089664C">
        <w:rPr>
          <w:lang w:eastAsia="en-US"/>
        </w:rPr>
        <w:t>risk relating to potential prescribing of a higher than recommended dose resulting in the use of a higher number of vials per dose, with subsidisation caps based on the financial estimates presented in the September 2022 resubmission.</w:t>
      </w:r>
      <w:bookmarkEnd w:id="93"/>
      <w:r w:rsidRPr="0089664C">
        <w:rPr>
          <w:lang w:eastAsia="en-US"/>
        </w:rPr>
        <w:t xml:space="preserve"> </w:t>
      </w:r>
    </w:p>
    <w:p w14:paraId="2E9F2644" w14:textId="77777777" w:rsidR="003030A1" w:rsidRPr="0089664C" w:rsidRDefault="003030A1" w:rsidP="003030A1">
      <w:pPr>
        <w:pStyle w:val="3-BodyText"/>
      </w:pPr>
      <w:r w:rsidRPr="0089664C">
        <w:t xml:space="preserve">The PBAC recalled that in September 2022, the resubmission had presented a revised restriction that addressed the listing related issues raised at the July 2022 meeting (see </w:t>
      </w:r>
      <w:r w:rsidRPr="0089664C">
        <w:fldChar w:fldCharType="begin" w:fldLock="1"/>
      </w:r>
      <w:r w:rsidRPr="0089664C">
        <w:instrText xml:space="preserve"> REF _Ref118728963 \h </w:instrText>
      </w:r>
      <w:r w:rsidRPr="0089664C">
        <w:fldChar w:fldCharType="separate"/>
      </w:r>
      <w:r w:rsidRPr="0089664C">
        <w:t>Recommended listing</w:t>
      </w:r>
      <w:r w:rsidRPr="0089664C">
        <w:fldChar w:fldCharType="end"/>
      </w:r>
      <w:r w:rsidRPr="0089664C">
        <w:t xml:space="preserve">). The PBAC reaffirmed that it considered a grandfathering restriction was appropriate (see paragraph </w:t>
      </w:r>
      <w:r w:rsidRPr="0089664C">
        <w:fldChar w:fldCharType="begin" w:fldLock="1"/>
      </w:r>
      <w:r w:rsidRPr="0089664C">
        <w:instrText xml:space="preserve"> REF _Ref118816415 \r \h </w:instrText>
      </w:r>
      <w:r w:rsidRPr="0089664C">
        <w:fldChar w:fldCharType="separate"/>
      </w:r>
      <w:r w:rsidRPr="0089664C">
        <w:t>3.9</w:t>
      </w:r>
      <w:r w:rsidRPr="0089664C">
        <w:fldChar w:fldCharType="end"/>
      </w:r>
      <w:r w:rsidRPr="0089664C">
        <w:t xml:space="preserve">). </w:t>
      </w:r>
    </w:p>
    <w:p w14:paraId="2A8BC117" w14:textId="77777777" w:rsidR="003030A1" w:rsidRPr="0089664C" w:rsidRDefault="003030A1" w:rsidP="003030A1">
      <w:pPr>
        <w:pStyle w:val="3-BodyText"/>
      </w:pPr>
      <w:r w:rsidRPr="0089664C">
        <w:rPr>
          <w:rFonts w:eastAsia="Times New Roman"/>
          <w:bCs/>
          <w:lang w:eastAsia="en-US"/>
        </w:rPr>
        <w:t xml:space="preserve">The PBAC did not recommended that vosoritide should be treated as interchangeable on an individual patient basis with any other drugs. </w:t>
      </w:r>
    </w:p>
    <w:p w14:paraId="4E7B66A5" w14:textId="77777777" w:rsidR="003030A1" w:rsidRPr="0089664C" w:rsidRDefault="003030A1" w:rsidP="003030A1">
      <w:pPr>
        <w:widowControl w:val="0"/>
        <w:numPr>
          <w:ilvl w:val="1"/>
          <w:numId w:val="1"/>
        </w:numPr>
        <w:spacing w:after="120"/>
        <w:jc w:val="left"/>
        <w:rPr>
          <w:rFonts w:asciiTheme="minorHAnsi" w:eastAsia="Times New Roman" w:hAnsiTheme="minorHAnsi"/>
          <w:bCs/>
          <w:snapToGrid w:val="0"/>
          <w:lang w:eastAsia="en-US"/>
        </w:rPr>
      </w:pPr>
      <w:r w:rsidRPr="0089664C">
        <w:rPr>
          <w:rFonts w:asciiTheme="minorHAnsi" w:eastAsia="Times New Roman" w:hAnsiTheme="minorHAnsi"/>
          <w:bCs/>
          <w:snapToGrid w:val="0"/>
          <w:lang w:eastAsia="en-US"/>
        </w:rPr>
        <w:t xml:space="preserve">The PBAC advised that vosoritide is not suitable for prescribing by nurse practitioners at this time, as it is a new drug in a paediatric population and requires close monitoring of patients on treatment.  </w:t>
      </w:r>
    </w:p>
    <w:p w14:paraId="6F1DB93B" w14:textId="77777777" w:rsidR="003030A1" w:rsidRPr="0089664C" w:rsidRDefault="003030A1" w:rsidP="003030A1">
      <w:pPr>
        <w:widowControl w:val="0"/>
        <w:numPr>
          <w:ilvl w:val="1"/>
          <w:numId w:val="1"/>
        </w:numPr>
        <w:spacing w:after="120"/>
        <w:jc w:val="left"/>
        <w:rPr>
          <w:rFonts w:asciiTheme="minorHAnsi" w:eastAsia="Times New Roman" w:hAnsiTheme="minorHAnsi"/>
          <w:bCs/>
          <w:snapToGrid w:val="0"/>
          <w:lang w:eastAsia="en-US"/>
        </w:rPr>
      </w:pPr>
      <w:r w:rsidRPr="0089664C">
        <w:rPr>
          <w:rFonts w:asciiTheme="minorHAnsi" w:eastAsia="Times New Roman" w:hAnsiTheme="minorHAnsi"/>
          <w:bCs/>
          <w:snapToGrid w:val="0"/>
          <w:lang w:eastAsia="en-US"/>
        </w:rPr>
        <w:t xml:space="preserve">The PBAC recommended that the Early Supply Rule should apply. </w:t>
      </w:r>
    </w:p>
    <w:p w14:paraId="6257FED9" w14:textId="77777777" w:rsidR="003030A1" w:rsidRPr="0089664C" w:rsidRDefault="003030A1" w:rsidP="003030A1">
      <w:pPr>
        <w:widowControl w:val="0"/>
        <w:numPr>
          <w:ilvl w:val="1"/>
          <w:numId w:val="1"/>
        </w:numPr>
        <w:spacing w:after="120"/>
        <w:rPr>
          <w:rFonts w:asciiTheme="minorHAnsi" w:eastAsia="Times New Roman" w:hAnsiTheme="minorHAnsi"/>
          <w:bCs/>
          <w:snapToGrid w:val="0"/>
          <w:lang w:eastAsia="en-US"/>
        </w:rPr>
      </w:pPr>
      <w:r w:rsidRPr="0089664C">
        <w:rPr>
          <w:rFonts w:asciiTheme="minorHAnsi" w:eastAsia="Times New Roman" w:hAnsiTheme="minorHAnsi" w:cstheme="minorHAnsi"/>
          <w:lang w:eastAsia="en-US"/>
        </w:rPr>
        <w:t xml:space="preserve">The PBAC found that the criteria prescribed by the </w:t>
      </w:r>
      <w:r w:rsidRPr="0089664C">
        <w:rPr>
          <w:rFonts w:asciiTheme="minorHAnsi" w:eastAsia="Times New Roman" w:hAnsiTheme="minorHAnsi" w:cstheme="minorHAnsi"/>
          <w:i/>
          <w:lang w:eastAsia="en-US"/>
        </w:rPr>
        <w:t>National Health (Pharmaceuticals and Vaccines – Cost Recovery) Regulations 2022</w:t>
      </w:r>
      <w:r w:rsidRPr="0089664C">
        <w:rPr>
          <w:rFonts w:asciiTheme="minorHAnsi" w:eastAsia="Times New Roman" w:hAnsiTheme="minorHAnsi" w:cstheme="minorHAnsi"/>
          <w:lang w:eastAsia="en-US"/>
        </w:rPr>
        <w:t xml:space="preserve"> for Pricing Pathway A were met. Specifically the PBAC found that in the circumstances of its recommendation for vosoritide:</w:t>
      </w:r>
    </w:p>
    <w:p w14:paraId="64D8B2C1" w14:textId="77777777" w:rsidR="003030A1" w:rsidRPr="0089664C" w:rsidRDefault="003030A1" w:rsidP="003030A1">
      <w:pPr>
        <w:widowControl w:val="0"/>
        <w:numPr>
          <w:ilvl w:val="2"/>
          <w:numId w:val="34"/>
        </w:numPr>
        <w:spacing w:after="120"/>
        <w:rPr>
          <w:rFonts w:asciiTheme="minorHAnsi" w:eastAsia="Times New Roman" w:hAnsiTheme="minorHAnsi" w:cstheme="minorHAnsi"/>
          <w:lang w:eastAsia="en-US"/>
        </w:rPr>
      </w:pPr>
      <w:r w:rsidRPr="0089664C">
        <w:rPr>
          <w:rFonts w:asciiTheme="minorHAnsi" w:eastAsia="Times New Roman" w:hAnsiTheme="minorHAnsi" w:cstheme="minorHAnsi"/>
          <w:lang w:eastAsia="en-US"/>
        </w:rPr>
        <w:lastRenderedPageBreak/>
        <w:t xml:space="preserve">The treatment is expected to provide a substantial and clinically relevant improvement in efficacy over placebo, on the basis of the AGV and height Z-score gains observed in Study 111-301; </w:t>
      </w:r>
    </w:p>
    <w:p w14:paraId="684E93D7" w14:textId="77777777" w:rsidR="003030A1" w:rsidRPr="0089664C" w:rsidRDefault="003030A1" w:rsidP="003030A1">
      <w:pPr>
        <w:widowControl w:val="0"/>
        <w:numPr>
          <w:ilvl w:val="2"/>
          <w:numId w:val="34"/>
        </w:numPr>
        <w:spacing w:after="120"/>
        <w:rPr>
          <w:rFonts w:asciiTheme="minorHAnsi" w:eastAsia="Times New Roman" w:hAnsiTheme="minorHAnsi" w:cstheme="minorHAnsi"/>
          <w:lang w:eastAsia="en-US"/>
        </w:rPr>
      </w:pPr>
      <w:r w:rsidRPr="0089664C">
        <w:rPr>
          <w:rFonts w:asciiTheme="minorHAnsi" w:eastAsia="Times New Roman" w:hAnsiTheme="minorHAnsi" w:cstheme="minorHAnsi"/>
          <w:lang w:eastAsia="en-US"/>
        </w:rPr>
        <w:t>The treatment is expected to address a high and urgent unmet clinical need in the proposed population;</w:t>
      </w:r>
    </w:p>
    <w:p w14:paraId="298A975E" w14:textId="77777777" w:rsidR="003030A1" w:rsidRPr="0089664C" w:rsidRDefault="003030A1" w:rsidP="003030A1">
      <w:pPr>
        <w:widowControl w:val="0"/>
        <w:numPr>
          <w:ilvl w:val="2"/>
          <w:numId w:val="34"/>
        </w:numPr>
        <w:spacing w:after="120"/>
        <w:rPr>
          <w:rFonts w:asciiTheme="minorHAnsi" w:eastAsia="Times New Roman" w:hAnsiTheme="minorHAnsi" w:cstheme="minorHAnsi"/>
          <w:u w:val="single"/>
          <w:lang w:eastAsia="en-US"/>
        </w:rPr>
      </w:pPr>
      <w:r w:rsidRPr="0089664C">
        <w:rPr>
          <w:rFonts w:asciiTheme="minorHAnsi" w:eastAsia="Times New Roman" w:hAnsiTheme="minorHAnsi" w:cstheme="minorHAnsi"/>
          <w:lang w:eastAsia="en-US"/>
        </w:rPr>
        <w:t>It would be in the public interest for the subsequent pricing application to be progressed under Pricing Pathway A on the basis of the preceding findings.</w:t>
      </w:r>
    </w:p>
    <w:p w14:paraId="44DDB914" w14:textId="77777777" w:rsidR="003030A1" w:rsidRPr="0089664C" w:rsidRDefault="003030A1" w:rsidP="003030A1">
      <w:pPr>
        <w:widowControl w:val="0"/>
        <w:numPr>
          <w:ilvl w:val="1"/>
          <w:numId w:val="1"/>
        </w:numPr>
        <w:spacing w:after="120"/>
        <w:rPr>
          <w:rFonts w:asciiTheme="minorHAnsi" w:eastAsia="Times New Roman" w:hAnsiTheme="minorHAnsi"/>
          <w:bCs/>
          <w:i/>
          <w:snapToGrid w:val="0"/>
          <w:lang w:eastAsia="en-US"/>
        </w:rPr>
      </w:pPr>
      <w:r w:rsidRPr="0089664C">
        <w:rPr>
          <w:rFonts w:asciiTheme="minorHAnsi" w:eastAsia="Times New Roman" w:hAnsiTheme="minorHAnsi"/>
          <w:bCs/>
          <w:snapToGrid w:val="0"/>
          <w:lang w:eastAsia="en-US"/>
        </w:rPr>
        <w:t xml:space="preserve">The PBAC noted that this submission is not eligible for an Independent Review </w:t>
      </w:r>
      <w:r w:rsidRPr="0089664C">
        <w:rPr>
          <w:snapToGrid w:val="0"/>
        </w:rPr>
        <w:t>as it received a positive recommendation</w:t>
      </w:r>
      <w:r w:rsidRPr="0089664C">
        <w:rPr>
          <w:rFonts w:asciiTheme="minorHAnsi" w:eastAsia="Times New Roman" w:hAnsiTheme="minorHAnsi"/>
          <w:bCs/>
          <w:snapToGrid w:val="0"/>
          <w:lang w:eastAsia="en-US"/>
        </w:rPr>
        <w:t xml:space="preserve">. </w:t>
      </w:r>
    </w:p>
    <w:p w14:paraId="09121C7F" w14:textId="77777777" w:rsidR="003030A1" w:rsidRPr="0089664C" w:rsidRDefault="003030A1" w:rsidP="003030A1">
      <w:pPr>
        <w:widowControl w:val="0"/>
        <w:tabs>
          <w:tab w:val="left" w:pos="360"/>
        </w:tabs>
        <w:autoSpaceDE w:val="0"/>
        <w:autoSpaceDN w:val="0"/>
        <w:adjustRightInd w:val="0"/>
        <w:rPr>
          <w:rFonts w:asciiTheme="minorHAnsi" w:eastAsia="Times New Roman" w:hAnsiTheme="minorHAnsi" w:cstheme="minorHAnsi"/>
          <w:b/>
          <w:bCs/>
          <w:snapToGrid w:val="0"/>
          <w:szCs w:val="22"/>
          <w:lang w:eastAsia="en-US"/>
        </w:rPr>
      </w:pPr>
      <w:r w:rsidRPr="0089664C">
        <w:rPr>
          <w:rFonts w:asciiTheme="minorHAnsi" w:eastAsia="Times New Roman" w:hAnsiTheme="minorHAnsi" w:cstheme="minorHAnsi"/>
          <w:b/>
          <w:bCs/>
          <w:snapToGrid w:val="0"/>
          <w:szCs w:val="22"/>
          <w:lang w:eastAsia="en-US"/>
        </w:rPr>
        <w:t>Outcome:</w:t>
      </w:r>
    </w:p>
    <w:p w14:paraId="16DBDAA7" w14:textId="77777777" w:rsidR="003030A1" w:rsidRPr="0089664C" w:rsidRDefault="003030A1" w:rsidP="003030A1">
      <w:pPr>
        <w:widowControl w:val="0"/>
        <w:rPr>
          <w:rFonts w:eastAsia="Times New Roman"/>
          <w:snapToGrid w:val="0"/>
          <w:szCs w:val="22"/>
          <w:lang w:eastAsia="en-US"/>
        </w:rPr>
      </w:pPr>
      <w:r w:rsidRPr="0089664C">
        <w:rPr>
          <w:rFonts w:eastAsia="Times New Roman"/>
          <w:snapToGrid w:val="0"/>
          <w:szCs w:val="22"/>
          <w:lang w:eastAsia="en-US"/>
        </w:rPr>
        <w:t>Recommended</w:t>
      </w:r>
    </w:p>
    <w:p w14:paraId="0B5FFA15" w14:textId="77777777" w:rsidR="003030A1" w:rsidRPr="0089664C" w:rsidRDefault="003030A1" w:rsidP="003030A1">
      <w:pPr>
        <w:widowControl w:val="0"/>
        <w:rPr>
          <w:rFonts w:eastAsia="Times New Roman"/>
          <w:snapToGrid w:val="0"/>
          <w:szCs w:val="22"/>
          <w:lang w:eastAsia="en-US"/>
        </w:rPr>
      </w:pPr>
    </w:p>
    <w:p w14:paraId="454DC5BF" w14:textId="77777777" w:rsidR="003030A1" w:rsidRPr="0089664C" w:rsidRDefault="003030A1" w:rsidP="003030A1">
      <w:pPr>
        <w:pStyle w:val="2-SectionHeading"/>
      </w:pPr>
      <w:bookmarkStart w:id="94" w:name="_Ref118728963"/>
      <w:r w:rsidRPr="0089664C">
        <w:t>Recommended listing</w:t>
      </w:r>
      <w:bookmarkEnd w:id="94"/>
    </w:p>
    <w:p w14:paraId="53A814CA" w14:textId="77777777" w:rsidR="003030A1" w:rsidRPr="0089664C" w:rsidRDefault="003030A1" w:rsidP="003030A1">
      <w:pPr>
        <w:pStyle w:val="3-BodyText"/>
      </w:pPr>
      <w:r w:rsidRPr="0089664C">
        <w:t>Add new item: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1"/>
        <w:gridCol w:w="2842"/>
        <w:gridCol w:w="992"/>
        <w:gridCol w:w="850"/>
        <w:gridCol w:w="851"/>
        <w:gridCol w:w="992"/>
        <w:gridCol w:w="1559"/>
      </w:tblGrid>
      <w:tr w:rsidR="003030A1" w:rsidRPr="0089664C" w14:paraId="0974E257" w14:textId="77777777" w:rsidTr="0045628D">
        <w:trPr>
          <w:cantSplit/>
          <w:trHeight w:val="471"/>
        </w:trPr>
        <w:tc>
          <w:tcPr>
            <w:tcW w:w="3823" w:type="dxa"/>
            <w:gridSpan w:val="3"/>
          </w:tcPr>
          <w:p w14:paraId="72327281" w14:textId="77777777" w:rsidR="003030A1" w:rsidRPr="0089664C" w:rsidRDefault="003030A1" w:rsidP="0045628D">
            <w:pPr>
              <w:keepNext/>
              <w:ind w:left="-108"/>
              <w:jc w:val="left"/>
              <w:rPr>
                <w:rFonts w:ascii="Arial Narrow" w:hAnsi="Arial Narrow"/>
                <w:b/>
                <w:sz w:val="20"/>
                <w:szCs w:val="20"/>
              </w:rPr>
            </w:pPr>
            <w:r w:rsidRPr="0089664C">
              <w:rPr>
                <w:rFonts w:ascii="Arial Narrow" w:hAnsi="Arial Narrow"/>
                <w:b/>
                <w:sz w:val="20"/>
                <w:szCs w:val="20"/>
              </w:rPr>
              <w:t>MEDICINAL PRODUCT</w:t>
            </w:r>
          </w:p>
          <w:p w14:paraId="145FB900" w14:textId="77777777" w:rsidR="003030A1" w:rsidRPr="0089664C" w:rsidRDefault="003030A1" w:rsidP="0045628D">
            <w:pPr>
              <w:keepNext/>
              <w:ind w:left="-108"/>
              <w:jc w:val="left"/>
              <w:rPr>
                <w:b/>
              </w:rPr>
            </w:pPr>
            <w:r w:rsidRPr="0089664C">
              <w:rPr>
                <w:rFonts w:ascii="Arial Narrow" w:hAnsi="Arial Narrow"/>
                <w:b/>
                <w:sz w:val="20"/>
                <w:szCs w:val="20"/>
              </w:rPr>
              <w:t>medicinal product pack</w:t>
            </w:r>
          </w:p>
        </w:tc>
        <w:tc>
          <w:tcPr>
            <w:tcW w:w="992" w:type="dxa"/>
          </w:tcPr>
          <w:p w14:paraId="3748EB79" w14:textId="77777777" w:rsidR="003030A1" w:rsidRPr="0089664C" w:rsidRDefault="003030A1" w:rsidP="0045628D">
            <w:pPr>
              <w:keepNext/>
              <w:ind w:left="-108"/>
              <w:jc w:val="center"/>
              <w:rPr>
                <w:rFonts w:ascii="Arial Narrow" w:hAnsi="Arial Narrow"/>
                <w:b/>
                <w:sz w:val="20"/>
                <w:szCs w:val="20"/>
              </w:rPr>
            </w:pPr>
            <w:r w:rsidRPr="0089664C">
              <w:rPr>
                <w:rFonts w:ascii="Arial Narrow" w:hAnsi="Arial Narrow"/>
                <w:b/>
                <w:sz w:val="20"/>
                <w:szCs w:val="20"/>
              </w:rPr>
              <w:t>PBS item code</w:t>
            </w:r>
          </w:p>
        </w:tc>
        <w:tc>
          <w:tcPr>
            <w:tcW w:w="850" w:type="dxa"/>
          </w:tcPr>
          <w:p w14:paraId="037E5CD3" w14:textId="77777777" w:rsidR="003030A1" w:rsidRPr="0089664C" w:rsidRDefault="003030A1" w:rsidP="0045628D">
            <w:pPr>
              <w:keepNext/>
              <w:ind w:left="-108"/>
              <w:jc w:val="center"/>
              <w:rPr>
                <w:rFonts w:ascii="Arial Narrow" w:hAnsi="Arial Narrow"/>
                <w:b/>
                <w:sz w:val="20"/>
                <w:szCs w:val="20"/>
              </w:rPr>
            </w:pPr>
            <w:r w:rsidRPr="0089664C">
              <w:rPr>
                <w:rFonts w:ascii="Arial Narrow" w:hAnsi="Arial Narrow"/>
                <w:b/>
                <w:sz w:val="20"/>
                <w:szCs w:val="20"/>
              </w:rPr>
              <w:t>Max. qty packs</w:t>
            </w:r>
          </w:p>
        </w:tc>
        <w:tc>
          <w:tcPr>
            <w:tcW w:w="851" w:type="dxa"/>
          </w:tcPr>
          <w:p w14:paraId="21BBB24B" w14:textId="77777777" w:rsidR="003030A1" w:rsidRPr="0089664C" w:rsidRDefault="003030A1" w:rsidP="0045628D">
            <w:pPr>
              <w:keepNext/>
              <w:ind w:left="-108"/>
              <w:jc w:val="center"/>
              <w:rPr>
                <w:rFonts w:ascii="Arial Narrow" w:hAnsi="Arial Narrow"/>
                <w:b/>
                <w:sz w:val="20"/>
                <w:szCs w:val="20"/>
              </w:rPr>
            </w:pPr>
            <w:r w:rsidRPr="0089664C">
              <w:rPr>
                <w:rFonts w:ascii="Arial Narrow" w:hAnsi="Arial Narrow"/>
                <w:b/>
                <w:sz w:val="20"/>
                <w:szCs w:val="20"/>
              </w:rPr>
              <w:t>Max. qty units</w:t>
            </w:r>
          </w:p>
        </w:tc>
        <w:tc>
          <w:tcPr>
            <w:tcW w:w="992" w:type="dxa"/>
          </w:tcPr>
          <w:p w14:paraId="38B39E18" w14:textId="77777777" w:rsidR="003030A1" w:rsidRPr="0089664C" w:rsidRDefault="003030A1" w:rsidP="0045628D">
            <w:pPr>
              <w:keepNext/>
              <w:ind w:left="-108"/>
              <w:jc w:val="center"/>
              <w:rPr>
                <w:rFonts w:ascii="Arial Narrow" w:hAnsi="Arial Narrow"/>
                <w:b/>
                <w:sz w:val="20"/>
                <w:szCs w:val="20"/>
              </w:rPr>
            </w:pPr>
            <w:r w:rsidRPr="0089664C">
              <w:rPr>
                <w:rFonts w:ascii="Arial Narrow" w:hAnsi="Arial Narrow"/>
                <w:b/>
                <w:sz w:val="20"/>
                <w:szCs w:val="20"/>
              </w:rPr>
              <w:t>№.of</w:t>
            </w:r>
          </w:p>
          <w:p w14:paraId="5DC4D70F" w14:textId="77777777" w:rsidR="003030A1" w:rsidRPr="0089664C" w:rsidRDefault="003030A1" w:rsidP="0045628D">
            <w:pPr>
              <w:keepNext/>
              <w:ind w:left="-108"/>
              <w:jc w:val="center"/>
              <w:rPr>
                <w:rFonts w:ascii="Arial Narrow" w:hAnsi="Arial Narrow"/>
                <w:b/>
                <w:sz w:val="20"/>
                <w:szCs w:val="20"/>
              </w:rPr>
            </w:pPr>
            <w:r w:rsidRPr="0089664C">
              <w:rPr>
                <w:rFonts w:ascii="Arial Narrow" w:hAnsi="Arial Narrow"/>
                <w:b/>
                <w:sz w:val="20"/>
                <w:szCs w:val="20"/>
              </w:rPr>
              <w:t>Rpts</w:t>
            </w:r>
          </w:p>
        </w:tc>
        <w:tc>
          <w:tcPr>
            <w:tcW w:w="1559" w:type="dxa"/>
          </w:tcPr>
          <w:p w14:paraId="637B3A35" w14:textId="77777777" w:rsidR="003030A1" w:rsidRPr="0089664C" w:rsidRDefault="003030A1" w:rsidP="0045628D">
            <w:pPr>
              <w:keepNext/>
              <w:rPr>
                <w:rFonts w:ascii="Arial Narrow" w:hAnsi="Arial Narrow"/>
                <w:b/>
                <w:sz w:val="20"/>
                <w:szCs w:val="20"/>
              </w:rPr>
            </w:pPr>
            <w:r w:rsidRPr="0089664C">
              <w:rPr>
                <w:rFonts w:ascii="Arial Narrow" w:hAnsi="Arial Narrow"/>
                <w:b/>
                <w:sz w:val="20"/>
                <w:szCs w:val="20"/>
              </w:rPr>
              <w:t>Available brands</w:t>
            </w:r>
          </w:p>
        </w:tc>
      </w:tr>
      <w:tr w:rsidR="003030A1" w:rsidRPr="0089664C" w14:paraId="1DF9D111" w14:textId="77777777" w:rsidTr="0045628D">
        <w:trPr>
          <w:cantSplit/>
          <w:trHeight w:val="224"/>
        </w:trPr>
        <w:tc>
          <w:tcPr>
            <w:tcW w:w="9067" w:type="dxa"/>
            <w:gridSpan w:val="8"/>
          </w:tcPr>
          <w:p w14:paraId="641BEA56" w14:textId="77777777" w:rsidR="003030A1" w:rsidRPr="0089664C" w:rsidRDefault="003030A1" w:rsidP="0045628D">
            <w:pPr>
              <w:keepNext/>
              <w:ind w:left="-57"/>
              <w:rPr>
                <w:rFonts w:ascii="Arial Narrow" w:hAnsi="Arial Narrow"/>
                <w:sz w:val="20"/>
                <w:szCs w:val="20"/>
              </w:rPr>
            </w:pPr>
            <w:r w:rsidRPr="0089664C">
              <w:rPr>
                <w:rFonts w:ascii="Arial Narrow" w:hAnsi="Arial Narrow"/>
                <w:sz w:val="20"/>
                <w:szCs w:val="20"/>
              </w:rPr>
              <w:t>VOSORITIDE</w:t>
            </w:r>
          </w:p>
        </w:tc>
      </w:tr>
      <w:tr w:rsidR="003030A1" w:rsidRPr="0089664C" w14:paraId="279672AD" w14:textId="77777777" w:rsidTr="0045628D">
        <w:trPr>
          <w:cantSplit/>
          <w:trHeight w:val="255"/>
        </w:trPr>
        <w:tc>
          <w:tcPr>
            <w:tcW w:w="3823" w:type="dxa"/>
            <w:gridSpan w:val="3"/>
          </w:tcPr>
          <w:p w14:paraId="13D63B44" w14:textId="77777777" w:rsidR="003030A1" w:rsidRPr="0089664C" w:rsidRDefault="003030A1" w:rsidP="0045628D">
            <w:pPr>
              <w:keepNext/>
              <w:ind w:left="-57"/>
              <w:rPr>
                <w:rFonts w:ascii="Arial Narrow" w:hAnsi="Arial Narrow"/>
                <w:sz w:val="20"/>
                <w:szCs w:val="20"/>
              </w:rPr>
            </w:pPr>
            <w:r w:rsidRPr="0089664C">
              <w:rPr>
                <w:rFonts w:ascii="Arial Narrow" w:hAnsi="Arial Narrow"/>
                <w:sz w:val="20"/>
                <w:szCs w:val="20"/>
              </w:rPr>
              <w:t>Vosoritide powder for injection 0.4 mg with diluent, 10 units</w:t>
            </w:r>
          </w:p>
        </w:tc>
        <w:tc>
          <w:tcPr>
            <w:tcW w:w="992" w:type="dxa"/>
          </w:tcPr>
          <w:p w14:paraId="1CAC5B20" w14:textId="77777777" w:rsidR="003030A1" w:rsidRPr="0089664C" w:rsidRDefault="003030A1" w:rsidP="0045628D">
            <w:pPr>
              <w:keepNext/>
              <w:jc w:val="center"/>
              <w:rPr>
                <w:rFonts w:ascii="Arial Narrow" w:hAnsi="Arial Narrow"/>
                <w:sz w:val="20"/>
                <w:szCs w:val="20"/>
              </w:rPr>
            </w:pPr>
            <w:r w:rsidRPr="0089664C">
              <w:rPr>
                <w:rFonts w:ascii="Arial Narrow" w:hAnsi="Arial Narrow"/>
                <w:sz w:val="20"/>
                <w:szCs w:val="20"/>
              </w:rPr>
              <w:t>NEW</w:t>
            </w:r>
          </w:p>
        </w:tc>
        <w:tc>
          <w:tcPr>
            <w:tcW w:w="850" w:type="dxa"/>
          </w:tcPr>
          <w:p w14:paraId="1B308FAD" w14:textId="77777777" w:rsidR="003030A1" w:rsidRPr="0089664C" w:rsidRDefault="003030A1" w:rsidP="0045628D">
            <w:pPr>
              <w:keepNext/>
              <w:jc w:val="center"/>
              <w:rPr>
                <w:rFonts w:ascii="Arial Narrow" w:hAnsi="Arial Narrow"/>
                <w:sz w:val="20"/>
                <w:szCs w:val="20"/>
              </w:rPr>
            </w:pPr>
            <w:r w:rsidRPr="0089664C">
              <w:rPr>
                <w:rFonts w:ascii="Arial Narrow" w:hAnsi="Arial Narrow"/>
                <w:sz w:val="20"/>
                <w:szCs w:val="20"/>
              </w:rPr>
              <w:t>3</w:t>
            </w:r>
          </w:p>
        </w:tc>
        <w:tc>
          <w:tcPr>
            <w:tcW w:w="851" w:type="dxa"/>
          </w:tcPr>
          <w:p w14:paraId="3104AA67" w14:textId="77777777" w:rsidR="003030A1" w:rsidRPr="0089664C" w:rsidRDefault="003030A1" w:rsidP="0045628D">
            <w:pPr>
              <w:keepNext/>
              <w:jc w:val="center"/>
              <w:rPr>
                <w:rFonts w:ascii="Arial Narrow" w:hAnsi="Arial Narrow"/>
                <w:sz w:val="20"/>
                <w:szCs w:val="20"/>
              </w:rPr>
            </w:pPr>
            <w:r w:rsidRPr="0089664C">
              <w:rPr>
                <w:rFonts w:ascii="Arial Narrow" w:hAnsi="Arial Narrow"/>
                <w:sz w:val="20"/>
                <w:szCs w:val="20"/>
              </w:rPr>
              <w:t>30</w:t>
            </w:r>
          </w:p>
        </w:tc>
        <w:tc>
          <w:tcPr>
            <w:tcW w:w="992" w:type="dxa"/>
          </w:tcPr>
          <w:p w14:paraId="1B0A00FF" w14:textId="77777777" w:rsidR="003030A1" w:rsidRPr="0089664C" w:rsidRDefault="003030A1" w:rsidP="0045628D">
            <w:pPr>
              <w:keepNext/>
              <w:jc w:val="center"/>
              <w:rPr>
                <w:rFonts w:ascii="Arial Narrow" w:hAnsi="Arial Narrow"/>
                <w:sz w:val="20"/>
                <w:szCs w:val="20"/>
              </w:rPr>
            </w:pPr>
            <w:r w:rsidRPr="0089664C">
              <w:rPr>
                <w:rFonts w:ascii="Arial Narrow" w:hAnsi="Arial Narrow"/>
                <w:sz w:val="20"/>
                <w:szCs w:val="20"/>
              </w:rPr>
              <w:t>5</w:t>
            </w:r>
          </w:p>
        </w:tc>
        <w:tc>
          <w:tcPr>
            <w:tcW w:w="1559" w:type="dxa"/>
          </w:tcPr>
          <w:p w14:paraId="69D4E65D" w14:textId="77777777" w:rsidR="003030A1" w:rsidRPr="0089664C" w:rsidRDefault="003030A1" w:rsidP="0045628D">
            <w:pPr>
              <w:keepNext/>
              <w:jc w:val="center"/>
              <w:rPr>
                <w:rFonts w:ascii="Arial Narrow" w:hAnsi="Arial Narrow"/>
                <w:sz w:val="20"/>
                <w:szCs w:val="20"/>
              </w:rPr>
            </w:pPr>
            <w:proofErr w:type="spellStart"/>
            <w:r w:rsidRPr="0089664C">
              <w:rPr>
                <w:rFonts w:ascii="Arial Narrow" w:hAnsi="Arial Narrow"/>
                <w:sz w:val="20"/>
                <w:szCs w:val="20"/>
              </w:rPr>
              <w:t>Voxzogo</w:t>
            </w:r>
            <w:proofErr w:type="spellEnd"/>
          </w:p>
        </w:tc>
      </w:tr>
      <w:tr w:rsidR="003030A1" w:rsidRPr="0089664C" w14:paraId="38FD50DE" w14:textId="77777777" w:rsidTr="0045628D">
        <w:trPr>
          <w:cantSplit/>
          <w:trHeight w:val="347"/>
        </w:trPr>
        <w:tc>
          <w:tcPr>
            <w:tcW w:w="3823" w:type="dxa"/>
            <w:gridSpan w:val="3"/>
          </w:tcPr>
          <w:p w14:paraId="51BA181C" w14:textId="77777777" w:rsidR="003030A1" w:rsidRPr="0089664C" w:rsidRDefault="003030A1" w:rsidP="0045628D">
            <w:pPr>
              <w:keepNext/>
              <w:ind w:left="-57"/>
              <w:rPr>
                <w:rFonts w:ascii="Arial Narrow" w:hAnsi="Arial Narrow"/>
                <w:sz w:val="20"/>
                <w:szCs w:val="20"/>
              </w:rPr>
            </w:pPr>
            <w:r w:rsidRPr="0089664C">
              <w:rPr>
                <w:rFonts w:ascii="Arial Narrow" w:hAnsi="Arial Narrow"/>
                <w:sz w:val="20"/>
                <w:szCs w:val="20"/>
              </w:rPr>
              <w:t>Vosoritide powder for injection 0.56 mg with diluent, 10 units</w:t>
            </w:r>
          </w:p>
        </w:tc>
        <w:tc>
          <w:tcPr>
            <w:tcW w:w="992" w:type="dxa"/>
          </w:tcPr>
          <w:p w14:paraId="6B3BCC07" w14:textId="77777777" w:rsidR="003030A1" w:rsidRPr="0089664C" w:rsidRDefault="003030A1" w:rsidP="0045628D">
            <w:pPr>
              <w:keepNext/>
              <w:jc w:val="center"/>
              <w:rPr>
                <w:rFonts w:ascii="Arial Narrow" w:hAnsi="Arial Narrow"/>
                <w:sz w:val="20"/>
                <w:szCs w:val="20"/>
              </w:rPr>
            </w:pPr>
            <w:r w:rsidRPr="0089664C">
              <w:rPr>
                <w:rFonts w:ascii="Arial Narrow" w:hAnsi="Arial Narrow"/>
                <w:sz w:val="20"/>
                <w:szCs w:val="20"/>
              </w:rPr>
              <w:t>NEW</w:t>
            </w:r>
          </w:p>
        </w:tc>
        <w:tc>
          <w:tcPr>
            <w:tcW w:w="850" w:type="dxa"/>
          </w:tcPr>
          <w:p w14:paraId="700F0AEC" w14:textId="77777777" w:rsidR="003030A1" w:rsidRPr="0089664C" w:rsidRDefault="003030A1" w:rsidP="0045628D">
            <w:pPr>
              <w:keepNext/>
              <w:jc w:val="center"/>
              <w:rPr>
                <w:rFonts w:ascii="Arial Narrow" w:hAnsi="Arial Narrow"/>
                <w:sz w:val="20"/>
                <w:szCs w:val="20"/>
              </w:rPr>
            </w:pPr>
            <w:r w:rsidRPr="0089664C">
              <w:rPr>
                <w:rFonts w:ascii="Arial Narrow" w:hAnsi="Arial Narrow"/>
                <w:sz w:val="20"/>
                <w:szCs w:val="20"/>
              </w:rPr>
              <w:t>3</w:t>
            </w:r>
          </w:p>
        </w:tc>
        <w:tc>
          <w:tcPr>
            <w:tcW w:w="851" w:type="dxa"/>
          </w:tcPr>
          <w:p w14:paraId="0C22EC9C" w14:textId="77777777" w:rsidR="003030A1" w:rsidRPr="0089664C" w:rsidRDefault="003030A1" w:rsidP="0045628D">
            <w:pPr>
              <w:keepNext/>
              <w:jc w:val="center"/>
              <w:rPr>
                <w:rFonts w:ascii="Arial Narrow" w:hAnsi="Arial Narrow"/>
                <w:sz w:val="20"/>
                <w:szCs w:val="20"/>
              </w:rPr>
            </w:pPr>
            <w:r w:rsidRPr="0089664C">
              <w:rPr>
                <w:rFonts w:ascii="Arial Narrow" w:hAnsi="Arial Narrow"/>
                <w:sz w:val="20"/>
                <w:szCs w:val="20"/>
              </w:rPr>
              <w:t>30</w:t>
            </w:r>
          </w:p>
        </w:tc>
        <w:tc>
          <w:tcPr>
            <w:tcW w:w="992" w:type="dxa"/>
          </w:tcPr>
          <w:p w14:paraId="32DBCD4D" w14:textId="77777777" w:rsidR="003030A1" w:rsidRPr="0089664C" w:rsidRDefault="003030A1" w:rsidP="0045628D">
            <w:pPr>
              <w:keepNext/>
              <w:jc w:val="center"/>
              <w:rPr>
                <w:rFonts w:ascii="Arial Narrow" w:hAnsi="Arial Narrow"/>
                <w:sz w:val="20"/>
                <w:szCs w:val="20"/>
              </w:rPr>
            </w:pPr>
            <w:r w:rsidRPr="0089664C">
              <w:rPr>
                <w:rFonts w:ascii="Arial Narrow" w:hAnsi="Arial Narrow"/>
                <w:sz w:val="20"/>
                <w:szCs w:val="20"/>
              </w:rPr>
              <w:t>5</w:t>
            </w:r>
          </w:p>
        </w:tc>
        <w:tc>
          <w:tcPr>
            <w:tcW w:w="1559" w:type="dxa"/>
          </w:tcPr>
          <w:p w14:paraId="355FD864" w14:textId="77777777" w:rsidR="003030A1" w:rsidRPr="0089664C" w:rsidRDefault="003030A1" w:rsidP="0045628D">
            <w:pPr>
              <w:keepNext/>
              <w:jc w:val="center"/>
              <w:rPr>
                <w:rFonts w:ascii="Arial Narrow" w:hAnsi="Arial Narrow"/>
                <w:sz w:val="20"/>
                <w:szCs w:val="20"/>
              </w:rPr>
            </w:pPr>
            <w:proofErr w:type="spellStart"/>
            <w:r w:rsidRPr="0089664C">
              <w:rPr>
                <w:rFonts w:ascii="Arial Narrow" w:hAnsi="Arial Narrow"/>
                <w:sz w:val="20"/>
                <w:szCs w:val="20"/>
              </w:rPr>
              <w:t>Voxzogo</w:t>
            </w:r>
            <w:proofErr w:type="spellEnd"/>
          </w:p>
        </w:tc>
      </w:tr>
      <w:tr w:rsidR="003030A1" w:rsidRPr="0089664C" w14:paraId="388B2D2A" w14:textId="77777777" w:rsidTr="0045628D">
        <w:trPr>
          <w:cantSplit/>
          <w:trHeight w:val="327"/>
        </w:trPr>
        <w:tc>
          <w:tcPr>
            <w:tcW w:w="3823" w:type="dxa"/>
            <w:gridSpan w:val="3"/>
          </w:tcPr>
          <w:p w14:paraId="691414A3" w14:textId="77777777" w:rsidR="003030A1" w:rsidRPr="0089664C" w:rsidRDefault="003030A1" w:rsidP="0045628D">
            <w:pPr>
              <w:keepNext/>
              <w:ind w:left="-57"/>
              <w:rPr>
                <w:rFonts w:ascii="Arial Narrow" w:hAnsi="Arial Narrow"/>
                <w:sz w:val="20"/>
                <w:szCs w:val="20"/>
              </w:rPr>
            </w:pPr>
            <w:r w:rsidRPr="0089664C">
              <w:rPr>
                <w:rFonts w:ascii="Arial Narrow" w:hAnsi="Arial Narrow"/>
                <w:sz w:val="20"/>
                <w:szCs w:val="20"/>
              </w:rPr>
              <w:t>Vosoritide powder for injection 1.2 mg with diluent, 10 units</w:t>
            </w:r>
          </w:p>
        </w:tc>
        <w:tc>
          <w:tcPr>
            <w:tcW w:w="992" w:type="dxa"/>
          </w:tcPr>
          <w:p w14:paraId="42688FB3" w14:textId="77777777" w:rsidR="003030A1" w:rsidRPr="0089664C" w:rsidRDefault="003030A1" w:rsidP="0045628D">
            <w:pPr>
              <w:keepNext/>
              <w:jc w:val="center"/>
              <w:rPr>
                <w:rFonts w:ascii="Arial Narrow" w:hAnsi="Arial Narrow"/>
                <w:sz w:val="20"/>
                <w:szCs w:val="20"/>
              </w:rPr>
            </w:pPr>
            <w:r w:rsidRPr="0089664C">
              <w:rPr>
                <w:rFonts w:ascii="Arial Narrow" w:hAnsi="Arial Narrow"/>
                <w:sz w:val="20"/>
                <w:szCs w:val="20"/>
              </w:rPr>
              <w:t>NEW</w:t>
            </w:r>
          </w:p>
        </w:tc>
        <w:tc>
          <w:tcPr>
            <w:tcW w:w="850" w:type="dxa"/>
          </w:tcPr>
          <w:p w14:paraId="405DA1BD" w14:textId="77777777" w:rsidR="003030A1" w:rsidRPr="0089664C" w:rsidRDefault="003030A1" w:rsidP="0045628D">
            <w:pPr>
              <w:keepNext/>
              <w:jc w:val="center"/>
              <w:rPr>
                <w:rFonts w:ascii="Arial Narrow" w:hAnsi="Arial Narrow"/>
                <w:sz w:val="20"/>
                <w:szCs w:val="20"/>
              </w:rPr>
            </w:pPr>
            <w:r w:rsidRPr="0089664C">
              <w:rPr>
                <w:rFonts w:ascii="Arial Narrow" w:hAnsi="Arial Narrow"/>
                <w:sz w:val="20"/>
                <w:szCs w:val="20"/>
              </w:rPr>
              <w:t>3</w:t>
            </w:r>
          </w:p>
        </w:tc>
        <w:tc>
          <w:tcPr>
            <w:tcW w:w="851" w:type="dxa"/>
          </w:tcPr>
          <w:p w14:paraId="6312B616" w14:textId="77777777" w:rsidR="003030A1" w:rsidRPr="0089664C" w:rsidRDefault="003030A1" w:rsidP="0045628D">
            <w:pPr>
              <w:keepNext/>
              <w:jc w:val="center"/>
              <w:rPr>
                <w:rFonts w:ascii="Arial Narrow" w:hAnsi="Arial Narrow"/>
                <w:sz w:val="20"/>
                <w:szCs w:val="20"/>
              </w:rPr>
            </w:pPr>
            <w:r w:rsidRPr="0089664C">
              <w:rPr>
                <w:rFonts w:ascii="Arial Narrow" w:hAnsi="Arial Narrow"/>
                <w:sz w:val="20"/>
                <w:szCs w:val="20"/>
              </w:rPr>
              <w:t>30</w:t>
            </w:r>
          </w:p>
        </w:tc>
        <w:tc>
          <w:tcPr>
            <w:tcW w:w="992" w:type="dxa"/>
          </w:tcPr>
          <w:p w14:paraId="5FE04F72" w14:textId="77777777" w:rsidR="003030A1" w:rsidRPr="0089664C" w:rsidRDefault="003030A1" w:rsidP="0045628D">
            <w:pPr>
              <w:keepNext/>
              <w:jc w:val="center"/>
              <w:rPr>
                <w:rFonts w:ascii="Arial Narrow" w:hAnsi="Arial Narrow"/>
                <w:sz w:val="20"/>
                <w:szCs w:val="20"/>
              </w:rPr>
            </w:pPr>
            <w:r w:rsidRPr="0089664C">
              <w:rPr>
                <w:rFonts w:ascii="Arial Narrow" w:hAnsi="Arial Narrow"/>
                <w:sz w:val="20"/>
                <w:szCs w:val="20"/>
              </w:rPr>
              <w:t>5</w:t>
            </w:r>
          </w:p>
        </w:tc>
        <w:tc>
          <w:tcPr>
            <w:tcW w:w="1559" w:type="dxa"/>
          </w:tcPr>
          <w:p w14:paraId="3B54A001" w14:textId="77777777" w:rsidR="003030A1" w:rsidRPr="0089664C" w:rsidRDefault="003030A1" w:rsidP="0045628D">
            <w:pPr>
              <w:keepNext/>
              <w:jc w:val="center"/>
              <w:rPr>
                <w:rFonts w:ascii="Arial Narrow" w:hAnsi="Arial Narrow"/>
                <w:sz w:val="20"/>
                <w:szCs w:val="20"/>
              </w:rPr>
            </w:pPr>
            <w:proofErr w:type="spellStart"/>
            <w:r w:rsidRPr="0089664C">
              <w:rPr>
                <w:rFonts w:ascii="Arial Narrow" w:hAnsi="Arial Narrow"/>
                <w:sz w:val="20"/>
                <w:szCs w:val="20"/>
              </w:rPr>
              <w:t>Voxzogo</w:t>
            </w:r>
            <w:proofErr w:type="spellEnd"/>
          </w:p>
        </w:tc>
      </w:tr>
      <w:tr w:rsidR="003030A1" w:rsidRPr="0089664C" w14:paraId="0238C8CA" w14:textId="77777777" w:rsidTr="0045628D">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4E508630" w14:textId="77777777" w:rsidR="003030A1" w:rsidRPr="0089664C" w:rsidRDefault="003030A1" w:rsidP="0045628D">
            <w:pPr>
              <w:rPr>
                <w:rFonts w:ascii="Arial Narrow" w:hAnsi="Arial Narrow"/>
                <w:sz w:val="20"/>
                <w:szCs w:val="20"/>
              </w:rPr>
            </w:pPr>
          </w:p>
        </w:tc>
      </w:tr>
      <w:tr w:rsidR="003030A1" w:rsidRPr="0089664C" w14:paraId="3F100FFD" w14:textId="77777777" w:rsidTr="0045628D">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577BAFB1" w14:textId="77777777" w:rsidR="003030A1" w:rsidRPr="0089664C" w:rsidRDefault="003030A1" w:rsidP="0045628D">
            <w:pPr>
              <w:rPr>
                <w:rFonts w:ascii="Arial Narrow" w:hAnsi="Arial Narrow"/>
                <w:b/>
                <w:sz w:val="20"/>
                <w:szCs w:val="20"/>
              </w:rPr>
            </w:pPr>
            <w:r w:rsidRPr="0089664C">
              <w:rPr>
                <w:rFonts w:ascii="Arial Narrow" w:hAnsi="Arial Narrow"/>
                <w:b/>
                <w:sz w:val="20"/>
                <w:szCs w:val="20"/>
              </w:rPr>
              <w:t xml:space="preserve">Restriction Summary [new] / Treatment of Concept: [new] </w:t>
            </w:r>
          </w:p>
        </w:tc>
      </w:tr>
      <w:tr w:rsidR="003030A1" w:rsidRPr="0089664C" w14:paraId="30D36298"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5252B5CD" w14:textId="0BBA993D" w:rsidR="003030A1" w:rsidRPr="0089664C" w:rsidRDefault="003030A1" w:rsidP="0045628D">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A155E67" w14:textId="77777777" w:rsidR="003030A1" w:rsidRPr="0089664C" w:rsidRDefault="003030A1" w:rsidP="0045628D">
            <w:pPr>
              <w:rPr>
                <w:rFonts w:ascii="Arial Narrow" w:hAnsi="Arial Narrow"/>
                <w:sz w:val="20"/>
                <w:szCs w:val="20"/>
              </w:rPr>
            </w:pPr>
            <w:r w:rsidRPr="0089664C">
              <w:rPr>
                <w:rFonts w:ascii="Arial Narrow" w:hAnsi="Arial Narrow"/>
                <w:b/>
                <w:sz w:val="20"/>
                <w:szCs w:val="20"/>
              </w:rPr>
              <w:t xml:space="preserve">Category / Program: </w:t>
            </w:r>
            <w:r w:rsidRPr="0089664C">
              <w:rPr>
                <w:rFonts w:ascii="Arial Narrow" w:hAnsi="Arial Narrow"/>
                <w:sz w:val="20"/>
                <w:szCs w:val="20"/>
              </w:rPr>
              <w:t xml:space="preserve">GENERAL – General Schedule (Code GE) </w:t>
            </w:r>
          </w:p>
        </w:tc>
      </w:tr>
      <w:tr w:rsidR="003030A1" w:rsidRPr="0089664C" w14:paraId="173F05A0" w14:textId="77777777" w:rsidTr="0045628D">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387A3E81" w14:textId="77777777" w:rsidR="003030A1" w:rsidRPr="0089664C" w:rsidRDefault="003030A1" w:rsidP="0045628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4BCBA2C" w14:textId="77777777" w:rsidR="003030A1" w:rsidRPr="0089664C" w:rsidRDefault="003030A1" w:rsidP="0045628D">
            <w:pPr>
              <w:rPr>
                <w:rFonts w:ascii="Arial Narrow" w:hAnsi="Arial Narrow"/>
                <w:b/>
                <w:sz w:val="20"/>
                <w:szCs w:val="20"/>
              </w:rPr>
            </w:pPr>
            <w:r w:rsidRPr="0089664C">
              <w:rPr>
                <w:rFonts w:ascii="Arial Narrow" w:hAnsi="Arial Narrow"/>
                <w:b/>
                <w:sz w:val="20"/>
                <w:szCs w:val="20"/>
              </w:rPr>
              <w:t xml:space="preserve">Prescriber type: </w:t>
            </w:r>
            <w:r w:rsidRPr="0089664C">
              <w:rPr>
                <w:rFonts w:ascii="Arial Narrow" w:hAnsi="Arial Narrow"/>
                <w:sz w:val="20"/>
                <w:szCs w:val="20"/>
              </w:rPr>
              <w:fldChar w:fldCharType="begin" w:fldLock="1">
                <w:ffData>
                  <w:name w:val=""/>
                  <w:enabled/>
                  <w:calcOnExit w:val="0"/>
                  <w:checkBox>
                    <w:sizeAuto/>
                    <w:default w:val="1"/>
                  </w:checkBox>
                </w:ffData>
              </w:fldChar>
            </w:r>
            <w:r w:rsidRPr="0089664C">
              <w:rPr>
                <w:rFonts w:ascii="Arial Narrow" w:hAnsi="Arial Narrow"/>
                <w:sz w:val="20"/>
                <w:szCs w:val="20"/>
              </w:rPr>
              <w:instrText xml:space="preserve"> FORMCHECKBOX </w:instrText>
            </w:r>
            <w:r w:rsidR="00FA023D">
              <w:rPr>
                <w:rFonts w:ascii="Arial Narrow" w:hAnsi="Arial Narrow"/>
                <w:sz w:val="20"/>
                <w:szCs w:val="20"/>
              </w:rPr>
            </w:r>
            <w:r w:rsidR="00FA023D">
              <w:rPr>
                <w:rFonts w:ascii="Arial Narrow" w:hAnsi="Arial Narrow"/>
                <w:sz w:val="20"/>
                <w:szCs w:val="20"/>
              </w:rPr>
              <w:fldChar w:fldCharType="separate"/>
            </w:r>
            <w:r w:rsidRPr="0089664C">
              <w:rPr>
                <w:rFonts w:ascii="Arial Narrow" w:hAnsi="Arial Narrow"/>
                <w:sz w:val="20"/>
                <w:szCs w:val="20"/>
              </w:rPr>
              <w:fldChar w:fldCharType="end"/>
            </w:r>
            <w:r w:rsidRPr="0089664C">
              <w:rPr>
                <w:rFonts w:ascii="Arial Narrow" w:hAnsi="Arial Narrow"/>
                <w:sz w:val="20"/>
                <w:szCs w:val="20"/>
              </w:rPr>
              <w:t xml:space="preserve">Medical Practitioners </w:t>
            </w:r>
          </w:p>
        </w:tc>
      </w:tr>
      <w:tr w:rsidR="003030A1" w:rsidRPr="0089664C" w14:paraId="5F75AB96"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Merge/>
            <w:tcBorders>
              <w:left w:val="single" w:sz="4" w:space="0" w:color="auto"/>
              <w:bottom w:val="single" w:sz="4" w:space="0" w:color="auto"/>
              <w:right w:val="single" w:sz="4" w:space="0" w:color="auto"/>
            </w:tcBorders>
          </w:tcPr>
          <w:p w14:paraId="67C78438" w14:textId="77777777" w:rsidR="003030A1" w:rsidRPr="0089664C" w:rsidRDefault="003030A1" w:rsidP="0045628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6C2841EA" w14:textId="77777777" w:rsidR="003030A1" w:rsidRPr="0089664C" w:rsidRDefault="003030A1" w:rsidP="0045628D">
            <w:pPr>
              <w:rPr>
                <w:rFonts w:ascii="Arial Narrow" w:eastAsia="Calibri" w:hAnsi="Arial Narrow"/>
                <w:sz w:val="20"/>
                <w:szCs w:val="20"/>
              </w:rPr>
            </w:pPr>
            <w:r w:rsidRPr="0089664C">
              <w:rPr>
                <w:rFonts w:ascii="Arial Narrow" w:hAnsi="Arial Narrow"/>
                <w:b/>
                <w:sz w:val="20"/>
                <w:szCs w:val="20"/>
              </w:rPr>
              <w:t xml:space="preserve">Restriction type: </w:t>
            </w:r>
            <w:r w:rsidRPr="0089664C">
              <w:rPr>
                <w:rFonts w:ascii="Arial Narrow" w:eastAsia="Calibri" w:hAnsi="Arial Narrow"/>
                <w:sz w:val="20"/>
                <w:szCs w:val="20"/>
              </w:rPr>
              <w:fldChar w:fldCharType="begin" w:fldLock="1">
                <w:ffData>
                  <w:name w:val="Check3"/>
                  <w:enabled/>
                  <w:calcOnExit w:val="0"/>
                  <w:checkBox>
                    <w:sizeAuto/>
                    <w:default w:val="1"/>
                  </w:checkBox>
                </w:ffData>
              </w:fldChar>
            </w:r>
            <w:r w:rsidRPr="0089664C">
              <w:rPr>
                <w:rFonts w:ascii="Arial Narrow" w:eastAsia="Calibri" w:hAnsi="Arial Narrow"/>
                <w:sz w:val="20"/>
                <w:szCs w:val="20"/>
              </w:rPr>
              <w:instrText xml:space="preserve"> FORMCHECKBOX </w:instrText>
            </w:r>
            <w:r w:rsidR="00FA023D">
              <w:rPr>
                <w:rFonts w:ascii="Arial Narrow" w:eastAsia="Calibri" w:hAnsi="Arial Narrow"/>
                <w:sz w:val="20"/>
                <w:szCs w:val="20"/>
              </w:rPr>
            </w:r>
            <w:r w:rsidR="00FA023D">
              <w:rPr>
                <w:rFonts w:ascii="Arial Narrow" w:eastAsia="Calibri" w:hAnsi="Arial Narrow"/>
                <w:sz w:val="20"/>
                <w:szCs w:val="20"/>
              </w:rPr>
              <w:fldChar w:fldCharType="separate"/>
            </w:r>
            <w:r w:rsidRPr="0089664C">
              <w:rPr>
                <w:rFonts w:ascii="Arial Narrow" w:eastAsia="Calibri" w:hAnsi="Arial Narrow"/>
                <w:sz w:val="20"/>
                <w:szCs w:val="20"/>
              </w:rPr>
              <w:fldChar w:fldCharType="end"/>
            </w:r>
            <w:r w:rsidRPr="0089664C">
              <w:rPr>
                <w:rFonts w:ascii="Arial Narrow" w:eastAsia="Calibri" w:hAnsi="Arial Narrow"/>
                <w:sz w:val="20"/>
                <w:szCs w:val="20"/>
              </w:rPr>
              <w:t xml:space="preserve">Authority Required (telephone/online PBS Authorities system) </w:t>
            </w:r>
          </w:p>
        </w:tc>
      </w:tr>
      <w:tr w:rsidR="003030A1" w:rsidRPr="0089664C" w14:paraId="7241D0DE" w14:textId="77777777" w:rsidTr="0045628D">
        <w:tblPrEx>
          <w:tblCellMar>
            <w:top w:w="15" w:type="dxa"/>
            <w:left w:w="15" w:type="dxa"/>
            <w:bottom w:w="15" w:type="dxa"/>
            <w:right w:w="15" w:type="dxa"/>
          </w:tblCellMar>
          <w:tblLook w:val="04A0" w:firstRow="1" w:lastRow="0" w:firstColumn="1" w:lastColumn="0" w:noHBand="0" w:noVBand="1"/>
        </w:tblPrEx>
        <w:tc>
          <w:tcPr>
            <w:tcW w:w="490" w:type="dxa"/>
            <w:vMerge w:val="restart"/>
            <w:tcBorders>
              <w:left w:val="single" w:sz="4" w:space="0" w:color="auto"/>
              <w:right w:val="single" w:sz="4" w:space="0" w:color="auto"/>
            </w:tcBorders>
            <w:textDirection w:val="btLr"/>
          </w:tcPr>
          <w:p w14:paraId="404483D1" w14:textId="4DFCEBD4" w:rsidR="003030A1" w:rsidRPr="0089664C" w:rsidRDefault="003030A1" w:rsidP="0045628D">
            <w:pPr>
              <w:ind w:left="113" w:right="113"/>
              <w:rPr>
                <w:rFonts w:ascii="Arial Narrow" w:hAnsi="Arial Narrow"/>
                <w:sz w:val="20"/>
                <w:szCs w:val="20"/>
              </w:rPr>
            </w:pPr>
          </w:p>
        </w:tc>
        <w:tc>
          <w:tcPr>
            <w:tcW w:w="491" w:type="dxa"/>
          </w:tcPr>
          <w:p w14:paraId="1F81B91A" w14:textId="109562D3" w:rsidR="003030A1" w:rsidRPr="0089664C" w:rsidRDefault="003030A1" w:rsidP="0045628D">
            <w:pPr>
              <w:jc w:val="center"/>
              <w:rPr>
                <w:rFonts w:ascii="Arial Narrow" w:hAnsi="Arial Narrow"/>
                <w:sz w:val="20"/>
                <w:szCs w:val="20"/>
              </w:rPr>
            </w:pPr>
          </w:p>
        </w:tc>
        <w:tc>
          <w:tcPr>
            <w:tcW w:w="8086" w:type="dxa"/>
            <w:gridSpan w:val="6"/>
          </w:tcPr>
          <w:p w14:paraId="4EA6DB8F" w14:textId="77777777" w:rsidR="003030A1" w:rsidRPr="0089664C" w:rsidRDefault="003030A1" w:rsidP="0045628D">
            <w:pPr>
              <w:rPr>
                <w:rFonts w:ascii="Arial Narrow" w:hAnsi="Arial Narrow"/>
                <w:sz w:val="20"/>
                <w:szCs w:val="20"/>
              </w:rPr>
            </w:pPr>
            <w:r w:rsidRPr="0089664C">
              <w:rPr>
                <w:rFonts w:ascii="Arial Narrow" w:hAnsi="Arial Narrow"/>
                <w:b/>
                <w:bCs/>
                <w:sz w:val="20"/>
                <w:szCs w:val="20"/>
              </w:rPr>
              <w:t>Administrative advice:</w:t>
            </w:r>
            <w:r w:rsidRPr="0089664C">
              <w:rPr>
                <w:rFonts w:ascii="Arial Narrow" w:hAnsi="Arial Narrow"/>
                <w:sz w:val="20"/>
                <w:szCs w:val="20"/>
              </w:rPr>
              <w:t xml:space="preserve"> Special Pricing Arrangements apply.</w:t>
            </w:r>
          </w:p>
        </w:tc>
      </w:tr>
      <w:tr w:rsidR="003030A1" w:rsidRPr="0089664C" w14:paraId="7663E359" w14:textId="77777777" w:rsidTr="0045628D">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right w:val="single" w:sz="4" w:space="0" w:color="auto"/>
            </w:tcBorders>
          </w:tcPr>
          <w:p w14:paraId="61F6BF45" w14:textId="77777777" w:rsidR="003030A1" w:rsidRPr="0089664C" w:rsidRDefault="003030A1" w:rsidP="0045628D">
            <w:pPr>
              <w:rPr>
                <w:rFonts w:ascii="Arial Narrow" w:hAnsi="Arial Narrow"/>
                <w:sz w:val="20"/>
                <w:szCs w:val="20"/>
              </w:rPr>
            </w:pPr>
          </w:p>
        </w:tc>
        <w:tc>
          <w:tcPr>
            <w:tcW w:w="491" w:type="dxa"/>
            <w:vAlign w:val="center"/>
          </w:tcPr>
          <w:p w14:paraId="5214A630" w14:textId="7AF0002D" w:rsidR="003030A1" w:rsidRPr="0089664C" w:rsidRDefault="003030A1" w:rsidP="0045628D">
            <w:pPr>
              <w:jc w:val="center"/>
              <w:rPr>
                <w:rFonts w:ascii="Arial Narrow" w:eastAsia="Times New Roman" w:hAnsi="Arial Narrow"/>
                <w:sz w:val="20"/>
                <w:szCs w:val="20"/>
                <w:highlight w:val="yellow"/>
              </w:rPr>
            </w:pPr>
          </w:p>
        </w:tc>
        <w:tc>
          <w:tcPr>
            <w:tcW w:w="8086" w:type="dxa"/>
            <w:gridSpan w:val="6"/>
            <w:vAlign w:val="center"/>
          </w:tcPr>
          <w:p w14:paraId="7D385D65" w14:textId="77777777" w:rsidR="003030A1" w:rsidRPr="0089664C" w:rsidRDefault="003030A1" w:rsidP="0045628D">
            <w:pPr>
              <w:rPr>
                <w:rFonts w:ascii="Arial Narrow" w:eastAsia="Times New Roman" w:hAnsi="Arial Narrow"/>
                <w:b/>
                <w:bCs/>
                <w:sz w:val="20"/>
                <w:szCs w:val="20"/>
                <w:highlight w:val="yellow"/>
              </w:rPr>
            </w:pPr>
            <w:r w:rsidRPr="0089664C">
              <w:rPr>
                <w:rFonts w:ascii="Arial Narrow" w:hAnsi="Arial Narrow"/>
                <w:b/>
                <w:bCs/>
                <w:sz w:val="20"/>
                <w:szCs w:val="20"/>
              </w:rPr>
              <w:t xml:space="preserve">Administrative advice: </w:t>
            </w:r>
            <w:r w:rsidRPr="0089664C">
              <w:rPr>
                <w:rFonts w:ascii="Arial Narrow" w:hAnsi="Arial Narrow"/>
                <w:bCs/>
                <w:sz w:val="20"/>
                <w:szCs w:val="20"/>
              </w:rPr>
              <w:t>No increase in the maximum quantity or number of units may be authorised.</w:t>
            </w:r>
          </w:p>
        </w:tc>
      </w:tr>
      <w:tr w:rsidR="003030A1" w:rsidRPr="0089664C" w14:paraId="60E6B9A0" w14:textId="77777777" w:rsidTr="0045628D">
        <w:tblPrEx>
          <w:tblCellMar>
            <w:top w:w="15" w:type="dxa"/>
            <w:left w:w="15" w:type="dxa"/>
            <w:bottom w:w="15" w:type="dxa"/>
            <w:right w:w="15" w:type="dxa"/>
          </w:tblCellMar>
        </w:tblPrEx>
        <w:trPr>
          <w:trHeight w:val="513"/>
        </w:trPr>
        <w:tc>
          <w:tcPr>
            <w:tcW w:w="490" w:type="dxa"/>
            <w:vMerge/>
            <w:tcBorders>
              <w:left w:val="single" w:sz="4" w:space="0" w:color="auto"/>
              <w:bottom w:val="single" w:sz="4" w:space="0" w:color="auto"/>
              <w:right w:val="single" w:sz="4" w:space="0" w:color="auto"/>
            </w:tcBorders>
          </w:tcPr>
          <w:p w14:paraId="7115D0AE" w14:textId="77777777" w:rsidR="003030A1" w:rsidRPr="0089664C" w:rsidRDefault="003030A1" w:rsidP="0045628D">
            <w:pPr>
              <w:rPr>
                <w:rFonts w:ascii="Arial Narrow" w:hAnsi="Arial Narrow"/>
                <w:sz w:val="20"/>
                <w:szCs w:val="20"/>
              </w:rPr>
            </w:pPr>
          </w:p>
        </w:tc>
        <w:tc>
          <w:tcPr>
            <w:tcW w:w="491" w:type="dxa"/>
            <w:vAlign w:val="center"/>
          </w:tcPr>
          <w:p w14:paraId="6CF38D15" w14:textId="6443A838" w:rsidR="003030A1" w:rsidRPr="0089664C" w:rsidRDefault="003030A1" w:rsidP="0045628D">
            <w:pPr>
              <w:jc w:val="center"/>
              <w:rPr>
                <w:rFonts w:ascii="Arial Narrow" w:eastAsia="Times New Roman" w:hAnsi="Arial Narrow"/>
                <w:sz w:val="20"/>
                <w:szCs w:val="20"/>
                <w:highlight w:val="yellow"/>
              </w:rPr>
            </w:pPr>
          </w:p>
        </w:tc>
        <w:tc>
          <w:tcPr>
            <w:tcW w:w="8086" w:type="dxa"/>
            <w:gridSpan w:val="6"/>
            <w:vAlign w:val="center"/>
          </w:tcPr>
          <w:p w14:paraId="567851CB" w14:textId="77777777" w:rsidR="003030A1" w:rsidRPr="0089664C" w:rsidRDefault="003030A1" w:rsidP="0045628D">
            <w:pPr>
              <w:rPr>
                <w:rFonts w:ascii="Arial Narrow" w:eastAsia="Times New Roman" w:hAnsi="Arial Narrow"/>
                <w:b/>
                <w:bCs/>
                <w:sz w:val="20"/>
                <w:szCs w:val="20"/>
                <w:highlight w:val="yellow"/>
              </w:rPr>
            </w:pPr>
            <w:r w:rsidRPr="0089664C">
              <w:rPr>
                <w:rFonts w:ascii="Arial Narrow" w:hAnsi="Arial Narrow"/>
                <w:b/>
                <w:bCs/>
                <w:sz w:val="20"/>
                <w:szCs w:val="20"/>
              </w:rPr>
              <w:t>Administrative advice:</w:t>
            </w:r>
            <w:r w:rsidRPr="0089664C">
              <w:rPr>
                <w:rFonts w:ascii="Arial Narrow" w:hAnsi="Arial Narrow"/>
                <w:bCs/>
                <w:sz w:val="20"/>
                <w:szCs w:val="20"/>
              </w:rPr>
              <w:t xml:space="preserve"> No increase in the maximum number of repeats may be authorised.</w:t>
            </w:r>
          </w:p>
        </w:tc>
      </w:tr>
      <w:tr w:rsidR="003030A1" w:rsidRPr="0089664C" w14:paraId="65DB5B96"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E6C2A03"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tcPr>
          <w:p w14:paraId="6694645E" w14:textId="77777777" w:rsidR="003030A1" w:rsidRPr="0089664C" w:rsidRDefault="003030A1" w:rsidP="0045628D">
            <w:pPr>
              <w:rPr>
                <w:rFonts w:ascii="Arial Narrow" w:eastAsia="Times New Roman" w:hAnsi="Arial Narrow"/>
                <w:b/>
                <w:bCs/>
                <w:sz w:val="20"/>
                <w:szCs w:val="20"/>
              </w:rPr>
            </w:pPr>
            <w:r w:rsidRPr="0089664C">
              <w:rPr>
                <w:rFonts w:ascii="Arial Narrow" w:eastAsia="Times New Roman" w:hAnsi="Arial Narrow"/>
                <w:b/>
                <w:bCs/>
                <w:sz w:val="20"/>
                <w:szCs w:val="20"/>
              </w:rPr>
              <w:t xml:space="preserve">Condition: </w:t>
            </w:r>
            <w:r w:rsidRPr="0089664C">
              <w:rPr>
                <w:rFonts w:ascii="Arial Narrow" w:eastAsia="Times New Roman" w:hAnsi="Arial Narrow"/>
                <w:bCs/>
                <w:sz w:val="20"/>
                <w:szCs w:val="20"/>
              </w:rPr>
              <w:t>Achondroplasia</w:t>
            </w:r>
          </w:p>
        </w:tc>
      </w:tr>
      <w:tr w:rsidR="003030A1" w:rsidRPr="0089664C" w14:paraId="1500E76A" w14:textId="77777777" w:rsidTr="00CD45A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B5589D9" w14:textId="12995F83"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0B960315"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Indication:</w:t>
            </w:r>
            <w:r w:rsidRPr="0089664C">
              <w:rPr>
                <w:rFonts w:ascii="Arial Narrow" w:eastAsia="Times New Roman" w:hAnsi="Arial Narrow"/>
                <w:sz w:val="20"/>
                <w:szCs w:val="20"/>
              </w:rPr>
              <w:t xml:space="preserve"> Achondroplasia</w:t>
            </w:r>
          </w:p>
        </w:tc>
      </w:tr>
      <w:tr w:rsidR="003030A1" w:rsidRPr="0089664C" w14:paraId="2673AC9C" w14:textId="77777777" w:rsidTr="00CD45A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EBA9C7B"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381205C2"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Treatment Phase:</w:t>
            </w:r>
            <w:r w:rsidRPr="0089664C">
              <w:rPr>
                <w:rFonts w:ascii="Arial Narrow" w:eastAsia="Times New Roman" w:hAnsi="Arial Narrow"/>
                <w:sz w:val="20"/>
                <w:szCs w:val="20"/>
              </w:rPr>
              <w:t xml:space="preserve"> Initial</w:t>
            </w:r>
          </w:p>
        </w:tc>
      </w:tr>
      <w:tr w:rsidR="003030A1" w:rsidRPr="0089664C" w14:paraId="78A058F6"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hideMark/>
          </w:tcPr>
          <w:p w14:paraId="3EB19AF0"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3E91C0DB"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 xml:space="preserve">Clinical criteria: </w:t>
            </w:r>
          </w:p>
        </w:tc>
      </w:tr>
      <w:tr w:rsidR="003030A1" w:rsidRPr="0089664C" w14:paraId="26F3F2B7" w14:textId="77777777" w:rsidTr="00CD45A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A81D98B" w14:textId="20F1DF09"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22836CDC" w14:textId="77777777" w:rsidR="003030A1" w:rsidRPr="0089664C" w:rsidRDefault="003030A1" w:rsidP="0045628D">
            <w:pPr>
              <w:pStyle w:val="PBACTabletext"/>
              <w:rPr>
                <w:szCs w:val="20"/>
                <w:lang w:eastAsia="en-AU"/>
              </w:rPr>
            </w:pPr>
            <w:r w:rsidRPr="0089664C">
              <w:rPr>
                <w:rFonts w:eastAsiaTheme="minorHAnsi" w:cs="Arial Narrow"/>
                <w:iCs/>
                <w:szCs w:val="20"/>
                <w:lang w:eastAsia="en-US"/>
              </w:rPr>
              <w:t xml:space="preserve">Patient must have a diagnosis of achondroplasia, confirmed by appropriate genetic testing </w:t>
            </w:r>
          </w:p>
        </w:tc>
      </w:tr>
      <w:tr w:rsidR="003030A1" w:rsidRPr="0089664C" w14:paraId="18CDBF36" w14:textId="77777777" w:rsidTr="00CD45A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7B31232"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2BCDFF74"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AND</w:t>
            </w:r>
          </w:p>
        </w:tc>
      </w:tr>
      <w:tr w:rsidR="003030A1" w:rsidRPr="0089664C" w14:paraId="3EE2D888"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82D4BB1"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6CBD8D4E"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Clinical criteria:</w:t>
            </w:r>
          </w:p>
        </w:tc>
      </w:tr>
      <w:tr w:rsidR="003030A1" w:rsidRPr="0089664C" w14:paraId="5F227D44"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F99A22A" w14:textId="7A0629D1"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63EEE70B" w14:textId="77777777" w:rsidR="003030A1" w:rsidRPr="0089664C" w:rsidRDefault="003030A1" w:rsidP="0045628D">
            <w:pPr>
              <w:pStyle w:val="PBACTabletext"/>
              <w:rPr>
                <w:rFonts w:eastAsiaTheme="minorHAnsi" w:cs="Arial Narrow"/>
                <w:i/>
                <w:szCs w:val="20"/>
                <w:lang w:eastAsia="en-US"/>
              </w:rPr>
            </w:pPr>
            <w:r w:rsidRPr="0089664C">
              <w:rPr>
                <w:rFonts w:eastAsiaTheme="minorHAnsi" w:cs="Arial Narrow"/>
                <w:iCs/>
                <w:szCs w:val="20"/>
                <w:lang w:eastAsia="en-US"/>
              </w:rPr>
              <w:t xml:space="preserve">Patient must not have evidence of growth plate closure </w:t>
            </w:r>
            <w:r w:rsidRPr="0089664C">
              <w:rPr>
                <w:rFonts w:eastAsiaTheme="minorHAnsi" w:cs="Arial Narrow"/>
                <w:i/>
                <w:szCs w:val="20"/>
                <w:lang w:eastAsia="en-US"/>
              </w:rPr>
              <w:t>demonstrated by</w:t>
            </w:r>
            <w:r w:rsidRPr="0089664C">
              <w:rPr>
                <w:rFonts w:eastAsiaTheme="minorHAnsi" w:cs="Arial Narrow"/>
                <w:iCs/>
                <w:szCs w:val="20"/>
                <w:lang w:eastAsia="en-US"/>
              </w:rPr>
              <w:t xml:space="preserve"> either: i) </w:t>
            </w:r>
            <w:r w:rsidRPr="0089664C">
              <w:rPr>
                <w:rFonts w:eastAsiaTheme="minorHAnsi" w:cs="Arial Narrow"/>
                <w:iCs/>
                <w:strike/>
                <w:szCs w:val="20"/>
                <w:lang w:eastAsia="en-US"/>
              </w:rPr>
              <w:t xml:space="preserve">confirmed through </w:t>
            </w:r>
            <w:r w:rsidRPr="0089664C">
              <w:rPr>
                <w:rFonts w:eastAsiaTheme="minorHAnsi" w:cs="Arial Narrow"/>
                <w:iCs/>
                <w:szCs w:val="20"/>
                <w:lang w:eastAsia="en-US"/>
              </w:rPr>
              <w:t xml:space="preserve">bilateral lower extremity X-rays (proximal tibia, distal femur); ii)  </w:t>
            </w:r>
            <w:r w:rsidRPr="0089664C">
              <w:rPr>
                <w:rFonts w:cs="Arial Narrow"/>
                <w:iCs/>
                <w:strike/>
                <w:szCs w:val="20"/>
                <w:lang w:eastAsia="en-US"/>
              </w:rPr>
              <w:t xml:space="preserve">demonstrated by </w:t>
            </w:r>
            <w:r w:rsidRPr="0089664C">
              <w:rPr>
                <w:rFonts w:cs="Arial Narrow"/>
                <w:iCs/>
                <w:szCs w:val="20"/>
                <w:lang w:eastAsia="en-US"/>
              </w:rPr>
              <w:t>an annual growth velocity of less than 1.5 cm/year as assessed over a period of at least 6 months.</w:t>
            </w:r>
            <w:r w:rsidRPr="0089664C">
              <w:rPr>
                <w:rFonts w:cs="Arial Narrow"/>
                <w:i/>
                <w:szCs w:val="20"/>
                <w:lang w:eastAsia="en-US"/>
              </w:rPr>
              <w:t xml:space="preserve"> </w:t>
            </w:r>
          </w:p>
        </w:tc>
      </w:tr>
      <w:tr w:rsidR="003030A1" w:rsidRPr="0089664C" w14:paraId="570793A9"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92C859A"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4C0E2E00"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Treatment criteria:</w:t>
            </w:r>
          </w:p>
        </w:tc>
      </w:tr>
      <w:tr w:rsidR="003030A1" w:rsidRPr="0089664C" w14:paraId="3C1BFD24"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8B8962E" w14:textId="597F370D"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3C66501B" w14:textId="77777777" w:rsidR="003030A1" w:rsidRPr="0089664C" w:rsidRDefault="003030A1" w:rsidP="0045628D">
            <w:pPr>
              <w:autoSpaceDE w:val="0"/>
              <w:autoSpaceDN w:val="0"/>
              <w:adjustRightInd w:val="0"/>
              <w:rPr>
                <w:rFonts w:ascii="Arial Narrow" w:hAnsi="Arial Narrow" w:cs="Arial Narrow"/>
                <w:i/>
                <w:iCs/>
                <w:sz w:val="20"/>
                <w:szCs w:val="20"/>
              </w:rPr>
            </w:pPr>
            <w:r w:rsidRPr="0089664C">
              <w:rPr>
                <w:rFonts w:ascii="Arial Narrow" w:hAnsi="Arial Narrow" w:cs="Arial Narrow"/>
                <w:iCs/>
                <w:sz w:val="20"/>
                <w:szCs w:val="20"/>
              </w:rPr>
              <w:t>Must be treated by a medical specialist, experienced in the management of achondroplasia</w:t>
            </w:r>
          </w:p>
        </w:tc>
      </w:tr>
      <w:tr w:rsidR="003030A1" w:rsidRPr="0089664C" w14:paraId="2191C61F"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8CB260C" w14:textId="006FDEF2" w:rsidR="003030A1" w:rsidRPr="0089664C" w:rsidRDefault="003030A1" w:rsidP="0045628D">
            <w:pPr>
              <w:jc w:val="center"/>
              <w:rPr>
                <w:rFonts w:ascii="Arial Narrow" w:eastAsia="Times New Roman" w:hAnsi="Arial Narrow"/>
                <w:sz w:val="20"/>
                <w:szCs w:val="20"/>
              </w:rPr>
            </w:pPr>
          </w:p>
        </w:tc>
        <w:tc>
          <w:tcPr>
            <w:tcW w:w="8086" w:type="dxa"/>
            <w:gridSpan w:val="6"/>
            <w:vAlign w:val="center"/>
          </w:tcPr>
          <w:p w14:paraId="447F5747" w14:textId="77777777" w:rsidR="003030A1" w:rsidRPr="0089664C" w:rsidRDefault="003030A1" w:rsidP="0045628D">
            <w:pPr>
              <w:autoSpaceDE w:val="0"/>
              <w:autoSpaceDN w:val="0"/>
              <w:adjustRightInd w:val="0"/>
              <w:rPr>
                <w:rFonts w:ascii="Arial Narrow" w:hAnsi="Arial Narrow" w:cs="Arial Narrow"/>
                <w:b/>
                <w:bCs/>
                <w:i/>
                <w:sz w:val="20"/>
                <w:szCs w:val="20"/>
              </w:rPr>
            </w:pPr>
            <w:bookmarkStart w:id="95" w:name="_Hlk119675746"/>
            <w:r w:rsidRPr="0089664C">
              <w:rPr>
                <w:rFonts w:ascii="Arial Narrow" w:hAnsi="Arial Narrow" w:cs="Arial Narrow"/>
                <w:b/>
                <w:bCs/>
                <w:i/>
                <w:sz w:val="20"/>
                <w:szCs w:val="20"/>
              </w:rPr>
              <w:t>Prescribing Instructions:</w:t>
            </w:r>
          </w:p>
          <w:p w14:paraId="64440C1E" w14:textId="77777777" w:rsidR="003030A1" w:rsidRPr="0089664C" w:rsidRDefault="003030A1" w:rsidP="0045628D">
            <w:pPr>
              <w:autoSpaceDE w:val="0"/>
              <w:autoSpaceDN w:val="0"/>
              <w:adjustRightInd w:val="0"/>
              <w:rPr>
                <w:rFonts w:ascii="Arial Narrow" w:hAnsi="Arial Narrow" w:cs="Arial Narrow"/>
                <w:iCs/>
                <w:sz w:val="20"/>
                <w:szCs w:val="20"/>
              </w:rPr>
            </w:pPr>
            <w:r w:rsidRPr="0089664C">
              <w:rPr>
                <w:rFonts w:ascii="Arial Narrow" w:hAnsi="Arial Narrow" w:cs="Arial Narrow"/>
                <w:i/>
                <w:sz w:val="20"/>
                <w:szCs w:val="20"/>
              </w:rPr>
              <w:t>At the time of authority application, prescribers must request the vials of appropriate strength to provide sufficient drug, based on the weight of the patient, adequate for 30 days, according to the specified dosage in the approved Product Information (PI). Up to a maximum of 5 repeats will be authorised.</w:t>
            </w:r>
            <w:bookmarkEnd w:id="95"/>
          </w:p>
        </w:tc>
      </w:tr>
      <w:tr w:rsidR="003030A1" w:rsidRPr="0089664C" w14:paraId="57E6F57A"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06A6A53" w14:textId="5EC888A2" w:rsidR="003030A1" w:rsidRPr="0089664C" w:rsidRDefault="003030A1" w:rsidP="0045628D">
            <w:pPr>
              <w:jc w:val="center"/>
              <w:rPr>
                <w:rFonts w:ascii="Arial Narrow" w:eastAsia="Times New Roman" w:hAnsi="Arial Narrow"/>
                <w:i/>
                <w:iCs/>
                <w:sz w:val="20"/>
                <w:szCs w:val="20"/>
              </w:rPr>
            </w:pPr>
          </w:p>
        </w:tc>
        <w:tc>
          <w:tcPr>
            <w:tcW w:w="8086" w:type="dxa"/>
            <w:gridSpan w:val="6"/>
            <w:vAlign w:val="center"/>
          </w:tcPr>
          <w:p w14:paraId="3D7DF4E7" w14:textId="77777777" w:rsidR="003030A1" w:rsidRPr="0089664C" w:rsidRDefault="003030A1" w:rsidP="0045628D">
            <w:pPr>
              <w:autoSpaceDE w:val="0"/>
              <w:autoSpaceDN w:val="0"/>
              <w:adjustRightInd w:val="0"/>
              <w:rPr>
                <w:rFonts w:ascii="Arial Narrow" w:hAnsi="Arial Narrow" w:cs="Arial Narrow"/>
                <w:b/>
                <w:bCs/>
                <w:i/>
                <w:sz w:val="20"/>
                <w:szCs w:val="20"/>
              </w:rPr>
            </w:pPr>
            <w:r w:rsidRPr="0089664C">
              <w:rPr>
                <w:rFonts w:ascii="Arial Narrow" w:hAnsi="Arial Narrow" w:cs="Arial Narrow"/>
                <w:b/>
                <w:bCs/>
                <w:i/>
                <w:sz w:val="20"/>
                <w:szCs w:val="20"/>
              </w:rPr>
              <w:t>Prescribing Instructions:</w:t>
            </w:r>
          </w:p>
          <w:p w14:paraId="24291A69" w14:textId="77777777" w:rsidR="003030A1" w:rsidRPr="0089664C" w:rsidRDefault="003030A1" w:rsidP="0045628D">
            <w:pPr>
              <w:autoSpaceDE w:val="0"/>
              <w:autoSpaceDN w:val="0"/>
              <w:adjustRightInd w:val="0"/>
              <w:rPr>
                <w:rFonts w:ascii="Arial Narrow" w:hAnsi="Arial Narrow" w:cs="Arial Narrow"/>
                <w:b/>
                <w:bCs/>
                <w:i/>
                <w:sz w:val="20"/>
                <w:szCs w:val="20"/>
              </w:rPr>
            </w:pPr>
            <w:r w:rsidRPr="0089664C">
              <w:rPr>
                <w:rFonts w:ascii="Arial Narrow" w:hAnsi="Arial Narrow" w:cs="Arial Narrow"/>
                <w:i/>
                <w:sz w:val="20"/>
                <w:szCs w:val="20"/>
              </w:rPr>
              <w:t>Appropriate genetic testing constitutes testing for FGFR3 gene mutation.</w:t>
            </w:r>
          </w:p>
        </w:tc>
      </w:tr>
      <w:tr w:rsidR="003030A1" w:rsidRPr="0089664C" w14:paraId="10786B4B"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2642029" w14:textId="4E2E9AD3" w:rsidR="003030A1" w:rsidRPr="0089664C" w:rsidRDefault="003030A1" w:rsidP="0045628D">
            <w:pPr>
              <w:jc w:val="center"/>
              <w:rPr>
                <w:rFonts w:ascii="Arial Narrow" w:eastAsia="Times New Roman" w:hAnsi="Arial Narrow"/>
                <w:sz w:val="20"/>
                <w:szCs w:val="20"/>
              </w:rPr>
            </w:pPr>
          </w:p>
        </w:tc>
        <w:tc>
          <w:tcPr>
            <w:tcW w:w="8086" w:type="dxa"/>
            <w:gridSpan w:val="6"/>
            <w:vAlign w:val="center"/>
          </w:tcPr>
          <w:p w14:paraId="6632B2BD" w14:textId="77777777" w:rsidR="003030A1" w:rsidRPr="0089664C" w:rsidRDefault="003030A1" w:rsidP="0045628D">
            <w:pPr>
              <w:rPr>
                <w:rFonts w:ascii="Arial Narrow" w:eastAsia="Times New Roman" w:hAnsi="Arial Narrow"/>
                <w:bCs/>
                <w:sz w:val="20"/>
                <w:szCs w:val="20"/>
              </w:rPr>
            </w:pPr>
            <w:r w:rsidRPr="0089664C">
              <w:rPr>
                <w:rFonts w:ascii="Arial Narrow" w:eastAsia="Times New Roman" w:hAnsi="Arial Narrow"/>
                <w:b/>
                <w:bCs/>
                <w:sz w:val="20"/>
                <w:szCs w:val="20"/>
              </w:rPr>
              <w:t xml:space="preserve">Administrative Advice: </w:t>
            </w:r>
          </w:p>
          <w:p w14:paraId="41FFE170" w14:textId="77777777" w:rsidR="003030A1" w:rsidRPr="0089664C" w:rsidRDefault="003030A1" w:rsidP="0045628D">
            <w:pPr>
              <w:rPr>
                <w:rFonts w:ascii="Arial Narrow" w:eastAsia="Times New Roman" w:hAnsi="Arial Narrow"/>
                <w:bCs/>
                <w:sz w:val="20"/>
                <w:szCs w:val="20"/>
              </w:rPr>
            </w:pPr>
            <w:r w:rsidRPr="0089664C">
              <w:rPr>
                <w:rFonts w:ascii="Arial Narrow" w:eastAsia="Times New Roman"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3030A1" w:rsidRPr="0089664C" w14:paraId="2CC629B5" w14:textId="77777777" w:rsidTr="0045628D">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76B8DB68" w14:textId="77777777" w:rsidR="003030A1" w:rsidRPr="0089664C" w:rsidRDefault="003030A1" w:rsidP="0045628D">
            <w:pPr>
              <w:rPr>
                <w:rFonts w:ascii="Arial Narrow" w:eastAsia="Times New Roman" w:hAnsi="Arial Narrow"/>
                <w:bCs/>
                <w:sz w:val="20"/>
                <w:szCs w:val="20"/>
              </w:rPr>
            </w:pPr>
          </w:p>
        </w:tc>
      </w:tr>
      <w:tr w:rsidR="003030A1" w:rsidRPr="0089664C" w14:paraId="6E137195" w14:textId="77777777" w:rsidTr="0045628D">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493AC139" w14:textId="77777777" w:rsidR="003030A1" w:rsidRPr="0089664C" w:rsidRDefault="003030A1" w:rsidP="0045628D">
            <w:pPr>
              <w:rPr>
                <w:rFonts w:ascii="Arial Narrow" w:eastAsia="Times New Roman" w:hAnsi="Arial Narrow"/>
                <w:b/>
                <w:bCs/>
                <w:sz w:val="20"/>
                <w:szCs w:val="20"/>
              </w:rPr>
            </w:pPr>
          </w:p>
        </w:tc>
      </w:tr>
      <w:tr w:rsidR="003030A1" w:rsidRPr="0089664C" w14:paraId="6632C2A2"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51AC4817" w14:textId="6CF66C23" w:rsidR="003030A1" w:rsidRPr="0089664C" w:rsidRDefault="003030A1" w:rsidP="0045628D">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59567E29" w14:textId="77777777" w:rsidR="003030A1" w:rsidRPr="0089664C" w:rsidRDefault="003030A1" w:rsidP="0045628D">
            <w:pPr>
              <w:rPr>
                <w:rFonts w:ascii="Arial Narrow" w:hAnsi="Arial Narrow"/>
                <w:sz w:val="20"/>
                <w:szCs w:val="20"/>
              </w:rPr>
            </w:pPr>
            <w:r w:rsidRPr="0089664C">
              <w:rPr>
                <w:rFonts w:ascii="Arial Narrow" w:hAnsi="Arial Narrow"/>
                <w:b/>
                <w:sz w:val="20"/>
                <w:szCs w:val="20"/>
              </w:rPr>
              <w:t xml:space="preserve">Category / Program: </w:t>
            </w:r>
            <w:r w:rsidRPr="0089664C">
              <w:rPr>
                <w:rFonts w:ascii="Arial Narrow" w:hAnsi="Arial Narrow"/>
                <w:sz w:val="20"/>
                <w:szCs w:val="20"/>
              </w:rPr>
              <w:t>GENERAL – General Schedule (Code GE)</w:t>
            </w:r>
          </w:p>
        </w:tc>
      </w:tr>
      <w:tr w:rsidR="003030A1" w:rsidRPr="0089664C" w14:paraId="19792D99" w14:textId="77777777" w:rsidTr="0045628D">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4461B597" w14:textId="77777777" w:rsidR="003030A1" w:rsidRPr="0089664C" w:rsidRDefault="003030A1" w:rsidP="0045628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3803B8B" w14:textId="77777777" w:rsidR="003030A1" w:rsidRPr="0089664C" w:rsidRDefault="003030A1" w:rsidP="0045628D">
            <w:pPr>
              <w:rPr>
                <w:rFonts w:ascii="Arial Narrow" w:hAnsi="Arial Narrow"/>
                <w:b/>
                <w:sz w:val="20"/>
                <w:szCs w:val="20"/>
              </w:rPr>
            </w:pPr>
            <w:r w:rsidRPr="0089664C">
              <w:rPr>
                <w:rFonts w:ascii="Arial Narrow" w:hAnsi="Arial Narrow"/>
                <w:b/>
                <w:sz w:val="20"/>
                <w:szCs w:val="20"/>
              </w:rPr>
              <w:t xml:space="preserve">Prescriber type: </w:t>
            </w:r>
            <w:r w:rsidRPr="0089664C">
              <w:rPr>
                <w:rFonts w:ascii="Arial Narrow" w:hAnsi="Arial Narrow"/>
                <w:sz w:val="20"/>
                <w:szCs w:val="20"/>
              </w:rPr>
              <w:fldChar w:fldCharType="begin" w:fldLock="1">
                <w:ffData>
                  <w:name w:val=""/>
                  <w:enabled/>
                  <w:calcOnExit w:val="0"/>
                  <w:checkBox>
                    <w:sizeAuto/>
                    <w:default w:val="1"/>
                  </w:checkBox>
                </w:ffData>
              </w:fldChar>
            </w:r>
            <w:r w:rsidRPr="0089664C">
              <w:rPr>
                <w:rFonts w:ascii="Arial Narrow" w:hAnsi="Arial Narrow"/>
                <w:sz w:val="20"/>
                <w:szCs w:val="20"/>
              </w:rPr>
              <w:instrText xml:space="preserve"> FORMCHECKBOX </w:instrText>
            </w:r>
            <w:r w:rsidR="00FA023D">
              <w:rPr>
                <w:rFonts w:ascii="Arial Narrow" w:hAnsi="Arial Narrow"/>
                <w:sz w:val="20"/>
                <w:szCs w:val="20"/>
              </w:rPr>
            </w:r>
            <w:r w:rsidR="00FA023D">
              <w:rPr>
                <w:rFonts w:ascii="Arial Narrow" w:hAnsi="Arial Narrow"/>
                <w:sz w:val="20"/>
                <w:szCs w:val="20"/>
              </w:rPr>
              <w:fldChar w:fldCharType="separate"/>
            </w:r>
            <w:r w:rsidRPr="0089664C">
              <w:rPr>
                <w:rFonts w:ascii="Arial Narrow" w:hAnsi="Arial Narrow"/>
                <w:sz w:val="20"/>
                <w:szCs w:val="20"/>
              </w:rPr>
              <w:fldChar w:fldCharType="end"/>
            </w:r>
            <w:r w:rsidRPr="0089664C">
              <w:rPr>
                <w:rFonts w:ascii="Arial Narrow" w:hAnsi="Arial Narrow"/>
                <w:sz w:val="20"/>
                <w:szCs w:val="20"/>
              </w:rPr>
              <w:t xml:space="preserve">Medical Practitioners    </w:t>
            </w:r>
            <w:r w:rsidRPr="0089664C">
              <w:rPr>
                <w:rFonts w:ascii="Arial Narrow" w:hAnsi="Arial Narrow"/>
                <w:sz w:val="20"/>
                <w:szCs w:val="20"/>
              </w:rPr>
              <w:fldChar w:fldCharType="begin" w:fldLock="1">
                <w:ffData>
                  <w:name w:val=""/>
                  <w:enabled/>
                  <w:calcOnExit w:val="0"/>
                  <w:checkBox>
                    <w:sizeAuto/>
                    <w:default w:val="0"/>
                  </w:checkBox>
                </w:ffData>
              </w:fldChar>
            </w:r>
            <w:r w:rsidRPr="0089664C">
              <w:rPr>
                <w:rFonts w:ascii="Arial Narrow" w:hAnsi="Arial Narrow"/>
                <w:sz w:val="20"/>
                <w:szCs w:val="20"/>
              </w:rPr>
              <w:instrText xml:space="preserve"> FORMCHECKBOX </w:instrText>
            </w:r>
            <w:r w:rsidR="00FA023D">
              <w:rPr>
                <w:rFonts w:ascii="Arial Narrow" w:hAnsi="Arial Narrow"/>
                <w:sz w:val="20"/>
                <w:szCs w:val="20"/>
              </w:rPr>
            </w:r>
            <w:r w:rsidR="00FA023D">
              <w:rPr>
                <w:rFonts w:ascii="Arial Narrow" w:hAnsi="Arial Narrow"/>
                <w:sz w:val="20"/>
                <w:szCs w:val="20"/>
              </w:rPr>
              <w:fldChar w:fldCharType="separate"/>
            </w:r>
            <w:r w:rsidRPr="0089664C">
              <w:rPr>
                <w:rFonts w:ascii="Arial Narrow" w:hAnsi="Arial Narrow"/>
                <w:sz w:val="20"/>
                <w:szCs w:val="20"/>
              </w:rPr>
              <w:fldChar w:fldCharType="end"/>
            </w:r>
            <w:r w:rsidRPr="0089664C">
              <w:rPr>
                <w:rFonts w:ascii="Arial Narrow" w:hAnsi="Arial Narrow"/>
                <w:sz w:val="20"/>
                <w:szCs w:val="20"/>
              </w:rPr>
              <w:t xml:space="preserve">Nurse practitioners  </w:t>
            </w:r>
          </w:p>
        </w:tc>
      </w:tr>
      <w:tr w:rsidR="003030A1" w:rsidRPr="0089664C" w14:paraId="7607FA47"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Merge/>
            <w:tcBorders>
              <w:left w:val="single" w:sz="4" w:space="0" w:color="auto"/>
              <w:bottom w:val="single" w:sz="4" w:space="0" w:color="auto"/>
              <w:right w:val="single" w:sz="4" w:space="0" w:color="auto"/>
            </w:tcBorders>
          </w:tcPr>
          <w:p w14:paraId="58D701D9" w14:textId="77777777" w:rsidR="003030A1" w:rsidRPr="0089664C" w:rsidRDefault="003030A1" w:rsidP="0045628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B6ED5AC" w14:textId="77777777" w:rsidR="003030A1" w:rsidRPr="0089664C" w:rsidRDefault="003030A1" w:rsidP="0045628D">
            <w:pPr>
              <w:rPr>
                <w:rFonts w:ascii="Arial Narrow" w:eastAsia="Calibri" w:hAnsi="Arial Narrow"/>
                <w:sz w:val="20"/>
                <w:szCs w:val="20"/>
              </w:rPr>
            </w:pPr>
            <w:r w:rsidRPr="0089664C">
              <w:rPr>
                <w:rFonts w:ascii="Arial Narrow" w:hAnsi="Arial Narrow"/>
                <w:b/>
                <w:sz w:val="20"/>
                <w:szCs w:val="20"/>
              </w:rPr>
              <w:t xml:space="preserve">Restriction type: </w:t>
            </w:r>
            <w:r w:rsidRPr="0089664C">
              <w:rPr>
                <w:rFonts w:ascii="Arial Narrow" w:eastAsia="Calibri" w:hAnsi="Arial Narrow"/>
                <w:sz w:val="20"/>
                <w:szCs w:val="20"/>
              </w:rPr>
              <w:fldChar w:fldCharType="begin" w:fldLock="1">
                <w:ffData>
                  <w:name w:val=""/>
                  <w:enabled/>
                  <w:calcOnExit w:val="0"/>
                  <w:checkBox>
                    <w:sizeAuto/>
                    <w:default w:val="1"/>
                  </w:checkBox>
                </w:ffData>
              </w:fldChar>
            </w:r>
            <w:r w:rsidRPr="0089664C">
              <w:rPr>
                <w:rFonts w:ascii="Arial Narrow" w:eastAsia="Calibri" w:hAnsi="Arial Narrow"/>
                <w:sz w:val="20"/>
                <w:szCs w:val="20"/>
              </w:rPr>
              <w:instrText xml:space="preserve"> FORMCHECKBOX </w:instrText>
            </w:r>
            <w:r w:rsidR="00FA023D">
              <w:rPr>
                <w:rFonts w:ascii="Arial Narrow" w:eastAsia="Calibri" w:hAnsi="Arial Narrow"/>
                <w:sz w:val="20"/>
                <w:szCs w:val="20"/>
              </w:rPr>
            </w:r>
            <w:r w:rsidR="00FA023D">
              <w:rPr>
                <w:rFonts w:ascii="Arial Narrow" w:eastAsia="Calibri" w:hAnsi="Arial Narrow"/>
                <w:sz w:val="20"/>
                <w:szCs w:val="20"/>
              </w:rPr>
              <w:fldChar w:fldCharType="separate"/>
            </w:r>
            <w:r w:rsidRPr="0089664C">
              <w:rPr>
                <w:rFonts w:ascii="Arial Narrow" w:eastAsia="Calibri" w:hAnsi="Arial Narrow"/>
                <w:sz w:val="20"/>
                <w:szCs w:val="20"/>
              </w:rPr>
              <w:fldChar w:fldCharType="end"/>
            </w:r>
            <w:r w:rsidRPr="0089664C">
              <w:rPr>
                <w:rFonts w:ascii="Arial Narrow" w:eastAsia="Calibri" w:hAnsi="Arial Narrow"/>
                <w:sz w:val="20"/>
                <w:szCs w:val="20"/>
              </w:rPr>
              <w:t xml:space="preserve"> Authority Required (telephone/online PBS Authorities system)</w:t>
            </w:r>
          </w:p>
        </w:tc>
      </w:tr>
      <w:tr w:rsidR="003030A1" w:rsidRPr="0089664C" w14:paraId="6236B3C6" w14:textId="77777777" w:rsidTr="0045628D">
        <w:tblPrEx>
          <w:tblCellMar>
            <w:top w:w="15" w:type="dxa"/>
            <w:left w:w="15" w:type="dxa"/>
            <w:bottom w:w="15" w:type="dxa"/>
            <w:right w:w="15" w:type="dxa"/>
          </w:tblCellMar>
        </w:tblPrEx>
        <w:tc>
          <w:tcPr>
            <w:tcW w:w="490" w:type="dxa"/>
            <w:vMerge w:val="restart"/>
            <w:tcBorders>
              <w:left w:val="single" w:sz="4" w:space="0" w:color="auto"/>
              <w:right w:val="single" w:sz="4" w:space="0" w:color="auto"/>
            </w:tcBorders>
            <w:textDirection w:val="btLr"/>
          </w:tcPr>
          <w:p w14:paraId="2B196AFB" w14:textId="33FC4966" w:rsidR="003030A1" w:rsidRPr="0089664C" w:rsidRDefault="003030A1" w:rsidP="0045628D">
            <w:pPr>
              <w:rPr>
                <w:rFonts w:ascii="Arial Narrow" w:hAnsi="Arial Narrow"/>
                <w:sz w:val="20"/>
                <w:szCs w:val="20"/>
              </w:rPr>
            </w:pPr>
          </w:p>
        </w:tc>
        <w:tc>
          <w:tcPr>
            <w:tcW w:w="491" w:type="dxa"/>
            <w:tcBorders>
              <w:left w:val="single" w:sz="4" w:space="0" w:color="auto"/>
              <w:bottom w:val="single" w:sz="4" w:space="0" w:color="auto"/>
              <w:right w:val="single" w:sz="4" w:space="0" w:color="auto"/>
            </w:tcBorders>
          </w:tcPr>
          <w:p w14:paraId="0929FC53" w14:textId="449F729A" w:rsidR="003030A1" w:rsidRPr="0089664C" w:rsidRDefault="003030A1" w:rsidP="0045628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2AC1A72A" w14:textId="77777777" w:rsidR="003030A1" w:rsidRPr="0089664C" w:rsidRDefault="003030A1" w:rsidP="0045628D">
            <w:pPr>
              <w:rPr>
                <w:rFonts w:ascii="Arial Narrow" w:hAnsi="Arial Narrow"/>
                <w:b/>
                <w:sz w:val="20"/>
                <w:szCs w:val="20"/>
              </w:rPr>
            </w:pPr>
            <w:r w:rsidRPr="0089664C">
              <w:rPr>
                <w:rFonts w:ascii="Arial Narrow" w:hAnsi="Arial Narrow"/>
                <w:b/>
                <w:bCs/>
                <w:i/>
                <w:iCs/>
                <w:sz w:val="20"/>
                <w:szCs w:val="20"/>
              </w:rPr>
              <w:t>Administrative advice:</w:t>
            </w:r>
            <w:r w:rsidRPr="0089664C">
              <w:rPr>
                <w:rFonts w:ascii="Arial Narrow" w:hAnsi="Arial Narrow"/>
                <w:i/>
                <w:iCs/>
                <w:sz w:val="20"/>
                <w:szCs w:val="20"/>
              </w:rPr>
              <w:t xml:space="preserve"> Special Pricing Arrangements apply.</w:t>
            </w:r>
          </w:p>
        </w:tc>
      </w:tr>
      <w:tr w:rsidR="003030A1" w:rsidRPr="0089664C" w14:paraId="7AF040A0" w14:textId="77777777" w:rsidTr="0045628D">
        <w:tblPrEx>
          <w:tblCellMar>
            <w:top w:w="15" w:type="dxa"/>
            <w:left w:w="15" w:type="dxa"/>
            <w:bottom w:w="15" w:type="dxa"/>
            <w:right w:w="15" w:type="dxa"/>
          </w:tblCellMar>
        </w:tblPrEx>
        <w:tc>
          <w:tcPr>
            <w:tcW w:w="490" w:type="dxa"/>
            <w:vMerge/>
            <w:tcBorders>
              <w:left w:val="single" w:sz="4" w:space="0" w:color="auto"/>
              <w:right w:val="single" w:sz="4" w:space="0" w:color="auto"/>
            </w:tcBorders>
          </w:tcPr>
          <w:p w14:paraId="679B91A3" w14:textId="77777777" w:rsidR="003030A1" w:rsidRPr="0089664C" w:rsidRDefault="003030A1" w:rsidP="0045628D">
            <w:pPr>
              <w:rPr>
                <w:rFonts w:ascii="Arial Narrow" w:hAnsi="Arial Narrow"/>
                <w:sz w:val="20"/>
                <w:szCs w:val="20"/>
              </w:rPr>
            </w:pPr>
          </w:p>
        </w:tc>
        <w:tc>
          <w:tcPr>
            <w:tcW w:w="491" w:type="dxa"/>
            <w:tcBorders>
              <w:left w:val="single" w:sz="4" w:space="0" w:color="auto"/>
              <w:bottom w:val="single" w:sz="4" w:space="0" w:color="auto"/>
              <w:right w:val="single" w:sz="4" w:space="0" w:color="auto"/>
            </w:tcBorders>
            <w:vAlign w:val="center"/>
          </w:tcPr>
          <w:p w14:paraId="562F0AD5" w14:textId="7098A485" w:rsidR="003030A1" w:rsidRPr="0089664C" w:rsidRDefault="003030A1" w:rsidP="0045628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65BF6771" w14:textId="77777777" w:rsidR="003030A1" w:rsidRPr="0089664C" w:rsidRDefault="003030A1" w:rsidP="0045628D">
            <w:pPr>
              <w:rPr>
                <w:rFonts w:ascii="Arial Narrow" w:hAnsi="Arial Narrow"/>
                <w:b/>
                <w:sz w:val="20"/>
                <w:szCs w:val="20"/>
              </w:rPr>
            </w:pPr>
            <w:r w:rsidRPr="0089664C">
              <w:rPr>
                <w:rFonts w:ascii="Arial Narrow" w:hAnsi="Arial Narrow"/>
                <w:b/>
                <w:bCs/>
                <w:i/>
                <w:iCs/>
                <w:sz w:val="20"/>
                <w:szCs w:val="20"/>
              </w:rPr>
              <w:t xml:space="preserve">Administrative advice: </w:t>
            </w:r>
            <w:r w:rsidRPr="0089664C">
              <w:rPr>
                <w:rFonts w:ascii="Arial Narrow" w:hAnsi="Arial Narrow"/>
                <w:bCs/>
                <w:i/>
                <w:iCs/>
                <w:sz w:val="20"/>
                <w:szCs w:val="20"/>
              </w:rPr>
              <w:t>No increase in the maximum quantity or number of units may be authorised.</w:t>
            </w:r>
          </w:p>
        </w:tc>
      </w:tr>
      <w:tr w:rsidR="003030A1" w:rsidRPr="0089664C" w14:paraId="58A14C70" w14:textId="77777777" w:rsidTr="0045628D">
        <w:tblPrEx>
          <w:tblCellMar>
            <w:top w:w="15" w:type="dxa"/>
            <w:left w:w="15" w:type="dxa"/>
            <w:bottom w:w="15" w:type="dxa"/>
            <w:right w:w="15" w:type="dxa"/>
          </w:tblCellMar>
        </w:tblPrEx>
        <w:tc>
          <w:tcPr>
            <w:tcW w:w="490" w:type="dxa"/>
            <w:vMerge/>
            <w:tcBorders>
              <w:left w:val="single" w:sz="4" w:space="0" w:color="auto"/>
              <w:bottom w:val="single" w:sz="4" w:space="0" w:color="auto"/>
              <w:right w:val="single" w:sz="4" w:space="0" w:color="auto"/>
            </w:tcBorders>
          </w:tcPr>
          <w:p w14:paraId="6DEC2D83" w14:textId="77777777" w:rsidR="003030A1" w:rsidRPr="0089664C" w:rsidRDefault="003030A1" w:rsidP="0045628D">
            <w:pPr>
              <w:rPr>
                <w:rFonts w:ascii="Arial Narrow" w:hAnsi="Arial Narrow"/>
                <w:sz w:val="20"/>
                <w:szCs w:val="20"/>
              </w:rPr>
            </w:pPr>
          </w:p>
        </w:tc>
        <w:tc>
          <w:tcPr>
            <w:tcW w:w="491" w:type="dxa"/>
            <w:tcBorders>
              <w:left w:val="single" w:sz="4" w:space="0" w:color="auto"/>
              <w:bottom w:val="single" w:sz="4" w:space="0" w:color="auto"/>
              <w:right w:val="single" w:sz="4" w:space="0" w:color="auto"/>
            </w:tcBorders>
            <w:vAlign w:val="center"/>
          </w:tcPr>
          <w:p w14:paraId="189AF04E" w14:textId="2AEC73AF" w:rsidR="003030A1" w:rsidRPr="0089664C" w:rsidRDefault="003030A1" w:rsidP="0045628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0B01A19A" w14:textId="77777777" w:rsidR="003030A1" w:rsidRPr="0089664C" w:rsidRDefault="003030A1" w:rsidP="0045628D">
            <w:pPr>
              <w:rPr>
                <w:rFonts w:ascii="Arial Narrow" w:hAnsi="Arial Narrow"/>
                <w:b/>
                <w:sz w:val="20"/>
                <w:szCs w:val="20"/>
              </w:rPr>
            </w:pPr>
            <w:r w:rsidRPr="0089664C">
              <w:rPr>
                <w:rFonts w:ascii="Arial Narrow" w:hAnsi="Arial Narrow"/>
                <w:b/>
                <w:bCs/>
                <w:i/>
                <w:iCs/>
                <w:sz w:val="20"/>
                <w:szCs w:val="20"/>
              </w:rPr>
              <w:t>Administrative advice:</w:t>
            </w:r>
            <w:r w:rsidRPr="0089664C">
              <w:rPr>
                <w:rFonts w:ascii="Arial Narrow" w:hAnsi="Arial Narrow"/>
                <w:bCs/>
                <w:sz w:val="20"/>
                <w:szCs w:val="20"/>
              </w:rPr>
              <w:t xml:space="preserve"> </w:t>
            </w:r>
            <w:r w:rsidRPr="0089664C">
              <w:rPr>
                <w:rFonts w:ascii="Arial Narrow" w:hAnsi="Arial Narrow"/>
                <w:bCs/>
                <w:i/>
                <w:iCs/>
                <w:sz w:val="20"/>
                <w:szCs w:val="20"/>
              </w:rPr>
              <w:t>No increase in the maximum number of repeats may be authorised.</w:t>
            </w:r>
          </w:p>
        </w:tc>
      </w:tr>
      <w:tr w:rsidR="003030A1" w:rsidRPr="0089664C" w14:paraId="64B17767" w14:textId="77777777" w:rsidTr="00CD45AC">
        <w:tblPrEx>
          <w:tblCellMar>
            <w:top w:w="15" w:type="dxa"/>
            <w:left w:w="15" w:type="dxa"/>
            <w:bottom w:w="15" w:type="dxa"/>
            <w:right w:w="15" w:type="dxa"/>
          </w:tblCellMar>
          <w:tblLook w:val="04A0" w:firstRow="1" w:lastRow="0" w:firstColumn="1" w:lastColumn="0" w:noHBand="0" w:noVBand="1"/>
        </w:tblPrEx>
        <w:tc>
          <w:tcPr>
            <w:tcW w:w="981" w:type="dxa"/>
            <w:gridSpan w:val="2"/>
          </w:tcPr>
          <w:p w14:paraId="3EFE4712" w14:textId="4C1ED3AB" w:rsidR="003030A1" w:rsidRPr="0089664C" w:rsidRDefault="003030A1" w:rsidP="0045628D">
            <w:pPr>
              <w:jc w:val="center"/>
              <w:rPr>
                <w:rFonts w:ascii="Arial Narrow" w:eastAsia="Calibri" w:hAnsi="Arial Narrow"/>
                <w:sz w:val="20"/>
                <w:szCs w:val="20"/>
              </w:rPr>
            </w:pPr>
          </w:p>
        </w:tc>
        <w:tc>
          <w:tcPr>
            <w:tcW w:w="8086" w:type="dxa"/>
            <w:gridSpan w:val="6"/>
            <w:hideMark/>
          </w:tcPr>
          <w:p w14:paraId="3BF943F9" w14:textId="77777777" w:rsidR="003030A1" w:rsidRPr="0089664C" w:rsidRDefault="003030A1" w:rsidP="0045628D">
            <w:pPr>
              <w:rPr>
                <w:rFonts w:ascii="Arial Narrow" w:eastAsia="Calibri" w:hAnsi="Arial Narrow"/>
                <w:sz w:val="20"/>
                <w:szCs w:val="20"/>
              </w:rPr>
            </w:pPr>
            <w:r w:rsidRPr="0089664C">
              <w:rPr>
                <w:rFonts w:ascii="Arial Narrow" w:eastAsia="Calibri" w:hAnsi="Arial Narrow"/>
                <w:b/>
                <w:bCs/>
                <w:sz w:val="20"/>
                <w:szCs w:val="20"/>
              </w:rPr>
              <w:t>Indication:</w:t>
            </w:r>
            <w:r w:rsidRPr="0089664C">
              <w:rPr>
                <w:rFonts w:ascii="Arial Narrow" w:eastAsia="Calibri" w:hAnsi="Arial Narrow"/>
                <w:sz w:val="20"/>
                <w:szCs w:val="20"/>
              </w:rPr>
              <w:t xml:space="preserve"> Achondroplasia</w:t>
            </w:r>
          </w:p>
        </w:tc>
      </w:tr>
      <w:tr w:rsidR="003030A1" w:rsidRPr="0089664C" w14:paraId="68F2C751" w14:textId="77777777" w:rsidTr="00CD45A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73EA35B"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090D93FB"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Treatment Phase:</w:t>
            </w:r>
            <w:r w:rsidRPr="0089664C">
              <w:rPr>
                <w:rFonts w:ascii="Arial Narrow" w:eastAsia="Times New Roman" w:hAnsi="Arial Narrow"/>
                <w:sz w:val="20"/>
                <w:szCs w:val="20"/>
              </w:rPr>
              <w:t xml:space="preserve"> Continuation </w:t>
            </w:r>
          </w:p>
        </w:tc>
      </w:tr>
      <w:tr w:rsidR="003030A1" w:rsidRPr="0089664C" w14:paraId="7FFF5447" w14:textId="77777777" w:rsidTr="00CD45A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4D5650A"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4991F8B7"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 xml:space="preserve">Clinical criteria: </w:t>
            </w:r>
          </w:p>
        </w:tc>
      </w:tr>
      <w:tr w:rsidR="003030A1" w:rsidRPr="0089664C" w14:paraId="337E2809" w14:textId="77777777" w:rsidTr="00CD45A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15112CB" w14:textId="55AB31D1"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1E4AB7E9" w14:textId="77777777" w:rsidR="003030A1" w:rsidRPr="0089664C" w:rsidRDefault="003030A1" w:rsidP="0045628D">
            <w:pPr>
              <w:pStyle w:val="PBACTabletext"/>
              <w:rPr>
                <w:szCs w:val="20"/>
                <w:lang w:eastAsia="en-AU"/>
              </w:rPr>
            </w:pPr>
            <w:r w:rsidRPr="0089664C">
              <w:rPr>
                <w:rFonts w:eastAsiaTheme="minorHAnsi" w:cs="Arial Narrow"/>
                <w:iCs/>
                <w:szCs w:val="20"/>
                <w:lang w:eastAsia="en-US"/>
              </w:rPr>
              <w:t xml:space="preserve"> </w:t>
            </w:r>
            <w:r w:rsidRPr="0089664C">
              <w:rPr>
                <w:rFonts w:cs="Times New Roman"/>
                <w:szCs w:val="20"/>
                <w:lang w:eastAsia="en-AU"/>
              </w:rPr>
              <w:t>The patient must have received PBS subsidised vosoritide treatment for this condition</w:t>
            </w:r>
          </w:p>
        </w:tc>
      </w:tr>
      <w:tr w:rsidR="003030A1" w:rsidRPr="0089664C" w14:paraId="335BC7C6" w14:textId="77777777" w:rsidTr="00CD45A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9D29DB4"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6FF8B59A"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AND</w:t>
            </w:r>
          </w:p>
        </w:tc>
      </w:tr>
      <w:tr w:rsidR="003030A1" w:rsidRPr="0089664C" w14:paraId="2483C7FD"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30BCBAC"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56917008"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Clinical criteria:</w:t>
            </w:r>
          </w:p>
        </w:tc>
      </w:tr>
      <w:tr w:rsidR="003030A1" w:rsidRPr="0089664C" w14:paraId="6C5921D1"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E9BE9A8" w14:textId="23A311F1"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6E5FCD70" w14:textId="77777777" w:rsidR="003030A1" w:rsidRPr="0089664C" w:rsidRDefault="003030A1" w:rsidP="0045628D">
            <w:pPr>
              <w:pStyle w:val="PBACTabletext"/>
              <w:rPr>
                <w:rFonts w:eastAsiaTheme="minorHAnsi" w:cs="Arial Narrow"/>
                <w:iCs/>
                <w:szCs w:val="20"/>
                <w:lang w:eastAsia="en-US"/>
              </w:rPr>
            </w:pPr>
            <w:r w:rsidRPr="0089664C">
              <w:rPr>
                <w:rFonts w:eastAsiaTheme="minorHAnsi" w:cs="Arial Narrow"/>
                <w:iCs/>
                <w:szCs w:val="20"/>
                <w:lang w:eastAsia="en-US"/>
              </w:rPr>
              <w:t xml:space="preserve">Patient must not have evidence of growth plate closure </w:t>
            </w:r>
            <w:r w:rsidRPr="0089664C">
              <w:rPr>
                <w:rFonts w:eastAsiaTheme="minorHAnsi" w:cs="Arial Narrow"/>
                <w:i/>
                <w:szCs w:val="20"/>
                <w:lang w:eastAsia="en-US"/>
              </w:rPr>
              <w:t>demonstrated by</w:t>
            </w:r>
            <w:r w:rsidRPr="0089664C">
              <w:rPr>
                <w:rFonts w:eastAsiaTheme="minorHAnsi" w:cs="Arial Narrow"/>
                <w:iCs/>
                <w:szCs w:val="20"/>
                <w:lang w:eastAsia="en-US"/>
              </w:rPr>
              <w:t xml:space="preserve"> either: i) </w:t>
            </w:r>
            <w:r w:rsidRPr="0089664C">
              <w:rPr>
                <w:rFonts w:eastAsiaTheme="minorHAnsi" w:cs="Arial Narrow"/>
                <w:iCs/>
                <w:strike/>
                <w:szCs w:val="20"/>
                <w:lang w:eastAsia="en-US"/>
              </w:rPr>
              <w:t xml:space="preserve">confirmed through </w:t>
            </w:r>
            <w:r w:rsidRPr="0089664C">
              <w:rPr>
                <w:rFonts w:eastAsiaTheme="minorHAnsi" w:cs="Arial Narrow"/>
                <w:iCs/>
                <w:szCs w:val="20"/>
                <w:lang w:eastAsia="en-US"/>
              </w:rPr>
              <w:t xml:space="preserve">bilateral lower extremity X-rays (proximal tibia, distal femur); ii)  </w:t>
            </w:r>
            <w:r w:rsidRPr="0089664C">
              <w:rPr>
                <w:rFonts w:cs="Arial Narrow"/>
                <w:iCs/>
                <w:strike/>
                <w:szCs w:val="20"/>
                <w:lang w:eastAsia="en-US"/>
              </w:rPr>
              <w:t xml:space="preserve">demonstrated by </w:t>
            </w:r>
            <w:r w:rsidRPr="0089664C">
              <w:rPr>
                <w:rFonts w:cs="Arial Narrow"/>
                <w:iCs/>
                <w:szCs w:val="20"/>
                <w:lang w:eastAsia="en-US"/>
              </w:rPr>
              <w:t>an annual growth velocity of less than 1.5 cm/year as assessed over a period of at least 6 months.</w:t>
            </w:r>
            <w:r w:rsidRPr="0089664C">
              <w:rPr>
                <w:rFonts w:cs="Arial Narrow"/>
                <w:i/>
                <w:szCs w:val="20"/>
                <w:lang w:eastAsia="en-US"/>
              </w:rPr>
              <w:t xml:space="preserve"> </w:t>
            </w:r>
          </w:p>
        </w:tc>
      </w:tr>
      <w:tr w:rsidR="003030A1" w:rsidRPr="0089664C" w14:paraId="1904D809"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27350ED"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0CF473A2"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Treatment criteria:</w:t>
            </w:r>
          </w:p>
        </w:tc>
      </w:tr>
      <w:tr w:rsidR="003030A1" w:rsidRPr="0089664C" w14:paraId="03DDD916"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9E07E00" w14:textId="41F41D6C"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644EB0B2" w14:textId="77777777" w:rsidR="003030A1" w:rsidRPr="0089664C" w:rsidRDefault="003030A1" w:rsidP="0045628D">
            <w:pPr>
              <w:autoSpaceDE w:val="0"/>
              <w:autoSpaceDN w:val="0"/>
              <w:adjustRightInd w:val="0"/>
              <w:rPr>
                <w:rFonts w:ascii="Arial Narrow" w:hAnsi="Arial Narrow" w:cs="Arial Narrow"/>
                <w:iCs/>
                <w:sz w:val="20"/>
                <w:szCs w:val="20"/>
              </w:rPr>
            </w:pPr>
            <w:r w:rsidRPr="0089664C">
              <w:rPr>
                <w:rFonts w:ascii="Arial Narrow" w:hAnsi="Arial Narrow" w:cs="Arial Narrow"/>
                <w:iCs/>
                <w:sz w:val="20"/>
                <w:szCs w:val="20"/>
              </w:rPr>
              <w:t>Must be treated by a medical specialist, experienced in the management of achondroplasia</w:t>
            </w:r>
            <w:r w:rsidRPr="0089664C">
              <w:rPr>
                <w:rFonts w:ascii="Arial Narrow" w:hAnsi="Arial Narrow" w:cs="Arial Narrow"/>
                <w:iCs/>
                <w:strike/>
                <w:sz w:val="20"/>
                <w:szCs w:val="20"/>
              </w:rPr>
              <w:t>; OR</w:t>
            </w:r>
          </w:p>
          <w:p w14:paraId="39DD8FAE" w14:textId="77777777" w:rsidR="003030A1" w:rsidRPr="0089664C" w:rsidRDefault="003030A1" w:rsidP="0045628D">
            <w:pPr>
              <w:autoSpaceDE w:val="0"/>
              <w:autoSpaceDN w:val="0"/>
              <w:adjustRightInd w:val="0"/>
              <w:rPr>
                <w:rFonts w:ascii="Arial Narrow" w:hAnsi="Arial Narrow" w:cs="Arial Narrow"/>
                <w:i/>
                <w:iCs/>
                <w:sz w:val="20"/>
                <w:szCs w:val="20"/>
              </w:rPr>
            </w:pPr>
            <w:r w:rsidRPr="0089664C">
              <w:rPr>
                <w:rFonts w:ascii="Arial Narrow" w:hAnsi="Arial Narrow" w:cs="Arial Narrow"/>
                <w:iCs/>
                <w:strike/>
                <w:sz w:val="20"/>
                <w:szCs w:val="20"/>
              </w:rPr>
              <w:t>Must be treated by a nurse practitioner experienced in the treatment of achondroplasia in consultation with a medical specialist experienced in the management of</w:t>
            </w:r>
            <w:r w:rsidRPr="0089664C">
              <w:rPr>
                <w:rFonts w:ascii="Arial Narrow" w:hAnsi="Arial Narrow" w:cs="Arial Narrow"/>
                <w:iCs/>
                <w:sz w:val="20"/>
                <w:szCs w:val="20"/>
              </w:rPr>
              <w:t xml:space="preserve"> achondroplasia</w:t>
            </w:r>
          </w:p>
        </w:tc>
      </w:tr>
      <w:tr w:rsidR="003030A1" w:rsidRPr="0089664C" w14:paraId="654F36FE"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0DDD06B" w14:textId="4D198E07" w:rsidR="003030A1" w:rsidRPr="0089664C" w:rsidRDefault="003030A1" w:rsidP="0045628D">
            <w:pPr>
              <w:jc w:val="center"/>
              <w:rPr>
                <w:rFonts w:ascii="Arial Narrow" w:eastAsia="Times New Roman" w:hAnsi="Arial Narrow"/>
                <w:sz w:val="20"/>
                <w:szCs w:val="20"/>
              </w:rPr>
            </w:pPr>
          </w:p>
        </w:tc>
        <w:tc>
          <w:tcPr>
            <w:tcW w:w="8086" w:type="dxa"/>
            <w:gridSpan w:val="6"/>
            <w:vAlign w:val="center"/>
          </w:tcPr>
          <w:p w14:paraId="08919841" w14:textId="77777777" w:rsidR="003030A1" w:rsidRPr="0089664C" w:rsidRDefault="003030A1" w:rsidP="0045628D">
            <w:pPr>
              <w:autoSpaceDE w:val="0"/>
              <w:autoSpaceDN w:val="0"/>
              <w:adjustRightInd w:val="0"/>
              <w:rPr>
                <w:rFonts w:ascii="Arial Narrow" w:hAnsi="Arial Narrow" w:cs="Arial Narrow"/>
                <w:b/>
                <w:bCs/>
                <w:i/>
                <w:sz w:val="20"/>
                <w:szCs w:val="20"/>
              </w:rPr>
            </w:pPr>
            <w:r w:rsidRPr="0089664C">
              <w:rPr>
                <w:rFonts w:ascii="Arial Narrow" w:hAnsi="Arial Narrow" w:cs="Arial Narrow"/>
                <w:b/>
                <w:bCs/>
                <w:i/>
                <w:sz w:val="20"/>
                <w:szCs w:val="20"/>
              </w:rPr>
              <w:t>Prescribing Instructions:</w:t>
            </w:r>
          </w:p>
          <w:p w14:paraId="548AA0FF" w14:textId="77777777" w:rsidR="003030A1" w:rsidRPr="0089664C" w:rsidRDefault="003030A1" w:rsidP="0045628D">
            <w:pPr>
              <w:autoSpaceDE w:val="0"/>
              <w:autoSpaceDN w:val="0"/>
              <w:adjustRightInd w:val="0"/>
              <w:rPr>
                <w:rFonts w:ascii="Arial Narrow" w:hAnsi="Arial Narrow" w:cs="Arial Narrow"/>
                <w:iCs/>
                <w:sz w:val="20"/>
                <w:szCs w:val="20"/>
              </w:rPr>
            </w:pPr>
            <w:r w:rsidRPr="0089664C">
              <w:rPr>
                <w:rFonts w:ascii="Arial Narrow" w:hAnsi="Arial Narrow" w:cs="Arial Narrow"/>
                <w:i/>
                <w:sz w:val="20"/>
                <w:szCs w:val="20"/>
              </w:rPr>
              <w:t>At the time of authority application, prescribers must request the vials of appropriate strength to provide sufficient drug, based on the weight of the patient, adequate for 30 days, according to the specified dosage in the approved Product Information (PI). Up to a maximum of 5 repeats will be authorised.</w:t>
            </w:r>
          </w:p>
        </w:tc>
      </w:tr>
      <w:tr w:rsidR="003030A1" w:rsidRPr="0089664C" w14:paraId="2F652967"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AFD9EBE" w14:textId="686A7B8E" w:rsidR="003030A1" w:rsidRPr="0089664C" w:rsidRDefault="003030A1" w:rsidP="0045628D">
            <w:pPr>
              <w:jc w:val="center"/>
              <w:rPr>
                <w:rFonts w:ascii="Arial Narrow" w:eastAsia="Times New Roman" w:hAnsi="Arial Narrow"/>
                <w:sz w:val="20"/>
                <w:szCs w:val="20"/>
              </w:rPr>
            </w:pPr>
          </w:p>
        </w:tc>
        <w:tc>
          <w:tcPr>
            <w:tcW w:w="8086" w:type="dxa"/>
            <w:gridSpan w:val="6"/>
            <w:vAlign w:val="center"/>
          </w:tcPr>
          <w:p w14:paraId="5EBFAB26" w14:textId="77777777" w:rsidR="003030A1" w:rsidRPr="0089664C" w:rsidRDefault="003030A1" w:rsidP="0045628D">
            <w:pPr>
              <w:rPr>
                <w:rFonts w:ascii="Arial Narrow" w:eastAsia="Times New Roman" w:hAnsi="Arial Narrow"/>
                <w:bCs/>
                <w:sz w:val="20"/>
                <w:szCs w:val="20"/>
              </w:rPr>
            </w:pPr>
            <w:r w:rsidRPr="0089664C">
              <w:rPr>
                <w:rFonts w:ascii="Arial Narrow" w:eastAsia="Times New Roman" w:hAnsi="Arial Narrow"/>
                <w:b/>
                <w:bCs/>
                <w:sz w:val="20"/>
                <w:szCs w:val="20"/>
              </w:rPr>
              <w:t xml:space="preserve">Administrative Advice: </w:t>
            </w:r>
          </w:p>
          <w:p w14:paraId="7A15BF9F" w14:textId="77777777" w:rsidR="003030A1" w:rsidRPr="0089664C" w:rsidRDefault="003030A1" w:rsidP="0045628D">
            <w:pPr>
              <w:rPr>
                <w:rFonts w:ascii="Arial Narrow" w:eastAsia="Times New Roman" w:hAnsi="Arial Narrow"/>
                <w:bCs/>
                <w:sz w:val="20"/>
                <w:szCs w:val="20"/>
              </w:rPr>
            </w:pPr>
            <w:r w:rsidRPr="0089664C">
              <w:rPr>
                <w:rFonts w:ascii="Arial Narrow" w:eastAsia="Times New Roman"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3030A1" w:rsidRPr="0089664C" w14:paraId="3F456581"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6F22AF6"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tcPr>
          <w:p w14:paraId="2366F157" w14:textId="77777777" w:rsidR="003030A1" w:rsidRPr="0089664C" w:rsidRDefault="003030A1" w:rsidP="0045628D">
            <w:pPr>
              <w:rPr>
                <w:rFonts w:ascii="Arial Narrow" w:eastAsia="Times New Roman" w:hAnsi="Arial Narrow"/>
                <w:b/>
                <w:bCs/>
                <w:sz w:val="20"/>
                <w:szCs w:val="20"/>
              </w:rPr>
            </w:pPr>
          </w:p>
        </w:tc>
      </w:tr>
      <w:tr w:rsidR="003030A1" w:rsidRPr="0089664C" w14:paraId="76D1C038"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453E9F7"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tcPr>
          <w:p w14:paraId="02439C59" w14:textId="77777777" w:rsidR="003030A1" w:rsidRPr="0089664C" w:rsidRDefault="003030A1" w:rsidP="0045628D">
            <w:pPr>
              <w:rPr>
                <w:rFonts w:ascii="Arial Narrow" w:eastAsia="Times New Roman" w:hAnsi="Arial Narrow"/>
                <w:b/>
                <w:bCs/>
                <w:sz w:val="20"/>
                <w:szCs w:val="20"/>
              </w:rPr>
            </w:pPr>
          </w:p>
        </w:tc>
      </w:tr>
      <w:tr w:rsidR="003030A1" w:rsidRPr="0089664C" w14:paraId="44C1CBE3"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59CE8520" w14:textId="5812EEB2" w:rsidR="003030A1" w:rsidRPr="0089664C" w:rsidRDefault="003030A1" w:rsidP="0045628D">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62D5F26B" w14:textId="77777777" w:rsidR="003030A1" w:rsidRPr="0089664C" w:rsidRDefault="003030A1" w:rsidP="0045628D">
            <w:pPr>
              <w:rPr>
                <w:rFonts w:ascii="Arial Narrow" w:hAnsi="Arial Narrow"/>
                <w:sz w:val="20"/>
                <w:szCs w:val="20"/>
              </w:rPr>
            </w:pPr>
            <w:r w:rsidRPr="0089664C">
              <w:rPr>
                <w:rFonts w:ascii="Arial Narrow" w:hAnsi="Arial Narrow"/>
                <w:b/>
                <w:sz w:val="20"/>
                <w:szCs w:val="20"/>
              </w:rPr>
              <w:t xml:space="preserve">Category / Program: </w:t>
            </w:r>
            <w:r w:rsidRPr="0089664C">
              <w:rPr>
                <w:rFonts w:ascii="Arial Narrow" w:hAnsi="Arial Narrow"/>
                <w:sz w:val="20"/>
                <w:szCs w:val="20"/>
              </w:rPr>
              <w:t xml:space="preserve">GENERAL – General Schedule (Code GE) </w:t>
            </w:r>
          </w:p>
        </w:tc>
      </w:tr>
      <w:tr w:rsidR="003030A1" w:rsidRPr="0089664C" w14:paraId="339EF8ED" w14:textId="77777777" w:rsidTr="0045628D">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59B79536" w14:textId="77777777" w:rsidR="003030A1" w:rsidRPr="0089664C" w:rsidRDefault="003030A1" w:rsidP="0045628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2E418F9" w14:textId="77777777" w:rsidR="003030A1" w:rsidRPr="0089664C" w:rsidRDefault="003030A1" w:rsidP="0045628D">
            <w:pPr>
              <w:rPr>
                <w:rFonts w:ascii="Arial Narrow" w:hAnsi="Arial Narrow"/>
                <w:b/>
                <w:sz w:val="20"/>
                <w:szCs w:val="20"/>
              </w:rPr>
            </w:pPr>
            <w:r w:rsidRPr="0089664C">
              <w:rPr>
                <w:rFonts w:ascii="Arial Narrow" w:hAnsi="Arial Narrow"/>
                <w:b/>
                <w:sz w:val="20"/>
                <w:szCs w:val="20"/>
              </w:rPr>
              <w:t xml:space="preserve">Prescriber type: </w:t>
            </w:r>
            <w:r w:rsidRPr="0089664C">
              <w:rPr>
                <w:rFonts w:ascii="Arial Narrow" w:hAnsi="Arial Narrow"/>
                <w:sz w:val="20"/>
                <w:szCs w:val="20"/>
              </w:rPr>
              <w:fldChar w:fldCharType="begin" w:fldLock="1">
                <w:ffData>
                  <w:name w:val=""/>
                  <w:enabled/>
                  <w:calcOnExit w:val="0"/>
                  <w:checkBox>
                    <w:sizeAuto/>
                    <w:default w:val="1"/>
                  </w:checkBox>
                </w:ffData>
              </w:fldChar>
            </w:r>
            <w:r w:rsidRPr="0089664C">
              <w:rPr>
                <w:rFonts w:ascii="Arial Narrow" w:hAnsi="Arial Narrow"/>
                <w:sz w:val="20"/>
                <w:szCs w:val="20"/>
              </w:rPr>
              <w:instrText xml:space="preserve"> FORMCHECKBOX </w:instrText>
            </w:r>
            <w:r w:rsidR="00FA023D">
              <w:rPr>
                <w:rFonts w:ascii="Arial Narrow" w:hAnsi="Arial Narrow"/>
                <w:sz w:val="20"/>
                <w:szCs w:val="20"/>
              </w:rPr>
            </w:r>
            <w:r w:rsidR="00FA023D">
              <w:rPr>
                <w:rFonts w:ascii="Arial Narrow" w:hAnsi="Arial Narrow"/>
                <w:sz w:val="20"/>
                <w:szCs w:val="20"/>
              </w:rPr>
              <w:fldChar w:fldCharType="separate"/>
            </w:r>
            <w:r w:rsidRPr="0089664C">
              <w:rPr>
                <w:rFonts w:ascii="Arial Narrow" w:hAnsi="Arial Narrow"/>
                <w:sz w:val="20"/>
                <w:szCs w:val="20"/>
              </w:rPr>
              <w:fldChar w:fldCharType="end"/>
            </w:r>
            <w:r w:rsidRPr="0089664C">
              <w:rPr>
                <w:rFonts w:ascii="Arial Narrow" w:hAnsi="Arial Narrow"/>
                <w:sz w:val="20"/>
                <w:szCs w:val="20"/>
              </w:rPr>
              <w:t xml:space="preserve">Medical Practitioners </w:t>
            </w:r>
            <w:r w:rsidRPr="0089664C">
              <w:rPr>
                <w:rFonts w:ascii="Arial Narrow" w:hAnsi="Arial Narrow"/>
                <w:sz w:val="20"/>
                <w:szCs w:val="20"/>
              </w:rPr>
              <w:fldChar w:fldCharType="begin" w:fldLock="1">
                <w:ffData>
                  <w:name w:val=""/>
                  <w:enabled/>
                  <w:calcOnExit w:val="0"/>
                  <w:checkBox>
                    <w:sizeAuto/>
                    <w:default w:val="0"/>
                  </w:checkBox>
                </w:ffData>
              </w:fldChar>
            </w:r>
            <w:r w:rsidRPr="0089664C">
              <w:rPr>
                <w:rFonts w:ascii="Arial Narrow" w:hAnsi="Arial Narrow"/>
                <w:sz w:val="20"/>
                <w:szCs w:val="20"/>
              </w:rPr>
              <w:instrText xml:space="preserve"> FORMCHECKBOX </w:instrText>
            </w:r>
            <w:r w:rsidR="00FA023D">
              <w:rPr>
                <w:rFonts w:ascii="Arial Narrow" w:hAnsi="Arial Narrow"/>
                <w:sz w:val="20"/>
                <w:szCs w:val="20"/>
              </w:rPr>
            </w:r>
            <w:r w:rsidR="00FA023D">
              <w:rPr>
                <w:rFonts w:ascii="Arial Narrow" w:hAnsi="Arial Narrow"/>
                <w:sz w:val="20"/>
                <w:szCs w:val="20"/>
              </w:rPr>
              <w:fldChar w:fldCharType="separate"/>
            </w:r>
            <w:r w:rsidRPr="0089664C">
              <w:rPr>
                <w:rFonts w:ascii="Arial Narrow" w:hAnsi="Arial Narrow"/>
                <w:sz w:val="20"/>
                <w:szCs w:val="20"/>
              </w:rPr>
              <w:fldChar w:fldCharType="end"/>
            </w:r>
            <w:r w:rsidRPr="0089664C">
              <w:rPr>
                <w:rFonts w:ascii="Arial Narrow" w:hAnsi="Arial Narrow"/>
                <w:sz w:val="20"/>
                <w:szCs w:val="20"/>
              </w:rPr>
              <w:t xml:space="preserve">Nurse practitioners  </w:t>
            </w:r>
          </w:p>
        </w:tc>
      </w:tr>
      <w:tr w:rsidR="003030A1" w:rsidRPr="0089664C" w14:paraId="60040E36"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Merge/>
            <w:tcBorders>
              <w:left w:val="single" w:sz="4" w:space="0" w:color="auto"/>
              <w:bottom w:val="single" w:sz="4" w:space="0" w:color="auto"/>
              <w:right w:val="single" w:sz="4" w:space="0" w:color="auto"/>
            </w:tcBorders>
          </w:tcPr>
          <w:p w14:paraId="74C0684C" w14:textId="77777777" w:rsidR="003030A1" w:rsidRPr="0089664C" w:rsidRDefault="003030A1" w:rsidP="0045628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146E2166" w14:textId="77777777" w:rsidR="003030A1" w:rsidRPr="0089664C" w:rsidRDefault="003030A1" w:rsidP="0045628D">
            <w:pPr>
              <w:rPr>
                <w:rFonts w:ascii="Arial Narrow" w:eastAsia="Calibri" w:hAnsi="Arial Narrow"/>
                <w:sz w:val="20"/>
                <w:szCs w:val="20"/>
              </w:rPr>
            </w:pPr>
            <w:r w:rsidRPr="0089664C">
              <w:rPr>
                <w:rFonts w:ascii="Arial Narrow" w:hAnsi="Arial Narrow"/>
                <w:b/>
                <w:sz w:val="20"/>
                <w:szCs w:val="20"/>
              </w:rPr>
              <w:t xml:space="preserve">Restriction type: </w:t>
            </w:r>
            <w:r w:rsidRPr="0089664C">
              <w:rPr>
                <w:rFonts w:ascii="Arial Narrow" w:eastAsia="Calibri" w:hAnsi="Arial Narrow"/>
                <w:sz w:val="20"/>
                <w:szCs w:val="20"/>
              </w:rPr>
              <w:fldChar w:fldCharType="begin" w:fldLock="1">
                <w:ffData>
                  <w:name w:val="Check3"/>
                  <w:enabled/>
                  <w:calcOnExit w:val="0"/>
                  <w:checkBox>
                    <w:sizeAuto/>
                    <w:default w:val="1"/>
                  </w:checkBox>
                </w:ffData>
              </w:fldChar>
            </w:r>
            <w:r w:rsidRPr="0089664C">
              <w:rPr>
                <w:rFonts w:ascii="Arial Narrow" w:eastAsia="Calibri" w:hAnsi="Arial Narrow"/>
                <w:sz w:val="20"/>
                <w:szCs w:val="20"/>
              </w:rPr>
              <w:instrText xml:space="preserve"> FORMCHECKBOX </w:instrText>
            </w:r>
            <w:r w:rsidR="00FA023D">
              <w:rPr>
                <w:rFonts w:ascii="Arial Narrow" w:eastAsia="Calibri" w:hAnsi="Arial Narrow"/>
                <w:sz w:val="20"/>
                <w:szCs w:val="20"/>
              </w:rPr>
            </w:r>
            <w:r w:rsidR="00FA023D">
              <w:rPr>
                <w:rFonts w:ascii="Arial Narrow" w:eastAsia="Calibri" w:hAnsi="Arial Narrow"/>
                <w:sz w:val="20"/>
                <w:szCs w:val="20"/>
              </w:rPr>
              <w:fldChar w:fldCharType="separate"/>
            </w:r>
            <w:r w:rsidRPr="0089664C">
              <w:rPr>
                <w:rFonts w:ascii="Arial Narrow" w:eastAsia="Calibri" w:hAnsi="Arial Narrow"/>
                <w:sz w:val="20"/>
                <w:szCs w:val="20"/>
              </w:rPr>
              <w:fldChar w:fldCharType="end"/>
            </w:r>
            <w:r w:rsidRPr="0089664C">
              <w:rPr>
                <w:rFonts w:ascii="Arial Narrow" w:eastAsia="Calibri" w:hAnsi="Arial Narrow"/>
                <w:sz w:val="20"/>
                <w:szCs w:val="20"/>
              </w:rPr>
              <w:t xml:space="preserve">Authority Required (telephone/online PBS Authorities system) </w:t>
            </w:r>
          </w:p>
        </w:tc>
      </w:tr>
      <w:tr w:rsidR="003030A1" w:rsidRPr="0089664C" w14:paraId="7760F092" w14:textId="77777777" w:rsidTr="0045628D">
        <w:tblPrEx>
          <w:tblCellMar>
            <w:top w:w="15" w:type="dxa"/>
            <w:left w:w="15" w:type="dxa"/>
            <w:bottom w:w="15" w:type="dxa"/>
            <w:right w:w="15" w:type="dxa"/>
          </w:tblCellMar>
        </w:tblPrEx>
        <w:tc>
          <w:tcPr>
            <w:tcW w:w="490" w:type="dxa"/>
            <w:vMerge w:val="restart"/>
            <w:tcBorders>
              <w:left w:val="single" w:sz="4" w:space="0" w:color="auto"/>
              <w:right w:val="single" w:sz="4" w:space="0" w:color="auto"/>
            </w:tcBorders>
            <w:textDirection w:val="btLr"/>
          </w:tcPr>
          <w:p w14:paraId="16A20463" w14:textId="09ECC74A" w:rsidR="003030A1" w:rsidRPr="0089664C" w:rsidRDefault="003030A1" w:rsidP="0045628D">
            <w:pPr>
              <w:rPr>
                <w:rFonts w:ascii="Arial Narrow" w:hAnsi="Arial Narrow"/>
                <w:sz w:val="20"/>
                <w:szCs w:val="20"/>
              </w:rPr>
            </w:pPr>
          </w:p>
        </w:tc>
        <w:tc>
          <w:tcPr>
            <w:tcW w:w="491" w:type="dxa"/>
            <w:tcBorders>
              <w:left w:val="single" w:sz="4" w:space="0" w:color="auto"/>
              <w:bottom w:val="single" w:sz="4" w:space="0" w:color="auto"/>
              <w:right w:val="single" w:sz="4" w:space="0" w:color="auto"/>
            </w:tcBorders>
          </w:tcPr>
          <w:p w14:paraId="608F0A7A" w14:textId="695C0305" w:rsidR="003030A1" w:rsidRPr="0089664C" w:rsidRDefault="003030A1" w:rsidP="0045628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6A91D338" w14:textId="77777777" w:rsidR="003030A1" w:rsidRPr="0089664C" w:rsidRDefault="003030A1" w:rsidP="0045628D">
            <w:pPr>
              <w:rPr>
                <w:rFonts w:ascii="Arial Narrow" w:hAnsi="Arial Narrow"/>
                <w:b/>
                <w:sz w:val="20"/>
                <w:szCs w:val="20"/>
              </w:rPr>
            </w:pPr>
            <w:r w:rsidRPr="0089664C">
              <w:rPr>
                <w:rFonts w:ascii="Arial Narrow" w:hAnsi="Arial Narrow"/>
                <w:b/>
                <w:bCs/>
                <w:i/>
                <w:iCs/>
                <w:sz w:val="20"/>
                <w:szCs w:val="20"/>
              </w:rPr>
              <w:t>Administrative advice:</w:t>
            </w:r>
            <w:r w:rsidRPr="0089664C">
              <w:rPr>
                <w:rFonts w:ascii="Arial Narrow" w:hAnsi="Arial Narrow"/>
                <w:i/>
                <w:iCs/>
                <w:sz w:val="20"/>
                <w:szCs w:val="20"/>
              </w:rPr>
              <w:t xml:space="preserve"> Special Pricing Arrangements apply.</w:t>
            </w:r>
          </w:p>
        </w:tc>
      </w:tr>
      <w:tr w:rsidR="003030A1" w:rsidRPr="0089664C" w14:paraId="04120717" w14:textId="77777777" w:rsidTr="0045628D">
        <w:tblPrEx>
          <w:tblCellMar>
            <w:top w:w="15" w:type="dxa"/>
            <w:left w:w="15" w:type="dxa"/>
            <w:bottom w:w="15" w:type="dxa"/>
            <w:right w:w="15" w:type="dxa"/>
          </w:tblCellMar>
        </w:tblPrEx>
        <w:tc>
          <w:tcPr>
            <w:tcW w:w="490" w:type="dxa"/>
            <w:vMerge/>
            <w:tcBorders>
              <w:left w:val="single" w:sz="4" w:space="0" w:color="auto"/>
              <w:right w:val="single" w:sz="4" w:space="0" w:color="auto"/>
            </w:tcBorders>
          </w:tcPr>
          <w:p w14:paraId="5CF9FA16" w14:textId="77777777" w:rsidR="003030A1" w:rsidRPr="0089664C" w:rsidRDefault="003030A1" w:rsidP="0045628D">
            <w:pPr>
              <w:rPr>
                <w:rFonts w:ascii="Arial Narrow" w:hAnsi="Arial Narrow"/>
                <w:sz w:val="20"/>
                <w:szCs w:val="20"/>
              </w:rPr>
            </w:pPr>
          </w:p>
        </w:tc>
        <w:tc>
          <w:tcPr>
            <w:tcW w:w="491" w:type="dxa"/>
            <w:tcBorders>
              <w:left w:val="single" w:sz="4" w:space="0" w:color="auto"/>
              <w:bottom w:val="single" w:sz="4" w:space="0" w:color="auto"/>
              <w:right w:val="single" w:sz="4" w:space="0" w:color="auto"/>
            </w:tcBorders>
            <w:vAlign w:val="center"/>
          </w:tcPr>
          <w:p w14:paraId="7CFC114E" w14:textId="5BA607A5" w:rsidR="003030A1" w:rsidRPr="0089664C" w:rsidRDefault="003030A1" w:rsidP="0045628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6D30CC14" w14:textId="77777777" w:rsidR="003030A1" w:rsidRPr="0089664C" w:rsidRDefault="003030A1" w:rsidP="0045628D">
            <w:pPr>
              <w:rPr>
                <w:rFonts w:ascii="Arial Narrow" w:hAnsi="Arial Narrow"/>
                <w:b/>
                <w:sz w:val="20"/>
                <w:szCs w:val="20"/>
              </w:rPr>
            </w:pPr>
            <w:r w:rsidRPr="0089664C">
              <w:rPr>
                <w:rFonts w:ascii="Arial Narrow" w:hAnsi="Arial Narrow"/>
                <w:b/>
                <w:bCs/>
                <w:i/>
                <w:iCs/>
                <w:sz w:val="20"/>
                <w:szCs w:val="20"/>
              </w:rPr>
              <w:t xml:space="preserve">Administrative advice: </w:t>
            </w:r>
            <w:r w:rsidRPr="0089664C">
              <w:rPr>
                <w:rFonts w:ascii="Arial Narrow" w:hAnsi="Arial Narrow"/>
                <w:bCs/>
                <w:i/>
                <w:iCs/>
                <w:sz w:val="20"/>
                <w:szCs w:val="20"/>
              </w:rPr>
              <w:t>No increase in the maximum quantity or number of units may be authorised.</w:t>
            </w:r>
          </w:p>
        </w:tc>
      </w:tr>
      <w:tr w:rsidR="003030A1" w:rsidRPr="0089664C" w14:paraId="1F917F81" w14:textId="77777777" w:rsidTr="0045628D">
        <w:tblPrEx>
          <w:tblCellMar>
            <w:top w:w="15" w:type="dxa"/>
            <w:left w:w="15" w:type="dxa"/>
            <w:bottom w:w="15" w:type="dxa"/>
            <w:right w:w="15" w:type="dxa"/>
          </w:tblCellMar>
        </w:tblPrEx>
        <w:tc>
          <w:tcPr>
            <w:tcW w:w="490" w:type="dxa"/>
            <w:vMerge/>
            <w:tcBorders>
              <w:left w:val="single" w:sz="4" w:space="0" w:color="auto"/>
              <w:bottom w:val="single" w:sz="4" w:space="0" w:color="auto"/>
              <w:right w:val="single" w:sz="4" w:space="0" w:color="auto"/>
            </w:tcBorders>
          </w:tcPr>
          <w:p w14:paraId="42A6BF84" w14:textId="77777777" w:rsidR="003030A1" w:rsidRPr="0089664C" w:rsidRDefault="003030A1" w:rsidP="0045628D">
            <w:pPr>
              <w:rPr>
                <w:rFonts w:ascii="Arial Narrow" w:hAnsi="Arial Narrow"/>
                <w:sz w:val="20"/>
                <w:szCs w:val="20"/>
              </w:rPr>
            </w:pPr>
          </w:p>
        </w:tc>
        <w:tc>
          <w:tcPr>
            <w:tcW w:w="491" w:type="dxa"/>
            <w:tcBorders>
              <w:left w:val="single" w:sz="4" w:space="0" w:color="auto"/>
              <w:bottom w:val="single" w:sz="4" w:space="0" w:color="auto"/>
              <w:right w:val="single" w:sz="4" w:space="0" w:color="auto"/>
            </w:tcBorders>
            <w:vAlign w:val="center"/>
          </w:tcPr>
          <w:p w14:paraId="120E13B5" w14:textId="0B8033C4" w:rsidR="003030A1" w:rsidRPr="0089664C" w:rsidRDefault="003030A1" w:rsidP="0045628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4116B7AF" w14:textId="77777777" w:rsidR="003030A1" w:rsidRPr="0089664C" w:rsidRDefault="003030A1" w:rsidP="0045628D">
            <w:pPr>
              <w:rPr>
                <w:rFonts w:ascii="Arial Narrow" w:hAnsi="Arial Narrow"/>
                <w:b/>
                <w:sz w:val="20"/>
                <w:szCs w:val="20"/>
              </w:rPr>
            </w:pPr>
            <w:r w:rsidRPr="0089664C">
              <w:rPr>
                <w:rFonts w:ascii="Arial Narrow" w:hAnsi="Arial Narrow"/>
                <w:b/>
                <w:bCs/>
                <w:i/>
                <w:iCs/>
                <w:sz w:val="20"/>
                <w:szCs w:val="20"/>
              </w:rPr>
              <w:t>Administrative advice:</w:t>
            </w:r>
            <w:r w:rsidRPr="0089664C">
              <w:rPr>
                <w:rFonts w:ascii="Arial Narrow" w:hAnsi="Arial Narrow"/>
                <w:bCs/>
                <w:sz w:val="20"/>
                <w:szCs w:val="20"/>
              </w:rPr>
              <w:t xml:space="preserve"> </w:t>
            </w:r>
            <w:r w:rsidRPr="0089664C">
              <w:rPr>
                <w:rFonts w:ascii="Arial Narrow" w:hAnsi="Arial Narrow"/>
                <w:bCs/>
                <w:i/>
                <w:iCs/>
                <w:sz w:val="20"/>
                <w:szCs w:val="20"/>
              </w:rPr>
              <w:t>No increase in the maximum number of repeats may be authorised.</w:t>
            </w:r>
          </w:p>
        </w:tc>
      </w:tr>
      <w:tr w:rsidR="003030A1" w:rsidRPr="0089664C" w14:paraId="74537B51" w14:textId="77777777" w:rsidTr="0045628D">
        <w:tblPrEx>
          <w:tblCellMar>
            <w:top w:w="15" w:type="dxa"/>
            <w:left w:w="15" w:type="dxa"/>
            <w:bottom w:w="15" w:type="dxa"/>
            <w:right w:w="15" w:type="dxa"/>
          </w:tblCellMar>
          <w:tblLook w:val="04A0" w:firstRow="1" w:lastRow="0" w:firstColumn="1" w:lastColumn="0" w:noHBand="0" w:noVBand="1"/>
        </w:tblPrEx>
        <w:trPr>
          <w:trHeight w:val="204"/>
        </w:trPr>
        <w:tc>
          <w:tcPr>
            <w:tcW w:w="981" w:type="dxa"/>
            <w:gridSpan w:val="2"/>
            <w:vAlign w:val="center"/>
          </w:tcPr>
          <w:p w14:paraId="2BD543EB"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tcPr>
          <w:p w14:paraId="2F9B4FDC" w14:textId="77777777" w:rsidR="003030A1" w:rsidRPr="0089664C" w:rsidRDefault="003030A1" w:rsidP="0045628D">
            <w:pPr>
              <w:rPr>
                <w:rFonts w:ascii="Arial Narrow" w:eastAsia="Times New Roman" w:hAnsi="Arial Narrow"/>
                <w:bCs/>
                <w:sz w:val="20"/>
                <w:szCs w:val="20"/>
              </w:rPr>
            </w:pPr>
            <w:r w:rsidRPr="0089664C">
              <w:rPr>
                <w:rFonts w:ascii="Arial Narrow" w:eastAsia="Times New Roman" w:hAnsi="Arial Narrow"/>
                <w:b/>
                <w:bCs/>
                <w:sz w:val="20"/>
                <w:szCs w:val="20"/>
              </w:rPr>
              <w:t xml:space="preserve">Condition: </w:t>
            </w:r>
            <w:r w:rsidRPr="0089664C">
              <w:rPr>
                <w:rFonts w:ascii="Arial Narrow" w:eastAsia="Times New Roman" w:hAnsi="Arial Narrow"/>
                <w:bCs/>
                <w:sz w:val="20"/>
                <w:szCs w:val="20"/>
              </w:rPr>
              <w:t>Achondroplasia</w:t>
            </w:r>
          </w:p>
        </w:tc>
      </w:tr>
      <w:tr w:rsidR="003030A1" w:rsidRPr="0089664C" w14:paraId="4CB0B1DC" w14:textId="77777777" w:rsidTr="00CD45A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1AECECF" w14:textId="504E8C1E"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6A40A2C1"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Indication:</w:t>
            </w:r>
            <w:r w:rsidRPr="0089664C">
              <w:rPr>
                <w:rFonts w:ascii="Arial Narrow" w:eastAsia="Times New Roman" w:hAnsi="Arial Narrow"/>
                <w:sz w:val="20"/>
                <w:szCs w:val="20"/>
              </w:rPr>
              <w:t xml:space="preserve"> Achondroplasia</w:t>
            </w:r>
          </w:p>
        </w:tc>
      </w:tr>
      <w:tr w:rsidR="003030A1" w:rsidRPr="0089664C" w14:paraId="2CF1DBD4" w14:textId="77777777" w:rsidTr="00CD45A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1A42668"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01622353"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Treatment Phase:</w:t>
            </w:r>
            <w:r w:rsidRPr="0089664C">
              <w:rPr>
                <w:rFonts w:ascii="Arial Narrow" w:eastAsia="Times New Roman" w:hAnsi="Arial Narrow"/>
                <w:sz w:val="20"/>
                <w:szCs w:val="20"/>
              </w:rPr>
              <w:t xml:space="preserve"> Grandfather (transition from non-PBS subsidised treatment)</w:t>
            </w:r>
          </w:p>
        </w:tc>
      </w:tr>
      <w:tr w:rsidR="003030A1" w:rsidRPr="0089664C" w14:paraId="1EE5882D" w14:textId="77777777" w:rsidTr="00CD45A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58B2217"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55A7BC09"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 xml:space="preserve">Clinical criteria: </w:t>
            </w:r>
          </w:p>
        </w:tc>
      </w:tr>
      <w:tr w:rsidR="003030A1" w:rsidRPr="0089664C" w14:paraId="5F1C7FAE" w14:textId="77777777" w:rsidTr="00CD45A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6A5F731" w14:textId="7062314A"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080912A2" w14:textId="77777777" w:rsidR="003030A1" w:rsidRPr="0089664C" w:rsidRDefault="003030A1" w:rsidP="0045628D">
            <w:pPr>
              <w:pStyle w:val="PBACTabletext"/>
              <w:rPr>
                <w:szCs w:val="20"/>
                <w:lang w:eastAsia="en-AU"/>
              </w:rPr>
            </w:pPr>
            <w:r w:rsidRPr="0089664C">
              <w:rPr>
                <w:rFonts w:eastAsiaTheme="minorHAnsi" w:cs="Arial Narrow"/>
                <w:szCs w:val="20"/>
                <w:lang w:eastAsia="en-US"/>
              </w:rPr>
              <w:t xml:space="preserve">Patient must have a diagnosis of achondroplasia, confirmed by appropriate genetic testing </w:t>
            </w:r>
          </w:p>
        </w:tc>
      </w:tr>
      <w:tr w:rsidR="003030A1" w:rsidRPr="0089664C" w14:paraId="2DDE04AC"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tcPr>
          <w:p w14:paraId="635B2434" w14:textId="77777777" w:rsidR="003030A1" w:rsidRPr="0089664C" w:rsidRDefault="003030A1" w:rsidP="0045628D">
            <w:pPr>
              <w:jc w:val="center"/>
              <w:rPr>
                <w:rFonts w:ascii="Arial Narrow" w:eastAsia="Times New Roman" w:hAnsi="Arial Narrow"/>
                <w:sz w:val="20"/>
                <w:szCs w:val="20"/>
              </w:rPr>
            </w:pPr>
          </w:p>
        </w:tc>
        <w:tc>
          <w:tcPr>
            <w:tcW w:w="8086" w:type="dxa"/>
            <w:gridSpan w:val="6"/>
          </w:tcPr>
          <w:p w14:paraId="3A88D19B" w14:textId="77777777" w:rsidR="003030A1" w:rsidRPr="0089664C" w:rsidRDefault="003030A1" w:rsidP="0045628D">
            <w:pPr>
              <w:pStyle w:val="PBACTabletext"/>
              <w:rPr>
                <w:rFonts w:cs="Times New Roman"/>
                <w:b/>
                <w:bCs/>
                <w:szCs w:val="20"/>
                <w:lang w:eastAsia="en-AU"/>
              </w:rPr>
            </w:pPr>
            <w:r w:rsidRPr="0089664C">
              <w:rPr>
                <w:rFonts w:cs="Times New Roman"/>
                <w:b/>
                <w:bCs/>
                <w:szCs w:val="20"/>
                <w:lang w:eastAsia="en-AU"/>
              </w:rPr>
              <w:t>AND</w:t>
            </w:r>
          </w:p>
        </w:tc>
      </w:tr>
      <w:tr w:rsidR="003030A1" w:rsidRPr="0089664C" w14:paraId="01BDAAE0"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tcPr>
          <w:p w14:paraId="3965FA66" w14:textId="77777777" w:rsidR="003030A1" w:rsidRPr="0089664C" w:rsidRDefault="003030A1" w:rsidP="0045628D">
            <w:pPr>
              <w:rPr>
                <w:rFonts w:ascii="Arial Narrow" w:eastAsia="Times New Roman" w:hAnsi="Arial Narrow"/>
                <w:sz w:val="20"/>
                <w:szCs w:val="20"/>
              </w:rPr>
            </w:pPr>
          </w:p>
        </w:tc>
        <w:tc>
          <w:tcPr>
            <w:tcW w:w="8086" w:type="dxa"/>
            <w:gridSpan w:val="6"/>
          </w:tcPr>
          <w:p w14:paraId="1843F293" w14:textId="77777777" w:rsidR="003030A1" w:rsidRPr="0089664C" w:rsidRDefault="003030A1" w:rsidP="0045628D">
            <w:pPr>
              <w:pStyle w:val="PBACTabletext"/>
              <w:rPr>
                <w:rFonts w:cs="Times New Roman"/>
                <w:b/>
                <w:bCs/>
                <w:szCs w:val="20"/>
                <w:lang w:eastAsia="en-AU"/>
              </w:rPr>
            </w:pPr>
            <w:r w:rsidRPr="0089664C">
              <w:rPr>
                <w:rFonts w:cs="Times New Roman"/>
                <w:b/>
                <w:bCs/>
                <w:szCs w:val="20"/>
                <w:lang w:eastAsia="en-AU"/>
              </w:rPr>
              <w:t>Clinical criteria:</w:t>
            </w:r>
          </w:p>
        </w:tc>
      </w:tr>
      <w:tr w:rsidR="003030A1" w:rsidRPr="0089664C" w14:paraId="00FD6339"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tcPr>
          <w:p w14:paraId="64511310" w14:textId="0209CE49" w:rsidR="003030A1" w:rsidRPr="0089664C" w:rsidRDefault="003030A1" w:rsidP="0045628D">
            <w:pPr>
              <w:jc w:val="center"/>
              <w:rPr>
                <w:rFonts w:ascii="Arial Narrow" w:eastAsia="Times New Roman" w:hAnsi="Arial Narrow"/>
                <w:sz w:val="20"/>
                <w:szCs w:val="20"/>
              </w:rPr>
            </w:pPr>
          </w:p>
        </w:tc>
        <w:tc>
          <w:tcPr>
            <w:tcW w:w="8086" w:type="dxa"/>
            <w:gridSpan w:val="6"/>
          </w:tcPr>
          <w:p w14:paraId="155535CB" w14:textId="77777777" w:rsidR="003030A1" w:rsidRPr="0089664C" w:rsidRDefault="003030A1" w:rsidP="0045628D">
            <w:pPr>
              <w:pStyle w:val="PBACTabletext"/>
              <w:rPr>
                <w:rFonts w:cs="Times New Roman"/>
                <w:b/>
                <w:bCs/>
                <w:szCs w:val="20"/>
                <w:lang w:eastAsia="en-AU"/>
              </w:rPr>
            </w:pPr>
            <w:r w:rsidRPr="0089664C">
              <w:rPr>
                <w:rFonts w:eastAsiaTheme="minorHAnsi" w:cs="Arial Narrow"/>
                <w:iCs/>
                <w:szCs w:val="20"/>
                <w:lang w:eastAsia="en-US"/>
              </w:rPr>
              <w:t>The patient must have received non-PBS subsidised vosoritide treatment for this condition prior to [listing date to be inserted]</w:t>
            </w:r>
          </w:p>
        </w:tc>
      </w:tr>
      <w:tr w:rsidR="003030A1" w:rsidRPr="0089664C" w14:paraId="4D343853" w14:textId="77777777" w:rsidTr="00CD45A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3D43735"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4F56BA41"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AND</w:t>
            </w:r>
          </w:p>
        </w:tc>
      </w:tr>
      <w:tr w:rsidR="003030A1" w:rsidRPr="0089664C" w14:paraId="4AB9A62B"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761AF1A"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29876851"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Clinical criteria:</w:t>
            </w:r>
          </w:p>
        </w:tc>
      </w:tr>
      <w:tr w:rsidR="003030A1" w:rsidRPr="0089664C" w14:paraId="5C4131C7"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F28A90B" w14:textId="4D3B774C"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65E9FAA3" w14:textId="77777777" w:rsidR="003030A1" w:rsidRPr="0089664C" w:rsidRDefault="003030A1" w:rsidP="0045628D">
            <w:pPr>
              <w:pStyle w:val="PBACTabletext"/>
              <w:rPr>
                <w:rFonts w:eastAsiaTheme="minorHAnsi" w:cs="Arial Narrow"/>
                <w:iCs/>
                <w:szCs w:val="20"/>
                <w:lang w:eastAsia="en-US"/>
              </w:rPr>
            </w:pPr>
            <w:r w:rsidRPr="0089664C">
              <w:rPr>
                <w:rFonts w:eastAsiaTheme="minorHAnsi" w:cs="Arial Narrow"/>
                <w:iCs/>
                <w:szCs w:val="20"/>
                <w:lang w:eastAsia="en-US"/>
              </w:rPr>
              <w:t xml:space="preserve">Patient must not have evidence of growth plate closure </w:t>
            </w:r>
            <w:r w:rsidRPr="0089664C">
              <w:rPr>
                <w:rFonts w:eastAsiaTheme="minorHAnsi" w:cs="Arial Narrow"/>
                <w:i/>
                <w:szCs w:val="20"/>
                <w:lang w:eastAsia="en-US"/>
              </w:rPr>
              <w:t>demonstrated by</w:t>
            </w:r>
            <w:r w:rsidRPr="0089664C">
              <w:rPr>
                <w:rFonts w:eastAsiaTheme="minorHAnsi" w:cs="Arial Narrow"/>
                <w:iCs/>
                <w:szCs w:val="20"/>
                <w:lang w:eastAsia="en-US"/>
              </w:rPr>
              <w:t xml:space="preserve"> either: i) </w:t>
            </w:r>
            <w:r w:rsidRPr="0089664C">
              <w:rPr>
                <w:rFonts w:eastAsiaTheme="minorHAnsi" w:cs="Arial Narrow"/>
                <w:iCs/>
                <w:strike/>
                <w:szCs w:val="20"/>
                <w:lang w:eastAsia="en-US"/>
              </w:rPr>
              <w:t xml:space="preserve">confirmed through </w:t>
            </w:r>
            <w:r w:rsidRPr="0089664C">
              <w:rPr>
                <w:rFonts w:eastAsiaTheme="minorHAnsi" w:cs="Arial Narrow"/>
                <w:iCs/>
                <w:szCs w:val="20"/>
                <w:lang w:eastAsia="en-US"/>
              </w:rPr>
              <w:t xml:space="preserve">bilateral lower extremity X-rays (proximal tibia, distal femur); ii)  </w:t>
            </w:r>
            <w:r w:rsidRPr="0089664C">
              <w:rPr>
                <w:rFonts w:cs="Arial Narrow"/>
                <w:iCs/>
                <w:strike/>
                <w:szCs w:val="20"/>
                <w:lang w:eastAsia="en-US"/>
              </w:rPr>
              <w:t xml:space="preserve">demonstrated by </w:t>
            </w:r>
            <w:r w:rsidRPr="0089664C">
              <w:rPr>
                <w:rFonts w:cs="Arial Narrow"/>
                <w:iCs/>
                <w:szCs w:val="20"/>
                <w:lang w:eastAsia="en-US"/>
              </w:rPr>
              <w:t>an annual growth velocity of less than 1.5 cm/year as assessed over a period of at least 6 months.</w:t>
            </w:r>
            <w:r w:rsidRPr="0089664C">
              <w:rPr>
                <w:rFonts w:cs="Arial Narrow"/>
                <w:i/>
                <w:szCs w:val="20"/>
                <w:lang w:eastAsia="en-US"/>
              </w:rPr>
              <w:t xml:space="preserve"> </w:t>
            </w:r>
          </w:p>
        </w:tc>
      </w:tr>
      <w:tr w:rsidR="003030A1" w:rsidRPr="0089664C" w14:paraId="0DEF0BCA"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C1F9514" w14:textId="7777777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72A70EC8" w14:textId="77777777" w:rsidR="003030A1" w:rsidRPr="0089664C" w:rsidRDefault="003030A1" w:rsidP="0045628D">
            <w:pPr>
              <w:rPr>
                <w:rFonts w:ascii="Arial Narrow" w:eastAsia="Times New Roman" w:hAnsi="Arial Narrow"/>
                <w:sz w:val="20"/>
                <w:szCs w:val="20"/>
              </w:rPr>
            </w:pPr>
            <w:r w:rsidRPr="0089664C">
              <w:rPr>
                <w:rFonts w:ascii="Arial Narrow" w:eastAsia="Times New Roman" w:hAnsi="Arial Narrow"/>
                <w:b/>
                <w:bCs/>
                <w:sz w:val="20"/>
                <w:szCs w:val="20"/>
              </w:rPr>
              <w:t>Treatment criteria:</w:t>
            </w:r>
          </w:p>
        </w:tc>
      </w:tr>
      <w:tr w:rsidR="003030A1" w:rsidRPr="0089664C" w14:paraId="0FD016A9"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6A4050C" w14:textId="7D5C81F7" w:rsidR="003030A1" w:rsidRPr="0089664C" w:rsidRDefault="003030A1" w:rsidP="0045628D">
            <w:pPr>
              <w:jc w:val="center"/>
              <w:rPr>
                <w:rFonts w:ascii="Arial Narrow" w:eastAsia="Times New Roman" w:hAnsi="Arial Narrow"/>
                <w:sz w:val="20"/>
                <w:szCs w:val="20"/>
              </w:rPr>
            </w:pPr>
          </w:p>
        </w:tc>
        <w:tc>
          <w:tcPr>
            <w:tcW w:w="8086" w:type="dxa"/>
            <w:gridSpan w:val="6"/>
            <w:vAlign w:val="center"/>
            <w:hideMark/>
          </w:tcPr>
          <w:p w14:paraId="7D626DD4" w14:textId="77777777" w:rsidR="003030A1" w:rsidRPr="0089664C" w:rsidRDefault="003030A1" w:rsidP="0045628D">
            <w:pPr>
              <w:autoSpaceDE w:val="0"/>
              <w:autoSpaceDN w:val="0"/>
              <w:adjustRightInd w:val="0"/>
              <w:rPr>
                <w:rFonts w:ascii="Arial Narrow" w:hAnsi="Arial Narrow" w:cs="Arial Narrow"/>
                <w:iCs/>
                <w:sz w:val="20"/>
                <w:szCs w:val="20"/>
              </w:rPr>
            </w:pPr>
            <w:r w:rsidRPr="0089664C">
              <w:rPr>
                <w:rFonts w:ascii="Arial Narrow" w:hAnsi="Arial Narrow" w:cs="Arial Narrow"/>
                <w:iCs/>
                <w:sz w:val="20"/>
                <w:szCs w:val="20"/>
              </w:rPr>
              <w:t xml:space="preserve">Must be treated by a medical specialist, experienced in the management of achondroplasia; </w:t>
            </w:r>
          </w:p>
          <w:p w14:paraId="441C615D" w14:textId="77777777" w:rsidR="003030A1" w:rsidRPr="0089664C" w:rsidRDefault="003030A1" w:rsidP="0045628D">
            <w:pPr>
              <w:autoSpaceDE w:val="0"/>
              <w:autoSpaceDN w:val="0"/>
              <w:adjustRightInd w:val="0"/>
              <w:rPr>
                <w:rFonts w:ascii="Arial Narrow" w:hAnsi="Arial Narrow" w:cs="Arial Narrow"/>
                <w:i/>
                <w:iCs/>
                <w:strike/>
                <w:sz w:val="20"/>
                <w:szCs w:val="20"/>
              </w:rPr>
            </w:pPr>
            <w:r w:rsidRPr="0089664C">
              <w:rPr>
                <w:rFonts w:ascii="Arial Narrow" w:hAnsi="Arial Narrow" w:cs="Arial Narrow"/>
                <w:iCs/>
                <w:strike/>
                <w:sz w:val="20"/>
                <w:szCs w:val="20"/>
              </w:rPr>
              <w:t>Must be treated by a nurse practitioner experienced in the treatment of achondroplasia in consultation with a medical specialist experienced in the management of achondroplasia</w:t>
            </w:r>
          </w:p>
        </w:tc>
      </w:tr>
      <w:tr w:rsidR="003030A1" w:rsidRPr="0089664C" w14:paraId="6A482049"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D021E1F" w14:textId="60F2CC07" w:rsidR="003030A1" w:rsidRPr="0089664C" w:rsidRDefault="003030A1" w:rsidP="0045628D">
            <w:pPr>
              <w:jc w:val="center"/>
              <w:rPr>
                <w:rFonts w:ascii="Arial Narrow" w:eastAsia="Times New Roman" w:hAnsi="Arial Narrow"/>
                <w:sz w:val="20"/>
                <w:szCs w:val="20"/>
              </w:rPr>
            </w:pPr>
          </w:p>
        </w:tc>
        <w:tc>
          <w:tcPr>
            <w:tcW w:w="8086" w:type="dxa"/>
            <w:gridSpan w:val="6"/>
            <w:vAlign w:val="center"/>
          </w:tcPr>
          <w:p w14:paraId="154A651B" w14:textId="77777777" w:rsidR="003030A1" w:rsidRPr="0089664C" w:rsidRDefault="003030A1" w:rsidP="0045628D">
            <w:pPr>
              <w:autoSpaceDE w:val="0"/>
              <w:autoSpaceDN w:val="0"/>
              <w:adjustRightInd w:val="0"/>
              <w:rPr>
                <w:rFonts w:ascii="Arial Narrow" w:hAnsi="Arial Narrow" w:cs="Arial Narrow"/>
                <w:b/>
                <w:bCs/>
                <w:i/>
                <w:sz w:val="20"/>
                <w:szCs w:val="20"/>
              </w:rPr>
            </w:pPr>
            <w:r w:rsidRPr="0089664C">
              <w:rPr>
                <w:rFonts w:ascii="Arial Narrow" w:hAnsi="Arial Narrow" w:cs="Arial Narrow"/>
                <w:b/>
                <w:bCs/>
                <w:i/>
                <w:sz w:val="20"/>
                <w:szCs w:val="20"/>
              </w:rPr>
              <w:t>Prescribing Instructions:</w:t>
            </w:r>
          </w:p>
          <w:p w14:paraId="6215681E" w14:textId="77777777" w:rsidR="003030A1" w:rsidRPr="0089664C" w:rsidRDefault="003030A1" w:rsidP="0045628D">
            <w:pPr>
              <w:autoSpaceDE w:val="0"/>
              <w:autoSpaceDN w:val="0"/>
              <w:adjustRightInd w:val="0"/>
              <w:rPr>
                <w:rFonts w:ascii="Arial Narrow" w:hAnsi="Arial Narrow" w:cs="Arial Narrow"/>
                <w:iCs/>
                <w:sz w:val="20"/>
                <w:szCs w:val="20"/>
              </w:rPr>
            </w:pPr>
            <w:r w:rsidRPr="0089664C">
              <w:rPr>
                <w:rFonts w:ascii="Arial Narrow" w:hAnsi="Arial Narrow" w:cs="Arial Narrow"/>
                <w:i/>
                <w:sz w:val="20"/>
                <w:szCs w:val="20"/>
              </w:rPr>
              <w:t>At the time of authority application, prescribers must request the vials of appropriate strength to provide sufficient drug, based on the weight of the patient, adequate for 30 days, according to the specified dosage in the approved Product Information (PI). Up to a maximum of 5 repeats will be authorised.</w:t>
            </w:r>
          </w:p>
        </w:tc>
      </w:tr>
      <w:tr w:rsidR="003030A1" w:rsidRPr="0089664C" w14:paraId="70C0E7A7"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C0B851B" w14:textId="5D8A0694" w:rsidR="003030A1" w:rsidRPr="0089664C" w:rsidRDefault="003030A1" w:rsidP="0045628D">
            <w:pPr>
              <w:jc w:val="center"/>
              <w:rPr>
                <w:rFonts w:ascii="Arial Narrow" w:eastAsia="Times New Roman" w:hAnsi="Arial Narrow"/>
                <w:sz w:val="20"/>
                <w:szCs w:val="20"/>
              </w:rPr>
            </w:pPr>
          </w:p>
        </w:tc>
        <w:tc>
          <w:tcPr>
            <w:tcW w:w="8086" w:type="dxa"/>
            <w:gridSpan w:val="6"/>
            <w:vAlign w:val="center"/>
          </w:tcPr>
          <w:p w14:paraId="10FE4EED" w14:textId="77777777" w:rsidR="003030A1" w:rsidRPr="0089664C" w:rsidRDefault="003030A1" w:rsidP="0045628D">
            <w:pPr>
              <w:autoSpaceDE w:val="0"/>
              <w:autoSpaceDN w:val="0"/>
              <w:adjustRightInd w:val="0"/>
              <w:rPr>
                <w:rFonts w:ascii="Arial Narrow" w:hAnsi="Arial Narrow" w:cs="Arial Narrow"/>
                <w:b/>
                <w:bCs/>
                <w:i/>
                <w:sz w:val="20"/>
                <w:szCs w:val="20"/>
              </w:rPr>
            </w:pPr>
            <w:r w:rsidRPr="0089664C">
              <w:rPr>
                <w:rFonts w:ascii="Arial Narrow" w:hAnsi="Arial Narrow" w:cs="Arial Narrow"/>
                <w:b/>
                <w:bCs/>
                <w:i/>
                <w:sz w:val="20"/>
                <w:szCs w:val="20"/>
              </w:rPr>
              <w:t>Prescribing Instructions:</w:t>
            </w:r>
          </w:p>
          <w:p w14:paraId="0726A627" w14:textId="77777777" w:rsidR="003030A1" w:rsidRPr="0089664C" w:rsidRDefault="003030A1" w:rsidP="0045628D">
            <w:pPr>
              <w:autoSpaceDE w:val="0"/>
              <w:autoSpaceDN w:val="0"/>
              <w:adjustRightInd w:val="0"/>
              <w:rPr>
                <w:rFonts w:ascii="Arial Narrow" w:hAnsi="Arial Narrow" w:cs="Arial Narrow"/>
                <w:iCs/>
                <w:sz w:val="20"/>
                <w:szCs w:val="20"/>
              </w:rPr>
            </w:pPr>
            <w:r w:rsidRPr="0089664C">
              <w:rPr>
                <w:rFonts w:ascii="Arial Narrow" w:hAnsi="Arial Narrow" w:cs="Arial Narrow"/>
                <w:i/>
                <w:sz w:val="20"/>
                <w:szCs w:val="20"/>
              </w:rPr>
              <w:t>Appropriate genetic testing constitutes testing for FGFR3 gene mutation.</w:t>
            </w:r>
          </w:p>
        </w:tc>
      </w:tr>
      <w:tr w:rsidR="003030A1" w:rsidRPr="0089664C" w14:paraId="0A3B1D4D" w14:textId="77777777" w:rsidTr="0045628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383E86E" w14:textId="132B3409" w:rsidR="003030A1" w:rsidRPr="0089664C" w:rsidRDefault="003030A1" w:rsidP="0045628D">
            <w:pPr>
              <w:jc w:val="center"/>
              <w:rPr>
                <w:rFonts w:ascii="Arial Narrow" w:eastAsia="Times New Roman" w:hAnsi="Arial Narrow"/>
                <w:sz w:val="20"/>
                <w:szCs w:val="20"/>
              </w:rPr>
            </w:pPr>
          </w:p>
        </w:tc>
        <w:tc>
          <w:tcPr>
            <w:tcW w:w="8086" w:type="dxa"/>
            <w:gridSpan w:val="6"/>
            <w:vAlign w:val="center"/>
          </w:tcPr>
          <w:p w14:paraId="66789A0D" w14:textId="77777777" w:rsidR="003030A1" w:rsidRPr="0089664C" w:rsidRDefault="003030A1" w:rsidP="0045628D">
            <w:pPr>
              <w:rPr>
                <w:rFonts w:ascii="Arial Narrow" w:eastAsia="Times New Roman" w:hAnsi="Arial Narrow"/>
                <w:bCs/>
                <w:sz w:val="20"/>
                <w:szCs w:val="20"/>
              </w:rPr>
            </w:pPr>
            <w:r w:rsidRPr="0089664C">
              <w:rPr>
                <w:rFonts w:ascii="Arial Narrow" w:eastAsia="Times New Roman" w:hAnsi="Arial Narrow"/>
                <w:b/>
                <w:bCs/>
                <w:sz w:val="20"/>
                <w:szCs w:val="20"/>
              </w:rPr>
              <w:t xml:space="preserve">Administrative Advice: </w:t>
            </w:r>
          </w:p>
          <w:p w14:paraId="3BBAD99D" w14:textId="77777777" w:rsidR="003030A1" w:rsidRPr="0089664C" w:rsidRDefault="003030A1" w:rsidP="0045628D">
            <w:pPr>
              <w:rPr>
                <w:rFonts w:ascii="Arial Narrow" w:eastAsia="Times New Roman" w:hAnsi="Arial Narrow"/>
                <w:bCs/>
                <w:sz w:val="20"/>
                <w:szCs w:val="20"/>
              </w:rPr>
            </w:pPr>
            <w:r w:rsidRPr="0089664C">
              <w:rPr>
                <w:rFonts w:ascii="Arial Narrow" w:eastAsia="Times New Roman"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3030A1" w:rsidRPr="0089664C" w14:paraId="79458677" w14:textId="77777777" w:rsidTr="004562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18DFCE78" w14:textId="7B77EFB1" w:rsidR="003030A1" w:rsidRPr="0089664C" w:rsidRDefault="003030A1" w:rsidP="0045628D">
            <w:pPr>
              <w:jc w:val="center"/>
              <w:rPr>
                <w:rFonts w:ascii="Arial Narrow" w:eastAsia="Times New Roman"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5D008D9C" w14:textId="77777777" w:rsidR="003030A1" w:rsidRPr="0089664C" w:rsidRDefault="003030A1" w:rsidP="0045628D">
            <w:pPr>
              <w:rPr>
                <w:rFonts w:ascii="Arial Narrow" w:eastAsia="Times New Roman" w:hAnsi="Arial Narrow"/>
                <w:b/>
                <w:bCs/>
                <w:sz w:val="20"/>
                <w:szCs w:val="20"/>
              </w:rPr>
            </w:pPr>
            <w:r w:rsidRPr="0089664C">
              <w:rPr>
                <w:rFonts w:ascii="Arial Narrow" w:eastAsia="Times New Roman" w:hAnsi="Arial Narrow"/>
                <w:b/>
                <w:bCs/>
                <w:sz w:val="20"/>
                <w:szCs w:val="20"/>
              </w:rPr>
              <w:t xml:space="preserve">Administrative advice: </w:t>
            </w:r>
            <w:r w:rsidRPr="0089664C">
              <w:rPr>
                <w:rFonts w:ascii="Arial Narrow" w:eastAsia="Times New Roman" w:hAnsi="Arial Narrow"/>
                <w:sz w:val="20"/>
                <w:szCs w:val="20"/>
              </w:rPr>
              <w:t>Patients may qualify for PBS-subsidised treatment under this restriction once only. For continuing PBS-subsidised treatment, a 'Grandfathered' patient must qualify under the 'Continuing treatment' criteria.</w:t>
            </w:r>
          </w:p>
        </w:tc>
      </w:tr>
      <w:tr w:rsidR="003030A1" w:rsidRPr="0089664C" w14:paraId="122DF868" w14:textId="77777777" w:rsidTr="004562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7B44798A" w14:textId="433362DF" w:rsidR="003030A1" w:rsidRPr="0089664C" w:rsidRDefault="003030A1" w:rsidP="0045628D">
            <w:pPr>
              <w:jc w:val="center"/>
              <w:rPr>
                <w:rFonts w:ascii="Arial Narrow" w:eastAsia="Times New Roman"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0CF79C25" w14:textId="77777777" w:rsidR="003030A1" w:rsidRPr="0089664C" w:rsidRDefault="003030A1" w:rsidP="0045628D">
            <w:pPr>
              <w:rPr>
                <w:rFonts w:ascii="Arial Narrow" w:eastAsia="Times New Roman" w:hAnsi="Arial Narrow"/>
                <w:b/>
                <w:bCs/>
                <w:sz w:val="20"/>
                <w:szCs w:val="20"/>
              </w:rPr>
            </w:pPr>
            <w:r w:rsidRPr="0089664C">
              <w:rPr>
                <w:rFonts w:ascii="Arial Narrow" w:eastAsia="Times New Roman" w:hAnsi="Arial Narrow"/>
                <w:b/>
                <w:bCs/>
                <w:sz w:val="20"/>
                <w:szCs w:val="20"/>
              </w:rPr>
              <w:t xml:space="preserve">Administrative advice: </w:t>
            </w:r>
            <w:r w:rsidRPr="0089664C">
              <w:rPr>
                <w:rFonts w:ascii="Arial Narrow" w:eastAsia="Times New Roman" w:hAnsi="Arial Narrow"/>
                <w:sz w:val="20"/>
                <w:szCs w:val="20"/>
              </w:rPr>
              <w:t>This grandfather restriction will cease to operate from 12 months after the date specified in the clinical criteria.</w:t>
            </w:r>
          </w:p>
        </w:tc>
      </w:tr>
    </w:tbl>
    <w:p w14:paraId="089F73C5" w14:textId="77777777" w:rsidR="003030A1" w:rsidRDefault="003030A1" w:rsidP="003030A1">
      <w:pPr>
        <w:rPr>
          <w:rFonts w:asciiTheme="minorHAnsi" w:hAnsiTheme="minorHAnsi"/>
          <w:b/>
          <w:bCs/>
          <w:i/>
          <w:szCs w:val="22"/>
        </w:rPr>
      </w:pPr>
    </w:p>
    <w:p w14:paraId="6828F2B4" w14:textId="77777777" w:rsidR="003030A1" w:rsidRDefault="003030A1" w:rsidP="003030A1">
      <w:pPr>
        <w:rPr>
          <w:rFonts w:asciiTheme="minorHAnsi" w:hAnsiTheme="minorHAnsi"/>
          <w:b/>
          <w:bCs/>
          <w:i/>
          <w:szCs w:val="22"/>
        </w:rPr>
      </w:pPr>
      <w:r w:rsidRPr="00BB6D30">
        <w:rPr>
          <w:rFonts w:asciiTheme="minorHAnsi" w:hAnsiTheme="minorHAnsi"/>
          <w:b/>
          <w:bCs/>
          <w:i/>
          <w:szCs w:val="22"/>
        </w:rPr>
        <w:t>This restriction may be subject to further review. Should there be any changes made to the restriction the sponsor will be informed</w:t>
      </w:r>
      <w:r>
        <w:rPr>
          <w:rFonts w:asciiTheme="minorHAnsi" w:hAnsiTheme="minorHAnsi"/>
          <w:b/>
          <w:bCs/>
          <w:i/>
          <w:szCs w:val="22"/>
        </w:rPr>
        <w:t>.</w:t>
      </w:r>
    </w:p>
    <w:p w14:paraId="05F3CEB1" w14:textId="77777777" w:rsidR="003030A1" w:rsidRPr="00A17340" w:rsidRDefault="003030A1" w:rsidP="003030A1">
      <w:pPr>
        <w:pStyle w:val="2-SectionHeading"/>
      </w:pPr>
      <w:r w:rsidRPr="00C07617">
        <w:t>Context for Decision</w:t>
      </w:r>
    </w:p>
    <w:p w14:paraId="754D13F8" w14:textId="77777777" w:rsidR="003030A1" w:rsidRPr="007129F2" w:rsidRDefault="003030A1" w:rsidP="003030A1">
      <w:pPr>
        <w:spacing w:after="120"/>
        <w:ind w:left="426"/>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w:t>
      </w:r>
      <w:r w:rsidRPr="007129F2">
        <w:rPr>
          <w:rFonts w:asciiTheme="minorHAnsi" w:hAnsiTheme="minorHAnsi"/>
          <w:bCs/>
          <w:lang w:val="en-GB"/>
        </w:rPr>
        <w:lastRenderedPageBreak/>
        <w:t>listings does not necessarily represent a final PBAC view about the merits of the medicine or the circumstances in which it should be made available through the PBS. The PBAC welcomes applications containing new information at any time.</w:t>
      </w:r>
    </w:p>
    <w:p w14:paraId="29040FB9" w14:textId="77777777" w:rsidR="003030A1" w:rsidRPr="00A17340" w:rsidRDefault="003030A1" w:rsidP="003030A1">
      <w:pPr>
        <w:pStyle w:val="2-SectionHeading"/>
      </w:pPr>
      <w:r>
        <w:t>Sponsor’s Comment</w:t>
      </w:r>
    </w:p>
    <w:p w14:paraId="62BE4D95" w14:textId="5750DBAE" w:rsidR="003030A1" w:rsidRPr="001179AC" w:rsidRDefault="00280F60" w:rsidP="00280F60">
      <w:pPr>
        <w:spacing w:after="120"/>
        <w:ind w:left="426"/>
        <w:rPr>
          <w:rFonts w:asciiTheme="minorHAnsi" w:hAnsiTheme="minorHAnsi"/>
          <w:bCs/>
        </w:rPr>
      </w:pPr>
      <w:r>
        <w:t>BioMarin is pleased</w:t>
      </w:r>
      <w:r w:rsidRPr="00170DD7">
        <w:t xml:space="preserve"> </w:t>
      </w:r>
      <w:r>
        <w:t xml:space="preserve">with the PBAC’s decision to </w:t>
      </w:r>
      <w:r w:rsidRPr="00170DD7">
        <w:t>recommend</w:t>
      </w:r>
      <w:r>
        <w:t xml:space="preserve"> vosoritide for the treatment of patients with achondroplasia and looks forward to working with the Department to allow</w:t>
      </w:r>
      <w:r w:rsidRPr="00170DD7">
        <w:t xml:space="preserve"> access </w:t>
      </w:r>
      <w:r>
        <w:t>to this important treatment as quickly as possible.</w:t>
      </w:r>
    </w:p>
    <w:sectPr w:rsidR="003030A1" w:rsidRPr="001179AC" w:rsidSect="003665EE">
      <w:headerReference w:type="default" r:id="rId25"/>
      <w:footerReference w:type="default" r:id="rId26"/>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4DF6" w14:textId="77777777" w:rsidR="00916B46" w:rsidRDefault="00916B46" w:rsidP="00124A51">
      <w:r>
        <w:separator/>
      </w:r>
    </w:p>
    <w:p w14:paraId="527CC449" w14:textId="77777777" w:rsidR="00916B46" w:rsidRDefault="00916B46"/>
  </w:endnote>
  <w:endnote w:type="continuationSeparator" w:id="0">
    <w:p w14:paraId="1A16C20F" w14:textId="77777777" w:rsidR="00916B46" w:rsidRDefault="00916B46" w:rsidP="00124A51">
      <w:r>
        <w:continuationSeparator/>
      </w:r>
    </w:p>
    <w:p w14:paraId="761F74DD" w14:textId="77777777" w:rsidR="00916B46" w:rsidRDefault="00916B46"/>
  </w:endnote>
  <w:endnote w:type="continuationNotice" w:id="1">
    <w:p w14:paraId="56E6E45D" w14:textId="77777777" w:rsidR="00916B46" w:rsidRDefault="00916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23CA" w14:textId="77777777" w:rsidR="0016743B" w:rsidRDefault="0016743B">
    <w:pPr>
      <w:pStyle w:val="Footer"/>
      <w:jc w:val="center"/>
    </w:pPr>
  </w:p>
  <w:sdt>
    <w:sdtPr>
      <w:id w:val="-929967526"/>
      <w:docPartObj>
        <w:docPartGallery w:val="Page Numbers (Bottom of Page)"/>
        <w:docPartUnique/>
      </w:docPartObj>
    </w:sdtPr>
    <w:sdtEndPr>
      <w:rPr>
        <w:noProof/>
      </w:rPr>
    </w:sdtEndPr>
    <w:sdtContent>
      <w:p w14:paraId="52D45171" w14:textId="45AFB5E0" w:rsidR="0016743B" w:rsidRPr="00E745AD" w:rsidRDefault="0016743B" w:rsidP="00E745AD">
        <w:pPr>
          <w:pStyle w:val="Footer"/>
          <w:jc w:val="center"/>
        </w:pPr>
        <w:r w:rsidRPr="00E745AD">
          <w:rPr>
            <w:b/>
            <w:bCs/>
          </w:rPr>
          <w:fldChar w:fldCharType="begin"/>
        </w:r>
        <w:r w:rsidRPr="00E745AD">
          <w:rPr>
            <w:b/>
            <w:bCs/>
          </w:rPr>
          <w:instrText xml:space="preserve"> PAGE   \* MERGEFORMAT </w:instrText>
        </w:r>
        <w:r w:rsidRPr="00E745AD">
          <w:rPr>
            <w:b/>
            <w:bCs/>
          </w:rPr>
          <w:fldChar w:fldCharType="separate"/>
        </w:r>
        <w:r>
          <w:rPr>
            <w:b/>
            <w:bCs/>
            <w:noProof/>
          </w:rPr>
          <w:t>40</w:t>
        </w:r>
        <w:r w:rsidRPr="00E745AD">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ED3F" w14:textId="77777777" w:rsidR="00916B46" w:rsidRDefault="00916B46" w:rsidP="00124A51">
      <w:r>
        <w:separator/>
      </w:r>
    </w:p>
    <w:p w14:paraId="07104C0D" w14:textId="77777777" w:rsidR="00916B46" w:rsidRDefault="00916B46"/>
  </w:footnote>
  <w:footnote w:type="continuationSeparator" w:id="0">
    <w:p w14:paraId="662E7676" w14:textId="77777777" w:rsidR="00916B46" w:rsidRDefault="00916B46" w:rsidP="00124A51">
      <w:r>
        <w:continuationSeparator/>
      </w:r>
    </w:p>
    <w:p w14:paraId="1F837E29" w14:textId="77777777" w:rsidR="00916B46" w:rsidRDefault="00916B46"/>
  </w:footnote>
  <w:footnote w:type="continuationNotice" w:id="1">
    <w:p w14:paraId="14F649C5" w14:textId="77777777" w:rsidR="00916B46" w:rsidRDefault="00916B46"/>
  </w:footnote>
  <w:footnote w:id="2">
    <w:p w14:paraId="146E230C" w14:textId="78A372C3" w:rsidR="0016743B" w:rsidRPr="006C4BAD" w:rsidRDefault="0016743B" w:rsidP="006C4BAD">
      <w:pPr>
        <w:pStyle w:val="NormalWeb"/>
        <w:spacing w:before="0" w:after="0"/>
        <w:rPr>
          <w:rFonts w:asciiTheme="minorHAnsi" w:eastAsia="Times New Roman" w:hAnsiTheme="minorHAnsi" w:cstheme="minorHAnsi"/>
          <w:snapToGrid/>
          <w:sz w:val="22"/>
          <w:szCs w:val="22"/>
          <w:lang w:val="en-AU"/>
        </w:rPr>
      </w:pPr>
      <w:r w:rsidRPr="00B752D1">
        <w:rPr>
          <w:rStyle w:val="FootnoteReference"/>
          <w:rFonts w:asciiTheme="minorHAnsi" w:hAnsiTheme="minorHAnsi" w:cstheme="minorHAnsi"/>
          <w:sz w:val="22"/>
          <w:szCs w:val="22"/>
        </w:rPr>
        <w:footnoteRef/>
      </w:r>
      <w:r w:rsidRPr="00B752D1">
        <w:rPr>
          <w:rFonts w:asciiTheme="minorHAnsi" w:hAnsiTheme="minorHAnsi" w:cstheme="minorHAnsi"/>
          <w:sz w:val="22"/>
          <w:szCs w:val="22"/>
        </w:rPr>
        <w:t xml:space="preserve"> </w:t>
      </w:r>
      <w:r w:rsidRPr="006C4BAD">
        <w:rPr>
          <w:rFonts w:asciiTheme="minorHAnsi" w:hAnsiTheme="minorHAnsi" w:cstheme="minorHAnsi"/>
          <w:color w:val="303030"/>
          <w:sz w:val="20"/>
          <w:szCs w:val="20"/>
          <w:shd w:val="clear" w:color="auto" w:fill="FFFFFF"/>
        </w:rPr>
        <w:t xml:space="preserve">Wrobel W, </w:t>
      </w:r>
      <w:proofErr w:type="spellStart"/>
      <w:r w:rsidRPr="006C4BAD">
        <w:rPr>
          <w:rFonts w:asciiTheme="minorHAnsi" w:hAnsiTheme="minorHAnsi" w:cstheme="minorHAnsi"/>
          <w:color w:val="303030"/>
          <w:sz w:val="20"/>
          <w:szCs w:val="20"/>
          <w:shd w:val="clear" w:color="auto" w:fill="FFFFFF"/>
        </w:rPr>
        <w:t>Pach</w:t>
      </w:r>
      <w:proofErr w:type="spellEnd"/>
      <w:r w:rsidRPr="006C4BAD">
        <w:rPr>
          <w:rFonts w:asciiTheme="minorHAnsi" w:hAnsiTheme="minorHAnsi" w:cstheme="minorHAnsi"/>
          <w:color w:val="303030"/>
          <w:sz w:val="20"/>
          <w:szCs w:val="20"/>
          <w:shd w:val="clear" w:color="auto" w:fill="FFFFFF"/>
        </w:rPr>
        <w:t xml:space="preserve"> E, Ben-</w:t>
      </w:r>
      <w:proofErr w:type="spellStart"/>
      <w:r w:rsidRPr="006C4BAD">
        <w:rPr>
          <w:rFonts w:asciiTheme="minorHAnsi" w:hAnsiTheme="minorHAnsi" w:cstheme="minorHAnsi"/>
          <w:color w:val="303030"/>
          <w:sz w:val="20"/>
          <w:szCs w:val="20"/>
          <w:shd w:val="clear" w:color="auto" w:fill="FFFFFF"/>
        </w:rPr>
        <w:t>Skowronek</w:t>
      </w:r>
      <w:proofErr w:type="spellEnd"/>
      <w:r w:rsidRPr="006C4BAD">
        <w:rPr>
          <w:rFonts w:asciiTheme="minorHAnsi" w:hAnsiTheme="minorHAnsi" w:cstheme="minorHAnsi"/>
          <w:color w:val="303030"/>
          <w:sz w:val="20"/>
          <w:szCs w:val="20"/>
          <w:shd w:val="clear" w:color="auto" w:fill="FFFFFF"/>
        </w:rPr>
        <w:t xml:space="preserve"> I. Advantages and Disadvantages of Different Treatment Methods in Achondroplasia: A Review. Int J Mol Sci. 2021 May 25;22(11):5573. </w:t>
      </w:r>
      <w:proofErr w:type="spellStart"/>
      <w:r w:rsidRPr="006C4BAD">
        <w:rPr>
          <w:rFonts w:asciiTheme="minorHAnsi" w:hAnsiTheme="minorHAnsi" w:cstheme="minorHAnsi"/>
          <w:color w:val="303030"/>
          <w:sz w:val="20"/>
          <w:szCs w:val="20"/>
          <w:shd w:val="clear" w:color="auto" w:fill="FFFFFF"/>
        </w:rPr>
        <w:t>doi</w:t>
      </w:r>
      <w:proofErr w:type="spellEnd"/>
      <w:r w:rsidRPr="006C4BAD">
        <w:rPr>
          <w:rFonts w:asciiTheme="minorHAnsi" w:hAnsiTheme="minorHAnsi" w:cstheme="minorHAnsi"/>
          <w:color w:val="303030"/>
          <w:sz w:val="20"/>
          <w:szCs w:val="20"/>
          <w:shd w:val="clear" w:color="auto" w:fill="FFFFFF"/>
        </w:rPr>
        <w:t>: 10.3390/ijms22115573. PMID: 34070375; PMCID: PMC8197470.</w:t>
      </w:r>
    </w:p>
  </w:footnote>
  <w:footnote w:id="3">
    <w:p w14:paraId="43348779" w14:textId="2C9ABE0A" w:rsidR="0016743B" w:rsidRPr="006C4BAD" w:rsidRDefault="0016743B">
      <w:pPr>
        <w:pStyle w:val="FootnoteText"/>
        <w:rPr>
          <w:rFonts w:asciiTheme="minorHAnsi" w:hAnsiTheme="minorHAnsi" w:cstheme="minorHAnsi"/>
          <w:sz w:val="22"/>
          <w:szCs w:val="22"/>
        </w:rPr>
      </w:pPr>
      <w:r w:rsidRPr="006C4BAD">
        <w:rPr>
          <w:rStyle w:val="FootnoteReference"/>
          <w:rFonts w:asciiTheme="minorHAnsi" w:hAnsiTheme="minorHAnsi" w:cstheme="minorHAnsi"/>
        </w:rPr>
        <w:footnoteRef/>
      </w:r>
      <w:r w:rsidRPr="006C4BAD">
        <w:rPr>
          <w:rFonts w:asciiTheme="minorHAnsi" w:hAnsiTheme="minorHAnsi" w:cstheme="minorHAnsi"/>
        </w:rPr>
        <w:t xml:space="preserve"> </w:t>
      </w:r>
      <w:proofErr w:type="spellStart"/>
      <w:r w:rsidRPr="006C4BAD">
        <w:rPr>
          <w:rFonts w:asciiTheme="minorHAnsi" w:hAnsiTheme="minorHAnsi" w:cstheme="minorHAnsi"/>
          <w:color w:val="212121"/>
          <w:shd w:val="clear" w:color="auto" w:fill="FFFFFF"/>
        </w:rPr>
        <w:t>Aldhouse</w:t>
      </w:r>
      <w:proofErr w:type="spellEnd"/>
      <w:r w:rsidRPr="006C4BAD">
        <w:rPr>
          <w:rFonts w:asciiTheme="minorHAnsi" w:hAnsiTheme="minorHAnsi" w:cstheme="minorHAnsi"/>
          <w:color w:val="212121"/>
          <w:shd w:val="clear" w:color="auto" w:fill="FFFFFF"/>
        </w:rPr>
        <w:t xml:space="preserve"> NVJ, Kitchen H, Johnson C, Marshall C, et al. Key measurement concepts and appropriate clinical outcome assessments in </w:t>
      </w:r>
      <w:proofErr w:type="spellStart"/>
      <w:r w:rsidRPr="006C4BAD">
        <w:rPr>
          <w:rFonts w:asciiTheme="minorHAnsi" w:hAnsiTheme="minorHAnsi" w:cstheme="minorHAnsi"/>
          <w:color w:val="212121"/>
          <w:shd w:val="clear" w:color="auto" w:fill="FFFFFF"/>
        </w:rPr>
        <w:t>pediatric</w:t>
      </w:r>
      <w:proofErr w:type="spellEnd"/>
      <w:r w:rsidRPr="006C4BAD">
        <w:rPr>
          <w:rFonts w:asciiTheme="minorHAnsi" w:hAnsiTheme="minorHAnsi" w:cstheme="minorHAnsi"/>
          <w:color w:val="212121"/>
          <w:shd w:val="clear" w:color="auto" w:fill="FFFFFF"/>
        </w:rPr>
        <w:t xml:space="preserve"> achondroplasia clinical trials. </w:t>
      </w:r>
      <w:proofErr w:type="spellStart"/>
      <w:r w:rsidRPr="006C4BAD">
        <w:rPr>
          <w:rFonts w:asciiTheme="minorHAnsi" w:hAnsiTheme="minorHAnsi" w:cstheme="minorHAnsi"/>
          <w:color w:val="212121"/>
          <w:shd w:val="clear" w:color="auto" w:fill="FFFFFF"/>
        </w:rPr>
        <w:t>Orphanet</w:t>
      </w:r>
      <w:proofErr w:type="spellEnd"/>
      <w:r w:rsidRPr="006C4BAD">
        <w:rPr>
          <w:rFonts w:asciiTheme="minorHAnsi" w:hAnsiTheme="minorHAnsi" w:cstheme="minorHAnsi"/>
          <w:color w:val="212121"/>
          <w:shd w:val="clear" w:color="auto" w:fill="FFFFFF"/>
        </w:rPr>
        <w:t xml:space="preserve"> J Rare Dis. 2022 May 7;17(1):182. </w:t>
      </w:r>
      <w:proofErr w:type="spellStart"/>
      <w:r w:rsidRPr="006C4BAD">
        <w:rPr>
          <w:rFonts w:asciiTheme="minorHAnsi" w:hAnsiTheme="minorHAnsi" w:cstheme="minorHAnsi"/>
          <w:color w:val="212121"/>
          <w:shd w:val="clear" w:color="auto" w:fill="FFFFFF"/>
        </w:rPr>
        <w:t>doi</w:t>
      </w:r>
      <w:proofErr w:type="spellEnd"/>
      <w:r w:rsidRPr="006C4BAD">
        <w:rPr>
          <w:rFonts w:asciiTheme="minorHAnsi" w:hAnsiTheme="minorHAnsi" w:cstheme="minorHAnsi"/>
          <w:color w:val="212121"/>
          <w:shd w:val="clear" w:color="auto" w:fill="FFFFFF"/>
        </w:rPr>
        <w:t>: 10.1186/s13023-022-02333-6. PMID: 35525989; PMCID: PMC9077640.</w:t>
      </w:r>
    </w:p>
  </w:footnote>
  <w:footnote w:id="4">
    <w:p w14:paraId="64A09C1F" w14:textId="77777777" w:rsidR="0016743B" w:rsidRDefault="0016743B">
      <w:pPr>
        <w:pStyle w:val="FootnoteText"/>
      </w:pPr>
      <w:r>
        <w:rPr>
          <w:rStyle w:val="FootnoteReference"/>
        </w:rPr>
        <w:footnoteRef/>
      </w:r>
      <w:r>
        <w:t xml:space="preserve"> </w:t>
      </w:r>
      <w:r w:rsidRPr="00822289">
        <w:t>Christensen TL</w:t>
      </w:r>
      <w:r>
        <w:t xml:space="preserve"> et al</w:t>
      </w:r>
      <w:r w:rsidRPr="00822289">
        <w:t>. An evaluation of the relationship between adult height and health-related quality of life in the general UK population. Clinical Endocrinology</w:t>
      </w:r>
      <w:r>
        <w:t>. 2007;</w:t>
      </w:r>
      <w:r w:rsidRPr="00822289">
        <w:t xml:space="preserve"> 67: 407–412</w:t>
      </w:r>
      <w:r>
        <w:t>.</w:t>
      </w:r>
    </w:p>
  </w:footnote>
  <w:footnote w:id="5">
    <w:p w14:paraId="009240E9" w14:textId="77777777" w:rsidR="0016743B" w:rsidRPr="00822289" w:rsidRDefault="0016743B" w:rsidP="00EB6AD4">
      <w:pPr>
        <w:pStyle w:val="NormalWeb"/>
        <w:rPr>
          <w:rFonts w:ascii="Calibri" w:eastAsia="Times New Roman" w:hAnsi="Calibri" w:cs="Arial"/>
          <w:snapToGrid/>
          <w:sz w:val="20"/>
          <w:szCs w:val="20"/>
          <w:lang w:val="en-AU"/>
        </w:rPr>
      </w:pPr>
      <w:r w:rsidRPr="00B9566B">
        <w:rPr>
          <w:rFonts w:ascii="Calibri" w:hAnsi="Calibri" w:cs="Arial"/>
          <w:snapToGrid/>
          <w:vertAlign w:val="superscript"/>
          <w:lang w:val="en-AU"/>
        </w:rPr>
        <w:footnoteRef/>
      </w:r>
      <w:r w:rsidRPr="00B9566B">
        <w:rPr>
          <w:rFonts w:ascii="Calibri" w:hAnsi="Calibri" w:cs="Arial"/>
          <w:snapToGrid/>
          <w:vertAlign w:val="superscript"/>
          <w:lang w:val="en-AU"/>
        </w:rPr>
        <w:t xml:space="preserve"> </w:t>
      </w:r>
      <w:r w:rsidRPr="00822289">
        <w:rPr>
          <w:rFonts w:ascii="Calibri" w:eastAsia="Times New Roman" w:hAnsi="Calibri" w:cs="Arial"/>
          <w:snapToGrid/>
          <w:sz w:val="20"/>
          <w:szCs w:val="20"/>
          <w:lang w:val="en-AU"/>
        </w:rPr>
        <w:t xml:space="preserve">Richard M. Pauli. Achondroplasia, a comprehensive clinical review. </w:t>
      </w:r>
      <w:proofErr w:type="spellStart"/>
      <w:r w:rsidRPr="00822289">
        <w:rPr>
          <w:rFonts w:ascii="Calibri" w:eastAsia="Times New Roman" w:hAnsi="Calibri" w:cs="Arial"/>
          <w:snapToGrid/>
          <w:sz w:val="20"/>
          <w:szCs w:val="20"/>
          <w:lang w:val="en-AU"/>
        </w:rPr>
        <w:t>Orphanet</w:t>
      </w:r>
      <w:proofErr w:type="spellEnd"/>
      <w:r w:rsidRPr="00822289">
        <w:rPr>
          <w:rFonts w:ascii="Calibri" w:eastAsia="Times New Roman" w:hAnsi="Calibri" w:cs="Arial"/>
          <w:snapToGrid/>
          <w:sz w:val="20"/>
          <w:szCs w:val="20"/>
          <w:lang w:val="en-AU"/>
        </w:rPr>
        <w:t xml:space="preserve"> Journal of Rare Diseases. 2019; 14:1. https://doi.org/10.1186/s13023-018-0972-6 </w:t>
      </w:r>
    </w:p>
    <w:p w14:paraId="05D0D07D" w14:textId="77777777" w:rsidR="0016743B" w:rsidRDefault="0016743B" w:rsidP="00EB6AD4">
      <w:pPr>
        <w:pStyle w:val="FootnoteText"/>
      </w:pPr>
    </w:p>
  </w:footnote>
  <w:footnote w:id="6">
    <w:p w14:paraId="39B3319C" w14:textId="77777777" w:rsidR="003030A1" w:rsidRDefault="003030A1" w:rsidP="003030A1">
      <w:pPr>
        <w:pStyle w:val="FootnoteText"/>
      </w:pPr>
      <w:r>
        <w:rPr>
          <w:rStyle w:val="FootnoteReference"/>
        </w:rPr>
        <w:footnoteRef/>
      </w:r>
      <w:r>
        <w:t xml:space="preserve"> Study </w:t>
      </w:r>
      <w:r w:rsidRPr="00D03812">
        <w:t>111-302</w:t>
      </w:r>
      <w:r>
        <w:t xml:space="preserve"> is ongoing with a planned completion date of December 2024 (as reported in the July 2022 submission), however patients will be followed until </w:t>
      </w:r>
      <w:r w:rsidRPr="00BB6984">
        <w:t xml:space="preserve">final adult height </w:t>
      </w:r>
      <w:r>
        <w:t>requiring a longer follow-up period.  The actual enrolment was 119 participants and the current status is reported to be: “</w:t>
      </w:r>
      <w:r w:rsidRPr="00BB6984">
        <w:t>Active, not recruiting</w:t>
      </w:r>
      <w:r>
        <w:t>” according to the ClinicalTrials.gov website (</w:t>
      </w:r>
      <w:r w:rsidRPr="00D03812">
        <w:t>NCT03424018</w:t>
      </w:r>
      <w:r>
        <w:t>) and the estimated completion date is June 2031 (</w:t>
      </w:r>
      <w:hyperlink r:id="rId1" w:history="1">
        <w:r w:rsidRPr="006846CD">
          <w:rPr>
            <w:rStyle w:val="Hyperlink"/>
          </w:rPr>
          <w:t>https://clinicaltrials.gov/ct2/show/NCT03424018</w:t>
        </w:r>
      </w:hyperlink>
      <w:r>
        <w:t xml:space="preserve">, date accessed 4 Nov 2022; </w:t>
      </w:r>
      <w:r w:rsidRPr="00CB2637">
        <w:t>Last Update Posted</w:t>
      </w:r>
      <w:r>
        <w:t>: 5</w:t>
      </w:r>
      <w:r w:rsidRPr="00CB2637">
        <w:t xml:space="preserve"> July 2022</w:t>
      </w:r>
      <w:r>
        <w:t>).</w:t>
      </w:r>
    </w:p>
  </w:footnote>
  <w:footnote w:id="7">
    <w:p w14:paraId="2A82F767" w14:textId="77777777" w:rsidR="003030A1" w:rsidRDefault="003030A1" w:rsidP="003030A1">
      <w:pPr>
        <w:pStyle w:val="FootnoteText"/>
      </w:pPr>
      <w:r>
        <w:rPr>
          <w:rStyle w:val="FootnoteReference"/>
        </w:rPr>
        <w:footnoteRef/>
      </w:r>
      <w:r>
        <w:t xml:space="preserve"> Study </w:t>
      </w:r>
      <w:r w:rsidRPr="00D03812">
        <w:t>111-</w:t>
      </w:r>
      <w:r>
        <w:t>2</w:t>
      </w:r>
      <w:r w:rsidRPr="00D03812">
        <w:t>0</w:t>
      </w:r>
      <w:r>
        <w:t>8 is ongoing with a planned completion date of December 2026 (as reported in the July 2022 submission).  The actual enrolment was 73 participants and current status is reported to be: “</w:t>
      </w:r>
      <w:r w:rsidRPr="00BB6984">
        <w:t>Active, not recruiting</w:t>
      </w:r>
      <w:r>
        <w:t>” according to the ClinicalTrials.gov website (</w:t>
      </w:r>
      <w:r w:rsidRPr="00CB2637">
        <w:t>NCT03989947</w:t>
      </w:r>
      <w:r>
        <w:t>).  The ClinicalTrials.gov website also reports the estimated completion date as December 2026 (consistent with the submission) and the t</w:t>
      </w:r>
      <w:r w:rsidRPr="00D56D94">
        <w:t xml:space="preserve">ime </w:t>
      </w:r>
      <w:r>
        <w:t>f</w:t>
      </w:r>
      <w:r w:rsidRPr="00D56D94">
        <w:t>rame</w:t>
      </w:r>
      <w:r>
        <w:t xml:space="preserve"> for primary and secondary outcome measures is</w:t>
      </w:r>
      <w:r w:rsidRPr="00D56D94">
        <w:t xml:space="preserve"> "Through study completion, an average of 5 years"</w:t>
      </w:r>
      <w:r>
        <w:t xml:space="preserve"> (</w:t>
      </w:r>
      <w:hyperlink r:id="rId2" w:history="1">
        <w:r w:rsidRPr="006846CD">
          <w:rPr>
            <w:rStyle w:val="Hyperlink"/>
          </w:rPr>
          <w:t>https://clinicaltrials.gov/ct2/show/NCT03989947</w:t>
        </w:r>
      </w:hyperlink>
      <w:r>
        <w:t xml:space="preserve">, date accessed 4 Nov 2022; </w:t>
      </w:r>
      <w:r w:rsidRPr="00CB2637">
        <w:t>Last Update Posted</w:t>
      </w:r>
      <w:r>
        <w:t>: 5</w:t>
      </w:r>
      <w:r w:rsidRPr="00CB2637">
        <w:t xml:space="preserve"> July 2022</w:t>
      </w:r>
      <w:r>
        <w:t>).</w:t>
      </w:r>
    </w:p>
  </w:footnote>
  <w:footnote w:id="8">
    <w:p w14:paraId="7D59FA10" w14:textId="77777777" w:rsidR="003030A1" w:rsidRDefault="003030A1" w:rsidP="003030A1">
      <w:pPr>
        <w:pStyle w:val="FootnoteText"/>
      </w:pPr>
      <w:r>
        <w:rPr>
          <w:rStyle w:val="FootnoteReference"/>
        </w:rPr>
        <w:footnoteRef/>
      </w:r>
      <w:r>
        <w:t xml:space="preserve"> </w:t>
      </w:r>
      <w:r w:rsidRPr="008E7725">
        <w:t>Study 111-205 is ongoing with a planned completion date of October 2022</w:t>
      </w:r>
      <w:r>
        <w:t xml:space="preserve"> (as reported in the July 2022 submission),</w:t>
      </w:r>
      <w:r w:rsidRPr="008E7725">
        <w:t xml:space="preserve"> </w:t>
      </w:r>
      <w:r>
        <w:t xml:space="preserve">however patients will be followed until </w:t>
      </w:r>
      <w:r w:rsidRPr="00BB6984">
        <w:t xml:space="preserve">final adult height </w:t>
      </w:r>
      <w:r>
        <w:t>requiring a longer follow-up period</w:t>
      </w:r>
      <w:r w:rsidRPr="008E7725">
        <w:t>.</w:t>
      </w:r>
      <w:r>
        <w:t xml:space="preserve"> The actual enrolment was 30 participants and the current status is reported to be: “</w:t>
      </w:r>
      <w:r w:rsidRPr="00BB6984">
        <w:t>Active, not recruiting</w:t>
      </w:r>
      <w:r>
        <w:t>” according to the ClinicalTrials.gov website (</w:t>
      </w:r>
      <w:r w:rsidRPr="008E7725">
        <w:t>NCT02724228</w:t>
      </w:r>
      <w:r>
        <w:t>) and the estimated completion date is February 2028 (</w:t>
      </w:r>
      <w:r w:rsidRPr="008E7725">
        <w:t>https://clinicaltrials.gov/ct2/show/NCT02724228</w:t>
      </w:r>
      <w:r>
        <w:t xml:space="preserve">, date accessed 4 Nov 2022; </w:t>
      </w:r>
      <w:r w:rsidRPr="00CB2637">
        <w:t>Last Update Posted</w:t>
      </w:r>
      <w:r>
        <w:t>: 5</w:t>
      </w:r>
      <w:r w:rsidRPr="00CB2637">
        <w:t xml:space="preserve"> July 2022</w:t>
      </w:r>
      <w:r>
        <w:t>).</w:t>
      </w:r>
    </w:p>
    <w:p w14:paraId="7FDB3B3C" w14:textId="77777777" w:rsidR="003030A1" w:rsidRDefault="003030A1" w:rsidP="003030A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B550" w14:textId="062A1004" w:rsidR="0016743B" w:rsidRPr="00E745AD" w:rsidRDefault="00882452" w:rsidP="00E745AD">
    <w:pPr>
      <w:keepNext/>
      <w:tabs>
        <w:tab w:val="center" w:pos="4153"/>
        <w:tab w:val="right" w:pos="8306"/>
      </w:tabs>
      <w:ind w:left="360"/>
      <w:jc w:val="center"/>
      <w:rPr>
        <w:rFonts w:asciiTheme="minorHAnsi" w:eastAsia="Times New Roman" w:hAnsiTheme="minorHAnsi"/>
        <w:i/>
        <w:color w:val="808080"/>
        <w:lang w:eastAsia="en-US"/>
      </w:rPr>
    </w:pPr>
    <w:bookmarkStart w:id="96" w:name="_Hlk76375146"/>
    <w:r>
      <w:rPr>
        <w:rFonts w:asciiTheme="minorHAnsi" w:eastAsia="Times New Roman" w:hAnsiTheme="minorHAnsi"/>
        <w:i/>
        <w:color w:val="808080"/>
        <w:lang w:eastAsia="en-US"/>
      </w:rPr>
      <w:t>Public Summary Document</w:t>
    </w:r>
    <w:r w:rsidR="0016743B" w:rsidRPr="00E745AD">
      <w:rPr>
        <w:rFonts w:asciiTheme="minorHAnsi" w:eastAsia="Times New Roman" w:hAnsiTheme="minorHAnsi"/>
        <w:i/>
        <w:color w:val="808080"/>
        <w:lang w:eastAsia="en-US"/>
      </w:rPr>
      <w:t xml:space="preserve"> –</w:t>
    </w:r>
    <w:r w:rsidR="0016743B">
      <w:rPr>
        <w:rFonts w:asciiTheme="minorHAnsi" w:eastAsia="Times New Roman" w:hAnsiTheme="minorHAnsi"/>
        <w:i/>
        <w:color w:val="808080"/>
        <w:lang w:eastAsia="en-US"/>
      </w:rPr>
      <w:t xml:space="preserve"> July </w:t>
    </w:r>
    <w:r w:rsidR="0016743B" w:rsidRPr="00E745AD">
      <w:rPr>
        <w:rFonts w:asciiTheme="minorHAnsi" w:eastAsia="Times New Roman" w:hAnsiTheme="minorHAnsi"/>
        <w:i/>
        <w:color w:val="808080"/>
        <w:lang w:eastAsia="en-US"/>
      </w:rPr>
      <w:t>2022 PBAC Meeting</w:t>
    </w:r>
    <w:r w:rsidR="00CD2997">
      <w:rPr>
        <w:rFonts w:asciiTheme="minorHAnsi" w:eastAsia="Times New Roman" w:hAnsiTheme="minorHAnsi"/>
        <w:i/>
        <w:color w:val="808080"/>
        <w:lang w:eastAsia="en-US"/>
      </w:rPr>
      <w:t xml:space="preserve"> with September 2022</w:t>
    </w:r>
    <w:r w:rsidR="0000578A">
      <w:rPr>
        <w:rFonts w:asciiTheme="minorHAnsi" w:eastAsia="Times New Roman" w:hAnsiTheme="minorHAnsi"/>
        <w:i/>
        <w:color w:val="808080"/>
        <w:lang w:eastAsia="en-US"/>
      </w:rPr>
      <w:t xml:space="preserve"> and November 2022</w:t>
    </w:r>
    <w:r w:rsidR="00CD2997">
      <w:rPr>
        <w:rFonts w:asciiTheme="minorHAnsi" w:eastAsia="Times New Roman" w:hAnsiTheme="minorHAnsi"/>
        <w:i/>
        <w:color w:val="808080"/>
        <w:lang w:eastAsia="en-US"/>
      </w:rPr>
      <w:t xml:space="preserve"> Addendum</w:t>
    </w:r>
    <w:r w:rsidR="0000578A">
      <w:rPr>
        <w:rFonts w:asciiTheme="minorHAnsi" w:eastAsia="Times New Roman" w:hAnsiTheme="minorHAnsi"/>
        <w:i/>
        <w:color w:val="808080"/>
        <w:lang w:eastAsia="en-US"/>
      </w:rPr>
      <w:t>s</w:t>
    </w:r>
  </w:p>
  <w:bookmarkEnd w:id="96"/>
  <w:p w14:paraId="5E83BD6D" w14:textId="77777777" w:rsidR="0016743B" w:rsidRDefault="001674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209A52"/>
    <w:lvl w:ilvl="0">
      <w:start w:val="1"/>
      <w:numFmt w:val="bullet"/>
      <w:pStyle w:val="ListBullet"/>
      <w:lvlText w:val=""/>
      <w:lvlJc w:val="left"/>
      <w:pPr>
        <w:tabs>
          <w:tab w:val="num" w:pos="785"/>
        </w:tabs>
        <w:ind w:left="785" w:hanging="360"/>
      </w:pPr>
      <w:rPr>
        <w:rFonts w:ascii="Symbol" w:hAnsi="Symbol" w:hint="default"/>
      </w:rPr>
    </w:lvl>
  </w:abstractNum>
  <w:abstractNum w:abstractNumId="1" w15:restartNumberingAfterBreak="0">
    <w:nsid w:val="1AF60C29"/>
    <w:multiLevelType w:val="hybridMultilevel"/>
    <w:tmpl w:val="6652D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F4698B"/>
    <w:multiLevelType w:val="hybridMultilevel"/>
    <w:tmpl w:val="638202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B219F8"/>
    <w:multiLevelType w:val="hybridMultilevel"/>
    <w:tmpl w:val="4594B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144C7C"/>
    <w:multiLevelType w:val="hybridMultilevel"/>
    <w:tmpl w:val="9634BEB0"/>
    <w:lvl w:ilvl="0" w:tplc="F49A40F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8CE189A"/>
    <w:multiLevelType w:val="hybridMultilevel"/>
    <w:tmpl w:val="E0E8B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F80616"/>
    <w:multiLevelType w:val="multilevel"/>
    <w:tmpl w:val="62A0051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C765F2"/>
    <w:multiLevelType w:val="multilevel"/>
    <w:tmpl w:val="62A0051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072C5"/>
    <w:multiLevelType w:val="hybridMultilevel"/>
    <w:tmpl w:val="933E2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773ACF"/>
    <w:multiLevelType w:val="hybridMultilevel"/>
    <w:tmpl w:val="9014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332846"/>
    <w:multiLevelType w:val="hybridMultilevel"/>
    <w:tmpl w:val="5BE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D3966"/>
    <w:multiLevelType w:val="hybridMultilevel"/>
    <w:tmpl w:val="58507A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6BF7A0D"/>
    <w:multiLevelType w:val="hybridMultilevel"/>
    <w:tmpl w:val="2942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14F68"/>
    <w:multiLevelType w:val="hybridMultilevel"/>
    <w:tmpl w:val="BA5E6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FA3C06"/>
    <w:multiLevelType w:val="hybridMultilevel"/>
    <w:tmpl w:val="9B06D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D93273"/>
    <w:multiLevelType w:val="hybridMultilevel"/>
    <w:tmpl w:val="7EB210D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D5D538F"/>
    <w:multiLevelType w:val="multilevel"/>
    <w:tmpl w:val="6F9E64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8"/>
  </w:num>
  <w:num w:numId="2">
    <w:abstractNumId w:val="8"/>
  </w:num>
  <w:num w:numId="3">
    <w:abstractNumId w:val="0"/>
  </w:num>
  <w:num w:numId="4">
    <w:abstractNumId w:val="3"/>
  </w:num>
  <w:num w:numId="5">
    <w:abstractNumId w:val="11"/>
  </w:num>
  <w:num w:numId="6">
    <w:abstractNumId w:val="13"/>
  </w:num>
  <w:num w:numId="7">
    <w:abstractNumId w:val="12"/>
  </w:num>
  <w:num w:numId="8">
    <w:abstractNumId w:val="6"/>
  </w:num>
  <w:num w:numId="9">
    <w:abstractNumId w:val="7"/>
  </w:num>
  <w:num w:numId="10">
    <w:abstractNumId w:val="1"/>
  </w:num>
  <w:num w:numId="11">
    <w:abstractNumId w:val="2"/>
  </w:num>
  <w:num w:numId="12">
    <w:abstractNumId w:val="4"/>
  </w:num>
  <w:num w:numId="13">
    <w:abstractNumId w:val="19"/>
  </w:num>
  <w:num w:numId="14">
    <w:abstractNumId w:val="18"/>
  </w:num>
  <w:num w:numId="15">
    <w:abstractNumId w:val="18"/>
  </w:num>
  <w:num w:numId="16">
    <w:abstractNumId w:val="10"/>
  </w:num>
  <w:num w:numId="17">
    <w:abstractNumId w:val="18"/>
  </w:num>
  <w:num w:numId="18">
    <w:abstractNumId w:val="18"/>
  </w:num>
  <w:num w:numId="19">
    <w:abstractNumId w:val="18"/>
  </w:num>
  <w:num w:numId="20">
    <w:abstractNumId w:val="18"/>
  </w:num>
  <w:num w:numId="21">
    <w:abstractNumId w:val="18"/>
  </w:num>
  <w:num w:numId="22">
    <w:abstractNumId w:val="5"/>
  </w:num>
  <w:num w:numId="23">
    <w:abstractNumId w:val="9"/>
  </w:num>
  <w:num w:numId="24">
    <w:abstractNumId w:val="15"/>
  </w:num>
  <w:num w:numId="25">
    <w:abstractNumId w:val="14"/>
  </w:num>
  <w:num w:numId="26">
    <w:abstractNumId w:val="18"/>
  </w:num>
  <w:num w:numId="27">
    <w:abstractNumId w:val="18"/>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8"/>
  </w:num>
  <w:num w:numId="32">
    <w:abstractNumId w:val="18"/>
  </w:num>
  <w:num w:numId="33">
    <w:abstractNumId w:val="16"/>
  </w:num>
  <w:num w:numId="3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52A"/>
    <w:rsid w:val="00000790"/>
    <w:rsid w:val="00001053"/>
    <w:rsid w:val="0000110B"/>
    <w:rsid w:val="00002A49"/>
    <w:rsid w:val="00003499"/>
    <w:rsid w:val="0000352F"/>
    <w:rsid w:val="000039B7"/>
    <w:rsid w:val="00003B61"/>
    <w:rsid w:val="00003D6E"/>
    <w:rsid w:val="00004CC1"/>
    <w:rsid w:val="00004E4F"/>
    <w:rsid w:val="0000578A"/>
    <w:rsid w:val="00005D31"/>
    <w:rsid w:val="0000621C"/>
    <w:rsid w:val="0000639A"/>
    <w:rsid w:val="00007C4D"/>
    <w:rsid w:val="0001043E"/>
    <w:rsid w:val="00011EE3"/>
    <w:rsid w:val="00013247"/>
    <w:rsid w:val="00013C70"/>
    <w:rsid w:val="00014E54"/>
    <w:rsid w:val="00015886"/>
    <w:rsid w:val="000162EF"/>
    <w:rsid w:val="00016781"/>
    <w:rsid w:val="00017D65"/>
    <w:rsid w:val="000207C9"/>
    <w:rsid w:val="0002225F"/>
    <w:rsid w:val="00022298"/>
    <w:rsid w:val="00023763"/>
    <w:rsid w:val="00023D10"/>
    <w:rsid w:val="00023E0E"/>
    <w:rsid w:val="00025688"/>
    <w:rsid w:val="00025F29"/>
    <w:rsid w:val="000274B8"/>
    <w:rsid w:val="00027946"/>
    <w:rsid w:val="00027C4D"/>
    <w:rsid w:val="000316DC"/>
    <w:rsid w:val="00031979"/>
    <w:rsid w:val="000328CC"/>
    <w:rsid w:val="00033863"/>
    <w:rsid w:val="000345B2"/>
    <w:rsid w:val="000345FA"/>
    <w:rsid w:val="00035917"/>
    <w:rsid w:val="00035DC0"/>
    <w:rsid w:val="00036365"/>
    <w:rsid w:val="0003644A"/>
    <w:rsid w:val="00036668"/>
    <w:rsid w:val="0003675B"/>
    <w:rsid w:val="00036829"/>
    <w:rsid w:val="00037EDB"/>
    <w:rsid w:val="000404D3"/>
    <w:rsid w:val="00040850"/>
    <w:rsid w:val="00040895"/>
    <w:rsid w:val="00040CFC"/>
    <w:rsid w:val="000435EE"/>
    <w:rsid w:val="00043C37"/>
    <w:rsid w:val="00043CD3"/>
    <w:rsid w:val="00044E8A"/>
    <w:rsid w:val="00045017"/>
    <w:rsid w:val="00045A2B"/>
    <w:rsid w:val="000462EA"/>
    <w:rsid w:val="0004698F"/>
    <w:rsid w:val="00047520"/>
    <w:rsid w:val="00050DF1"/>
    <w:rsid w:val="00051990"/>
    <w:rsid w:val="000538A4"/>
    <w:rsid w:val="000539D0"/>
    <w:rsid w:val="00054621"/>
    <w:rsid w:val="000546D7"/>
    <w:rsid w:val="00054A44"/>
    <w:rsid w:val="000552AD"/>
    <w:rsid w:val="00055439"/>
    <w:rsid w:val="00055713"/>
    <w:rsid w:val="00055865"/>
    <w:rsid w:val="00056223"/>
    <w:rsid w:val="000566A3"/>
    <w:rsid w:val="00056BCC"/>
    <w:rsid w:val="00056ECF"/>
    <w:rsid w:val="0006024E"/>
    <w:rsid w:val="000604DF"/>
    <w:rsid w:val="00060516"/>
    <w:rsid w:val="00061351"/>
    <w:rsid w:val="000640AD"/>
    <w:rsid w:val="000653B5"/>
    <w:rsid w:val="000659DB"/>
    <w:rsid w:val="00066360"/>
    <w:rsid w:val="00066AF8"/>
    <w:rsid w:val="00066F2A"/>
    <w:rsid w:val="00070318"/>
    <w:rsid w:val="00071248"/>
    <w:rsid w:val="000720B9"/>
    <w:rsid w:val="0007358C"/>
    <w:rsid w:val="000737F7"/>
    <w:rsid w:val="00073B81"/>
    <w:rsid w:val="000741F5"/>
    <w:rsid w:val="00074BB8"/>
    <w:rsid w:val="00075841"/>
    <w:rsid w:val="0007672F"/>
    <w:rsid w:val="0007696A"/>
    <w:rsid w:val="00076B54"/>
    <w:rsid w:val="000774F0"/>
    <w:rsid w:val="0008065F"/>
    <w:rsid w:val="000807F8"/>
    <w:rsid w:val="00080909"/>
    <w:rsid w:val="000811D1"/>
    <w:rsid w:val="00081222"/>
    <w:rsid w:val="000812CA"/>
    <w:rsid w:val="000813F9"/>
    <w:rsid w:val="0008161A"/>
    <w:rsid w:val="00081776"/>
    <w:rsid w:val="00081DB4"/>
    <w:rsid w:val="00081E63"/>
    <w:rsid w:val="0008258D"/>
    <w:rsid w:val="00082E4F"/>
    <w:rsid w:val="00083E99"/>
    <w:rsid w:val="00084025"/>
    <w:rsid w:val="00084A56"/>
    <w:rsid w:val="00084FA8"/>
    <w:rsid w:val="000856C5"/>
    <w:rsid w:val="00085975"/>
    <w:rsid w:val="00085C31"/>
    <w:rsid w:val="00085F04"/>
    <w:rsid w:val="00086609"/>
    <w:rsid w:val="0008685F"/>
    <w:rsid w:val="00086C91"/>
    <w:rsid w:val="00086FE1"/>
    <w:rsid w:val="00087654"/>
    <w:rsid w:val="000902D9"/>
    <w:rsid w:val="00090C7E"/>
    <w:rsid w:val="0009207D"/>
    <w:rsid w:val="00092600"/>
    <w:rsid w:val="0009262B"/>
    <w:rsid w:val="00093310"/>
    <w:rsid w:val="0009445C"/>
    <w:rsid w:val="00095200"/>
    <w:rsid w:val="00095FE5"/>
    <w:rsid w:val="00096284"/>
    <w:rsid w:val="0009764E"/>
    <w:rsid w:val="00097D3E"/>
    <w:rsid w:val="000A018D"/>
    <w:rsid w:val="000A03A8"/>
    <w:rsid w:val="000A1BC0"/>
    <w:rsid w:val="000A55DC"/>
    <w:rsid w:val="000A6039"/>
    <w:rsid w:val="000A6187"/>
    <w:rsid w:val="000A6A45"/>
    <w:rsid w:val="000A6B06"/>
    <w:rsid w:val="000A7453"/>
    <w:rsid w:val="000A7D08"/>
    <w:rsid w:val="000B0121"/>
    <w:rsid w:val="000B020D"/>
    <w:rsid w:val="000B0670"/>
    <w:rsid w:val="000B08ED"/>
    <w:rsid w:val="000B0917"/>
    <w:rsid w:val="000B0E75"/>
    <w:rsid w:val="000B11B7"/>
    <w:rsid w:val="000B2B7E"/>
    <w:rsid w:val="000B2DCB"/>
    <w:rsid w:val="000B37F2"/>
    <w:rsid w:val="000B48A4"/>
    <w:rsid w:val="000B5A72"/>
    <w:rsid w:val="000B5B8F"/>
    <w:rsid w:val="000B5CE0"/>
    <w:rsid w:val="000B6772"/>
    <w:rsid w:val="000B6CAC"/>
    <w:rsid w:val="000B7612"/>
    <w:rsid w:val="000B78AE"/>
    <w:rsid w:val="000C1B69"/>
    <w:rsid w:val="000C388E"/>
    <w:rsid w:val="000C3DF9"/>
    <w:rsid w:val="000C4000"/>
    <w:rsid w:val="000C65C7"/>
    <w:rsid w:val="000C6713"/>
    <w:rsid w:val="000C6983"/>
    <w:rsid w:val="000C6FD5"/>
    <w:rsid w:val="000C7745"/>
    <w:rsid w:val="000C781A"/>
    <w:rsid w:val="000C7B1A"/>
    <w:rsid w:val="000D01BD"/>
    <w:rsid w:val="000D0BFB"/>
    <w:rsid w:val="000D1762"/>
    <w:rsid w:val="000D1BFC"/>
    <w:rsid w:val="000D1D5D"/>
    <w:rsid w:val="000D1DDD"/>
    <w:rsid w:val="000D23E2"/>
    <w:rsid w:val="000D281A"/>
    <w:rsid w:val="000D2848"/>
    <w:rsid w:val="000D326A"/>
    <w:rsid w:val="000D51FB"/>
    <w:rsid w:val="000D5D64"/>
    <w:rsid w:val="000D5E18"/>
    <w:rsid w:val="000D5EA6"/>
    <w:rsid w:val="000D639A"/>
    <w:rsid w:val="000D7036"/>
    <w:rsid w:val="000D7BE2"/>
    <w:rsid w:val="000E0026"/>
    <w:rsid w:val="000E01EA"/>
    <w:rsid w:val="000E0640"/>
    <w:rsid w:val="000E135D"/>
    <w:rsid w:val="000E1545"/>
    <w:rsid w:val="000E2B4F"/>
    <w:rsid w:val="000E2EA5"/>
    <w:rsid w:val="000E36D4"/>
    <w:rsid w:val="000E3A2F"/>
    <w:rsid w:val="000E66CA"/>
    <w:rsid w:val="000E6A05"/>
    <w:rsid w:val="000F00BA"/>
    <w:rsid w:val="000F0515"/>
    <w:rsid w:val="000F1344"/>
    <w:rsid w:val="000F1880"/>
    <w:rsid w:val="000F1F81"/>
    <w:rsid w:val="000F2B0B"/>
    <w:rsid w:val="000F316A"/>
    <w:rsid w:val="000F3C74"/>
    <w:rsid w:val="000F4BB8"/>
    <w:rsid w:val="000F4CB7"/>
    <w:rsid w:val="000F4FA9"/>
    <w:rsid w:val="000F53FB"/>
    <w:rsid w:val="000F5EE4"/>
    <w:rsid w:val="000F61A3"/>
    <w:rsid w:val="000F6643"/>
    <w:rsid w:val="000F6D91"/>
    <w:rsid w:val="000F7127"/>
    <w:rsid w:val="000F76EB"/>
    <w:rsid w:val="000F7B54"/>
    <w:rsid w:val="000F7D3E"/>
    <w:rsid w:val="001003D5"/>
    <w:rsid w:val="001005E1"/>
    <w:rsid w:val="00100ACD"/>
    <w:rsid w:val="00100E92"/>
    <w:rsid w:val="00100F4B"/>
    <w:rsid w:val="00100F8A"/>
    <w:rsid w:val="00101F9C"/>
    <w:rsid w:val="00102B50"/>
    <w:rsid w:val="00102CE4"/>
    <w:rsid w:val="0010397F"/>
    <w:rsid w:val="0010452E"/>
    <w:rsid w:val="001047D7"/>
    <w:rsid w:val="00105AE2"/>
    <w:rsid w:val="00105D10"/>
    <w:rsid w:val="001060C6"/>
    <w:rsid w:val="00106905"/>
    <w:rsid w:val="00106B80"/>
    <w:rsid w:val="0010725E"/>
    <w:rsid w:val="0011032E"/>
    <w:rsid w:val="00110587"/>
    <w:rsid w:val="00110F23"/>
    <w:rsid w:val="00111259"/>
    <w:rsid w:val="00111914"/>
    <w:rsid w:val="0011348B"/>
    <w:rsid w:val="00113ABF"/>
    <w:rsid w:val="00115186"/>
    <w:rsid w:val="00115982"/>
    <w:rsid w:val="00115E05"/>
    <w:rsid w:val="0011641B"/>
    <w:rsid w:val="00116C53"/>
    <w:rsid w:val="00120F33"/>
    <w:rsid w:val="001213D4"/>
    <w:rsid w:val="00121799"/>
    <w:rsid w:val="00121B92"/>
    <w:rsid w:val="00121EC6"/>
    <w:rsid w:val="001222FC"/>
    <w:rsid w:val="001236BC"/>
    <w:rsid w:val="00123902"/>
    <w:rsid w:val="00123C5D"/>
    <w:rsid w:val="001244EC"/>
    <w:rsid w:val="00124A51"/>
    <w:rsid w:val="001251F9"/>
    <w:rsid w:val="00125623"/>
    <w:rsid w:val="00126621"/>
    <w:rsid w:val="00126929"/>
    <w:rsid w:val="00126B1D"/>
    <w:rsid w:val="00126D1A"/>
    <w:rsid w:val="00127D04"/>
    <w:rsid w:val="001301E9"/>
    <w:rsid w:val="00130C58"/>
    <w:rsid w:val="00131959"/>
    <w:rsid w:val="00131D82"/>
    <w:rsid w:val="00132B22"/>
    <w:rsid w:val="00133850"/>
    <w:rsid w:val="00133D36"/>
    <w:rsid w:val="00133DF6"/>
    <w:rsid w:val="00135C56"/>
    <w:rsid w:val="001360E0"/>
    <w:rsid w:val="0013639B"/>
    <w:rsid w:val="0013642C"/>
    <w:rsid w:val="00137219"/>
    <w:rsid w:val="00137645"/>
    <w:rsid w:val="00137737"/>
    <w:rsid w:val="0014015A"/>
    <w:rsid w:val="001407B5"/>
    <w:rsid w:val="00140E99"/>
    <w:rsid w:val="0014173C"/>
    <w:rsid w:val="00142FE0"/>
    <w:rsid w:val="00143715"/>
    <w:rsid w:val="0014371E"/>
    <w:rsid w:val="00143F67"/>
    <w:rsid w:val="00144192"/>
    <w:rsid w:val="0014489C"/>
    <w:rsid w:val="00145540"/>
    <w:rsid w:val="001455A1"/>
    <w:rsid w:val="001456B0"/>
    <w:rsid w:val="00146DC8"/>
    <w:rsid w:val="001478E1"/>
    <w:rsid w:val="0015166F"/>
    <w:rsid w:val="0015214F"/>
    <w:rsid w:val="001540B4"/>
    <w:rsid w:val="00155CC9"/>
    <w:rsid w:val="0015642A"/>
    <w:rsid w:val="00156A44"/>
    <w:rsid w:val="00156C0B"/>
    <w:rsid w:val="00156F8F"/>
    <w:rsid w:val="0015712E"/>
    <w:rsid w:val="00157130"/>
    <w:rsid w:val="001576B1"/>
    <w:rsid w:val="0016047B"/>
    <w:rsid w:val="00160A4C"/>
    <w:rsid w:val="00161BB3"/>
    <w:rsid w:val="00161EF2"/>
    <w:rsid w:val="00161F3E"/>
    <w:rsid w:val="00162909"/>
    <w:rsid w:val="00162913"/>
    <w:rsid w:val="00163988"/>
    <w:rsid w:val="00163B1A"/>
    <w:rsid w:val="00163BA1"/>
    <w:rsid w:val="00163EFF"/>
    <w:rsid w:val="00163F66"/>
    <w:rsid w:val="0016444E"/>
    <w:rsid w:val="00164956"/>
    <w:rsid w:val="00164E35"/>
    <w:rsid w:val="0016543B"/>
    <w:rsid w:val="0016558E"/>
    <w:rsid w:val="00165B96"/>
    <w:rsid w:val="001661FB"/>
    <w:rsid w:val="001671A0"/>
    <w:rsid w:val="0016743B"/>
    <w:rsid w:val="0016767F"/>
    <w:rsid w:val="00167CEF"/>
    <w:rsid w:val="001709F0"/>
    <w:rsid w:val="00170DD7"/>
    <w:rsid w:val="001731BC"/>
    <w:rsid w:val="001734A0"/>
    <w:rsid w:val="00173565"/>
    <w:rsid w:val="00173B07"/>
    <w:rsid w:val="001751FA"/>
    <w:rsid w:val="001757A9"/>
    <w:rsid w:val="00181D9C"/>
    <w:rsid w:val="001822D5"/>
    <w:rsid w:val="00183B23"/>
    <w:rsid w:val="00184B0E"/>
    <w:rsid w:val="00184B30"/>
    <w:rsid w:val="00186FF1"/>
    <w:rsid w:val="0018752F"/>
    <w:rsid w:val="00190053"/>
    <w:rsid w:val="00190667"/>
    <w:rsid w:val="00190C7A"/>
    <w:rsid w:val="00191FAF"/>
    <w:rsid w:val="00192A10"/>
    <w:rsid w:val="00193260"/>
    <w:rsid w:val="00193838"/>
    <w:rsid w:val="00193C5F"/>
    <w:rsid w:val="00194782"/>
    <w:rsid w:val="00194AD8"/>
    <w:rsid w:val="00194F15"/>
    <w:rsid w:val="00195222"/>
    <w:rsid w:val="001964F1"/>
    <w:rsid w:val="0019744B"/>
    <w:rsid w:val="001975D8"/>
    <w:rsid w:val="00197BCB"/>
    <w:rsid w:val="001A0E83"/>
    <w:rsid w:val="001A178E"/>
    <w:rsid w:val="001A1AF5"/>
    <w:rsid w:val="001A2C89"/>
    <w:rsid w:val="001A41EF"/>
    <w:rsid w:val="001A43FA"/>
    <w:rsid w:val="001A44BE"/>
    <w:rsid w:val="001A47C5"/>
    <w:rsid w:val="001A59FB"/>
    <w:rsid w:val="001A5E9E"/>
    <w:rsid w:val="001A6354"/>
    <w:rsid w:val="001A6366"/>
    <w:rsid w:val="001A733B"/>
    <w:rsid w:val="001A7AE8"/>
    <w:rsid w:val="001B1FB6"/>
    <w:rsid w:val="001B204E"/>
    <w:rsid w:val="001B2372"/>
    <w:rsid w:val="001B3443"/>
    <w:rsid w:val="001B4D20"/>
    <w:rsid w:val="001B6105"/>
    <w:rsid w:val="001B6E46"/>
    <w:rsid w:val="001B7EE2"/>
    <w:rsid w:val="001C0C64"/>
    <w:rsid w:val="001C0EE7"/>
    <w:rsid w:val="001C29B9"/>
    <w:rsid w:val="001C2A9B"/>
    <w:rsid w:val="001C3B2F"/>
    <w:rsid w:val="001C4299"/>
    <w:rsid w:val="001C4874"/>
    <w:rsid w:val="001C49DC"/>
    <w:rsid w:val="001C4B26"/>
    <w:rsid w:val="001C5F94"/>
    <w:rsid w:val="001C6136"/>
    <w:rsid w:val="001C659D"/>
    <w:rsid w:val="001C65F1"/>
    <w:rsid w:val="001C6E66"/>
    <w:rsid w:val="001C7599"/>
    <w:rsid w:val="001C7987"/>
    <w:rsid w:val="001D0A03"/>
    <w:rsid w:val="001D0EA4"/>
    <w:rsid w:val="001D1100"/>
    <w:rsid w:val="001D12A4"/>
    <w:rsid w:val="001D1345"/>
    <w:rsid w:val="001D1391"/>
    <w:rsid w:val="001D18D4"/>
    <w:rsid w:val="001D1C82"/>
    <w:rsid w:val="001D2560"/>
    <w:rsid w:val="001D25D7"/>
    <w:rsid w:val="001D2874"/>
    <w:rsid w:val="001D2F76"/>
    <w:rsid w:val="001D50B2"/>
    <w:rsid w:val="001D60FD"/>
    <w:rsid w:val="001D61F1"/>
    <w:rsid w:val="001D6EEC"/>
    <w:rsid w:val="001D7645"/>
    <w:rsid w:val="001E16F6"/>
    <w:rsid w:val="001E1E86"/>
    <w:rsid w:val="001E238E"/>
    <w:rsid w:val="001E2483"/>
    <w:rsid w:val="001E24A2"/>
    <w:rsid w:val="001E2A02"/>
    <w:rsid w:val="001E2B1E"/>
    <w:rsid w:val="001E2CFF"/>
    <w:rsid w:val="001E2E19"/>
    <w:rsid w:val="001E2F24"/>
    <w:rsid w:val="001E30D4"/>
    <w:rsid w:val="001E34DF"/>
    <w:rsid w:val="001E37C9"/>
    <w:rsid w:val="001E3BA9"/>
    <w:rsid w:val="001E52EB"/>
    <w:rsid w:val="001E605F"/>
    <w:rsid w:val="001E61D2"/>
    <w:rsid w:val="001E6DEA"/>
    <w:rsid w:val="001E737A"/>
    <w:rsid w:val="001E740C"/>
    <w:rsid w:val="001E759C"/>
    <w:rsid w:val="001E7D20"/>
    <w:rsid w:val="001F0185"/>
    <w:rsid w:val="001F024A"/>
    <w:rsid w:val="001F1235"/>
    <w:rsid w:val="001F1A17"/>
    <w:rsid w:val="001F1CB3"/>
    <w:rsid w:val="001F1E82"/>
    <w:rsid w:val="001F266E"/>
    <w:rsid w:val="001F340C"/>
    <w:rsid w:val="001F38B5"/>
    <w:rsid w:val="001F4081"/>
    <w:rsid w:val="001F4D58"/>
    <w:rsid w:val="001F5ADD"/>
    <w:rsid w:val="001F7361"/>
    <w:rsid w:val="00200AD7"/>
    <w:rsid w:val="00201081"/>
    <w:rsid w:val="002011B0"/>
    <w:rsid w:val="002017A9"/>
    <w:rsid w:val="00201C40"/>
    <w:rsid w:val="00202EF7"/>
    <w:rsid w:val="00203181"/>
    <w:rsid w:val="002035D7"/>
    <w:rsid w:val="00203783"/>
    <w:rsid w:val="0020385F"/>
    <w:rsid w:val="00203A7A"/>
    <w:rsid w:val="00203F22"/>
    <w:rsid w:val="002055A4"/>
    <w:rsid w:val="002068A0"/>
    <w:rsid w:val="00207021"/>
    <w:rsid w:val="0020732F"/>
    <w:rsid w:val="00207D00"/>
    <w:rsid w:val="002105C1"/>
    <w:rsid w:val="00210C90"/>
    <w:rsid w:val="00211182"/>
    <w:rsid w:val="00211FAF"/>
    <w:rsid w:val="00212469"/>
    <w:rsid w:val="00213EF5"/>
    <w:rsid w:val="00214558"/>
    <w:rsid w:val="00214793"/>
    <w:rsid w:val="00215034"/>
    <w:rsid w:val="0021506A"/>
    <w:rsid w:val="002152E4"/>
    <w:rsid w:val="00215E4D"/>
    <w:rsid w:val="00216BF5"/>
    <w:rsid w:val="00217473"/>
    <w:rsid w:val="002177D9"/>
    <w:rsid w:val="0021798F"/>
    <w:rsid w:val="00220125"/>
    <w:rsid w:val="00221C00"/>
    <w:rsid w:val="00223032"/>
    <w:rsid w:val="00223B49"/>
    <w:rsid w:val="00223D5A"/>
    <w:rsid w:val="00224DD4"/>
    <w:rsid w:val="002266E3"/>
    <w:rsid w:val="00227395"/>
    <w:rsid w:val="00227777"/>
    <w:rsid w:val="002278A0"/>
    <w:rsid w:val="002309CC"/>
    <w:rsid w:val="00230F13"/>
    <w:rsid w:val="0023209F"/>
    <w:rsid w:val="002330C7"/>
    <w:rsid w:val="00233C01"/>
    <w:rsid w:val="0023413C"/>
    <w:rsid w:val="002346F0"/>
    <w:rsid w:val="00234969"/>
    <w:rsid w:val="002357DC"/>
    <w:rsid w:val="00235B28"/>
    <w:rsid w:val="00235C16"/>
    <w:rsid w:val="00235D6B"/>
    <w:rsid w:val="0023629D"/>
    <w:rsid w:val="00236EEB"/>
    <w:rsid w:val="00236FC7"/>
    <w:rsid w:val="00237255"/>
    <w:rsid w:val="00237809"/>
    <w:rsid w:val="00241196"/>
    <w:rsid w:val="0024149E"/>
    <w:rsid w:val="00241555"/>
    <w:rsid w:val="00241CCC"/>
    <w:rsid w:val="00241D80"/>
    <w:rsid w:val="002424AF"/>
    <w:rsid w:val="002431C5"/>
    <w:rsid w:val="002439DC"/>
    <w:rsid w:val="002441D2"/>
    <w:rsid w:val="002443EB"/>
    <w:rsid w:val="00244724"/>
    <w:rsid w:val="00244DC8"/>
    <w:rsid w:val="002458BA"/>
    <w:rsid w:val="00245CE9"/>
    <w:rsid w:val="0024636C"/>
    <w:rsid w:val="00247925"/>
    <w:rsid w:val="00251006"/>
    <w:rsid w:val="002524D5"/>
    <w:rsid w:val="00252B5E"/>
    <w:rsid w:val="00252E59"/>
    <w:rsid w:val="002534DC"/>
    <w:rsid w:val="00253B1D"/>
    <w:rsid w:val="0025498B"/>
    <w:rsid w:val="00254DCF"/>
    <w:rsid w:val="0025534B"/>
    <w:rsid w:val="00255397"/>
    <w:rsid w:val="00255BB7"/>
    <w:rsid w:val="00256FD8"/>
    <w:rsid w:val="00257541"/>
    <w:rsid w:val="00257A39"/>
    <w:rsid w:val="00257AC4"/>
    <w:rsid w:val="002609C1"/>
    <w:rsid w:val="00261EEF"/>
    <w:rsid w:val="00262A1A"/>
    <w:rsid w:val="00262A87"/>
    <w:rsid w:val="00262C24"/>
    <w:rsid w:val="002633FA"/>
    <w:rsid w:val="0026389D"/>
    <w:rsid w:val="00264B79"/>
    <w:rsid w:val="00264D26"/>
    <w:rsid w:val="00265145"/>
    <w:rsid w:val="00267468"/>
    <w:rsid w:val="00267642"/>
    <w:rsid w:val="00267AEA"/>
    <w:rsid w:val="002700E6"/>
    <w:rsid w:val="002709FE"/>
    <w:rsid w:val="00271023"/>
    <w:rsid w:val="00272206"/>
    <w:rsid w:val="002728BF"/>
    <w:rsid w:val="0027294B"/>
    <w:rsid w:val="00273381"/>
    <w:rsid w:val="00273E9E"/>
    <w:rsid w:val="00273EB4"/>
    <w:rsid w:val="00274682"/>
    <w:rsid w:val="00274826"/>
    <w:rsid w:val="00274B97"/>
    <w:rsid w:val="00274E80"/>
    <w:rsid w:val="002757FF"/>
    <w:rsid w:val="00275C5A"/>
    <w:rsid w:val="00277B80"/>
    <w:rsid w:val="00280460"/>
    <w:rsid w:val="0028090C"/>
    <w:rsid w:val="00280F60"/>
    <w:rsid w:val="00281014"/>
    <w:rsid w:val="00281AD5"/>
    <w:rsid w:val="0028410A"/>
    <w:rsid w:val="0028665D"/>
    <w:rsid w:val="00287B47"/>
    <w:rsid w:val="00287C2F"/>
    <w:rsid w:val="00290CFF"/>
    <w:rsid w:val="00291591"/>
    <w:rsid w:val="00291A29"/>
    <w:rsid w:val="002924B6"/>
    <w:rsid w:val="0029275B"/>
    <w:rsid w:val="002933A6"/>
    <w:rsid w:val="00293501"/>
    <w:rsid w:val="00294FD8"/>
    <w:rsid w:val="002957F3"/>
    <w:rsid w:val="0029773E"/>
    <w:rsid w:val="002A0F18"/>
    <w:rsid w:val="002A14AB"/>
    <w:rsid w:val="002A1E16"/>
    <w:rsid w:val="002A2ADE"/>
    <w:rsid w:val="002A2F50"/>
    <w:rsid w:val="002A2FC6"/>
    <w:rsid w:val="002A3909"/>
    <w:rsid w:val="002A6225"/>
    <w:rsid w:val="002A6F64"/>
    <w:rsid w:val="002A75C4"/>
    <w:rsid w:val="002B05A1"/>
    <w:rsid w:val="002B09A4"/>
    <w:rsid w:val="002B1C1F"/>
    <w:rsid w:val="002B2025"/>
    <w:rsid w:val="002B3882"/>
    <w:rsid w:val="002B432F"/>
    <w:rsid w:val="002B4545"/>
    <w:rsid w:val="002B4D52"/>
    <w:rsid w:val="002B53B2"/>
    <w:rsid w:val="002B62B3"/>
    <w:rsid w:val="002B6754"/>
    <w:rsid w:val="002B6816"/>
    <w:rsid w:val="002B6CCE"/>
    <w:rsid w:val="002C0A0E"/>
    <w:rsid w:val="002C178F"/>
    <w:rsid w:val="002C2510"/>
    <w:rsid w:val="002C2775"/>
    <w:rsid w:val="002C27C1"/>
    <w:rsid w:val="002C384A"/>
    <w:rsid w:val="002C5099"/>
    <w:rsid w:val="002C5889"/>
    <w:rsid w:val="002C664D"/>
    <w:rsid w:val="002C6B38"/>
    <w:rsid w:val="002C7181"/>
    <w:rsid w:val="002C71CE"/>
    <w:rsid w:val="002C7A49"/>
    <w:rsid w:val="002D04C7"/>
    <w:rsid w:val="002D08F8"/>
    <w:rsid w:val="002D0FE4"/>
    <w:rsid w:val="002D1111"/>
    <w:rsid w:val="002D1CB3"/>
    <w:rsid w:val="002D2F96"/>
    <w:rsid w:val="002D40CE"/>
    <w:rsid w:val="002D456C"/>
    <w:rsid w:val="002D4D75"/>
    <w:rsid w:val="002D4E59"/>
    <w:rsid w:val="002D577C"/>
    <w:rsid w:val="002D6652"/>
    <w:rsid w:val="002D6E90"/>
    <w:rsid w:val="002D725A"/>
    <w:rsid w:val="002E01EB"/>
    <w:rsid w:val="002E0677"/>
    <w:rsid w:val="002E1071"/>
    <w:rsid w:val="002E15B9"/>
    <w:rsid w:val="002E16DC"/>
    <w:rsid w:val="002E1AFA"/>
    <w:rsid w:val="002E2158"/>
    <w:rsid w:val="002E4287"/>
    <w:rsid w:val="002E4F02"/>
    <w:rsid w:val="002E51D0"/>
    <w:rsid w:val="002E54AC"/>
    <w:rsid w:val="002E5862"/>
    <w:rsid w:val="002E70D9"/>
    <w:rsid w:val="002E748C"/>
    <w:rsid w:val="002E7722"/>
    <w:rsid w:val="002F07BA"/>
    <w:rsid w:val="002F0DA9"/>
    <w:rsid w:val="002F1014"/>
    <w:rsid w:val="002F159A"/>
    <w:rsid w:val="002F48C1"/>
    <w:rsid w:val="002F62D9"/>
    <w:rsid w:val="002F63A8"/>
    <w:rsid w:val="002F6418"/>
    <w:rsid w:val="002F643C"/>
    <w:rsid w:val="002F6526"/>
    <w:rsid w:val="002F71C0"/>
    <w:rsid w:val="002F74F1"/>
    <w:rsid w:val="002F791C"/>
    <w:rsid w:val="00300C3E"/>
    <w:rsid w:val="00300F76"/>
    <w:rsid w:val="00301017"/>
    <w:rsid w:val="0030155F"/>
    <w:rsid w:val="003017DF"/>
    <w:rsid w:val="00302B19"/>
    <w:rsid w:val="00303072"/>
    <w:rsid w:val="003030A1"/>
    <w:rsid w:val="00303421"/>
    <w:rsid w:val="0030417F"/>
    <w:rsid w:val="00304310"/>
    <w:rsid w:val="00304329"/>
    <w:rsid w:val="0030587B"/>
    <w:rsid w:val="00305BBC"/>
    <w:rsid w:val="00306D98"/>
    <w:rsid w:val="0030786C"/>
    <w:rsid w:val="00307BF2"/>
    <w:rsid w:val="0031031A"/>
    <w:rsid w:val="003104A0"/>
    <w:rsid w:val="003106F9"/>
    <w:rsid w:val="00310981"/>
    <w:rsid w:val="003122B1"/>
    <w:rsid w:val="003124D9"/>
    <w:rsid w:val="00312594"/>
    <w:rsid w:val="003136E6"/>
    <w:rsid w:val="00315498"/>
    <w:rsid w:val="0031595C"/>
    <w:rsid w:val="00316474"/>
    <w:rsid w:val="0031654A"/>
    <w:rsid w:val="003173EA"/>
    <w:rsid w:val="0031774C"/>
    <w:rsid w:val="00317905"/>
    <w:rsid w:val="00317C74"/>
    <w:rsid w:val="0032049A"/>
    <w:rsid w:val="00320E48"/>
    <w:rsid w:val="00322107"/>
    <w:rsid w:val="00322355"/>
    <w:rsid w:val="00322846"/>
    <w:rsid w:val="003237E5"/>
    <w:rsid w:val="00324C95"/>
    <w:rsid w:val="00324E8F"/>
    <w:rsid w:val="0032538A"/>
    <w:rsid w:val="00325C46"/>
    <w:rsid w:val="00325E31"/>
    <w:rsid w:val="00326108"/>
    <w:rsid w:val="003261F4"/>
    <w:rsid w:val="003263AC"/>
    <w:rsid w:val="00326982"/>
    <w:rsid w:val="00326CF5"/>
    <w:rsid w:val="00326DA7"/>
    <w:rsid w:val="003270E4"/>
    <w:rsid w:val="00330DAA"/>
    <w:rsid w:val="00330F5C"/>
    <w:rsid w:val="003315AF"/>
    <w:rsid w:val="00331A42"/>
    <w:rsid w:val="00331EFE"/>
    <w:rsid w:val="00333505"/>
    <w:rsid w:val="0033428D"/>
    <w:rsid w:val="00334371"/>
    <w:rsid w:val="003354F4"/>
    <w:rsid w:val="00335793"/>
    <w:rsid w:val="003366C9"/>
    <w:rsid w:val="003371B0"/>
    <w:rsid w:val="003372FB"/>
    <w:rsid w:val="00340DF1"/>
    <w:rsid w:val="003416F6"/>
    <w:rsid w:val="003425FE"/>
    <w:rsid w:val="0034324D"/>
    <w:rsid w:val="0034398F"/>
    <w:rsid w:val="00343FA9"/>
    <w:rsid w:val="003440AA"/>
    <w:rsid w:val="00344D9A"/>
    <w:rsid w:val="00346154"/>
    <w:rsid w:val="0034649E"/>
    <w:rsid w:val="0034702E"/>
    <w:rsid w:val="0034725D"/>
    <w:rsid w:val="003472F3"/>
    <w:rsid w:val="00347830"/>
    <w:rsid w:val="00347A4A"/>
    <w:rsid w:val="0035016B"/>
    <w:rsid w:val="00350B27"/>
    <w:rsid w:val="003517F9"/>
    <w:rsid w:val="00351B8F"/>
    <w:rsid w:val="00351BA9"/>
    <w:rsid w:val="00352235"/>
    <w:rsid w:val="00353E0D"/>
    <w:rsid w:val="003545DF"/>
    <w:rsid w:val="00354E77"/>
    <w:rsid w:val="00354F64"/>
    <w:rsid w:val="00355954"/>
    <w:rsid w:val="0035620E"/>
    <w:rsid w:val="00356A88"/>
    <w:rsid w:val="00357219"/>
    <w:rsid w:val="003573A5"/>
    <w:rsid w:val="0036014E"/>
    <w:rsid w:val="00360345"/>
    <w:rsid w:val="0036156E"/>
    <w:rsid w:val="00361966"/>
    <w:rsid w:val="00361A05"/>
    <w:rsid w:val="003624C4"/>
    <w:rsid w:val="00363B00"/>
    <w:rsid w:val="00363E40"/>
    <w:rsid w:val="00364A54"/>
    <w:rsid w:val="003654AC"/>
    <w:rsid w:val="00365ED5"/>
    <w:rsid w:val="003664D9"/>
    <w:rsid w:val="003665EE"/>
    <w:rsid w:val="00366947"/>
    <w:rsid w:val="003669D9"/>
    <w:rsid w:val="003710CF"/>
    <w:rsid w:val="00371876"/>
    <w:rsid w:val="00371E14"/>
    <w:rsid w:val="0037358A"/>
    <w:rsid w:val="003750F6"/>
    <w:rsid w:val="003754D1"/>
    <w:rsid w:val="003760FC"/>
    <w:rsid w:val="00377A7E"/>
    <w:rsid w:val="00377CD5"/>
    <w:rsid w:val="00380483"/>
    <w:rsid w:val="003806F2"/>
    <w:rsid w:val="00381F1D"/>
    <w:rsid w:val="0038365C"/>
    <w:rsid w:val="0038369B"/>
    <w:rsid w:val="00383B78"/>
    <w:rsid w:val="0038405F"/>
    <w:rsid w:val="00385143"/>
    <w:rsid w:val="00385A9D"/>
    <w:rsid w:val="0038649C"/>
    <w:rsid w:val="00386FE0"/>
    <w:rsid w:val="00387A17"/>
    <w:rsid w:val="00387E2D"/>
    <w:rsid w:val="003902B1"/>
    <w:rsid w:val="003910F0"/>
    <w:rsid w:val="0039179C"/>
    <w:rsid w:val="00391834"/>
    <w:rsid w:val="00391E5E"/>
    <w:rsid w:val="00391EB9"/>
    <w:rsid w:val="00391FA1"/>
    <w:rsid w:val="00392187"/>
    <w:rsid w:val="003925FC"/>
    <w:rsid w:val="003948B2"/>
    <w:rsid w:val="00394D70"/>
    <w:rsid w:val="003958B9"/>
    <w:rsid w:val="00396896"/>
    <w:rsid w:val="00396FD0"/>
    <w:rsid w:val="00397167"/>
    <w:rsid w:val="003A029C"/>
    <w:rsid w:val="003A04C3"/>
    <w:rsid w:val="003A0902"/>
    <w:rsid w:val="003A1A7A"/>
    <w:rsid w:val="003A1B0E"/>
    <w:rsid w:val="003A1EA8"/>
    <w:rsid w:val="003A2392"/>
    <w:rsid w:val="003A2831"/>
    <w:rsid w:val="003A3CB6"/>
    <w:rsid w:val="003A3ED1"/>
    <w:rsid w:val="003A44DB"/>
    <w:rsid w:val="003A4AB5"/>
    <w:rsid w:val="003A4B8E"/>
    <w:rsid w:val="003A58E3"/>
    <w:rsid w:val="003A6FA7"/>
    <w:rsid w:val="003B1593"/>
    <w:rsid w:val="003B2CC6"/>
    <w:rsid w:val="003B38C6"/>
    <w:rsid w:val="003B3971"/>
    <w:rsid w:val="003B44EE"/>
    <w:rsid w:val="003B4A24"/>
    <w:rsid w:val="003B4E7A"/>
    <w:rsid w:val="003B55D1"/>
    <w:rsid w:val="003B5B61"/>
    <w:rsid w:val="003B6A7A"/>
    <w:rsid w:val="003B70CF"/>
    <w:rsid w:val="003B7356"/>
    <w:rsid w:val="003C027F"/>
    <w:rsid w:val="003C0482"/>
    <w:rsid w:val="003C0BCD"/>
    <w:rsid w:val="003C0BE2"/>
    <w:rsid w:val="003C1516"/>
    <w:rsid w:val="003C1654"/>
    <w:rsid w:val="003C25B1"/>
    <w:rsid w:val="003C3469"/>
    <w:rsid w:val="003C3891"/>
    <w:rsid w:val="003C3D75"/>
    <w:rsid w:val="003C48D0"/>
    <w:rsid w:val="003C5542"/>
    <w:rsid w:val="003C5F49"/>
    <w:rsid w:val="003C608F"/>
    <w:rsid w:val="003C6BE7"/>
    <w:rsid w:val="003C6C84"/>
    <w:rsid w:val="003C6D12"/>
    <w:rsid w:val="003C7577"/>
    <w:rsid w:val="003C7D19"/>
    <w:rsid w:val="003C7D2F"/>
    <w:rsid w:val="003D0807"/>
    <w:rsid w:val="003D0CD0"/>
    <w:rsid w:val="003D1828"/>
    <w:rsid w:val="003D1DE4"/>
    <w:rsid w:val="003D1E9A"/>
    <w:rsid w:val="003D2422"/>
    <w:rsid w:val="003D298E"/>
    <w:rsid w:val="003D29E8"/>
    <w:rsid w:val="003D39A1"/>
    <w:rsid w:val="003D3B04"/>
    <w:rsid w:val="003D3FBF"/>
    <w:rsid w:val="003D425C"/>
    <w:rsid w:val="003D43F8"/>
    <w:rsid w:val="003D455A"/>
    <w:rsid w:val="003D45B4"/>
    <w:rsid w:val="003D4A30"/>
    <w:rsid w:val="003D548A"/>
    <w:rsid w:val="003D5923"/>
    <w:rsid w:val="003D7452"/>
    <w:rsid w:val="003D79BB"/>
    <w:rsid w:val="003D7AC6"/>
    <w:rsid w:val="003D7C98"/>
    <w:rsid w:val="003D7D9D"/>
    <w:rsid w:val="003E0433"/>
    <w:rsid w:val="003E0543"/>
    <w:rsid w:val="003E0E60"/>
    <w:rsid w:val="003E10FC"/>
    <w:rsid w:val="003E1F21"/>
    <w:rsid w:val="003E4723"/>
    <w:rsid w:val="003E47B0"/>
    <w:rsid w:val="003E4EB3"/>
    <w:rsid w:val="003E5751"/>
    <w:rsid w:val="003E70CB"/>
    <w:rsid w:val="003E749E"/>
    <w:rsid w:val="003E7E13"/>
    <w:rsid w:val="003F0439"/>
    <w:rsid w:val="003F1BB2"/>
    <w:rsid w:val="003F2885"/>
    <w:rsid w:val="003F4041"/>
    <w:rsid w:val="003F4156"/>
    <w:rsid w:val="003F5290"/>
    <w:rsid w:val="003F5ADF"/>
    <w:rsid w:val="003F6700"/>
    <w:rsid w:val="003F6A12"/>
    <w:rsid w:val="003F6F56"/>
    <w:rsid w:val="003F75A4"/>
    <w:rsid w:val="00400B29"/>
    <w:rsid w:val="00400C9F"/>
    <w:rsid w:val="004012A4"/>
    <w:rsid w:val="004029E4"/>
    <w:rsid w:val="00404AF5"/>
    <w:rsid w:val="00404CB6"/>
    <w:rsid w:val="0040504B"/>
    <w:rsid w:val="004059F4"/>
    <w:rsid w:val="00406D8A"/>
    <w:rsid w:val="00407FE5"/>
    <w:rsid w:val="004101B0"/>
    <w:rsid w:val="00410326"/>
    <w:rsid w:val="00410708"/>
    <w:rsid w:val="00410984"/>
    <w:rsid w:val="00410EC7"/>
    <w:rsid w:val="00411B39"/>
    <w:rsid w:val="004127A7"/>
    <w:rsid w:val="00413A1E"/>
    <w:rsid w:val="00413C51"/>
    <w:rsid w:val="00414476"/>
    <w:rsid w:val="00414578"/>
    <w:rsid w:val="00414C2E"/>
    <w:rsid w:val="00414DCF"/>
    <w:rsid w:val="004151CF"/>
    <w:rsid w:val="00415512"/>
    <w:rsid w:val="00416364"/>
    <w:rsid w:val="00416873"/>
    <w:rsid w:val="004176CF"/>
    <w:rsid w:val="00417C53"/>
    <w:rsid w:val="0042047F"/>
    <w:rsid w:val="00420AA6"/>
    <w:rsid w:val="00420B9F"/>
    <w:rsid w:val="0042192C"/>
    <w:rsid w:val="00422260"/>
    <w:rsid w:val="0042409F"/>
    <w:rsid w:val="0042413F"/>
    <w:rsid w:val="0042538D"/>
    <w:rsid w:val="00425DF4"/>
    <w:rsid w:val="00426C80"/>
    <w:rsid w:val="004309CF"/>
    <w:rsid w:val="00431595"/>
    <w:rsid w:val="00431707"/>
    <w:rsid w:val="004319F8"/>
    <w:rsid w:val="00431E55"/>
    <w:rsid w:val="004321F6"/>
    <w:rsid w:val="0043238A"/>
    <w:rsid w:val="00432959"/>
    <w:rsid w:val="00433044"/>
    <w:rsid w:val="00434088"/>
    <w:rsid w:val="00434370"/>
    <w:rsid w:val="004344AE"/>
    <w:rsid w:val="00434A65"/>
    <w:rsid w:val="00435E35"/>
    <w:rsid w:val="00436D2A"/>
    <w:rsid w:val="004375B9"/>
    <w:rsid w:val="00440DEB"/>
    <w:rsid w:val="004413F6"/>
    <w:rsid w:val="00441FE6"/>
    <w:rsid w:val="00441FED"/>
    <w:rsid w:val="004423FC"/>
    <w:rsid w:val="004428D0"/>
    <w:rsid w:val="00443848"/>
    <w:rsid w:val="00443D7B"/>
    <w:rsid w:val="00444185"/>
    <w:rsid w:val="004443A7"/>
    <w:rsid w:val="0044442C"/>
    <w:rsid w:val="00445941"/>
    <w:rsid w:val="004464EB"/>
    <w:rsid w:val="00446754"/>
    <w:rsid w:val="004477F5"/>
    <w:rsid w:val="00447D26"/>
    <w:rsid w:val="00447DFC"/>
    <w:rsid w:val="00450E0B"/>
    <w:rsid w:val="004513AB"/>
    <w:rsid w:val="00451757"/>
    <w:rsid w:val="004527A8"/>
    <w:rsid w:val="0045294E"/>
    <w:rsid w:val="0045457B"/>
    <w:rsid w:val="00454897"/>
    <w:rsid w:val="0045492F"/>
    <w:rsid w:val="0045588B"/>
    <w:rsid w:val="00455D45"/>
    <w:rsid w:val="00456546"/>
    <w:rsid w:val="004624E4"/>
    <w:rsid w:val="00463EAB"/>
    <w:rsid w:val="00464595"/>
    <w:rsid w:val="00464BBD"/>
    <w:rsid w:val="004658B5"/>
    <w:rsid w:val="00465D10"/>
    <w:rsid w:val="00470538"/>
    <w:rsid w:val="00471EA5"/>
    <w:rsid w:val="0047253E"/>
    <w:rsid w:val="00472A79"/>
    <w:rsid w:val="00473F19"/>
    <w:rsid w:val="00474400"/>
    <w:rsid w:val="00475539"/>
    <w:rsid w:val="00475E22"/>
    <w:rsid w:val="00476014"/>
    <w:rsid w:val="00476F22"/>
    <w:rsid w:val="0048088E"/>
    <w:rsid w:val="00480BE0"/>
    <w:rsid w:val="00480E28"/>
    <w:rsid w:val="00480F2B"/>
    <w:rsid w:val="0048214C"/>
    <w:rsid w:val="00482720"/>
    <w:rsid w:val="0048330B"/>
    <w:rsid w:val="004835E7"/>
    <w:rsid w:val="0048446C"/>
    <w:rsid w:val="0048461D"/>
    <w:rsid w:val="00484CA3"/>
    <w:rsid w:val="004859E2"/>
    <w:rsid w:val="00485FE1"/>
    <w:rsid w:val="00486338"/>
    <w:rsid w:val="004867E2"/>
    <w:rsid w:val="00490B17"/>
    <w:rsid w:val="004911CB"/>
    <w:rsid w:val="00491641"/>
    <w:rsid w:val="00491B3A"/>
    <w:rsid w:val="004924AA"/>
    <w:rsid w:val="00492A9E"/>
    <w:rsid w:val="00492C7A"/>
    <w:rsid w:val="00492CFD"/>
    <w:rsid w:val="00492EFE"/>
    <w:rsid w:val="00493E6A"/>
    <w:rsid w:val="00494207"/>
    <w:rsid w:val="00494376"/>
    <w:rsid w:val="004943FE"/>
    <w:rsid w:val="0049486F"/>
    <w:rsid w:val="00494AE9"/>
    <w:rsid w:val="00494DD5"/>
    <w:rsid w:val="004957B4"/>
    <w:rsid w:val="0049581E"/>
    <w:rsid w:val="00495DB5"/>
    <w:rsid w:val="004962D2"/>
    <w:rsid w:val="004967F5"/>
    <w:rsid w:val="00497D31"/>
    <w:rsid w:val="004A0DA1"/>
    <w:rsid w:val="004A0FA9"/>
    <w:rsid w:val="004A0FDC"/>
    <w:rsid w:val="004A13D6"/>
    <w:rsid w:val="004A17FD"/>
    <w:rsid w:val="004A3272"/>
    <w:rsid w:val="004A3392"/>
    <w:rsid w:val="004A3AF0"/>
    <w:rsid w:val="004A52E9"/>
    <w:rsid w:val="004A55F3"/>
    <w:rsid w:val="004A6040"/>
    <w:rsid w:val="004A6597"/>
    <w:rsid w:val="004A6EA3"/>
    <w:rsid w:val="004A77A9"/>
    <w:rsid w:val="004A7848"/>
    <w:rsid w:val="004B12C2"/>
    <w:rsid w:val="004B1CB4"/>
    <w:rsid w:val="004B2F18"/>
    <w:rsid w:val="004B2F29"/>
    <w:rsid w:val="004B35C9"/>
    <w:rsid w:val="004B378A"/>
    <w:rsid w:val="004B382A"/>
    <w:rsid w:val="004B3DDB"/>
    <w:rsid w:val="004B44FD"/>
    <w:rsid w:val="004B48C3"/>
    <w:rsid w:val="004B4AE6"/>
    <w:rsid w:val="004B4E3E"/>
    <w:rsid w:val="004B5CFC"/>
    <w:rsid w:val="004B6F79"/>
    <w:rsid w:val="004B774D"/>
    <w:rsid w:val="004C07CA"/>
    <w:rsid w:val="004C1152"/>
    <w:rsid w:val="004C1AD2"/>
    <w:rsid w:val="004C24DB"/>
    <w:rsid w:val="004C3F6A"/>
    <w:rsid w:val="004C4556"/>
    <w:rsid w:val="004C4626"/>
    <w:rsid w:val="004C4AED"/>
    <w:rsid w:val="004C57D7"/>
    <w:rsid w:val="004C5842"/>
    <w:rsid w:val="004C5EA8"/>
    <w:rsid w:val="004D1680"/>
    <w:rsid w:val="004D1D44"/>
    <w:rsid w:val="004D1F9C"/>
    <w:rsid w:val="004D2C2D"/>
    <w:rsid w:val="004D482E"/>
    <w:rsid w:val="004D4F7F"/>
    <w:rsid w:val="004D69B5"/>
    <w:rsid w:val="004D7227"/>
    <w:rsid w:val="004D735A"/>
    <w:rsid w:val="004D74FB"/>
    <w:rsid w:val="004E0037"/>
    <w:rsid w:val="004E017D"/>
    <w:rsid w:val="004E04F6"/>
    <w:rsid w:val="004E0E7F"/>
    <w:rsid w:val="004E0EB8"/>
    <w:rsid w:val="004E18E9"/>
    <w:rsid w:val="004E25FA"/>
    <w:rsid w:val="004E2ADC"/>
    <w:rsid w:val="004E2DAB"/>
    <w:rsid w:val="004E2FFE"/>
    <w:rsid w:val="004E3B0A"/>
    <w:rsid w:val="004E3E05"/>
    <w:rsid w:val="004E3FF0"/>
    <w:rsid w:val="004E43B2"/>
    <w:rsid w:val="004E563A"/>
    <w:rsid w:val="004E61FC"/>
    <w:rsid w:val="004E6499"/>
    <w:rsid w:val="004F0577"/>
    <w:rsid w:val="004F08E4"/>
    <w:rsid w:val="004F1D02"/>
    <w:rsid w:val="004F21D4"/>
    <w:rsid w:val="004F2363"/>
    <w:rsid w:val="004F2679"/>
    <w:rsid w:val="004F2F21"/>
    <w:rsid w:val="004F3DE5"/>
    <w:rsid w:val="004F48E1"/>
    <w:rsid w:val="004F6913"/>
    <w:rsid w:val="004F7560"/>
    <w:rsid w:val="004F7865"/>
    <w:rsid w:val="005002E2"/>
    <w:rsid w:val="00500C77"/>
    <w:rsid w:val="0050174E"/>
    <w:rsid w:val="00501854"/>
    <w:rsid w:val="0050219B"/>
    <w:rsid w:val="005024C2"/>
    <w:rsid w:val="00503F17"/>
    <w:rsid w:val="00505328"/>
    <w:rsid w:val="00505EC3"/>
    <w:rsid w:val="00505FA8"/>
    <w:rsid w:val="00505FFA"/>
    <w:rsid w:val="00506928"/>
    <w:rsid w:val="00506A7A"/>
    <w:rsid w:val="00506D39"/>
    <w:rsid w:val="005077EF"/>
    <w:rsid w:val="00510227"/>
    <w:rsid w:val="00510736"/>
    <w:rsid w:val="00510BE3"/>
    <w:rsid w:val="00511101"/>
    <w:rsid w:val="00511AD5"/>
    <w:rsid w:val="00511DC7"/>
    <w:rsid w:val="00513BFE"/>
    <w:rsid w:val="005142C5"/>
    <w:rsid w:val="00514373"/>
    <w:rsid w:val="0051501B"/>
    <w:rsid w:val="005152B5"/>
    <w:rsid w:val="005153A0"/>
    <w:rsid w:val="00515FBF"/>
    <w:rsid w:val="00516430"/>
    <w:rsid w:val="00517D17"/>
    <w:rsid w:val="005205BF"/>
    <w:rsid w:val="0052123C"/>
    <w:rsid w:val="00521319"/>
    <w:rsid w:val="00521DE7"/>
    <w:rsid w:val="005223AD"/>
    <w:rsid w:val="00522BC8"/>
    <w:rsid w:val="00523C28"/>
    <w:rsid w:val="00524837"/>
    <w:rsid w:val="00524E0F"/>
    <w:rsid w:val="005250FA"/>
    <w:rsid w:val="0052589F"/>
    <w:rsid w:val="005269FE"/>
    <w:rsid w:val="0052750E"/>
    <w:rsid w:val="00530004"/>
    <w:rsid w:val="00530DC0"/>
    <w:rsid w:val="0053176B"/>
    <w:rsid w:val="00531E53"/>
    <w:rsid w:val="0053232E"/>
    <w:rsid w:val="005340A5"/>
    <w:rsid w:val="0053432E"/>
    <w:rsid w:val="005351E6"/>
    <w:rsid w:val="00535C4E"/>
    <w:rsid w:val="005367F7"/>
    <w:rsid w:val="00536F42"/>
    <w:rsid w:val="00537182"/>
    <w:rsid w:val="0054048F"/>
    <w:rsid w:val="0054063F"/>
    <w:rsid w:val="00540B02"/>
    <w:rsid w:val="00541595"/>
    <w:rsid w:val="005417B3"/>
    <w:rsid w:val="00541EDD"/>
    <w:rsid w:val="005421DA"/>
    <w:rsid w:val="00542743"/>
    <w:rsid w:val="00542C2D"/>
    <w:rsid w:val="00543389"/>
    <w:rsid w:val="005442EB"/>
    <w:rsid w:val="00544B36"/>
    <w:rsid w:val="0054603C"/>
    <w:rsid w:val="005472A5"/>
    <w:rsid w:val="00547595"/>
    <w:rsid w:val="005478BD"/>
    <w:rsid w:val="005479E3"/>
    <w:rsid w:val="00550052"/>
    <w:rsid w:val="0055040B"/>
    <w:rsid w:val="00551405"/>
    <w:rsid w:val="00551985"/>
    <w:rsid w:val="0055231F"/>
    <w:rsid w:val="00552BD3"/>
    <w:rsid w:val="00552EFF"/>
    <w:rsid w:val="005532A0"/>
    <w:rsid w:val="005538DF"/>
    <w:rsid w:val="00554EB0"/>
    <w:rsid w:val="00555109"/>
    <w:rsid w:val="005554FA"/>
    <w:rsid w:val="0055571F"/>
    <w:rsid w:val="00556B35"/>
    <w:rsid w:val="0055741A"/>
    <w:rsid w:val="00557A1F"/>
    <w:rsid w:val="00560DEB"/>
    <w:rsid w:val="00560F84"/>
    <w:rsid w:val="005611B7"/>
    <w:rsid w:val="0056127A"/>
    <w:rsid w:val="005618D4"/>
    <w:rsid w:val="0056473A"/>
    <w:rsid w:val="00565104"/>
    <w:rsid w:val="005656E8"/>
    <w:rsid w:val="00565DF0"/>
    <w:rsid w:val="005667C0"/>
    <w:rsid w:val="0056696F"/>
    <w:rsid w:val="00567210"/>
    <w:rsid w:val="00570D46"/>
    <w:rsid w:val="0057152A"/>
    <w:rsid w:val="0057173F"/>
    <w:rsid w:val="00572269"/>
    <w:rsid w:val="0057244A"/>
    <w:rsid w:val="00572B68"/>
    <w:rsid w:val="00572F26"/>
    <w:rsid w:val="00573DD7"/>
    <w:rsid w:val="00573E8E"/>
    <w:rsid w:val="00574521"/>
    <w:rsid w:val="005750C5"/>
    <w:rsid w:val="005752DE"/>
    <w:rsid w:val="00575D8D"/>
    <w:rsid w:val="00576972"/>
    <w:rsid w:val="00580A0C"/>
    <w:rsid w:val="00582229"/>
    <w:rsid w:val="00582E3C"/>
    <w:rsid w:val="00583699"/>
    <w:rsid w:val="00584163"/>
    <w:rsid w:val="00584AB6"/>
    <w:rsid w:val="0058525A"/>
    <w:rsid w:val="005856C4"/>
    <w:rsid w:val="005857FD"/>
    <w:rsid w:val="00585CDD"/>
    <w:rsid w:val="00586267"/>
    <w:rsid w:val="0058658C"/>
    <w:rsid w:val="00587058"/>
    <w:rsid w:val="005874CC"/>
    <w:rsid w:val="0058798A"/>
    <w:rsid w:val="005916E3"/>
    <w:rsid w:val="00591957"/>
    <w:rsid w:val="00591B75"/>
    <w:rsid w:val="00591C79"/>
    <w:rsid w:val="0059209F"/>
    <w:rsid w:val="00592947"/>
    <w:rsid w:val="00592D56"/>
    <w:rsid w:val="005933E9"/>
    <w:rsid w:val="005944F5"/>
    <w:rsid w:val="005945A8"/>
    <w:rsid w:val="00594B5F"/>
    <w:rsid w:val="005956BA"/>
    <w:rsid w:val="00597BF9"/>
    <w:rsid w:val="005A0147"/>
    <w:rsid w:val="005A02E1"/>
    <w:rsid w:val="005A0725"/>
    <w:rsid w:val="005A08DE"/>
    <w:rsid w:val="005A1F33"/>
    <w:rsid w:val="005A26EF"/>
    <w:rsid w:val="005A309A"/>
    <w:rsid w:val="005A3510"/>
    <w:rsid w:val="005A373D"/>
    <w:rsid w:val="005A3AF5"/>
    <w:rsid w:val="005A55C6"/>
    <w:rsid w:val="005A5F29"/>
    <w:rsid w:val="005A69AD"/>
    <w:rsid w:val="005A7AE9"/>
    <w:rsid w:val="005A7CCC"/>
    <w:rsid w:val="005B0AB5"/>
    <w:rsid w:val="005B0B58"/>
    <w:rsid w:val="005B1E22"/>
    <w:rsid w:val="005B27FC"/>
    <w:rsid w:val="005B2C45"/>
    <w:rsid w:val="005B2E57"/>
    <w:rsid w:val="005B3213"/>
    <w:rsid w:val="005B3FEC"/>
    <w:rsid w:val="005B40C0"/>
    <w:rsid w:val="005B4824"/>
    <w:rsid w:val="005B4E53"/>
    <w:rsid w:val="005B555C"/>
    <w:rsid w:val="005B5857"/>
    <w:rsid w:val="005B727E"/>
    <w:rsid w:val="005B758B"/>
    <w:rsid w:val="005C04D1"/>
    <w:rsid w:val="005C06B9"/>
    <w:rsid w:val="005C14D5"/>
    <w:rsid w:val="005C19C4"/>
    <w:rsid w:val="005C1B83"/>
    <w:rsid w:val="005C25FF"/>
    <w:rsid w:val="005C2D31"/>
    <w:rsid w:val="005C2D55"/>
    <w:rsid w:val="005C30E3"/>
    <w:rsid w:val="005C346B"/>
    <w:rsid w:val="005C3D87"/>
    <w:rsid w:val="005C486F"/>
    <w:rsid w:val="005C65CA"/>
    <w:rsid w:val="005C6CB1"/>
    <w:rsid w:val="005C706D"/>
    <w:rsid w:val="005C715C"/>
    <w:rsid w:val="005C7580"/>
    <w:rsid w:val="005C7A03"/>
    <w:rsid w:val="005D044D"/>
    <w:rsid w:val="005D0ABD"/>
    <w:rsid w:val="005D18AD"/>
    <w:rsid w:val="005D26B4"/>
    <w:rsid w:val="005D294B"/>
    <w:rsid w:val="005D3046"/>
    <w:rsid w:val="005D3F0F"/>
    <w:rsid w:val="005D48E8"/>
    <w:rsid w:val="005D4EA6"/>
    <w:rsid w:val="005D4EA9"/>
    <w:rsid w:val="005D4F92"/>
    <w:rsid w:val="005D5156"/>
    <w:rsid w:val="005D5BC3"/>
    <w:rsid w:val="005D5EF7"/>
    <w:rsid w:val="005D62C5"/>
    <w:rsid w:val="005D65F4"/>
    <w:rsid w:val="005D66C8"/>
    <w:rsid w:val="005D7F9A"/>
    <w:rsid w:val="005E0104"/>
    <w:rsid w:val="005E1EB6"/>
    <w:rsid w:val="005E23CE"/>
    <w:rsid w:val="005E3B43"/>
    <w:rsid w:val="005E4E51"/>
    <w:rsid w:val="005E5975"/>
    <w:rsid w:val="005E6BEA"/>
    <w:rsid w:val="005E6CBC"/>
    <w:rsid w:val="005E72FF"/>
    <w:rsid w:val="005E73C0"/>
    <w:rsid w:val="005F13AC"/>
    <w:rsid w:val="005F225C"/>
    <w:rsid w:val="005F2706"/>
    <w:rsid w:val="005F59B9"/>
    <w:rsid w:val="005F6A8F"/>
    <w:rsid w:val="005F6BB7"/>
    <w:rsid w:val="005F7135"/>
    <w:rsid w:val="005F7588"/>
    <w:rsid w:val="005F76A5"/>
    <w:rsid w:val="005F7DD5"/>
    <w:rsid w:val="006001B2"/>
    <w:rsid w:val="006005EB"/>
    <w:rsid w:val="00600DBB"/>
    <w:rsid w:val="0060120B"/>
    <w:rsid w:val="00601A88"/>
    <w:rsid w:val="0060232D"/>
    <w:rsid w:val="00602587"/>
    <w:rsid w:val="006027E8"/>
    <w:rsid w:val="00603DB9"/>
    <w:rsid w:val="00603DBD"/>
    <w:rsid w:val="00603ECE"/>
    <w:rsid w:val="006042AF"/>
    <w:rsid w:val="0060638E"/>
    <w:rsid w:val="00606FBA"/>
    <w:rsid w:val="00607669"/>
    <w:rsid w:val="0060769A"/>
    <w:rsid w:val="006076F4"/>
    <w:rsid w:val="00607AFD"/>
    <w:rsid w:val="00610ECB"/>
    <w:rsid w:val="00611D24"/>
    <w:rsid w:val="0061255B"/>
    <w:rsid w:val="00612F97"/>
    <w:rsid w:val="0061345D"/>
    <w:rsid w:val="0061362B"/>
    <w:rsid w:val="0061458A"/>
    <w:rsid w:val="00614F1F"/>
    <w:rsid w:val="0061549B"/>
    <w:rsid w:val="00615E1E"/>
    <w:rsid w:val="00616802"/>
    <w:rsid w:val="00616B30"/>
    <w:rsid w:val="00616E82"/>
    <w:rsid w:val="00617C75"/>
    <w:rsid w:val="00617E12"/>
    <w:rsid w:val="00620C25"/>
    <w:rsid w:val="00620F9D"/>
    <w:rsid w:val="00621477"/>
    <w:rsid w:val="00621A42"/>
    <w:rsid w:val="00621ADA"/>
    <w:rsid w:val="00621C92"/>
    <w:rsid w:val="00621DDA"/>
    <w:rsid w:val="006226F8"/>
    <w:rsid w:val="00623EBA"/>
    <w:rsid w:val="00623F7B"/>
    <w:rsid w:val="00624067"/>
    <w:rsid w:val="00624439"/>
    <w:rsid w:val="00624D00"/>
    <w:rsid w:val="006257E4"/>
    <w:rsid w:val="00627B4D"/>
    <w:rsid w:val="00627C34"/>
    <w:rsid w:val="00627F7E"/>
    <w:rsid w:val="0063069E"/>
    <w:rsid w:val="00630F9C"/>
    <w:rsid w:val="00630FA9"/>
    <w:rsid w:val="00631530"/>
    <w:rsid w:val="0063158F"/>
    <w:rsid w:val="006318EB"/>
    <w:rsid w:val="00631AFD"/>
    <w:rsid w:val="00631D6B"/>
    <w:rsid w:val="00632183"/>
    <w:rsid w:val="006323C8"/>
    <w:rsid w:val="00632562"/>
    <w:rsid w:val="006330A1"/>
    <w:rsid w:val="006343D3"/>
    <w:rsid w:val="0063479F"/>
    <w:rsid w:val="006348DA"/>
    <w:rsid w:val="006353C8"/>
    <w:rsid w:val="006353F0"/>
    <w:rsid w:val="006355A9"/>
    <w:rsid w:val="006357B5"/>
    <w:rsid w:val="006364A1"/>
    <w:rsid w:val="0063678E"/>
    <w:rsid w:val="006370A9"/>
    <w:rsid w:val="00637BFD"/>
    <w:rsid w:val="006409D9"/>
    <w:rsid w:val="00641C4E"/>
    <w:rsid w:val="00641FB3"/>
    <w:rsid w:val="006425AB"/>
    <w:rsid w:val="00642B00"/>
    <w:rsid w:val="00642BC1"/>
    <w:rsid w:val="00642C57"/>
    <w:rsid w:val="00643DAE"/>
    <w:rsid w:val="0064434C"/>
    <w:rsid w:val="00645023"/>
    <w:rsid w:val="0064557C"/>
    <w:rsid w:val="00645A62"/>
    <w:rsid w:val="006469DC"/>
    <w:rsid w:val="006471CC"/>
    <w:rsid w:val="0064777C"/>
    <w:rsid w:val="00647A29"/>
    <w:rsid w:val="0065079F"/>
    <w:rsid w:val="00650889"/>
    <w:rsid w:val="00650A04"/>
    <w:rsid w:val="00651CF2"/>
    <w:rsid w:val="00652A28"/>
    <w:rsid w:val="00652EB2"/>
    <w:rsid w:val="006534FE"/>
    <w:rsid w:val="0065379F"/>
    <w:rsid w:val="00654127"/>
    <w:rsid w:val="006549B6"/>
    <w:rsid w:val="006560B6"/>
    <w:rsid w:val="00656188"/>
    <w:rsid w:val="006561BC"/>
    <w:rsid w:val="0065621F"/>
    <w:rsid w:val="0065715A"/>
    <w:rsid w:val="006610F1"/>
    <w:rsid w:val="00661397"/>
    <w:rsid w:val="00661C5D"/>
    <w:rsid w:val="00661C6B"/>
    <w:rsid w:val="0066219B"/>
    <w:rsid w:val="0066235D"/>
    <w:rsid w:val="00663D20"/>
    <w:rsid w:val="00664087"/>
    <w:rsid w:val="006645DA"/>
    <w:rsid w:val="0067057A"/>
    <w:rsid w:val="00670839"/>
    <w:rsid w:val="00671004"/>
    <w:rsid w:val="006710DF"/>
    <w:rsid w:val="0067129B"/>
    <w:rsid w:val="0067139B"/>
    <w:rsid w:val="00671B6E"/>
    <w:rsid w:val="00672646"/>
    <w:rsid w:val="00672C28"/>
    <w:rsid w:val="00673A67"/>
    <w:rsid w:val="00673FE2"/>
    <w:rsid w:val="00674722"/>
    <w:rsid w:val="00674E42"/>
    <w:rsid w:val="00675DEC"/>
    <w:rsid w:val="00676213"/>
    <w:rsid w:val="0067736F"/>
    <w:rsid w:val="00680966"/>
    <w:rsid w:val="00680E85"/>
    <w:rsid w:val="006810DB"/>
    <w:rsid w:val="006813F8"/>
    <w:rsid w:val="00682112"/>
    <w:rsid w:val="006828DC"/>
    <w:rsid w:val="00682BA6"/>
    <w:rsid w:val="006832AB"/>
    <w:rsid w:val="00684A62"/>
    <w:rsid w:val="00684B19"/>
    <w:rsid w:val="00684C91"/>
    <w:rsid w:val="00685545"/>
    <w:rsid w:val="0068594A"/>
    <w:rsid w:val="00685A05"/>
    <w:rsid w:val="006868C8"/>
    <w:rsid w:val="00686957"/>
    <w:rsid w:val="006872BA"/>
    <w:rsid w:val="00690298"/>
    <w:rsid w:val="00690795"/>
    <w:rsid w:val="00690E6A"/>
    <w:rsid w:val="00691648"/>
    <w:rsid w:val="006917D7"/>
    <w:rsid w:val="00692526"/>
    <w:rsid w:val="00693098"/>
    <w:rsid w:val="0069434C"/>
    <w:rsid w:val="00694F44"/>
    <w:rsid w:val="0069543E"/>
    <w:rsid w:val="006954F1"/>
    <w:rsid w:val="006957F0"/>
    <w:rsid w:val="00695880"/>
    <w:rsid w:val="0069654A"/>
    <w:rsid w:val="00696F51"/>
    <w:rsid w:val="006970CC"/>
    <w:rsid w:val="006979A5"/>
    <w:rsid w:val="00697E3E"/>
    <w:rsid w:val="006A09D1"/>
    <w:rsid w:val="006A0C2C"/>
    <w:rsid w:val="006A16E4"/>
    <w:rsid w:val="006A20C6"/>
    <w:rsid w:val="006A2EE4"/>
    <w:rsid w:val="006A399F"/>
    <w:rsid w:val="006A5FDC"/>
    <w:rsid w:val="006A6B99"/>
    <w:rsid w:val="006A6D2E"/>
    <w:rsid w:val="006A764B"/>
    <w:rsid w:val="006A7E5F"/>
    <w:rsid w:val="006B05BA"/>
    <w:rsid w:val="006B08C9"/>
    <w:rsid w:val="006B261B"/>
    <w:rsid w:val="006B287A"/>
    <w:rsid w:val="006B2C90"/>
    <w:rsid w:val="006B3371"/>
    <w:rsid w:val="006B35E6"/>
    <w:rsid w:val="006B39A1"/>
    <w:rsid w:val="006B465A"/>
    <w:rsid w:val="006B4BEE"/>
    <w:rsid w:val="006B582D"/>
    <w:rsid w:val="006B6DD0"/>
    <w:rsid w:val="006B761C"/>
    <w:rsid w:val="006C00F0"/>
    <w:rsid w:val="006C0399"/>
    <w:rsid w:val="006C03A1"/>
    <w:rsid w:val="006C0CE3"/>
    <w:rsid w:val="006C2058"/>
    <w:rsid w:val="006C2A8E"/>
    <w:rsid w:val="006C30C2"/>
    <w:rsid w:val="006C315C"/>
    <w:rsid w:val="006C3255"/>
    <w:rsid w:val="006C3E5F"/>
    <w:rsid w:val="006C3F26"/>
    <w:rsid w:val="006C4BAD"/>
    <w:rsid w:val="006C6627"/>
    <w:rsid w:val="006C66A6"/>
    <w:rsid w:val="006C6C81"/>
    <w:rsid w:val="006C6E70"/>
    <w:rsid w:val="006D0208"/>
    <w:rsid w:val="006D08E0"/>
    <w:rsid w:val="006D08ED"/>
    <w:rsid w:val="006D0D17"/>
    <w:rsid w:val="006D3737"/>
    <w:rsid w:val="006D3C7D"/>
    <w:rsid w:val="006D411C"/>
    <w:rsid w:val="006D431B"/>
    <w:rsid w:val="006D4659"/>
    <w:rsid w:val="006D5D5F"/>
    <w:rsid w:val="006D68FB"/>
    <w:rsid w:val="006D6D82"/>
    <w:rsid w:val="006D6E47"/>
    <w:rsid w:val="006D71D3"/>
    <w:rsid w:val="006D79FC"/>
    <w:rsid w:val="006D7C11"/>
    <w:rsid w:val="006D7CC0"/>
    <w:rsid w:val="006E0CC9"/>
    <w:rsid w:val="006E1025"/>
    <w:rsid w:val="006E2868"/>
    <w:rsid w:val="006E2C8E"/>
    <w:rsid w:val="006E2CDF"/>
    <w:rsid w:val="006E323E"/>
    <w:rsid w:val="006E4585"/>
    <w:rsid w:val="006E6554"/>
    <w:rsid w:val="006E6B4C"/>
    <w:rsid w:val="006E6D27"/>
    <w:rsid w:val="006E7226"/>
    <w:rsid w:val="006E73C4"/>
    <w:rsid w:val="006F185B"/>
    <w:rsid w:val="006F306C"/>
    <w:rsid w:val="006F4137"/>
    <w:rsid w:val="006F4967"/>
    <w:rsid w:val="006F4FCC"/>
    <w:rsid w:val="006F54A6"/>
    <w:rsid w:val="006F5500"/>
    <w:rsid w:val="006F63A5"/>
    <w:rsid w:val="006F65B9"/>
    <w:rsid w:val="006F68E0"/>
    <w:rsid w:val="006F6D1D"/>
    <w:rsid w:val="006F6DB2"/>
    <w:rsid w:val="006F7036"/>
    <w:rsid w:val="0070007D"/>
    <w:rsid w:val="00700EBE"/>
    <w:rsid w:val="0070142B"/>
    <w:rsid w:val="0070256E"/>
    <w:rsid w:val="0070276E"/>
    <w:rsid w:val="00702F8F"/>
    <w:rsid w:val="0070312C"/>
    <w:rsid w:val="00703E21"/>
    <w:rsid w:val="00704257"/>
    <w:rsid w:val="007046F2"/>
    <w:rsid w:val="00704742"/>
    <w:rsid w:val="00705DE9"/>
    <w:rsid w:val="007061CD"/>
    <w:rsid w:val="00706C48"/>
    <w:rsid w:val="00706C8A"/>
    <w:rsid w:val="007078D0"/>
    <w:rsid w:val="007079FC"/>
    <w:rsid w:val="00710620"/>
    <w:rsid w:val="0071063C"/>
    <w:rsid w:val="00711393"/>
    <w:rsid w:val="00711A36"/>
    <w:rsid w:val="00711AAD"/>
    <w:rsid w:val="00711B69"/>
    <w:rsid w:val="0071237D"/>
    <w:rsid w:val="007129BA"/>
    <w:rsid w:val="00713DA1"/>
    <w:rsid w:val="00713F82"/>
    <w:rsid w:val="00714417"/>
    <w:rsid w:val="00714656"/>
    <w:rsid w:val="0071493A"/>
    <w:rsid w:val="00714A0A"/>
    <w:rsid w:val="00714C26"/>
    <w:rsid w:val="00715014"/>
    <w:rsid w:val="0071529C"/>
    <w:rsid w:val="007163A9"/>
    <w:rsid w:val="007164E5"/>
    <w:rsid w:val="007166CD"/>
    <w:rsid w:val="007170DA"/>
    <w:rsid w:val="007172AD"/>
    <w:rsid w:val="00720801"/>
    <w:rsid w:val="00720877"/>
    <w:rsid w:val="00720879"/>
    <w:rsid w:val="00720905"/>
    <w:rsid w:val="00721259"/>
    <w:rsid w:val="0072253E"/>
    <w:rsid w:val="00722B1B"/>
    <w:rsid w:val="00723DE8"/>
    <w:rsid w:val="0072416F"/>
    <w:rsid w:val="00724190"/>
    <w:rsid w:val="007249BE"/>
    <w:rsid w:val="00724A81"/>
    <w:rsid w:val="00725BB3"/>
    <w:rsid w:val="00725C65"/>
    <w:rsid w:val="00726101"/>
    <w:rsid w:val="00726EB8"/>
    <w:rsid w:val="007278D0"/>
    <w:rsid w:val="00727C94"/>
    <w:rsid w:val="00731B0A"/>
    <w:rsid w:val="00731EAE"/>
    <w:rsid w:val="0073286C"/>
    <w:rsid w:val="00732D71"/>
    <w:rsid w:val="00733073"/>
    <w:rsid w:val="00734331"/>
    <w:rsid w:val="007348A5"/>
    <w:rsid w:val="00734A98"/>
    <w:rsid w:val="00735033"/>
    <w:rsid w:val="00735328"/>
    <w:rsid w:val="0073685B"/>
    <w:rsid w:val="00736C82"/>
    <w:rsid w:val="00737754"/>
    <w:rsid w:val="00741240"/>
    <w:rsid w:val="00742008"/>
    <w:rsid w:val="007422D1"/>
    <w:rsid w:val="0074269E"/>
    <w:rsid w:val="007449BF"/>
    <w:rsid w:val="00746532"/>
    <w:rsid w:val="00746BC0"/>
    <w:rsid w:val="00746E07"/>
    <w:rsid w:val="00747E89"/>
    <w:rsid w:val="00750D89"/>
    <w:rsid w:val="007510B4"/>
    <w:rsid w:val="00751764"/>
    <w:rsid w:val="00752142"/>
    <w:rsid w:val="007523F9"/>
    <w:rsid w:val="00752A0F"/>
    <w:rsid w:val="00752BA9"/>
    <w:rsid w:val="00752C64"/>
    <w:rsid w:val="0075357E"/>
    <w:rsid w:val="00755B4E"/>
    <w:rsid w:val="007573E8"/>
    <w:rsid w:val="0075741E"/>
    <w:rsid w:val="0075783D"/>
    <w:rsid w:val="00757901"/>
    <w:rsid w:val="00760C4E"/>
    <w:rsid w:val="00760F9E"/>
    <w:rsid w:val="00761247"/>
    <w:rsid w:val="00761D14"/>
    <w:rsid w:val="007627BE"/>
    <w:rsid w:val="007641F4"/>
    <w:rsid w:val="00764C87"/>
    <w:rsid w:val="00764F03"/>
    <w:rsid w:val="007652C9"/>
    <w:rsid w:val="00765918"/>
    <w:rsid w:val="00765B1A"/>
    <w:rsid w:val="007678BE"/>
    <w:rsid w:val="00770FB0"/>
    <w:rsid w:val="007748E3"/>
    <w:rsid w:val="00774F66"/>
    <w:rsid w:val="0077507C"/>
    <w:rsid w:val="00775103"/>
    <w:rsid w:val="0077552F"/>
    <w:rsid w:val="00775861"/>
    <w:rsid w:val="00777335"/>
    <w:rsid w:val="007830C7"/>
    <w:rsid w:val="00783E8E"/>
    <w:rsid w:val="00783EB7"/>
    <w:rsid w:val="007843F2"/>
    <w:rsid w:val="0078539E"/>
    <w:rsid w:val="007855A4"/>
    <w:rsid w:val="00785A9F"/>
    <w:rsid w:val="0079055E"/>
    <w:rsid w:val="00790645"/>
    <w:rsid w:val="007925DF"/>
    <w:rsid w:val="00793AC2"/>
    <w:rsid w:val="00795CE8"/>
    <w:rsid w:val="0079692B"/>
    <w:rsid w:val="00796FCB"/>
    <w:rsid w:val="007A08AA"/>
    <w:rsid w:val="007A0A12"/>
    <w:rsid w:val="007A132D"/>
    <w:rsid w:val="007A1345"/>
    <w:rsid w:val="007A1CC6"/>
    <w:rsid w:val="007A1EF1"/>
    <w:rsid w:val="007A29EE"/>
    <w:rsid w:val="007A2DDB"/>
    <w:rsid w:val="007A3EF7"/>
    <w:rsid w:val="007A61D1"/>
    <w:rsid w:val="007A701A"/>
    <w:rsid w:val="007A70BA"/>
    <w:rsid w:val="007A7AE5"/>
    <w:rsid w:val="007B0455"/>
    <w:rsid w:val="007B0725"/>
    <w:rsid w:val="007B0D68"/>
    <w:rsid w:val="007B10EB"/>
    <w:rsid w:val="007B251D"/>
    <w:rsid w:val="007B301F"/>
    <w:rsid w:val="007B4149"/>
    <w:rsid w:val="007B4F58"/>
    <w:rsid w:val="007B528D"/>
    <w:rsid w:val="007B63CA"/>
    <w:rsid w:val="007B6FFD"/>
    <w:rsid w:val="007B77D1"/>
    <w:rsid w:val="007B788D"/>
    <w:rsid w:val="007C07C7"/>
    <w:rsid w:val="007C0E78"/>
    <w:rsid w:val="007C134A"/>
    <w:rsid w:val="007C17C5"/>
    <w:rsid w:val="007C1A45"/>
    <w:rsid w:val="007C1CD9"/>
    <w:rsid w:val="007C2A0A"/>
    <w:rsid w:val="007C32EF"/>
    <w:rsid w:val="007C351F"/>
    <w:rsid w:val="007C361D"/>
    <w:rsid w:val="007C392C"/>
    <w:rsid w:val="007C4B84"/>
    <w:rsid w:val="007C665A"/>
    <w:rsid w:val="007C6E23"/>
    <w:rsid w:val="007C6E77"/>
    <w:rsid w:val="007C70FF"/>
    <w:rsid w:val="007C7285"/>
    <w:rsid w:val="007C7C25"/>
    <w:rsid w:val="007D004F"/>
    <w:rsid w:val="007D0319"/>
    <w:rsid w:val="007D069A"/>
    <w:rsid w:val="007D0B38"/>
    <w:rsid w:val="007D23D4"/>
    <w:rsid w:val="007D27C9"/>
    <w:rsid w:val="007D374D"/>
    <w:rsid w:val="007D3CDC"/>
    <w:rsid w:val="007D47F7"/>
    <w:rsid w:val="007D5440"/>
    <w:rsid w:val="007D58DA"/>
    <w:rsid w:val="007D5F41"/>
    <w:rsid w:val="007D69EB"/>
    <w:rsid w:val="007E0F95"/>
    <w:rsid w:val="007E128F"/>
    <w:rsid w:val="007E1364"/>
    <w:rsid w:val="007E215A"/>
    <w:rsid w:val="007E2464"/>
    <w:rsid w:val="007E2C77"/>
    <w:rsid w:val="007E312F"/>
    <w:rsid w:val="007E340E"/>
    <w:rsid w:val="007E3869"/>
    <w:rsid w:val="007E3B09"/>
    <w:rsid w:val="007E4392"/>
    <w:rsid w:val="007E4C55"/>
    <w:rsid w:val="007E68CA"/>
    <w:rsid w:val="007E7736"/>
    <w:rsid w:val="007F07EE"/>
    <w:rsid w:val="007F0996"/>
    <w:rsid w:val="007F1017"/>
    <w:rsid w:val="007F180C"/>
    <w:rsid w:val="007F1C88"/>
    <w:rsid w:val="007F238E"/>
    <w:rsid w:val="007F3F6F"/>
    <w:rsid w:val="007F4A3F"/>
    <w:rsid w:val="007F4A61"/>
    <w:rsid w:val="007F5255"/>
    <w:rsid w:val="007F56CC"/>
    <w:rsid w:val="007F61C2"/>
    <w:rsid w:val="007F6D56"/>
    <w:rsid w:val="007F6EFF"/>
    <w:rsid w:val="00800293"/>
    <w:rsid w:val="008011B2"/>
    <w:rsid w:val="00802A85"/>
    <w:rsid w:val="0080324A"/>
    <w:rsid w:val="00803DBC"/>
    <w:rsid w:val="00804AF6"/>
    <w:rsid w:val="00805142"/>
    <w:rsid w:val="00805FCE"/>
    <w:rsid w:val="00806A48"/>
    <w:rsid w:val="00807085"/>
    <w:rsid w:val="0080776A"/>
    <w:rsid w:val="00807A8B"/>
    <w:rsid w:val="008104B4"/>
    <w:rsid w:val="00810ADC"/>
    <w:rsid w:val="00810E09"/>
    <w:rsid w:val="00810E7A"/>
    <w:rsid w:val="00811383"/>
    <w:rsid w:val="00812149"/>
    <w:rsid w:val="00812CAC"/>
    <w:rsid w:val="0081381A"/>
    <w:rsid w:val="0081384B"/>
    <w:rsid w:val="0081393A"/>
    <w:rsid w:val="00813FA8"/>
    <w:rsid w:val="008141FE"/>
    <w:rsid w:val="008148C5"/>
    <w:rsid w:val="00814C73"/>
    <w:rsid w:val="00814DAF"/>
    <w:rsid w:val="008152D6"/>
    <w:rsid w:val="008162E8"/>
    <w:rsid w:val="00816361"/>
    <w:rsid w:val="008166EF"/>
    <w:rsid w:val="00816FEF"/>
    <w:rsid w:val="00820A8C"/>
    <w:rsid w:val="008215FB"/>
    <w:rsid w:val="00821A56"/>
    <w:rsid w:val="00821FE9"/>
    <w:rsid w:val="00822334"/>
    <w:rsid w:val="00822A1A"/>
    <w:rsid w:val="00823174"/>
    <w:rsid w:val="00824109"/>
    <w:rsid w:val="00825751"/>
    <w:rsid w:val="008264EB"/>
    <w:rsid w:val="0082722F"/>
    <w:rsid w:val="008273EB"/>
    <w:rsid w:val="00827B00"/>
    <w:rsid w:val="00831B0C"/>
    <w:rsid w:val="0083328C"/>
    <w:rsid w:val="00833B05"/>
    <w:rsid w:val="008342C3"/>
    <w:rsid w:val="00834B34"/>
    <w:rsid w:val="00834CC4"/>
    <w:rsid w:val="008362B4"/>
    <w:rsid w:val="00836775"/>
    <w:rsid w:val="00836AEC"/>
    <w:rsid w:val="00837144"/>
    <w:rsid w:val="00837479"/>
    <w:rsid w:val="00837903"/>
    <w:rsid w:val="008403FE"/>
    <w:rsid w:val="00840CA2"/>
    <w:rsid w:val="00841EDC"/>
    <w:rsid w:val="00842395"/>
    <w:rsid w:val="0084263A"/>
    <w:rsid w:val="0084300E"/>
    <w:rsid w:val="00843618"/>
    <w:rsid w:val="0084374F"/>
    <w:rsid w:val="00844A22"/>
    <w:rsid w:val="00845BFB"/>
    <w:rsid w:val="00847703"/>
    <w:rsid w:val="0084782C"/>
    <w:rsid w:val="00847DF5"/>
    <w:rsid w:val="008502A7"/>
    <w:rsid w:val="00850B1A"/>
    <w:rsid w:val="008517F5"/>
    <w:rsid w:val="008520AC"/>
    <w:rsid w:val="0085225C"/>
    <w:rsid w:val="00852CA3"/>
    <w:rsid w:val="0085309D"/>
    <w:rsid w:val="008537EC"/>
    <w:rsid w:val="00853A34"/>
    <w:rsid w:val="00856897"/>
    <w:rsid w:val="00856E9A"/>
    <w:rsid w:val="00857134"/>
    <w:rsid w:val="008606E9"/>
    <w:rsid w:val="0086075D"/>
    <w:rsid w:val="00860DA6"/>
    <w:rsid w:val="00861737"/>
    <w:rsid w:val="0086204B"/>
    <w:rsid w:val="00862270"/>
    <w:rsid w:val="00862502"/>
    <w:rsid w:val="00862835"/>
    <w:rsid w:val="00862CC1"/>
    <w:rsid w:val="00862DFE"/>
    <w:rsid w:val="00863ECD"/>
    <w:rsid w:val="008646C4"/>
    <w:rsid w:val="008660D4"/>
    <w:rsid w:val="00866264"/>
    <w:rsid w:val="00866CBC"/>
    <w:rsid w:val="00866EF6"/>
    <w:rsid w:val="00867961"/>
    <w:rsid w:val="00870440"/>
    <w:rsid w:val="00871019"/>
    <w:rsid w:val="00871451"/>
    <w:rsid w:val="00871C95"/>
    <w:rsid w:val="00871FA9"/>
    <w:rsid w:val="008728E9"/>
    <w:rsid w:val="00872AB2"/>
    <w:rsid w:val="00872B2B"/>
    <w:rsid w:val="00872C50"/>
    <w:rsid w:val="008730DA"/>
    <w:rsid w:val="00873267"/>
    <w:rsid w:val="00873B04"/>
    <w:rsid w:val="00874DB2"/>
    <w:rsid w:val="00875C8A"/>
    <w:rsid w:val="00877084"/>
    <w:rsid w:val="00877111"/>
    <w:rsid w:val="008771C8"/>
    <w:rsid w:val="00877387"/>
    <w:rsid w:val="008773D9"/>
    <w:rsid w:val="00877E27"/>
    <w:rsid w:val="00880721"/>
    <w:rsid w:val="00880D41"/>
    <w:rsid w:val="00881B08"/>
    <w:rsid w:val="00881E8E"/>
    <w:rsid w:val="008820F5"/>
    <w:rsid w:val="008821E9"/>
    <w:rsid w:val="00882452"/>
    <w:rsid w:val="00882874"/>
    <w:rsid w:val="00882DE6"/>
    <w:rsid w:val="00882E3C"/>
    <w:rsid w:val="00883787"/>
    <w:rsid w:val="008837DC"/>
    <w:rsid w:val="00883CA1"/>
    <w:rsid w:val="008855E4"/>
    <w:rsid w:val="00886B68"/>
    <w:rsid w:val="00886CD2"/>
    <w:rsid w:val="008901CB"/>
    <w:rsid w:val="00890ABE"/>
    <w:rsid w:val="00890C0A"/>
    <w:rsid w:val="00891158"/>
    <w:rsid w:val="00891E6F"/>
    <w:rsid w:val="0089275D"/>
    <w:rsid w:val="00892A36"/>
    <w:rsid w:val="00893239"/>
    <w:rsid w:val="00894489"/>
    <w:rsid w:val="00894FBE"/>
    <w:rsid w:val="008951FE"/>
    <w:rsid w:val="008963A5"/>
    <w:rsid w:val="00896AFD"/>
    <w:rsid w:val="00896C77"/>
    <w:rsid w:val="00896D5D"/>
    <w:rsid w:val="008A0BD2"/>
    <w:rsid w:val="008A0CB4"/>
    <w:rsid w:val="008A2D40"/>
    <w:rsid w:val="008A2DF0"/>
    <w:rsid w:val="008A3363"/>
    <w:rsid w:val="008A3371"/>
    <w:rsid w:val="008A3C3E"/>
    <w:rsid w:val="008A680B"/>
    <w:rsid w:val="008A7032"/>
    <w:rsid w:val="008A79DE"/>
    <w:rsid w:val="008B0CD9"/>
    <w:rsid w:val="008B0CF8"/>
    <w:rsid w:val="008B0DF3"/>
    <w:rsid w:val="008B1757"/>
    <w:rsid w:val="008B28BA"/>
    <w:rsid w:val="008B2D85"/>
    <w:rsid w:val="008B359F"/>
    <w:rsid w:val="008B42D4"/>
    <w:rsid w:val="008B5015"/>
    <w:rsid w:val="008B617C"/>
    <w:rsid w:val="008B6513"/>
    <w:rsid w:val="008B674D"/>
    <w:rsid w:val="008B6F0B"/>
    <w:rsid w:val="008B731C"/>
    <w:rsid w:val="008B7992"/>
    <w:rsid w:val="008B7D7E"/>
    <w:rsid w:val="008C0AB8"/>
    <w:rsid w:val="008C0D17"/>
    <w:rsid w:val="008C25F6"/>
    <w:rsid w:val="008C384D"/>
    <w:rsid w:val="008C4491"/>
    <w:rsid w:val="008C49A4"/>
    <w:rsid w:val="008C5610"/>
    <w:rsid w:val="008C5739"/>
    <w:rsid w:val="008C6DFA"/>
    <w:rsid w:val="008C7ECB"/>
    <w:rsid w:val="008D0A3A"/>
    <w:rsid w:val="008D2E31"/>
    <w:rsid w:val="008D3B86"/>
    <w:rsid w:val="008D4755"/>
    <w:rsid w:val="008D4C3D"/>
    <w:rsid w:val="008D51E7"/>
    <w:rsid w:val="008D55B0"/>
    <w:rsid w:val="008D743C"/>
    <w:rsid w:val="008E0D3C"/>
    <w:rsid w:val="008E1189"/>
    <w:rsid w:val="008E138B"/>
    <w:rsid w:val="008E18A9"/>
    <w:rsid w:val="008E1B9E"/>
    <w:rsid w:val="008E55AB"/>
    <w:rsid w:val="008E5D71"/>
    <w:rsid w:val="008E66C7"/>
    <w:rsid w:val="008E73D2"/>
    <w:rsid w:val="008F120A"/>
    <w:rsid w:val="008F15E6"/>
    <w:rsid w:val="008F1B2B"/>
    <w:rsid w:val="008F27E0"/>
    <w:rsid w:val="008F3380"/>
    <w:rsid w:val="008F475B"/>
    <w:rsid w:val="008F48EB"/>
    <w:rsid w:val="008F4F0B"/>
    <w:rsid w:val="008F550A"/>
    <w:rsid w:val="008F55BE"/>
    <w:rsid w:val="008F613F"/>
    <w:rsid w:val="008F6C71"/>
    <w:rsid w:val="00900407"/>
    <w:rsid w:val="00900489"/>
    <w:rsid w:val="00901BB0"/>
    <w:rsid w:val="00901EB2"/>
    <w:rsid w:val="0090207A"/>
    <w:rsid w:val="00903772"/>
    <w:rsid w:val="00903F3B"/>
    <w:rsid w:val="00904194"/>
    <w:rsid w:val="009046C4"/>
    <w:rsid w:val="009061F7"/>
    <w:rsid w:val="009062A5"/>
    <w:rsid w:val="009068AA"/>
    <w:rsid w:val="009069C0"/>
    <w:rsid w:val="009101F3"/>
    <w:rsid w:val="00910FA7"/>
    <w:rsid w:val="00911272"/>
    <w:rsid w:val="00911B6D"/>
    <w:rsid w:val="009135D6"/>
    <w:rsid w:val="00913778"/>
    <w:rsid w:val="00914C77"/>
    <w:rsid w:val="00914CBE"/>
    <w:rsid w:val="0091536B"/>
    <w:rsid w:val="00916072"/>
    <w:rsid w:val="00916142"/>
    <w:rsid w:val="009167C5"/>
    <w:rsid w:val="00916B46"/>
    <w:rsid w:val="00920E84"/>
    <w:rsid w:val="009211EB"/>
    <w:rsid w:val="00921ACB"/>
    <w:rsid w:val="00922A67"/>
    <w:rsid w:val="00922BBF"/>
    <w:rsid w:val="0092317F"/>
    <w:rsid w:val="0092369B"/>
    <w:rsid w:val="00923E29"/>
    <w:rsid w:val="00924C53"/>
    <w:rsid w:val="0092554E"/>
    <w:rsid w:val="009256AB"/>
    <w:rsid w:val="009264A3"/>
    <w:rsid w:val="00927BED"/>
    <w:rsid w:val="009301BF"/>
    <w:rsid w:val="0093056F"/>
    <w:rsid w:val="00930B3D"/>
    <w:rsid w:val="00931464"/>
    <w:rsid w:val="009317A4"/>
    <w:rsid w:val="00931C6E"/>
    <w:rsid w:val="00932398"/>
    <w:rsid w:val="00933BE1"/>
    <w:rsid w:val="00934988"/>
    <w:rsid w:val="00935399"/>
    <w:rsid w:val="009361D0"/>
    <w:rsid w:val="00936A93"/>
    <w:rsid w:val="00936FE2"/>
    <w:rsid w:val="00937089"/>
    <w:rsid w:val="009376C2"/>
    <w:rsid w:val="0093781A"/>
    <w:rsid w:val="00940A09"/>
    <w:rsid w:val="00941D53"/>
    <w:rsid w:val="009428F7"/>
    <w:rsid w:val="00944F8A"/>
    <w:rsid w:val="00945814"/>
    <w:rsid w:val="00946329"/>
    <w:rsid w:val="00946734"/>
    <w:rsid w:val="0095003F"/>
    <w:rsid w:val="00950D68"/>
    <w:rsid w:val="009510A2"/>
    <w:rsid w:val="0095236D"/>
    <w:rsid w:val="00952C76"/>
    <w:rsid w:val="00952E37"/>
    <w:rsid w:val="00953257"/>
    <w:rsid w:val="0095474C"/>
    <w:rsid w:val="009554A0"/>
    <w:rsid w:val="0095560C"/>
    <w:rsid w:val="0095644C"/>
    <w:rsid w:val="009576FC"/>
    <w:rsid w:val="0096002A"/>
    <w:rsid w:val="00960A8C"/>
    <w:rsid w:val="009617DD"/>
    <w:rsid w:val="00961A56"/>
    <w:rsid w:val="00962CB9"/>
    <w:rsid w:val="00964312"/>
    <w:rsid w:val="00964874"/>
    <w:rsid w:val="0096507E"/>
    <w:rsid w:val="0096554D"/>
    <w:rsid w:val="009656F1"/>
    <w:rsid w:val="00965B8A"/>
    <w:rsid w:val="009665CC"/>
    <w:rsid w:val="009669D2"/>
    <w:rsid w:val="00967213"/>
    <w:rsid w:val="0097071F"/>
    <w:rsid w:val="00970AD9"/>
    <w:rsid w:val="00970E64"/>
    <w:rsid w:val="009717AC"/>
    <w:rsid w:val="00971F1F"/>
    <w:rsid w:val="00974ABF"/>
    <w:rsid w:val="00974B2D"/>
    <w:rsid w:val="009751C1"/>
    <w:rsid w:val="00975686"/>
    <w:rsid w:val="009757C5"/>
    <w:rsid w:val="009764CA"/>
    <w:rsid w:val="00976912"/>
    <w:rsid w:val="00977179"/>
    <w:rsid w:val="00977CAD"/>
    <w:rsid w:val="00981010"/>
    <w:rsid w:val="009811F1"/>
    <w:rsid w:val="00981B38"/>
    <w:rsid w:val="00981E2E"/>
    <w:rsid w:val="00982CE6"/>
    <w:rsid w:val="0098350F"/>
    <w:rsid w:val="0098387A"/>
    <w:rsid w:val="00983E57"/>
    <w:rsid w:val="00983E91"/>
    <w:rsid w:val="0098420A"/>
    <w:rsid w:val="009844E0"/>
    <w:rsid w:val="009849AC"/>
    <w:rsid w:val="00984D39"/>
    <w:rsid w:val="00985057"/>
    <w:rsid w:val="00985752"/>
    <w:rsid w:val="00985DE2"/>
    <w:rsid w:val="0098675D"/>
    <w:rsid w:val="009874EE"/>
    <w:rsid w:val="009901B2"/>
    <w:rsid w:val="009904E8"/>
    <w:rsid w:val="00990B5C"/>
    <w:rsid w:val="00991A1B"/>
    <w:rsid w:val="009926E0"/>
    <w:rsid w:val="0099451E"/>
    <w:rsid w:val="00994911"/>
    <w:rsid w:val="009962E2"/>
    <w:rsid w:val="0099659F"/>
    <w:rsid w:val="00996B1A"/>
    <w:rsid w:val="00996B99"/>
    <w:rsid w:val="00997719"/>
    <w:rsid w:val="009A03F0"/>
    <w:rsid w:val="009A11A8"/>
    <w:rsid w:val="009A2DCC"/>
    <w:rsid w:val="009A2EEC"/>
    <w:rsid w:val="009A570A"/>
    <w:rsid w:val="009A5ABC"/>
    <w:rsid w:val="009A681E"/>
    <w:rsid w:val="009A6F92"/>
    <w:rsid w:val="009A763E"/>
    <w:rsid w:val="009A7DD7"/>
    <w:rsid w:val="009A7F10"/>
    <w:rsid w:val="009B0882"/>
    <w:rsid w:val="009B0FB0"/>
    <w:rsid w:val="009B214A"/>
    <w:rsid w:val="009B232C"/>
    <w:rsid w:val="009B3683"/>
    <w:rsid w:val="009B3E26"/>
    <w:rsid w:val="009B3F5F"/>
    <w:rsid w:val="009B4247"/>
    <w:rsid w:val="009B4D01"/>
    <w:rsid w:val="009B51ED"/>
    <w:rsid w:val="009B5822"/>
    <w:rsid w:val="009B5F65"/>
    <w:rsid w:val="009B674C"/>
    <w:rsid w:val="009C019D"/>
    <w:rsid w:val="009C0296"/>
    <w:rsid w:val="009C3628"/>
    <w:rsid w:val="009C3706"/>
    <w:rsid w:val="009C3A3A"/>
    <w:rsid w:val="009C46CD"/>
    <w:rsid w:val="009C4BCE"/>
    <w:rsid w:val="009C4E1C"/>
    <w:rsid w:val="009C5E4A"/>
    <w:rsid w:val="009C6861"/>
    <w:rsid w:val="009C686F"/>
    <w:rsid w:val="009C6CEA"/>
    <w:rsid w:val="009C7869"/>
    <w:rsid w:val="009C7B85"/>
    <w:rsid w:val="009D0254"/>
    <w:rsid w:val="009D12FB"/>
    <w:rsid w:val="009D1A64"/>
    <w:rsid w:val="009D1CC1"/>
    <w:rsid w:val="009D3196"/>
    <w:rsid w:val="009D31AB"/>
    <w:rsid w:val="009D3A3F"/>
    <w:rsid w:val="009D47EA"/>
    <w:rsid w:val="009D5200"/>
    <w:rsid w:val="009D5739"/>
    <w:rsid w:val="009D5742"/>
    <w:rsid w:val="009D5B72"/>
    <w:rsid w:val="009D5B91"/>
    <w:rsid w:val="009D6718"/>
    <w:rsid w:val="009D792E"/>
    <w:rsid w:val="009E04A2"/>
    <w:rsid w:val="009E0AA0"/>
    <w:rsid w:val="009E0AE9"/>
    <w:rsid w:val="009E0DFE"/>
    <w:rsid w:val="009E20BF"/>
    <w:rsid w:val="009E2471"/>
    <w:rsid w:val="009E261C"/>
    <w:rsid w:val="009E31F6"/>
    <w:rsid w:val="009E38E3"/>
    <w:rsid w:val="009E3F9B"/>
    <w:rsid w:val="009E4C07"/>
    <w:rsid w:val="009E560F"/>
    <w:rsid w:val="009E5C9E"/>
    <w:rsid w:val="009E61A4"/>
    <w:rsid w:val="009F0442"/>
    <w:rsid w:val="009F09C6"/>
    <w:rsid w:val="009F12E9"/>
    <w:rsid w:val="009F1596"/>
    <w:rsid w:val="009F1E0C"/>
    <w:rsid w:val="009F1FF8"/>
    <w:rsid w:val="009F2D18"/>
    <w:rsid w:val="009F371A"/>
    <w:rsid w:val="009F39C7"/>
    <w:rsid w:val="009F40B3"/>
    <w:rsid w:val="009F48C0"/>
    <w:rsid w:val="009F7A42"/>
    <w:rsid w:val="00A0006F"/>
    <w:rsid w:val="00A00E7B"/>
    <w:rsid w:val="00A01184"/>
    <w:rsid w:val="00A01332"/>
    <w:rsid w:val="00A0307F"/>
    <w:rsid w:val="00A037C2"/>
    <w:rsid w:val="00A03C07"/>
    <w:rsid w:val="00A03D43"/>
    <w:rsid w:val="00A04380"/>
    <w:rsid w:val="00A05472"/>
    <w:rsid w:val="00A05C32"/>
    <w:rsid w:val="00A05D42"/>
    <w:rsid w:val="00A0653F"/>
    <w:rsid w:val="00A07876"/>
    <w:rsid w:val="00A07D82"/>
    <w:rsid w:val="00A105D8"/>
    <w:rsid w:val="00A11CD0"/>
    <w:rsid w:val="00A11F76"/>
    <w:rsid w:val="00A13948"/>
    <w:rsid w:val="00A1555B"/>
    <w:rsid w:val="00A155C5"/>
    <w:rsid w:val="00A15811"/>
    <w:rsid w:val="00A163F7"/>
    <w:rsid w:val="00A168B4"/>
    <w:rsid w:val="00A16AD8"/>
    <w:rsid w:val="00A178D6"/>
    <w:rsid w:val="00A179DA"/>
    <w:rsid w:val="00A20EF3"/>
    <w:rsid w:val="00A21851"/>
    <w:rsid w:val="00A21985"/>
    <w:rsid w:val="00A21C4A"/>
    <w:rsid w:val="00A21C95"/>
    <w:rsid w:val="00A21CF3"/>
    <w:rsid w:val="00A22B9F"/>
    <w:rsid w:val="00A22EFF"/>
    <w:rsid w:val="00A23277"/>
    <w:rsid w:val="00A23595"/>
    <w:rsid w:val="00A2385A"/>
    <w:rsid w:val="00A23FCF"/>
    <w:rsid w:val="00A24195"/>
    <w:rsid w:val="00A2459D"/>
    <w:rsid w:val="00A24813"/>
    <w:rsid w:val="00A25A6B"/>
    <w:rsid w:val="00A26429"/>
    <w:rsid w:val="00A265A1"/>
    <w:rsid w:val="00A27AEC"/>
    <w:rsid w:val="00A30D58"/>
    <w:rsid w:val="00A3153C"/>
    <w:rsid w:val="00A320DB"/>
    <w:rsid w:val="00A32DE6"/>
    <w:rsid w:val="00A330BF"/>
    <w:rsid w:val="00A337AD"/>
    <w:rsid w:val="00A33E44"/>
    <w:rsid w:val="00A33EA6"/>
    <w:rsid w:val="00A34D62"/>
    <w:rsid w:val="00A35CD7"/>
    <w:rsid w:val="00A35D16"/>
    <w:rsid w:val="00A365B2"/>
    <w:rsid w:val="00A36C47"/>
    <w:rsid w:val="00A37455"/>
    <w:rsid w:val="00A37BCD"/>
    <w:rsid w:val="00A40FCC"/>
    <w:rsid w:val="00A41129"/>
    <w:rsid w:val="00A41689"/>
    <w:rsid w:val="00A42592"/>
    <w:rsid w:val="00A42E68"/>
    <w:rsid w:val="00A43750"/>
    <w:rsid w:val="00A43B11"/>
    <w:rsid w:val="00A43C59"/>
    <w:rsid w:val="00A43CAB"/>
    <w:rsid w:val="00A44396"/>
    <w:rsid w:val="00A45E4E"/>
    <w:rsid w:val="00A50178"/>
    <w:rsid w:val="00A50ECD"/>
    <w:rsid w:val="00A510F8"/>
    <w:rsid w:val="00A517D8"/>
    <w:rsid w:val="00A518F3"/>
    <w:rsid w:val="00A51D32"/>
    <w:rsid w:val="00A52729"/>
    <w:rsid w:val="00A52D04"/>
    <w:rsid w:val="00A52F04"/>
    <w:rsid w:val="00A532CA"/>
    <w:rsid w:val="00A53675"/>
    <w:rsid w:val="00A55C80"/>
    <w:rsid w:val="00A563D6"/>
    <w:rsid w:val="00A564D7"/>
    <w:rsid w:val="00A56722"/>
    <w:rsid w:val="00A56A2A"/>
    <w:rsid w:val="00A56A44"/>
    <w:rsid w:val="00A56B6A"/>
    <w:rsid w:val="00A56D16"/>
    <w:rsid w:val="00A5754B"/>
    <w:rsid w:val="00A578DC"/>
    <w:rsid w:val="00A6062D"/>
    <w:rsid w:val="00A611AD"/>
    <w:rsid w:val="00A629F2"/>
    <w:rsid w:val="00A6322C"/>
    <w:rsid w:val="00A6370F"/>
    <w:rsid w:val="00A640E2"/>
    <w:rsid w:val="00A64D65"/>
    <w:rsid w:val="00A6514F"/>
    <w:rsid w:val="00A65706"/>
    <w:rsid w:val="00A6583A"/>
    <w:rsid w:val="00A65E20"/>
    <w:rsid w:val="00A6624D"/>
    <w:rsid w:val="00A66B73"/>
    <w:rsid w:val="00A6725B"/>
    <w:rsid w:val="00A675B6"/>
    <w:rsid w:val="00A70605"/>
    <w:rsid w:val="00A714A4"/>
    <w:rsid w:val="00A714BE"/>
    <w:rsid w:val="00A71637"/>
    <w:rsid w:val="00A71F4E"/>
    <w:rsid w:val="00A72BC5"/>
    <w:rsid w:val="00A73031"/>
    <w:rsid w:val="00A73134"/>
    <w:rsid w:val="00A7359D"/>
    <w:rsid w:val="00A73C9E"/>
    <w:rsid w:val="00A7422C"/>
    <w:rsid w:val="00A76001"/>
    <w:rsid w:val="00A777B2"/>
    <w:rsid w:val="00A80376"/>
    <w:rsid w:val="00A825D4"/>
    <w:rsid w:val="00A828F6"/>
    <w:rsid w:val="00A82B73"/>
    <w:rsid w:val="00A865D1"/>
    <w:rsid w:val="00A86E8B"/>
    <w:rsid w:val="00A87164"/>
    <w:rsid w:val="00A87203"/>
    <w:rsid w:val="00A87B36"/>
    <w:rsid w:val="00A87FB2"/>
    <w:rsid w:val="00A91290"/>
    <w:rsid w:val="00A91855"/>
    <w:rsid w:val="00A93072"/>
    <w:rsid w:val="00A938BD"/>
    <w:rsid w:val="00A93953"/>
    <w:rsid w:val="00A94AB3"/>
    <w:rsid w:val="00A959D8"/>
    <w:rsid w:val="00A95C54"/>
    <w:rsid w:val="00A960F3"/>
    <w:rsid w:val="00A96DD0"/>
    <w:rsid w:val="00AA113D"/>
    <w:rsid w:val="00AA32CC"/>
    <w:rsid w:val="00AA32D0"/>
    <w:rsid w:val="00AA4323"/>
    <w:rsid w:val="00AA5072"/>
    <w:rsid w:val="00AA59AF"/>
    <w:rsid w:val="00AA5A4A"/>
    <w:rsid w:val="00AA5C5F"/>
    <w:rsid w:val="00AA6BD5"/>
    <w:rsid w:val="00AA6BD8"/>
    <w:rsid w:val="00AA6C7D"/>
    <w:rsid w:val="00AA6E53"/>
    <w:rsid w:val="00AA7FD6"/>
    <w:rsid w:val="00AB042A"/>
    <w:rsid w:val="00AB07D2"/>
    <w:rsid w:val="00AB0FD6"/>
    <w:rsid w:val="00AB1805"/>
    <w:rsid w:val="00AB19EF"/>
    <w:rsid w:val="00AB1FF6"/>
    <w:rsid w:val="00AB2242"/>
    <w:rsid w:val="00AB2BBE"/>
    <w:rsid w:val="00AB2D34"/>
    <w:rsid w:val="00AB3430"/>
    <w:rsid w:val="00AB37B9"/>
    <w:rsid w:val="00AB4716"/>
    <w:rsid w:val="00AB4AD1"/>
    <w:rsid w:val="00AB5E07"/>
    <w:rsid w:val="00AB7CFA"/>
    <w:rsid w:val="00AC1210"/>
    <w:rsid w:val="00AC17E5"/>
    <w:rsid w:val="00AC1B5F"/>
    <w:rsid w:val="00AC2789"/>
    <w:rsid w:val="00AC2E93"/>
    <w:rsid w:val="00AC4FEC"/>
    <w:rsid w:val="00AC52D1"/>
    <w:rsid w:val="00AC5507"/>
    <w:rsid w:val="00AC5B48"/>
    <w:rsid w:val="00AD1119"/>
    <w:rsid w:val="00AD1450"/>
    <w:rsid w:val="00AD3016"/>
    <w:rsid w:val="00AD30C5"/>
    <w:rsid w:val="00AD3380"/>
    <w:rsid w:val="00AD3E8D"/>
    <w:rsid w:val="00AD474C"/>
    <w:rsid w:val="00AD4FCB"/>
    <w:rsid w:val="00AD57F4"/>
    <w:rsid w:val="00AD589D"/>
    <w:rsid w:val="00AD5A45"/>
    <w:rsid w:val="00AD6502"/>
    <w:rsid w:val="00AD679B"/>
    <w:rsid w:val="00AD75C6"/>
    <w:rsid w:val="00AE0695"/>
    <w:rsid w:val="00AE0D3E"/>
    <w:rsid w:val="00AE1334"/>
    <w:rsid w:val="00AE393F"/>
    <w:rsid w:val="00AE3DB0"/>
    <w:rsid w:val="00AE3E7E"/>
    <w:rsid w:val="00AE6088"/>
    <w:rsid w:val="00AF1315"/>
    <w:rsid w:val="00AF1616"/>
    <w:rsid w:val="00AF19BF"/>
    <w:rsid w:val="00AF2108"/>
    <w:rsid w:val="00AF2DC3"/>
    <w:rsid w:val="00AF3262"/>
    <w:rsid w:val="00AF356A"/>
    <w:rsid w:val="00AF4C2D"/>
    <w:rsid w:val="00AF4E23"/>
    <w:rsid w:val="00AF5E47"/>
    <w:rsid w:val="00AF7295"/>
    <w:rsid w:val="00B02624"/>
    <w:rsid w:val="00B02E2E"/>
    <w:rsid w:val="00B03119"/>
    <w:rsid w:val="00B031BF"/>
    <w:rsid w:val="00B033E5"/>
    <w:rsid w:val="00B03A63"/>
    <w:rsid w:val="00B0458C"/>
    <w:rsid w:val="00B04E36"/>
    <w:rsid w:val="00B059F1"/>
    <w:rsid w:val="00B0677B"/>
    <w:rsid w:val="00B06A85"/>
    <w:rsid w:val="00B074DF"/>
    <w:rsid w:val="00B075AD"/>
    <w:rsid w:val="00B07C9D"/>
    <w:rsid w:val="00B11953"/>
    <w:rsid w:val="00B12E19"/>
    <w:rsid w:val="00B13917"/>
    <w:rsid w:val="00B13CFB"/>
    <w:rsid w:val="00B17A27"/>
    <w:rsid w:val="00B201A4"/>
    <w:rsid w:val="00B201D1"/>
    <w:rsid w:val="00B213A6"/>
    <w:rsid w:val="00B223AA"/>
    <w:rsid w:val="00B229A4"/>
    <w:rsid w:val="00B235B0"/>
    <w:rsid w:val="00B23732"/>
    <w:rsid w:val="00B23CF2"/>
    <w:rsid w:val="00B243B2"/>
    <w:rsid w:val="00B244A2"/>
    <w:rsid w:val="00B24DF6"/>
    <w:rsid w:val="00B26948"/>
    <w:rsid w:val="00B27127"/>
    <w:rsid w:val="00B278C3"/>
    <w:rsid w:val="00B27FD8"/>
    <w:rsid w:val="00B304C9"/>
    <w:rsid w:val="00B308C2"/>
    <w:rsid w:val="00B32B72"/>
    <w:rsid w:val="00B32C3D"/>
    <w:rsid w:val="00B33170"/>
    <w:rsid w:val="00B34FE2"/>
    <w:rsid w:val="00B350DE"/>
    <w:rsid w:val="00B35166"/>
    <w:rsid w:val="00B357D8"/>
    <w:rsid w:val="00B360F4"/>
    <w:rsid w:val="00B36A00"/>
    <w:rsid w:val="00B36A8E"/>
    <w:rsid w:val="00B3703A"/>
    <w:rsid w:val="00B37404"/>
    <w:rsid w:val="00B375A8"/>
    <w:rsid w:val="00B37BFC"/>
    <w:rsid w:val="00B37F09"/>
    <w:rsid w:val="00B40358"/>
    <w:rsid w:val="00B415F4"/>
    <w:rsid w:val="00B41614"/>
    <w:rsid w:val="00B41619"/>
    <w:rsid w:val="00B42851"/>
    <w:rsid w:val="00B42E3C"/>
    <w:rsid w:val="00B42F80"/>
    <w:rsid w:val="00B4315D"/>
    <w:rsid w:val="00B431C4"/>
    <w:rsid w:val="00B435CB"/>
    <w:rsid w:val="00B43F86"/>
    <w:rsid w:val="00B4465F"/>
    <w:rsid w:val="00B44A20"/>
    <w:rsid w:val="00B4505A"/>
    <w:rsid w:val="00B452AD"/>
    <w:rsid w:val="00B4558D"/>
    <w:rsid w:val="00B45DCE"/>
    <w:rsid w:val="00B46520"/>
    <w:rsid w:val="00B47397"/>
    <w:rsid w:val="00B505C8"/>
    <w:rsid w:val="00B50DB8"/>
    <w:rsid w:val="00B5143B"/>
    <w:rsid w:val="00B51525"/>
    <w:rsid w:val="00B51689"/>
    <w:rsid w:val="00B53654"/>
    <w:rsid w:val="00B53905"/>
    <w:rsid w:val="00B53B24"/>
    <w:rsid w:val="00B549A4"/>
    <w:rsid w:val="00B54B5B"/>
    <w:rsid w:val="00B55166"/>
    <w:rsid w:val="00B5562E"/>
    <w:rsid w:val="00B55862"/>
    <w:rsid w:val="00B55CFC"/>
    <w:rsid w:val="00B55D65"/>
    <w:rsid w:val="00B5665D"/>
    <w:rsid w:val="00B56F06"/>
    <w:rsid w:val="00B57000"/>
    <w:rsid w:val="00B575DB"/>
    <w:rsid w:val="00B60939"/>
    <w:rsid w:val="00B60AFD"/>
    <w:rsid w:val="00B60E84"/>
    <w:rsid w:val="00B6168F"/>
    <w:rsid w:val="00B62715"/>
    <w:rsid w:val="00B62A58"/>
    <w:rsid w:val="00B63F3A"/>
    <w:rsid w:val="00B653E0"/>
    <w:rsid w:val="00B65611"/>
    <w:rsid w:val="00B656F3"/>
    <w:rsid w:val="00B6586D"/>
    <w:rsid w:val="00B66A4F"/>
    <w:rsid w:val="00B675C7"/>
    <w:rsid w:val="00B704EF"/>
    <w:rsid w:val="00B70782"/>
    <w:rsid w:val="00B70D1D"/>
    <w:rsid w:val="00B70E8E"/>
    <w:rsid w:val="00B70F95"/>
    <w:rsid w:val="00B719F5"/>
    <w:rsid w:val="00B71D68"/>
    <w:rsid w:val="00B72BAD"/>
    <w:rsid w:val="00B73889"/>
    <w:rsid w:val="00B741F8"/>
    <w:rsid w:val="00B74574"/>
    <w:rsid w:val="00B752D1"/>
    <w:rsid w:val="00B7684E"/>
    <w:rsid w:val="00B76C92"/>
    <w:rsid w:val="00B81684"/>
    <w:rsid w:val="00B818A4"/>
    <w:rsid w:val="00B820A5"/>
    <w:rsid w:val="00B834BB"/>
    <w:rsid w:val="00B8387D"/>
    <w:rsid w:val="00B84117"/>
    <w:rsid w:val="00B847E6"/>
    <w:rsid w:val="00B84C00"/>
    <w:rsid w:val="00B84C62"/>
    <w:rsid w:val="00B85513"/>
    <w:rsid w:val="00B85541"/>
    <w:rsid w:val="00B858F0"/>
    <w:rsid w:val="00B85AA2"/>
    <w:rsid w:val="00B8649C"/>
    <w:rsid w:val="00B8675F"/>
    <w:rsid w:val="00B8695D"/>
    <w:rsid w:val="00B870CB"/>
    <w:rsid w:val="00B87F0A"/>
    <w:rsid w:val="00B90C79"/>
    <w:rsid w:val="00B92110"/>
    <w:rsid w:val="00B929DB"/>
    <w:rsid w:val="00B92D0B"/>
    <w:rsid w:val="00B938F5"/>
    <w:rsid w:val="00B9408C"/>
    <w:rsid w:val="00B94945"/>
    <w:rsid w:val="00B94DD6"/>
    <w:rsid w:val="00B969EB"/>
    <w:rsid w:val="00B96F33"/>
    <w:rsid w:val="00B97AA6"/>
    <w:rsid w:val="00BA0AEC"/>
    <w:rsid w:val="00BA322D"/>
    <w:rsid w:val="00BA4149"/>
    <w:rsid w:val="00BA4EC4"/>
    <w:rsid w:val="00BA6022"/>
    <w:rsid w:val="00BA63FA"/>
    <w:rsid w:val="00BA746D"/>
    <w:rsid w:val="00BB00B3"/>
    <w:rsid w:val="00BB043B"/>
    <w:rsid w:val="00BB08C1"/>
    <w:rsid w:val="00BB0BDD"/>
    <w:rsid w:val="00BB0F47"/>
    <w:rsid w:val="00BB176C"/>
    <w:rsid w:val="00BB1D88"/>
    <w:rsid w:val="00BB20C9"/>
    <w:rsid w:val="00BB2A73"/>
    <w:rsid w:val="00BB2BA2"/>
    <w:rsid w:val="00BB3A45"/>
    <w:rsid w:val="00BB40AC"/>
    <w:rsid w:val="00BB4987"/>
    <w:rsid w:val="00BB4ACC"/>
    <w:rsid w:val="00BB5772"/>
    <w:rsid w:val="00BB5B07"/>
    <w:rsid w:val="00BB6638"/>
    <w:rsid w:val="00BB6E7D"/>
    <w:rsid w:val="00BB703E"/>
    <w:rsid w:val="00BB732D"/>
    <w:rsid w:val="00BB7405"/>
    <w:rsid w:val="00BC061D"/>
    <w:rsid w:val="00BC3631"/>
    <w:rsid w:val="00BC39D1"/>
    <w:rsid w:val="00BC4633"/>
    <w:rsid w:val="00BC591F"/>
    <w:rsid w:val="00BC59D0"/>
    <w:rsid w:val="00BC59DE"/>
    <w:rsid w:val="00BC770A"/>
    <w:rsid w:val="00BC7D6D"/>
    <w:rsid w:val="00BD1660"/>
    <w:rsid w:val="00BD2108"/>
    <w:rsid w:val="00BD3023"/>
    <w:rsid w:val="00BD3F68"/>
    <w:rsid w:val="00BD42E3"/>
    <w:rsid w:val="00BD4528"/>
    <w:rsid w:val="00BD4612"/>
    <w:rsid w:val="00BD5668"/>
    <w:rsid w:val="00BD68A3"/>
    <w:rsid w:val="00BD6938"/>
    <w:rsid w:val="00BD6CF3"/>
    <w:rsid w:val="00BD794F"/>
    <w:rsid w:val="00BE0ECA"/>
    <w:rsid w:val="00BE14A3"/>
    <w:rsid w:val="00BE2180"/>
    <w:rsid w:val="00BE21F2"/>
    <w:rsid w:val="00BE2410"/>
    <w:rsid w:val="00BE2FF4"/>
    <w:rsid w:val="00BE3831"/>
    <w:rsid w:val="00BE424C"/>
    <w:rsid w:val="00BE4275"/>
    <w:rsid w:val="00BE539F"/>
    <w:rsid w:val="00BE5DCA"/>
    <w:rsid w:val="00BE5E86"/>
    <w:rsid w:val="00BE6CA1"/>
    <w:rsid w:val="00BE7DEE"/>
    <w:rsid w:val="00BF06AE"/>
    <w:rsid w:val="00BF08E0"/>
    <w:rsid w:val="00BF0F95"/>
    <w:rsid w:val="00BF11BF"/>
    <w:rsid w:val="00BF20B8"/>
    <w:rsid w:val="00BF2433"/>
    <w:rsid w:val="00BF2C61"/>
    <w:rsid w:val="00BF2D87"/>
    <w:rsid w:val="00BF4E72"/>
    <w:rsid w:val="00BF5EC8"/>
    <w:rsid w:val="00BF5FB0"/>
    <w:rsid w:val="00BF61C9"/>
    <w:rsid w:val="00BF65A8"/>
    <w:rsid w:val="00BF6C94"/>
    <w:rsid w:val="00BF7731"/>
    <w:rsid w:val="00C00424"/>
    <w:rsid w:val="00C004EF"/>
    <w:rsid w:val="00C00553"/>
    <w:rsid w:val="00C00A91"/>
    <w:rsid w:val="00C01C33"/>
    <w:rsid w:val="00C02BC5"/>
    <w:rsid w:val="00C043B2"/>
    <w:rsid w:val="00C048E3"/>
    <w:rsid w:val="00C05704"/>
    <w:rsid w:val="00C05CBE"/>
    <w:rsid w:val="00C05D04"/>
    <w:rsid w:val="00C079AF"/>
    <w:rsid w:val="00C1069F"/>
    <w:rsid w:val="00C10F84"/>
    <w:rsid w:val="00C1179F"/>
    <w:rsid w:val="00C1195F"/>
    <w:rsid w:val="00C11E19"/>
    <w:rsid w:val="00C12C14"/>
    <w:rsid w:val="00C130A2"/>
    <w:rsid w:val="00C131E8"/>
    <w:rsid w:val="00C13E7A"/>
    <w:rsid w:val="00C15B71"/>
    <w:rsid w:val="00C15F04"/>
    <w:rsid w:val="00C1639A"/>
    <w:rsid w:val="00C179B3"/>
    <w:rsid w:val="00C17E3F"/>
    <w:rsid w:val="00C200AA"/>
    <w:rsid w:val="00C20800"/>
    <w:rsid w:val="00C20E68"/>
    <w:rsid w:val="00C21BD7"/>
    <w:rsid w:val="00C237ED"/>
    <w:rsid w:val="00C23D11"/>
    <w:rsid w:val="00C24632"/>
    <w:rsid w:val="00C2525C"/>
    <w:rsid w:val="00C253B9"/>
    <w:rsid w:val="00C25418"/>
    <w:rsid w:val="00C257DE"/>
    <w:rsid w:val="00C25D9C"/>
    <w:rsid w:val="00C26E85"/>
    <w:rsid w:val="00C26FA1"/>
    <w:rsid w:val="00C27277"/>
    <w:rsid w:val="00C27655"/>
    <w:rsid w:val="00C2778B"/>
    <w:rsid w:val="00C3000D"/>
    <w:rsid w:val="00C30181"/>
    <w:rsid w:val="00C30EAE"/>
    <w:rsid w:val="00C31649"/>
    <w:rsid w:val="00C32CB5"/>
    <w:rsid w:val="00C32F96"/>
    <w:rsid w:val="00C337D1"/>
    <w:rsid w:val="00C3434C"/>
    <w:rsid w:val="00C34B28"/>
    <w:rsid w:val="00C354DA"/>
    <w:rsid w:val="00C377A8"/>
    <w:rsid w:val="00C37878"/>
    <w:rsid w:val="00C40385"/>
    <w:rsid w:val="00C40982"/>
    <w:rsid w:val="00C41768"/>
    <w:rsid w:val="00C43657"/>
    <w:rsid w:val="00C43F27"/>
    <w:rsid w:val="00C44E3F"/>
    <w:rsid w:val="00C4594C"/>
    <w:rsid w:val="00C45A0C"/>
    <w:rsid w:val="00C45BBC"/>
    <w:rsid w:val="00C46598"/>
    <w:rsid w:val="00C46F21"/>
    <w:rsid w:val="00C475AA"/>
    <w:rsid w:val="00C5070A"/>
    <w:rsid w:val="00C5131F"/>
    <w:rsid w:val="00C51745"/>
    <w:rsid w:val="00C53C98"/>
    <w:rsid w:val="00C55149"/>
    <w:rsid w:val="00C5522B"/>
    <w:rsid w:val="00C55CC0"/>
    <w:rsid w:val="00C56A75"/>
    <w:rsid w:val="00C56E5E"/>
    <w:rsid w:val="00C56FCF"/>
    <w:rsid w:val="00C5773C"/>
    <w:rsid w:val="00C57B6C"/>
    <w:rsid w:val="00C57ED8"/>
    <w:rsid w:val="00C605F0"/>
    <w:rsid w:val="00C60C5B"/>
    <w:rsid w:val="00C60D24"/>
    <w:rsid w:val="00C62685"/>
    <w:rsid w:val="00C628A6"/>
    <w:rsid w:val="00C62AD4"/>
    <w:rsid w:val="00C63189"/>
    <w:rsid w:val="00C63D90"/>
    <w:rsid w:val="00C64344"/>
    <w:rsid w:val="00C64B5F"/>
    <w:rsid w:val="00C65108"/>
    <w:rsid w:val="00C65576"/>
    <w:rsid w:val="00C659DE"/>
    <w:rsid w:val="00C65B47"/>
    <w:rsid w:val="00C65E72"/>
    <w:rsid w:val="00C66165"/>
    <w:rsid w:val="00C66848"/>
    <w:rsid w:val="00C70223"/>
    <w:rsid w:val="00C7060A"/>
    <w:rsid w:val="00C712D8"/>
    <w:rsid w:val="00C7151A"/>
    <w:rsid w:val="00C717E3"/>
    <w:rsid w:val="00C71F60"/>
    <w:rsid w:val="00C72241"/>
    <w:rsid w:val="00C7381D"/>
    <w:rsid w:val="00C740E8"/>
    <w:rsid w:val="00C74373"/>
    <w:rsid w:val="00C74781"/>
    <w:rsid w:val="00C750C8"/>
    <w:rsid w:val="00C7560F"/>
    <w:rsid w:val="00C767A8"/>
    <w:rsid w:val="00C76AD0"/>
    <w:rsid w:val="00C77015"/>
    <w:rsid w:val="00C77615"/>
    <w:rsid w:val="00C77620"/>
    <w:rsid w:val="00C77ABD"/>
    <w:rsid w:val="00C80A0E"/>
    <w:rsid w:val="00C80B26"/>
    <w:rsid w:val="00C811AB"/>
    <w:rsid w:val="00C81A14"/>
    <w:rsid w:val="00C81B62"/>
    <w:rsid w:val="00C81DF6"/>
    <w:rsid w:val="00C8213F"/>
    <w:rsid w:val="00C82601"/>
    <w:rsid w:val="00C8415A"/>
    <w:rsid w:val="00C842EB"/>
    <w:rsid w:val="00C846ED"/>
    <w:rsid w:val="00C84D9D"/>
    <w:rsid w:val="00C85154"/>
    <w:rsid w:val="00C8557A"/>
    <w:rsid w:val="00C8567B"/>
    <w:rsid w:val="00C85D07"/>
    <w:rsid w:val="00C860D6"/>
    <w:rsid w:val="00C86CD9"/>
    <w:rsid w:val="00C874D0"/>
    <w:rsid w:val="00C8797A"/>
    <w:rsid w:val="00C900B8"/>
    <w:rsid w:val="00C90C71"/>
    <w:rsid w:val="00C90F59"/>
    <w:rsid w:val="00C91C78"/>
    <w:rsid w:val="00C91C8E"/>
    <w:rsid w:val="00C91FD1"/>
    <w:rsid w:val="00C92396"/>
    <w:rsid w:val="00C931CF"/>
    <w:rsid w:val="00C938CF"/>
    <w:rsid w:val="00C93BB5"/>
    <w:rsid w:val="00C93EB4"/>
    <w:rsid w:val="00C94053"/>
    <w:rsid w:val="00C944BB"/>
    <w:rsid w:val="00C94D18"/>
    <w:rsid w:val="00C94F5E"/>
    <w:rsid w:val="00C95061"/>
    <w:rsid w:val="00C96070"/>
    <w:rsid w:val="00C9624D"/>
    <w:rsid w:val="00C96505"/>
    <w:rsid w:val="00C96752"/>
    <w:rsid w:val="00C969DA"/>
    <w:rsid w:val="00C97261"/>
    <w:rsid w:val="00CA0010"/>
    <w:rsid w:val="00CA0611"/>
    <w:rsid w:val="00CA0A27"/>
    <w:rsid w:val="00CA0CF7"/>
    <w:rsid w:val="00CA126B"/>
    <w:rsid w:val="00CA24A6"/>
    <w:rsid w:val="00CA2C77"/>
    <w:rsid w:val="00CA2E6F"/>
    <w:rsid w:val="00CA32FD"/>
    <w:rsid w:val="00CA444F"/>
    <w:rsid w:val="00CA4CDA"/>
    <w:rsid w:val="00CA5245"/>
    <w:rsid w:val="00CA5A58"/>
    <w:rsid w:val="00CA69D4"/>
    <w:rsid w:val="00CA6DD3"/>
    <w:rsid w:val="00CA71F4"/>
    <w:rsid w:val="00CA75F8"/>
    <w:rsid w:val="00CA7732"/>
    <w:rsid w:val="00CA7B09"/>
    <w:rsid w:val="00CB039F"/>
    <w:rsid w:val="00CB08BC"/>
    <w:rsid w:val="00CB0C9C"/>
    <w:rsid w:val="00CB12A5"/>
    <w:rsid w:val="00CB1A6F"/>
    <w:rsid w:val="00CB1C51"/>
    <w:rsid w:val="00CB1CAC"/>
    <w:rsid w:val="00CB220E"/>
    <w:rsid w:val="00CB24C3"/>
    <w:rsid w:val="00CB2F2A"/>
    <w:rsid w:val="00CB3633"/>
    <w:rsid w:val="00CB3AB0"/>
    <w:rsid w:val="00CB3EE3"/>
    <w:rsid w:val="00CB3F77"/>
    <w:rsid w:val="00CB5B1A"/>
    <w:rsid w:val="00CB6651"/>
    <w:rsid w:val="00CB6B22"/>
    <w:rsid w:val="00CB7F5F"/>
    <w:rsid w:val="00CC08EE"/>
    <w:rsid w:val="00CC0EAC"/>
    <w:rsid w:val="00CC1075"/>
    <w:rsid w:val="00CC1B39"/>
    <w:rsid w:val="00CC1E59"/>
    <w:rsid w:val="00CC2923"/>
    <w:rsid w:val="00CC35EA"/>
    <w:rsid w:val="00CC3848"/>
    <w:rsid w:val="00CC4981"/>
    <w:rsid w:val="00CC61C2"/>
    <w:rsid w:val="00CC61F3"/>
    <w:rsid w:val="00CD083D"/>
    <w:rsid w:val="00CD136B"/>
    <w:rsid w:val="00CD1563"/>
    <w:rsid w:val="00CD1805"/>
    <w:rsid w:val="00CD1A48"/>
    <w:rsid w:val="00CD2533"/>
    <w:rsid w:val="00CD2642"/>
    <w:rsid w:val="00CD2997"/>
    <w:rsid w:val="00CD2A43"/>
    <w:rsid w:val="00CD3C35"/>
    <w:rsid w:val="00CD3EBB"/>
    <w:rsid w:val="00CD3F77"/>
    <w:rsid w:val="00CD459E"/>
    <w:rsid w:val="00CD45AC"/>
    <w:rsid w:val="00CD600B"/>
    <w:rsid w:val="00CD6ADC"/>
    <w:rsid w:val="00CD7193"/>
    <w:rsid w:val="00CD7AB3"/>
    <w:rsid w:val="00CD7CDB"/>
    <w:rsid w:val="00CE087D"/>
    <w:rsid w:val="00CE0E8E"/>
    <w:rsid w:val="00CE160C"/>
    <w:rsid w:val="00CE1AEC"/>
    <w:rsid w:val="00CE2717"/>
    <w:rsid w:val="00CE2CA6"/>
    <w:rsid w:val="00CE2D48"/>
    <w:rsid w:val="00CE38C8"/>
    <w:rsid w:val="00CE4505"/>
    <w:rsid w:val="00CE4D9A"/>
    <w:rsid w:val="00CE6274"/>
    <w:rsid w:val="00CE6B4A"/>
    <w:rsid w:val="00CE7117"/>
    <w:rsid w:val="00CE77B6"/>
    <w:rsid w:val="00CE7E2C"/>
    <w:rsid w:val="00CE7EC0"/>
    <w:rsid w:val="00CF1ECA"/>
    <w:rsid w:val="00CF2B8D"/>
    <w:rsid w:val="00CF2ED1"/>
    <w:rsid w:val="00CF456B"/>
    <w:rsid w:val="00CF55EC"/>
    <w:rsid w:val="00CF5A22"/>
    <w:rsid w:val="00D0262E"/>
    <w:rsid w:val="00D03076"/>
    <w:rsid w:val="00D0312C"/>
    <w:rsid w:val="00D0368D"/>
    <w:rsid w:val="00D03D73"/>
    <w:rsid w:val="00D052EE"/>
    <w:rsid w:val="00D053C2"/>
    <w:rsid w:val="00D05E3D"/>
    <w:rsid w:val="00D06139"/>
    <w:rsid w:val="00D068CE"/>
    <w:rsid w:val="00D1009A"/>
    <w:rsid w:val="00D10705"/>
    <w:rsid w:val="00D10D5A"/>
    <w:rsid w:val="00D10DB3"/>
    <w:rsid w:val="00D10E3D"/>
    <w:rsid w:val="00D110BD"/>
    <w:rsid w:val="00D1212A"/>
    <w:rsid w:val="00D123D1"/>
    <w:rsid w:val="00D12CF5"/>
    <w:rsid w:val="00D13675"/>
    <w:rsid w:val="00D13933"/>
    <w:rsid w:val="00D141E1"/>
    <w:rsid w:val="00D143F4"/>
    <w:rsid w:val="00D1465B"/>
    <w:rsid w:val="00D14FF6"/>
    <w:rsid w:val="00D15314"/>
    <w:rsid w:val="00D15BE3"/>
    <w:rsid w:val="00D1669F"/>
    <w:rsid w:val="00D16982"/>
    <w:rsid w:val="00D16A93"/>
    <w:rsid w:val="00D173C8"/>
    <w:rsid w:val="00D177CC"/>
    <w:rsid w:val="00D17D6C"/>
    <w:rsid w:val="00D2155B"/>
    <w:rsid w:val="00D2253D"/>
    <w:rsid w:val="00D23D11"/>
    <w:rsid w:val="00D2424A"/>
    <w:rsid w:val="00D244B6"/>
    <w:rsid w:val="00D25028"/>
    <w:rsid w:val="00D26F27"/>
    <w:rsid w:val="00D2754D"/>
    <w:rsid w:val="00D27B27"/>
    <w:rsid w:val="00D30303"/>
    <w:rsid w:val="00D30B88"/>
    <w:rsid w:val="00D30D56"/>
    <w:rsid w:val="00D30E72"/>
    <w:rsid w:val="00D328BA"/>
    <w:rsid w:val="00D33BE9"/>
    <w:rsid w:val="00D33F93"/>
    <w:rsid w:val="00D348F4"/>
    <w:rsid w:val="00D34D4C"/>
    <w:rsid w:val="00D35045"/>
    <w:rsid w:val="00D35188"/>
    <w:rsid w:val="00D357FF"/>
    <w:rsid w:val="00D36704"/>
    <w:rsid w:val="00D405F0"/>
    <w:rsid w:val="00D40719"/>
    <w:rsid w:val="00D424C7"/>
    <w:rsid w:val="00D428BC"/>
    <w:rsid w:val="00D42DE8"/>
    <w:rsid w:val="00D436B9"/>
    <w:rsid w:val="00D43B2A"/>
    <w:rsid w:val="00D43C3D"/>
    <w:rsid w:val="00D43D83"/>
    <w:rsid w:val="00D4446C"/>
    <w:rsid w:val="00D445AB"/>
    <w:rsid w:val="00D447FA"/>
    <w:rsid w:val="00D44F0D"/>
    <w:rsid w:val="00D450BD"/>
    <w:rsid w:val="00D45675"/>
    <w:rsid w:val="00D456A9"/>
    <w:rsid w:val="00D45E9D"/>
    <w:rsid w:val="00D461C2"/>
    <w:rsid w:val="00D47216"/>
    <w:rsid w:val="00D47575"/>
    <w:rsid w:val="00D50A54"/>
    <w:rsid w:val="00D5243B"/>
    <w:rsid w:val="00D52AF7"/>
    <w:rsid w:val="00D533EC"/>
    <w:rsid w:val="00D53779"/>
    <w:rsid w:val="00D53E50"/>
    <w:rsid w:val="00D54B6B"/>
    <w:rsid w:val="00D55298"/>
    <w:rsid w:val="00D56A95"/>
    <w:rsid w:val="00D57CEF"/>
    <w:rsid w:val="00D57E40"/>
    <w:rsid w:val="00D57F3F"/>
    <w:rsid w:val="00D61E1F"/>
    <w:rsid w:val="00D627EC"/>
    <w:rsid w:val="00D62FA4"/>
    <w:rsid w:val="00D65043"/>
    <w:rsid w:val="00D6538D"/>
    <w:rsid w:val="00D66963"/>
    <w:rsid w:val="00D67C3E"/>
    <w:rsid w:val="00D67D4D"/>
    <w:rsid w:val="00D67D88"/>
    <w:rsid w:val="00D70F16"/>
    <w:rsid w:val="00D713BF"/>
    <w:rsid w:val="00D71D3B"/>
    <w:rsid w:val="00D722DF"/>
    <w:rsid w:val="00D72F57"/>
    <w:rsid w:val="00D740A6"/>
    <w:rsid w:val="00D744DC"/>
    <w:rsid w:val="00D76A44"/>
    <w:rsid w:val="00D7737C"/>
    <w:rsid w:val="00D775D3"/>
    <w:rsid w:val="00D80807"/>
    <w:rsid w:val="00D8099F"/>
    <w:rsid w:val="00D81002"/>
    <w:rsid w:val="00D815EF"/>
    <w:rsid w:val="00D81838"/>
    <w:rsid w:val="00D81F26"/>
    <w:rsid w:val="00D82EA2"/>
    <w:rsid w:val="00D85CCA"/>
    <w:rsid w:val="00D86013"/>
    <w:rsid w:val="00D86231"/>
    <w:rsid w:val="00D86736"/>
    <w:rsid w:val="00D871D2"/>
    <w:rsid w:val="00D87370"/>
    <w:rsid w:val="00D87EB6"/>
    <w:rsid w:val="00D90083"/>
    <w:rsid w:val="00D90FF5"/>
    <w:rsid w:val="00D9189A"/>
    <w:rsid w:val="00D91923"/>
    <w:rsid w:val="00D9301F"/>
    <w:rsid w:val="00D93753"/>
    <w:rsid w:val="00D938CD"/>
    <w:rsid w:val="00D93FEE"/>
    <w:rsid w:val="00D9504F"/>
    <w:rsid w:val="00D955A1"/>
    <w:rsid w:val="00D9634D"/>
    <w:rsid w:val="00D964C4"/>
    <w:rsid w:val="00D96BEA"/>
    <w:rsid w:val="00DA00D6"/>
    <w:rsid w:val="00DA0877"/>
    <w:rsid w:val="00DA0EE2"/>
    <w:rsid w:val="00DA17B0"/>
    <w:rsid w:val="00DA1F7B"/>
    <w:rsid w:val="00DA3167"/>
    <w:rsid w:val="00DA4DC3"/>
    <w:rsid w:val="00DA535B"/>
    <w:rsid w:val="00DA5FB1"/>
    <w:rsid w:val="00DA600A"/>
    <w:rsid w:val="00DA77A5"/>
    <w:rsid w:val="00DA7A72"/>
    <w:rsid w:val="00DB0466"/>
    <w:rsid w:val="00DB0C03"/>
    <w:rsid w:val="00DB102C"/>
    <w:rsid w:val="00DB1AAC"/>
    <w:rsid w:val="00DB2A73"/>
    <w:rsid w:val="00DB3209"/>
    <w:rsid w:val="00DB3BA2"/>
    <w:rsid w:val="00DB3C48"/>
    <w:rsid w:val="00DB3DBF"/>
    <w:rsid w:val="00DB484F"/>
    <w:rsid w:val="00DB6554"/>
    <w:rsid w:val="00DB6592"/>
    <w:rsid w:val="00DB6BD3"/>
    <w:rsid w:val="00DB6E6C"/>
    <w:rsid w:val="00DB7A8E"/>
    <w:rsid w:val="00DB7F31"/>
    <w:rsid w:val="00DC0346"/>
    <w:rsid w:val="00DC04F6"/>
    <w:rsid w:val="00DC0690"/>
    <w:rsid w:val="00DC0693"/>
    <w:rsid w:val="00DC0C0B"/>
    <w:rsid w:val="00DC10A2"/>
    <w:rsid w:val="00DC160F"/>
    <w:rsid w:val="00DC1B4A"/>
    <w:rsid w:val="00DC1D65"/>
    <w:rsid w:val="00DC1E26"/>
    <w:rsid w:val="00DC1E42"/>
    <w:rsid w:val="00DC2798"/>
    <w:rsid w:val="00DC2B74"/>
    <w:rsid w:val="00DC2C35"/>
    <w:rsid w:val="00DC3C57"/>
    <w:rsid w:val="00DC4522"/>
    <w:rsid w:val="00DC4D64"/>
    <w:rsid w:val="00DC5501"/>
    <w:rsid w:val="00DC5765"/>
    <w:rsid w:val="00DC590B"/>
    <w:rsid w:val="00DC7154"/>
    <w:rsid w:val="00DC7E8A"/>
    <w:rsid w:val="00DD0F78"/>
    <w:rsid w:val="00DD1106"/>
    <w:rsid w:val="00DD1B80"/>
    <w:rsid w:val="00DD273C"/>
    <w:rsid w:val="00DD29B6"/>
    <w:rsid w:val="00DD36C0"/>
    <w:rsid w:val="00DD3D9A"/>
    <w:rsid w:val="00DD3F28"/>
    <w:rsid w:val="00DD4537"/>
    <w:rsid w:val="00DD4874"/>
    <w:rsid w:val="00DD4A81"/>
    <w:rsid w:val="00DD4E15"/>
    <w:rsid w:val="00DD72AC"/>
    <w:rsid w:val="00DD7EFF"/>
    <w:rsid w:val="00DE001F"/>
    <w:rsid w:val="00DE04F2"/>
    <w:rsid w:val="00DE14BE"/>
    <w:rsid w:val="00DE2304"/>
    <w:rsid w:val="00DE3138"/>
    <w:rsid w:val="00DE35D9"/>
    <w:rsid w:val="00DE3764"/>
    <w:rsid w:val="00DE37F8"/>
    <w:rsid w:val="00DE3F8C"/>
    <w:rsid w:val="00DE4FCB"/>
    <w:rsid w:val="00DE5114"/>
    <w:rsid w:val="00DE5395"/>
    <w:rsid w:val="00DE5D07"/>
    <w:rsid w:val="00DE6498"/>
    <w:rsid w:val="00DE72A7"/>
    <w:rsid w:val="00DE7804"/>
    <w:rsid w:val="00DE7832"/>
    <w:rsid w:val="00DE7891"/>
    <w:rsid w:val="00DE7C37"/>
    <w:rsid w:val="00DF050E"/>
    <w:rsid w:val="00DF0CE9"/>
    <w:rsid w:val="00DF18FC"/>
    <w:rsid w:val="00DF303C"/>
    <w:rsid w:val="00DF3840"/>
    <w:rsid w:val="00DF47D2"/>
    <w:rsid w:val="00DF5CA5"/>
    <w:rsid w:val="00DF5CF3"/>
    <w:rsid w:val="00DF5D2B"/>
    <w:rsid w:val="00DF6281"/>
    <w:rsid w:val="00DF69D4"/>
    <w:rsid w:val="00DF7964"/>
    <w:rsid w:val="00DF7FAB"/>
    <w:rsid w:val="00E00E8E"/>
    <w:rsid w:val="00E02B65"/>
    <w:rsid w:val="00E02EF5"/>
    <w:rsid w:val="00E03706"/>
    <w:rsid w:val="00E03B2F"/>
    <w:rsid w:val="00E04256"/>
    <w:rsid w:val="00E04736"/>
    <w:rsid w:val="00E04C64"/>
    <w:rsid w:val="00E053CD"/>
    <w:rsid w:val="00E05630"/>
    <w:rsid w:val="00E0690C"/>
    <w:rsid w:val="00E06DBB"/>
    <w:rsid w:val="00E06E45"/>
    <w:rsid w:val="00E06F9A"/>
    <w:rsid w:val="00E070CB"/>
    <w:rsid w:val="00E10149"/>
    <w:rsid w:val="00E1028A"/>
    <w:rsid w:val="00E104EF"/>
    <w:rsid w:val="00E11340"/>
    <w:rsid w:val="00E121B9"/>
    <w:rsid w:val="00E122A1"/>
    <w:rsid w:val="00E13B77"/>
    <w:rsid w:val="00E13FD1"/>
    <w:rsid w:val="00E1529D"/>
    <w:rsid w:val="00E15767"/>
    <w:rsid w:val="00E16104"/>
    <w:rsid w:val="00E16372"/>
    <w:rsid w:val="00E17AAD"/>
    <w:rsid w:val="00E20AB7"/>
    <w:rsid w:val="00E20E4D"/>
    <w:rsid w:val="00E20ED6"/>
    <w:rsid w:val="00E21358"/>
    <w:rsid w:val="00E2249B"/>
    <w:rsid w:val="00E22A0D"/>
    <w:rsid w:val="00E22B56"/>
    <w:rsid w:val="00E236E1"/>
    <w:rsid w:val="00E23C59"/>
    <w:rsid w:val="00E244F6"/>
    <w:rsid w:val="00E25FCE"/>
    <w:rsid w:val="00E2676E"/>
    <w:rsid w:val="00E2771E"/>
    <w:rsid w:val="00E278C9"/>
    <w:rsid w:val="00E27B1E"/>
    <w:rsid w:val="00E31059"/>
    <w:rsid w:val="00E311EF"/>
    <w:rsid w:val="00E31E5E"/>
    <w:rsid w:val="00E32180"/>
    <w:rsid w:val="00E3303F"/>
    <w:rsid w:val="00E335F6"/>
    <w:rsid w:val="00E33AE2"/>
    <w:rsid w:val="00E34948"/>
    <w:rsid w:val="00E34AF3"/>
    <w:rsid w:val="00E3506A"/>
    <w:rsid w:val="00E3509B"/>
    <w:rsid w:val="00E350AC"/>
    <w:rsid w:val="00E351D8"/>
    <w:rsid w:val="00E35869"/>
    <w:rsid w:val="00E3586C"/>
    <w:rsid w:val="00E35F1B"/>
    <w:rsid w:val="00E373C5"/>
    <w:rsid w:val="00E37569"/>
    <w:rsid w:val="00E401B2"/>
    <w:rsid w:val="00E4053B"/>
    <w:rsid w:val="00E41BD8"/>
    <w:rsid w:val="00E41E30"/>
    <w:rsid w:val="00E4235F"/>
    <w:rsid w:val="00E42969"/>
    <w:rsid w:val="00E429D0"/>
    <w:rsid w:val="00E42F73"/>
    <w:rsid w:val="00E433C1"/>
    <w:rsid w:val="00E43D70"/>
    <w:rsid w:val="00E449A0"/>
    <w:rsid w:val="00E453AD"/>
    <w:rsid w:val="00E466F3"/>
    <w:rsid w:val="00E470AA"/>
    <w:rsid w:val="00E475D9"/>
    <w:rsid w:val="00E47B2C"/>
    <w:rsid w:val="00E500D5"/>
    <w:rsid w:val="00E5147E"/>
    <w:rsid w:val="00E51560"/>
    <w:rsid w:val="00E51645"/>
    <w:rsid w:val="00E523AB"/>
    <w:rsid w:val="00E52AE9"/>
    <w:rsid w:val="00E52D7C"/>
    <w:rsid w:val="00E532A2"/>
    <w:rsid w:val="00E535A5"/>
    <w:rsid w:val="00E53FC8"/>
    <w:rsid w:val="00E54347"/>
    <w:rsid w:val="00E54C18"/>
    <w:rsid w:val="00E54DBC"/>
    <w:rsid w:val="00E55424"/>
    <w:rsid w:val="00E55915"/>
    <w:rsid w:val="00E5591C"/>
    <w:rsid w:val="00E55BB5"/>
    <w:rsid w:val="00E61B53"/>
    <w:rsid w:val="00E640BF"/>
    <w:rsid w:val="00E648D2"/>
    <w:rsid w:val="00E65E79"/>
    <w:rsid w:val="00E66BA2"/>
    <w:rsid w:val="00E67019"/>
    <w:rsid w:val="00E67416"/>
    <w:rsid w:val="00E6777E"/>
    <w:rsid w:val="00E6795B"/>
    <w:rsid w:val="00E71780"/>
    <w:rsid w:val="00E718B6"/>
    <w:rsid w:val="00E71E7C"/>
    <w:rsid w:val="00E723BA"/>
    <w:rsid w:val="00E72443"/>
    <w:rsid w:val="00E72A91"/>
    <w:rsid w:val="00E73581"/>
    <w:rsid w:val="00E73C11"/>
    <w:rsid w:val="00E745AD"/>
    <w:rsid w:val="00E74961"/>
    <w:rsid w:val="00E74B9A"/>
    <w:rsid w:val="00E76511"/>
    <w:rsid w:val="00E833F7"/>
    <w:rsid w:val="00E83754"/>
    <w:rsid w:val="00E83BDF"/>
    <w:rsid w:val="00E86AC1"/>
    <w:rsid w:val="00E86E3E"/>
    <w:rsid w:val="00E87326"/>
    <w:rsid w:val="00E87443"/>
    <w:rsid w:val="00E87A1D"/>
    <w:rsid w:val="00E87CFE"/>
    <w:rsid w:val="00E9054F"/>
    <w:rsid w:val="00E9094A"/>
    <w:rsid w:val="00E91D35"/>
    <w:rsid w:val="00E92609"/>
    <w:rsid w:val="00E926A5"/>
    <w:rsid w:val="00E93121"/>
    <w:rsid w:val="00E937FA"/>
    <w:rsid w:val="00E94515"/>
    <w:rsid w:val="00E954CE"/>
    <w:rsid w:val="00E95CDE"/>
    <w:rsid w:val="00E9628C"/>
    <w:rsid w:val="00E96D5F"/>
    <w:rsid w:val="00E97A14"/>
    <w:rsid w:val="00EA079A"/>
    <w:rsid w:val="00EA1311"/>
    <w:rsid w:val="00EA17C3"/>
    <w:rsid w:val="00EA18D9"/>
    <w:rsid w:val="00EA2520"/>
    <w:rsid w:val="00EA284F"/>
    <w:rsid w:val="00EA2CAA"/>
    <w:rsid w:val="00EA3864"/>
    <w:rsid w:val="00EA3C64"/>
    <w:rsid w:val="00EA3E7F"/>
    <w:rsid w:val="00EA4695"/>
    <w:rsid w:val="00EA61D1"/>
    <w:rsid w:val="00EA6690"/>
    <w:rsid w:val="00EA7297"/>
    <w:rsid w:val="00EA73E3"/>
    <w:rsid w:val="00EA7F1C"/>
    <w:rsid w:val="00EB15B6"/>
    <w:rsid w:val="00EB15F8"/>
    <w:rsid w:val="00EB18A6"/>
    <w:rsid w:val="00EB1EB6"/>
    <w:rsid w:val="00EB26B0"/>
    <w:rsid w:val="00EB26E9"/>
    <w:rsid w:val="00EB29E9"/>
    <w:rsid w:val="00EB2CD2"/>
    <w:rsid w:val="00EB3699"/>
    <w:rsid w:val="00EB3D06"/>
    <w:rsid w:val="00EB4221"/>
    <w:rsid w:val="00EB42E4"/>
    <w:rsid w:val="00EB4916"/>
    <w:rsid w:val="00EB4B69"/>
    <w:rsid w:val="00EB51C0"/>
    <w:rsid w:val="00EB6AD4"/>
    <w:rsid w:val="00EB754F"/>
    <w:rsid w:val="00EC00C9"/>
    <w:rsid w:val="00EC08A5"/>
    <w:rsid w:val="00EC08C9"/>
    <w:rsid w:val="00EC0CFA"/>
    <w:rsid w:val="00EC0DD9"/>
    <w:rsid w:val="00EC1737"/>
    <w:rsid w:val="00EC1CA3"/>
    <w:rsid w:val="00EC2649"/>
    <w:rsid w:val="00EC2801"/>
    <w:rsid w:val="00EC31ED"/>
    <w:rsid w:val="00EC4369"/>
    <w:rsid w:val="00EC4AE0"/>
    <w:rsid w:val="00EC53D0"/>
    <w:rsid w:val="00EC5836"/>
    <w:rsid w:val="00EC688C"/>
    <w:rsid w:val="00EC702F"/>
    <w:rsid w:val="00EC7712"/>
    <w:rsid w:val="00EC7DD6"/>
    <w:rsid w:val="00EC7F77"/>
    <w:rsid w:val="00ED0368"/>
    <w:rsid w:val="00ED0917"/>
    <w:rsid w:val="00ED1405"/>
    <w:rsid w:val="00ED1863"/>
    <w:rsid w:val="00ED1BB1"/>
    <w:rsid w:val="00ED1DC6"/>
    <w:rsid w:val="00ED21A7"/>
    <w:rsid w:val="00ED47B9"/>
    <w:rsid w:val="00ED4A1E"/>
    <w:rsid w:val="00ED57EA"/>
    <w:rsid w:val="00ED5BD4"/>
    <w:rsid w:val="00ED5FDE"/>
    <w:rsid w:val="00EE07D3"/>
    <w:rsid w:val="00EE0942"/>
    <w:rsid w:val="00EE0F5F"/>
    <w:rsid w:val="00EE1996"/>
    <w:rsid w:val="00EE1C01"/>
    <w:rsid w:val="00EE1C18"/>
    <w:rsid w:val="00EE22AF"/>
    <w:rsid w:val="00EE27BD"/>
    <w:rsid w:val="00EE27CF"/>
    <w:rsid w:val="00EE5A9C"/>
    <w:rsid w:val="00EF0002"/>
    <w:rsid w:val="00EF0171"/>
    <w:rsid w:val="00EF0C11"/>
    <w:rsid w:val="00EF127B"/>
    <w:rsid w:val="00EF1B25"/>
    <w:rsid w:val="00EF1DA0"/>
    <w:rsid w:val="00EF1E5C"/>
    <w:rsid w:val="00EF2913"/>
    <w:rsid w:val="00EF38AA"/>
    <w:rsid w:val="00EF3E9B"/>
    <w:rsid w:val="00EF4747"/>
    <w:rsid w:val="00EF4BF8"/>
    <w:rsid w:val="00EF6D83"/>
    <w:rsid w:val="00EF72C5"/>
    <w:rsid w:val="00F01A8D"/>
    <w:rsid w:val="00F02253"/>
    <w:rsid w:val="00F032F5"/>
    <w:rsid w:val="00F038E2"/>
    <w:rsid w:val="00F03C2E"/>
    <w:rsid w:val="00F044AE"/>
    <w:rsid w:val="00F045C1"/>
    <w:rsid w:val="00F04623"/>
    <w:rsid w:val="00F04A66"/>
    <w:rsid w:val="00F04B4B"/>
    <w:rsid w:val="00F0516C"/>
    <w:rsid w:val="00F053DB"/>
    <w:rsid w:val="00F05A54"/>
    <w:rsid w:val="00F05D73"/>
    <w:rsid w:val="00F06574"/>
    <w:rsid w:val="00F0672A"/>
    <w:rsid w:val="00F067A2"/>
    <w:rsid w:val="00F067AA"/>
    <w:rsid w:val="00F06CBC"/>
    <w:rsid w:val="00F07296"/>
    <w:rsid w:val="00F07B9E"/>
    <w:rsid w:val="00F07E8D"/>
    <w:rsid w:val="00F10190"/>
    <w:rsid w:val="00F10992"/>
    <w:rsid w:val="00F1116F"/>
    <w:rsid w:val="00F11B39"/>
    <w:rsid w:val="00F11D05"/>
    <w:rsid w:val="00F1263A"/>
    <w:rsid w:val="00F13165"/>
    <w:rsid w:val="00F131E4"/>
    <w:rsid w:val="00F133A3"/>
    <w:rsid w:val="00F1394D"/>
    <w:rsid w:val="00F139DD"/>
    <w:rsid w:val="00F13DC1"/>
    <w:rsid w:val="00F14AD2"/>
    <w:rsid w:val="00F15B77"/>
    <w:rsid w:val="00F16196"/>
    <w:rsid w:val="00F16BCE"/>
    <w:rsid w:val="00F16C2C"/>
    <w:rsid w:val="00F20EAA"/>
    <w:rsid w:val="00F214A3"/>
    <w:rsid w:val="00F22FAE"/>
    <w:rsid w:val="00F24837"/>
    <w:rsid w:val="00F24C5F"/>
    <w:rsid w:val="00F24CD0"/>
    <w:rsid w:val="00F25603"/>
    <w:rsid w:val="00F2575F"/>
    <w:rsid w:val="00F25C12"/>
    <w:rsid w:val="00F2634E"/>
    <w:rsid w:val="00F266E9"/>
    <w:rsid w:val="00F27565"/>
    <w:rsid w:val="00F278FF"/>
    <w:rsid w:val="00F310D4"/>
    <w:rsid w:val="00F312AF"/>
    <w:rsid w:val="00F319B4"/>
    <w:rsid w:val="00F31D5A"/>
    <w:rsid w:val="00F32D27"/>
    <w:rsid w:val="00F33975"/>
    <w:rsid w:val="00F33DE9"/>
    <w:rsid w:val="00F34642"/>
    <w:rsid w:val="00F34F47"/>
    <w:rsid w:val="00F355AD"/>
    <w:rsid w:val="00F356C9"/>
    <w:rsid w:val="00F35814"/>
    <w:rsid w:val="00F35E6D"/>
    <w:rsid w:val="00F360FF"/>
    <w:rsid w:val="00F3619A"/>
    <w:rsid w:val="00F3696A"/>
    <w:rsid w:val="00F371D5"/>
    <w:rsid w:val="00F37251"/>
    <w:rsid w:val="00F37D76"/>
    <w:rsid w:val="00F40541"/>
    <w:rsid w:val="00F40AAA"/>
    <w:rsid w:val="00F40BA7"/>
    <w:rsid w:val="00F40F9D"/>
    <w:rsid w:val="00F41ACD"/>
    <w:rsid w:val="00F41BFB"/>
    <w:rsid w:val="00F42925"/>
    <w:rsid w:val="00F42E1E"/>
    <w:rsid w:val="00F459ED"/>
    <w:rsid w:val="00F46CB6"/>
    <w:rsid w:val="00F472F5"/>
    <w:rsid w:val="00F4756D"/>
    <w:rsid w:val="00F47693"/>
    <w:rsid w:val="00F47DE8"/>
    <w:rsid w:val="00F527DF"/>
    <w:rsid w:val="00F536C9"/>
    <w:rsid w:val="00F542C1"/>
    <w:rsid w:val="00F555CD"/>
    <w:rsid w:val="00F55D0D"/>
    <w:rsid w:val="00F55E73"/>
    <w:rsid w:val="00F55EDA"/>
    <w:rsid w:val="00F564E3"/>
    <w:rsid w:val="00F56C80"/>
    <w:rsid w:val="00F577EB"/>
    <w:rsid w:val="00F60092"/>
    <w:rsid w:val="00F60942"/>
    <w:rsid w:val="00F61574"/>
    <w:rsid w:val="00F61C18"/>
    <w:rsid w:val="00F61DC1"/>
    <w:rsid w:val="00F626DC"/>
    <w:rsid w:val="00F62AC0"/>
    <w:rsid w:val="00F62AC2"/>
    <w:rsid w:val="00F62CFE"/>
    <w:rsid w:val="00F62D54"/>
    <w:rsid w:val="00F635D9"/>
    <w:rsid w:val="00F63B2D"/>
    <w:rsid w:val="00F63F6A"/>
    <w:rsid w:val="00F64580"/>
    <w:rsid w:val="00F6525C"/>
    <w:rsid w:val="00F65333"/>
    <w:rsid w:val="00F657FF"/>
    <w:rsid w:val="00F65F4B"/>
    <w:rsid w:val="00F66728"/>
    <w:rsid w:val="00F66886"/>
    <w:rsid w:val="00F66ED8"/>
    <w:rsid w:val="00F673D3"/>
    <w:rsid w:val="00F6745C"/>
    <w:rsid w:val="00F67A69"/>
    <w:rsid w:val="00F702B5"/>
    <w:rsid w:val="00F7035E"/>
    <w:rsid w:val="00F70BFF"/>
    <w:rsid w:val="00F70C9D"/>
    <w:rsid w:val="00F70CE6"/>
    <w:rsid w:val="00F71C70"/>
    <w:rsid w:val="00F72317"/>
    <w:rsid w:val="00F72427"/>
    <w:rsid w:val="00F732EA"/>
    <w:rsid w:val="00F73532"/>
    <w:rsid w:val="00F7498C"/>
    <w:rsid w:val="00F74CD9"/>
    <w:rsid w:val="00F74EDF"/>
    <w:rsid w:val="00F75332"/>
    <w:rsid w:val="00F766DE"/>
    <w:rsid w:val="00F779B7"/>
    <w:rsid w:val="00F80259"/>
    <w:rsid w:val="00F80A7B"/>
    <w:rsid w:val="00F80E5D"/>
    <w:rsid w:val="00F80F16"/>
    <w:rsid w:val="00F8190F"/>
    <w:rsid w:val="00F81E78"/>
    <w:rsid w:val="00F83236"/>
    <w:rsid w:val="00F83A6F"/>
    <w:rsid w:val="00F851CE"/>
    <w:rsid w:val="00F86681"/>
    <w:rsid w:val="00F86DBB"/>
    <w:rsid w:val="00F90CD5"/>
    <w:rsid w:val="00F91219"/>
    <w:rsid w:val="00F91C1B"/>
    <w:rsid w:val="00F92444"/>
    <w:rsid w:val="00F92889"/>
    <w:rsid w:val="00F9381E"/>
    <w:rsid w:val="00F9393E"/>
    <w:rsid w:val="00F94711"/>
    <w:rsid w:val="00F949AA"/>
    <w:rsid w:val="00F94A5A"/>
    <w:rsid w:val="00F94BAA"/>
    <w:rsid w:val="00F9542A"/>
    <w:rsid w:val="00F95A68"/>
    <w:rsid w:val="00F96FD0"/>
    <w:rsid w:val="00F97962"/>
    <w:rsid w:val="00F97A78"/>
    <w:rsid w:val="00FA023D"/>
    <w:rsid w:val="00FA046B"/>
    <w:rsid w:val="00FA0B20"/>
    <w:rsid w:val="00FA155D"/>
    <w:rsid w:val="00FA24E7"/>
    <w:rsid w:val="00FA30CD"/>
    <w:rsid w:val="00FA46E5"/>
    <w:rsid w:val="00FA5016"/>
    <w:rsid w:val="00FA5EE6"/>
    <w:rsid w:val="00FA7850"/>
    <w:rsid w:val="00FA7956"/>
    <w:rsid w:val="00FA7C67"/>
    <w:rsid w:val="00FB01E7"/>
    <w:rsid w:val="00FB09E5"/>
    <w:rsid w:val="00FB1453"/>
    <w:rsid w:val="00FB2FCB"/>
    <w:rsid w:val="00FB349D"/>
    <w:rsid w:val="00FB4217"/>
    <w:rsid w:val="00FB442B"/>
    <w:rsid w:val="00FB620D"/>
    <w:rsid w:val="00FB63A6"/>
    <w:rsid w:val="00FB71DF"/>
    <w:rsid w:val="00FB7C55"/>
    <w:rsid w:val="00FC0F3B"/>
    <w:rsid w:val="00FC1074"/>
    <w:rsid w:val="00FC1884"/>
    <w:rsid w:val="00FC1F3E"/>
    <w:rsid w:val="00FC2AA0"/>
    <w:rsid w:val="00FC2E66"/>
    <w:rsid w:val="00FC371D"/>
    <w:rsid w:val="00FC393B"/>
    <w:rsid w:val="00FC3E98"/>
    <w:rsid w:val="00FC45AA"/>
    <w:rsid w:val="00FC48F6"/>
    <w:rsid w:val="00FC4BB9"/>
    <w:rsid w:val="00FC4E5D"/>
    <w:rsid w:val="00FC5287"/>
    <w:rsid w:val="00FC5F0B"/>
    <w:rsid w:val="00FC7A39"/>
    <w:rsid w:val="00FC7B24"/>
    <w:rsid w:val="00FD0C9E"/>
    <w:rsid w:val="00FD1633"/>
    <w:rsid w:val="00FD1E86"/>
    <w:rsid w:val="00FD2100"/>
    <w:rsid w:val="00FD3651"/>
    <w:rsid w:val="00FD436C"/>
    <w:rsid w:val="00FD43E9"/>
    <w:rsid w:val="00FD446D"/>
    <w:rsid w:val="00FD4F2C"/>
    <w:rsid w:val="00FD6394"/>
    <w:rsid w:val="00FD6E42"/>
    <w:rsid w:val="00FD7CBC"/>
    <w:rsid w:val="00FE0E58"/>
    <w:rsid w:val="00FE0E6C"/>
    <w:rsid w:val="00FE0FD9"/>
    <w:rsid w:val="00FE1CDC"/>
    <w:rsid w:val="00FE2053"/>
    <w:rsid w:val="00FE233E"/>
    <w:rsid w:val="00FE23CC"/>
    <w:rsid w:val="00FE26CB"/>
    <w:rsid w:val="00FE29C2"/>
    <w:rsid w:val="00FE2FE8"/>
    <w:rsid w:val="00FE31E2"/>
    <w:rsid w:val="00FE352F"/>
    <w:rsid w:val="00FE44C8"/>
    <w:rsid w:val="00FE539B"/>
    <w:rsid w:val="00FE5A84"/>
    <w:rsid w:val="00FE6A9B"/>
    <w:rsid w:val="00FE70C3"/>
    <w:rsid w:val="00FF02A0"/>
    <w:rsid w:val="00FF0DE9"/>
    <w:rsid w:val="00FF2AD9"/>
    <w:rsid w:val="00FF359F"/>
    <w:rsid w:val="00FF37F9"/>
    <w:rsid w:val="00FF39E3"/>
    <w:rsid w:val="00FF3DCF"/>
    <w:rsid w:val="00FF492C"/>
    <w:rsid w:val="00FF4A21"/>
    <w:rsid w:val="00FF50E1"/>
    <w:rsid w:val="00FF59EA"/>
    <w:rsid w:val="00FF5AA3"/>
    <w:rsid w:val="00FF5AD8"/>
    <w:rsid w:val="00FF7614"/>
    <w:rsid w:val="00FF76E8"/>
    <w:rsid w:val="00FF7FC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62"/>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86681"/>
    <w:rPr>
      <w:rFonts w:ascii="Calibri" w:hAnsi="Calibri" w:cs="Arial"/>
      <w:b/>
      <w:caps/>
      <w:sz w:val="32"/>
      <w:szCs w:val="24"/>
    </w:rPr>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3Char">
    <w:name w:val="Heading 3 Char"/>
    <w:basedOn w:val="DefaultParagraphFont"/>
    <w:link w:val="Heading3"/>
    <w:rsid w:val="00F86681"/>
    <w:rPr>
      <w:rFonts w:ascii="Calibri" w:hAnsi="Calibri" w:cs="Arial"/>
      <w:sz w:val="24"/>
      <w:szCs w:val="24"/>
      <w:u w:val="single"/>
    </w:rPr>
  </w:style>
  <w:style w:type="character" w:customStyle="1" w:styleId="Heading4Char">
    <w:name w:val="Heading 4 Char"/>
    <w:basedOn w:val="DefaultParagraphFont"/>
    <w:link w:val="Heading4"/>
    <w:rsid w:val="00F86681"/>
    <w:rPr>
      <w:rFonts w:ascii="Calibri" w:hAnsi="Calibri" w:cs="Arial"/>
      <w:b/>
      <w:bCs/>
      <w:i/>
      <w:sz w:val="26"/>
      <w:szCs w:val="28"/>
    </w:rPr>
  </w:style>
  <w:style w:type="character" w:customStyle="1" w:styleId="Heading5Char">
    <w:name w:val="Heading 5 Char"/>
    <w:basedOn w:val="DefaultParagraphFont"/>
    <w:link w:val="Heading5"/>
    <w:rsid w:val="00F86681"/>
    <w:rPr>
      <w:rFonts w:ascii="Calibri" w:hAnsi="Calibri" w:cs="Arial"/>
      <w:b/>
      <w:bCs/>
      <w:iCs/>
      <w:sz w:val="26"/>
      <w:szCs w:val="26"/>
    </w:rPr>
  </w:style>
  <w:style w:type="character" w:customStyle="1" w:styleId="Heading6Char">
    <w:name w:val="Heading 6 Char"/>
    <w:basedOn w:val="DefaultParagraphFont"/>
    <w:link w:val="Heading6"/>
    <w:rsid w:val="00F86681"/>
    <w:rPr>
      <w:rFonts w:ascii="Calibri" w:hAnsi="Calibri" w:cs="Arial"/>
      <w:b/>
      <w:bCs/>
      <w:i/>
      <w:sz w:val="24"/>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Styl moj,Akapit z listą1,Akapit z listą11,Bullets Points,Bullet1,ES Paragraph,L,Bullet 1"/>
    <w:next w:val="ListBullet"/>
    <w:link w:val="ListParagraphChar"/>
    <w:uiPriority w:val="34"/>
    <w:qFormat/>
    <w:rsid w:val="00BB00B3"/>
    <w:pPr>
      <w:spacing w:after="120"/>
      <w:jc w:val="both"/>
    </w:pPr>
    <w:rPr>
      <w:rFonts w:asciiTheme="minorHAnsi" w:hAnsiTheme="minorHAnsi" w:cs="Arial"/>
      <w:snapToGrid w:val="0"/>
      <w:sz w:val="24"/>
      <w:szCs w:val="24"/>
    </w:rPr>
  </w:style>
  <w:style w:type="paragraph" w:styleId="ListBullet">
    <w:name w:val="List Bullet"/>
    <w:basedOn w:val="Normal"/>
    <w:unhideWhenUsed/>
    <w:rsid w:val="00EE1996"/>
    <w:pPr>
      <w:numPr>
        <w:numId w:val="3"/>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Styl moj Char,Akapit z listą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eader Table,NICE instructions,Source table_,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Comment Text Char2 Char,Comment Text Char1 Char Char,Comment Text Char Char1 Char, Car17, Car17 Car, Char,Annotationtext,Char Char Char,Comment Text Char Char1,Car17"/>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Comment Text Char2 Char Char,Comment Text Char1 Char Char Char,Comment Text Char Char1 Char Char, Car17 Char, Car17 Car Char, Char Char,Annotationtext Char,Car17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customStyle="1" w:styleId="PBACTabletext">
    <w:name w:val="PBAC Table text"/>
    <w:qFormat/>
    <w:rsid w:val="008730DA"/>
    <w:pPr>
      <w:keepNext/>
      <w:keepLines/>
      <w:suppressLineNumbers/>
      <w:spacing w:after="40"/>
      <w:textboxTightWrap w:val="allLines"/>
    </w:pPr>
    <w:rPr>
      <w:rFonts w:ascii="Arial Narrow" w:hAnsi="Arial Narrow" w:cs="Arial"/>
      <w:szCs w:val="24"/>
      <w:lang w:eastAsia="en-GB"/>
    </w:rPr>
  </w:style>
  <w:style w:type="table" w:customStyle="1" w:styleId="ASDTable1">
    <w:name w:val="ASD Table1"/>
    <w:basedOn w:val="TableNormal"/>
    <w:next w:val="TableGrid"/>
    <w:uiPriority w:val="59"/>
    <w:rsid w:val="00FF76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blFignote">
    <w:name w:val="PBAC Tbl/Fig note"/>
    <w:qFormat/>
    <w:rsid w:val="00AB2BBE"/>
    <w:pPr>
      <w:keepNext/>
      <w:keepLines/>
      <w:spacing w:after="360"/>
      <w:contextualSpacing/>
      <w:textboxTightWrap w:val="allLines"/>
    </w:pPr>
    <w:rPr>
      <w:rFonts w:ascii="Arial Narrow" w:hAnsi="Arial Narrow" w:cs="Arial"/>
      <w:sz w:val="18"/>
      <w:szCs w:val="24"/>
      <w:lang w:eastAsia="en-GB"/>
    </w:rPr>
  </w:style>
  <w:style w:type="paragraph" w:styleId="FootnoteText">
    <w:name w:val="footnote text"/>
    <w:aliases w:val="Char"/>
    <w:basedOn w:val="Normal"/>
    <w:link w:val="FootnoteTextChar"/>
    <w:uiPriority w:val="99"/>
    <w:semiHidden/>
    <w:unhideWhenUsed/>
    <w:rsid w:val="00F86681"/>
    <w:rPr>
      <w:rFonts w:eastAsia="Times New Roman"/>
      <w:sz w:val="20"/>
      <w:szCs w:val="20"/>
    </w:rPr>
  </w:style>
  <w:style w:type="character" w:customStyle="1" w:styleId="FootnoteTextChar">
    <w:name w:val="Footnote Text Char"/>
    <w:aliases w:val="Char Char"/>
    <w:basedOn w:val="DefaultParagraphFont"/>
    <w:link w:val="FootnoteText"/>
    <w:uiPriority w:val="99"/>
    <w:semiHidden/>
    <w:rsid w:val="00F86681"/>
    <w:rPr>
      <w:rFonts w:ascii="Calibri" w:eastAsia="Times New Roman" w:hAnsi="Calibri" w:cs="Arial"/>
    </w:rPr>
  </w:style>
  <w:style w:type="table" w:customStyle="1" w:styleId="THEMAtable">
    <w:name w:val="THEMA_table"/>
    <w:basedOn w:val="TableNormal"/>
    <w:uiPriority w:val="99"/>
    <w:rsid w:val="006C3E5F"/>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character" w:styleId="FootnoteReference">
    <w:name w:val="footnote reference"/>
    <w:basedOn w:val="DefaultParagraphFont"/>
    <w:semiHidden/>
    <w:unhideWhenUsed/>
    <w:rsid w:val="00A178D6"/>
    <w:rPr>
      <w:vertAlign w:val="superscript"/>
    </w:rPr>
  </w:style>
  <w:style w:type="table" w:customStyle="1" w:styleId="PBACtable1">
    <w:name w:val="PBAC table1"/>
    <w:basedOn w:val="TableNormal"/>
    <w:next w:val="TableGrid"/>
    <w:uiPriority w:val="59"/>
    <w:rsid w:val="00A178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2">
    <w:name w:val="PBAC table2"/>
    <w:basedOn w:val="TableNormal"/>
    <w:next w:val="TableGrid"/>
    <w:uiPriority w:val="59"/>
    <w:rsid w:val="00B4315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4315D"/>
    <w:rPr>
      <w:color w:val="605E5C"/>
      <w:shd w:val="clear" w:color="auto" w:fill="E1DFDD"/>
    </w:rPr>
  </w:style>
  <w:style w:type="paragraph" w:customStyle="1" w:styleId="PbacTableHeading">
    <w:name w:val="Pbac Table Heading"/>
    <w:basedOn w:val="PBACTabletext"/>
    <w:qFormat/>
    <w:rsid w:val="0092317F"/>
    <w:pPr>
      <w:keepLines w:val="0"/>
      <w:suppressLineNumbers w:val="0"/>
      <w:spacing w:after="80"/>
      <w:textboxTightWrap w:val="none"/>
    </w:pPr>
    <w:rPr>
      <w:rFonts w:eastAsiaTheme="minorHAnsi"/>
      <w:b/>
      <w:szCs w:val="20"/>
      <w:lang w:eastAsia="en-US"/>
    </w:rPr>
  </w:style>
  <w:style w:type="table" w:customStyle="1" w:styleId="ASDTable2">
    <w:name w:val="ASD Table2"/>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3">
    <w:name w:val="ASD Table3"/>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4">
    <w:name w:val="ASD Table4"/>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5">
    <w:name w:val="ASD Table5"/>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6">
    <w:name w:val="ASD Table6"/>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7">
    <w:name w:val="ASD Table7"/>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8">
    <w:name w:val="ASD Table8"/>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9">
    <w:name w:val="ASD Table9"/>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0">
    <w:name w:val="ASD Table10"/>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EMAtable1">
    <w:name w:val="THEMA_table1"/>
    <w:basedOn w:val="TableNormal"/>
    <w:uiPriority w:val="99"/>
    <w:rsid w:val="00B4315D"/>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table" w:customStyle="1" w:styleId="TableGrid144">
    <w:name w:val="Table Grid144"/>
    <w:basedOn w:val="TableNormal"/>
    <w:next w:val="TableGrid"/>
    <w:rsid w:val="00B4315D"/>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customStyle="1" w:styleId="Default">
    <w:name w:val="Default"/>
    <w:rsid w:val="00B4315D"/>
    <w:pPr>
      <w:autoSpaceDE w:val="0"/>
      <w:autoSpaceDN w:val="0"/>
      <w:adjustRightInd w:val="0"/>
    </w:pPr>
    <w:rPr>
      <w:rFonts w:eastAsia="Times New Roman"/>
      <w:color w:val="000000"/>
      <w:sz w:val="24"/>
      <w:szCs w:val="24"/>
      <w:lang w:val="en-US" w:eastAsia="en-US"/>
    </w:rPr>
  </w:style>
  <w:style w:type="table" w:customStyle="1" w:styleId="PBACtable3">
    <w:name w:val="PBAC table3"/>
    <w:basedOn w:val="TableNormal"/>
    <w:next w:val="TableGrid"/>
    <w:uiPriority w:val="59"/>
    <w:rsid w:val="004A6E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EMAtable2">
    <w:name w:val="THEMA_table2"/>
    <w:basedOn w:val="TableNormal"/>
    <w:uiPriority w:val="99"/>
    <w:rsid w:val="004A6EA3"/>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table" w:customStyle="1" w:styleId="THEMAtable3">
    <w:name w:val="THEMA_table3"/>
    <w:basedOn w:val="TableNormal"/>
    <w:uiPriority w:val="99"/>
    <w:rsid w:val="00036668"/>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table" w:customStyle="1" w:styleId="THEMAtable4">
    <w:name w:val="THEMA_table4"/>
    <w:basedOn w:val="TableNormal"/>
    <w:uiPriority w:val="99"/>
    <w:rsid w:val="00505FFA"/>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table" w:customStyle="1" w:styleId="THEMAtable5">
    <w:name w:val="THEMA_table5"/>
    <w:basedOn w:val="TableNormal"/>
    <w:uiPriority w:val="99"/>
    <w:rsid w:val="009D31AB"/>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table" w:customStyle="1" w:styleId="THEMAtable6">
    <w:name w:val="THEMA_table6"/>
    <w:basedOn w:val="TableNormal"/>
    <w:uiPriority w:val="99"/>
    <w:rsid w:val="007C17C5"/>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table" w:customStyle="1" w:styleId="THEMAtable7">
    <w:name w:val="THEMA_table7"/>
    <w:basedOn w:val="TableNormal"/>
    <w:uiPriority w:val="99"/>
    <w:rsid w:val="00F032F5"/>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paragraph" w:styleId="Caption">
    <w:name w:val="caption"/>
    <w:aliases w:val="Table caption,Caption 3,c,appendix,Caption Char Char Char,Caption Char Char Char Char Char Char,Caption Char Char Char Char Char Char Char Char Char Char Char Char Char Char Char Char Char Char Char Char Char Char Char Char Char Char"/>
    <w:basedOn w:val="Normal"/>
    <w:next w:val="Normal"/>
    <w:unhideWhenUsed/>
    <w:qFormat/>
    <w:rsid w:val="009068AA"/>
    <w:pPr>
      <w:spacing w:after="200"/>
    </w:pPr>
    <w:rPr>
      <w:i/>
      <w:iCs/>
      <w:color w:val="1F497D" w:themeColor="text2"/>
      <w:sz w:val="18"/>
      <w:szCs w:val="18"/>
    </w:rPr>
  </w:style>
  <w:style w:type="paragraph" w:customStyle="1" w:styleId="3-SubsectionHeading">
    <w:name w:val="3-Subsection Heading"/>
    <w:basedOn w:val="Heading2"/>
    <w:next w:val="Normal"/>
    <w:link w:val="3-SubsectionHeadingChar"/>
    <w:qFormat/>
    <w:rsid w:val="00485FE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85FE1"/>
    <w:rPr>
      <w:rFonts w:asciiTheme="minorHAnsi" w:eastAsiaTheme="majorEastAsia" w:hAnsiTheme="minorHAnsi" w:cstheme="majorBidi"/>
      <w:b/>
      <w:i/>
      <w:snapToGrid/>
      <w:spacing w:val="5"/>
      <w:kern w:val="28"/>
      <w:sz w:val="28"/>
      <w:szCs w:val="36"/>
      <w:lang w:eastAsia="en-US"/>
    </w:rPr>
  </w:style>
  <w:style w:type="paragraph" w:customStyle="1" w:styleId="ExecSumBodyText">
    <w:name w:val="Exec Sum Body Text"/>
    <w:basedOn w:val="Normal"/>
    <w:link w:val="ExecSumBodyTextChar"/>
    <w:qFormat/>
    <w:rsid w:val="00714A0A"/>
    <w:pPr>
      <w:spacing w:after="120"/>
      <w:ind w:left="720" w:hanging="720"/>
    </w:pPr>
    <w:rPr>
      <w:rFonts w:asciiTheme="minorHAnsi" w:eastAsia="Times New Roman" w:hAnsiTheme="minorHAnsi"/>
      <w:snapToGrid w:val="0"/>
    </w:rPr>
  </w:style>
  <w:style w:type="paragraph" w:customStyle="1" w:styleId="1MainTitle">
    <w:name w:val="1. Main Title"/>
    <w:basedOn w:val="Title"/>
    <w:link w:val="1MainTitleChar"/>
    <w:qFormat/>
    <w:rsid w:val="00CE2717"/>
    <w:pPr>
      <w:spacing w:before="120" w:after="160"/>
      <w:ind w:left="720" w:hanging="720"/>
      <w:contextualSpacing/>
      <w:jc w:val="both"/>
    </w:pPr>
    <w:rPr>
      <w:rFonts w:asciiTheme="minorHAnsi" w:eastAsiaTheme="majorEastAsia" w:hAnsiTheme="minorHAnsi" w:cstheme="majorBidi"/>
      <w:bCs w:val="0"/>
      <w:spacing w:val="5"/>
      <w:sz w:val="36"/>
      <w:szCs w:val="36"/>
      <w:lang w:eastAsia="en-US"/>
    </w:rPr>
  </w:style>
  <w:style w:type="character" w:customStyle="1" w:styleId="1MainTitleChar">
    <w:name w:val="1. Main Title Char"/>
    <w:basedOn w:val="TitleChar"/>
    <w:link w:val="1MainTitle"/>
    <w:rsid w:val="00CE2717"/>
    <w:rPr>
      <w:rFonts w:asciiTheme="minorHAnsi" w:eastAsiaTheme="majorEastAsia" w:hAnsiTheme="minorHAnsi" w:cstheme="majorBidi"/>
      <w:b/>
      <w:bCs w:val="0"/>
      <w:snapToGrid/>
      <w:spacing w:val="5"/>
      <w:kern w:val="28"/>
      <w:sz w:val="36"/>
      <w:szCs w:val="36"/>
      <w:lang w:eastAsia="en-US"/>
    </w:rPr>
  </w:style>
  <w:style w:type="character" w:customStyle="1" w:styleId="ExecSumBodyTextChar">
    <w:name w:val="Exec Sum Body Text Char"/>
    <w:basedOn w:val="DefaultParagraphFont"/>
    <w:link w:val="ExecSumBodyText"/>
    <w:rsid w:val="00CE2717"/>
    <w:rPr>
      <w:rFonts w:asciiTheme="minorHAnsi" w:eastAsia="Times New Roman" w:hAnsiTheme="minorHAnsi" w:cs="Arial"/>
      <w:snapToGrid w:val="0"/>
      <w:sz w:val="24"/>
      <w:szCs w:val="24"/>
    </w:rPr>
  </w:style>
  <w:style w:type="character" w:customStyle="1" w:styleId="TableFootnoteChar">
    <w:name w:val="Table Footnote Char"/>
    <w:basedOn w:val="DefaultParagraphFont"/>
    <w:link w:val="TableFootnote"/>
    <w:rsid w:val="00CE2717"/>
    <w:rPr>
      <w:rFonts w:asciiTheme="minorHAnsi" w:eastAsia="Times New Roman" w:hAnsiTheme="minorHAnsi"/>
      <w:kern w:val="28"/>
      <w:sz w:val="16"/>
      <w:lang w:eastAsia="en-GB"/>
    </w:rPr>
  </w:style>
  <w:style w:type="paragraph" w:customStyle="1" w:styleId="TableFootnote">
    <w:name w:val="Table Footnote"/>
    <w:basedOn w:val="Normal"/>
    <w:link w:val="TableFootnoteChar"/>
    <w:qFormat/>
    <w:rsid w:val="00CE2717"/>
    <w:rPr>
      <w:rFonts w:asciiTheme="minorHAnsi" w:eastAsia="Times New Roman" w:hAnsiTheme="minorHAnsi" w:cs="Times New Roman"/>
      <w:kern w:val="28"/>
      <w:sz w:val="16"/>
      <w:szCs w:val="20"/>
      <w:lang w:eastAsia="en-GB"/>
    </w:rPr>
  </w:style>
  <w:style w:type="table" w:customStyle="1" w:styleId="THEMA">
    <w:name w:val="THEMA"/>
    <w:basedOn w:val="TableNormal"/>
    <w:uiPriority w:val="99"/>
    <w:rsid w:val="00CE2717"/>
    <w:pPr>
      <w:keepNext/>
      <w:keepLines/>
      <w:spacing w:before="20" w:after="20"/>
    </w:pPr>
    <w:rPr>
      <w:rFonts w:asciiTheme="minorHAnsi" w:eastAsiaTheme="majorEastAsia" w:hAnsiTheme="minorHAnsi"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0"/>
      </w:rPr>
      <w:tblPr/>
      <w:tcPr>
        <w:shd w:val="clear" w:color="auto" w:fill="D9D9D9" w:themeFill="background1" w:themeFillShade="D9"/>
      </w:tcPr>
    </w:tblStylePr>
  </w:style>
  <w:style w:type="character" w:customStyle="1" w:styleId="null1">
    <w:name w:val="null1"/>
    <w:basedOn w:val="DefaultParagraphFont"/>
    <w:rsid w:val="002A7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15138961">
      <w:bodyDiv w:val="1"/>
      <w:marLeft w:val="0"/>
      <w:marRight w:val="0"/>
      <w:marTop w:val="0"/>
      <w:marBottom w:val="0"/>
      <w:divBdr>
        <w:top w:val="none" w:sz="0" w:space="0" w:color="auto"/>
        <w:left w:val="none" w:sz="0" w:space="0" w:color="auto"/>
        <w:bottom w:val="none" w:sz="0" w:space="0" w:color="auto"/>
        <w:right w:val="none" w:sz="0" w:space="0" w:color="auto"/>
      </w:divBdr>
    </w:div>
    <w:div w:id="739789830">
      <w:bodyDiv w:val="1"/>
      <w:marLeft w:val="0"/>
      <w:marRight w:val="0"/>
      <w:marTop w:val="0"/>
      <w:marBottom w:val="0"/>
      <w:divBdr>
        <w:top w:val="none" w:sz="0" w:space="0" w:color="auto"/>
        <w:left w:val="none" w:sz="0" w:space="0" w:color="auto"/>
        <w:bottom w:val="none" w:sz="0" w:space="0" w:color="auto"/>
        <w:right w:val="none" w:sz="0" w:space="0" w:color="auto"/>
      </w:divBdr>
    </w:div>
    <w:div w:id="1000891618">
      <w:bodyDiv w:val="1"/>
      <w:marLeft w:val="0"/>
      <w:marRight w:val="0"/>
      <w:marTop w:val="0"/>
      <w:marBottom w:val="0"/>
      <w:divBdr>
        <w:top w:val="none" w:sz="0" w:space="0" w:color="auto"/>
        <w:left w:val="none" w:sz="0" w:space="0" w:color="auto"/>
        <w:bottom w:val="none" w:sz="0" w:space="0" w:color="auto"/>
        <w:right w:val="none" w:sz="0" w:space="0" w:color="auto"/>
      </w:divBdr>
    </w:div>
    <w:div w:id="107408961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773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42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customXml" Target="ink/ink1.xm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8.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linicaltrials.gov/ct2/show/NCT03989947" TargetMode="External"/><Relationship Id="rId1" Type="http://schemas.openxmlformats.org/officeDocument/2006/relationships/hyperlink" Target="https://clinicaltrials.gov/ct2/show/NCT03424018"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08T03:12:10.203"/>
    </inkml:context>
    <inkml:brush xml:id="br0">
      <inkml:brushProperty name="width" value="0.1" units="cm"/>
      <inkml:brushProperty name="height" value="0.2" units="cm"/>
      <inkml:brushProperty name="color" value="#969696"/>
      <inkml:brushProperty name="tip" value="rectangle"/>
      <inkml:brushProperty name="rasterOp" value="maskPen"/>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46795-BF00-4810-9394-B3422214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20900</Words>
  <Characters>117225</Characters>
  <Application>Microsoft Office Word</Application>
  <DocSecurity>0</DocSecurity>
  <Lines>976</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137850</CharactersWithSpaces>
  <SharedDoc>false</SharedDoc>
  <HLinks>
    <vt:vector size="528" baseType="variant">
      <vt:variant>
        <vt:i4>3080309</vt:i4>
      </vt:variant>
      <vt:variant>
        <vt:i4>704</vt:i4>
      </vt:variant>
      <vt:variant>
        <vt:i4>0</vt:i4>
      </vt:variant>
      <vt:variant>
        <vt:i4>5</vt:i4>
      </vt:variant>
      <vt:variant>
        <vt:lpwstr>https://www.embase.com/</vt:lpwstr>
      </vt:variant>
      <vt:variant>
        <vt:lpwstr/>
      </vt:variant>
      <vt:variant>
        <vt:i4>3080309</vt:i4>
      </vt:variant>
      <vt:variant>
        <vt:i4>701</vt:i4>
      </vt:variant>
      <vt:variant>
        <vt:i4>0</vt:i4>
      </vt:variant>
      <vt:variant>
        <vt:i4>5</vt:i4>
      </vt:variant>
      <vt:variant>
        <vt:lpwstr>https://www.embase.com/</vt:lpwstr>
      </vt:variant>
      <vt:variant>
        <vt:lpwstr/>
      </vt:variant>
      <vt:variant>
        <vt:i4>3080309</vt:i4>
      </vt:variant>
      <vt:variant>
        <vt:i4>698</vt:i4>
      </vt:variant>
      <vt:variant>
        <vt:i4>0</vt:i4>
      </vt:variant>
      <vt:variant>
        <vt:i4>5</vt:i4>
      </vt:variant>
      <vt:variant>
        <vt:lpwstr>https://www.embase.com/</vt:lpwstr>
      </vt:variant>
      <vt:variant>
        <vt:lpwstr/>
      </vt:variant>
      <vt:variant>
        <vt:i4>3080309</vt:i4>
      </vt:variant>
      <vt:variant>
        <vt:i4>695</vt:i4>
      </vt:variant>
      <vt:variant>
        <vt:i4>0</vt:i4>
      </vt:variant>
      <vt:variant>
        <vt:i4>5</vt:i4>
      </vt:variant>
      <vt:variant>
        <vt:lpwstr>https://www.embase.com/</vt:lpwstr>
      </vt:variant>
      <vt:variant>
        <vt:lpwstr/>
      </vt:variant>
      <vt:variant>
        <vt:i4>3080309</vt:i4>
      </vt:variant>
      <vt:variant>
        <vt:i4>692</vt:i4>
      </vt:variant>
      <vt:variant>
        <vt:i4>0</vt:i4>
      </vt:variant>
      <vt:variant>
        <vt:i4>5</vt:i4>
      </vt:variant>
      <vt:variant>
        <vt:lpwstr>https://www.embase.com/</vt:lpwstr>
      </vt:variant>
      <vt:variant>
        <vt:lpwstr/>
      </vt:variant>
      <vt:variant>
        <vt:i4>3080309</vt:i4>
      </vt:variant>
      <vt:variant>
        <vt:i4>689</vt:i4>
      </vt:variant>
      <vt:variant>
        <vt:i4>0</vt:i4>
      </vt:variant>
      <vt:variant>
        <vt:i4>5</vt:i4>
      </vt:variant>
      <vt:variant>
        <vt:lpwstr>https://www.embase.com/</vt:lpwstr>
      </vt:variant>
      <vt:variant>
        <vt:lpwstr/>
      </vt:variant>
      <vt:variant>
        <vt:i4>3080309</vt:i4>
      </vt:variant>
      <vt:variant>
        <vt:i4>686</vt:i4>
      </vt:variant>
      <vt:variant>
        <vt:i4>0</vt:i4>
      </vt:variant>
      <vt:variant>
        <vt:i4>5</vt:i4>
      </vt:variant>
      <vt:variant>
        <vt:lpwstr>https://www.embase.com/</vt:lpwstr>
      </vt:variant>
      <vt:variant>
        <vt:lpwstr/>
      </vt:variant>
      <vt:variant>
        <vt:i4>3080309</vt:i4>
      </vt:variant>
      <vt:variant>
        <vt:i4>683</vt:i4>
      </vt:variant>
      <vt:variant>
        <vt:i4>0</vt:i4>
      </vt:variant>
      <vt:variant>
        <vt:i4>5</vt:i4>
      </vt:variant>
      <vt:variant>
        <vt:lpwstr>https://www.embase.com/</vt:lpwstr>
      </vt:variant>
      <vt:variant>
        <vt:lpwstr/>
      </vt:variant>
      <vt:variant>
        <vt:i4>3080309</vt:i4>
      </vt:variant>
      <vt:variant>
        <vt:i4>680</vt:i4>
      </vt:variant>
      <vt:variant>
        <vt:i4>0</vt:i4>
      </vt:variant>
      <vt:variant>
        <vt:i4>5</vt:i4>
      </vt:variant>
      <vt:variant>
        <vt:lpwstr>https://www.embase.com/</vt:lpwstr>
      </vt:variant>
      <vt:variant>
        <vt:lpwstr/>
      </vt:variant>
      <vt:variant>
        <vt:i4>3080309</vt:i4>
      </vt:variant>
      <vt:variant>
        <vt:i4>677</vt:i4>
      </vt:variant>
      <vt:variant>
        <vt:i4>0</vt:i4>
      </vt:variant>
      <vt:variant>
        <vt:i4>5</vt:i4>
      </vt:variant>
      <vt:variant>
        <vt:lpwstr>https://www.embase.com/</vt:lpwstr>
      </vt:variant>
      <vt:variant>
        <vt:lpwstr/>
      </vt:variant>
      <vt:variant>
        <vt:i4>3080309</vt:i4>
      </vt:variant>
      <vt:variant>
        <vt:i4>674</vt:i4>
      </vt:variant>
      <vt:variant>
        <vt:i4>0</vt:i4>
      </vt:variant>
      <vt:variant>
        <vt:i4>5</vt:i4>
      </vt:variant>
      <vt:variant>
        <vt:lpwstr>https://www.embase.com/</vt:lpwstr>
      </vt:variant>
      <vt:variant>
        <vt:lpwstr/>
      </vt:variant>
      <vt:variant>
        <vt:i4>3080309</vt:i4>
      </vt:variant>
      <vt:variant>
        <vt:i4>671</vt:i4>
      </vt:variant>
      <vt:variant>
        <vt:i4>0</vt:i4>
      </vt:variant>
      <vt:variant>
        <vt:i4>5</vt:i4>
      </vt:variant>
      <vt:variant>
        <vt:lpwstr>https://www.embase.com/</vt:lpwstr>
      </vt:variant>
      <vt:variant>
        <vt:lpwstr/>
      </vt:variant>
      <vt:variant>
        <vt:i4>3080309</vt:i4>
      </vt:variant>
      <vt:variant>
        <vt:i4>668</vt:i4>
      </vt:variant>
      <vt:variant>
        <vt:i4>0</vt:i4>
      </vt:variant>
      <vt:variant>
        <vt:i4>5</vt:i4>
      </vt:variant>
      <vt:variant>
        <vt:lpwstr>https://www.embase.com/</vt:lpwstr>
      </vt:variant>
      <vt:variant>
        <vt:lpwstr/>
      </vt:variant>
      <vt:variant>
        <vt:i4>3080309</vt:i4>
      </vt:variant>
      <vt:variant>
        <vt:i4>665</vt:i4>
      </vt:variant>
      <vt:variant>
        <vt:i4>0</vt:i4>
      </vt:variant>
      <vt:variant>
        <vt:i4>5</vt:i4>
      </vt:variant>
      <vt:variant>
        <vt:lpwstr>https://www.embase.com/</vt:lpwstr>
      </vt:variant>
      <vt:variant>
        <vt:lpwstr/>
      </vt:variant>
      <vt:variant>
        <vt:i4>4980810</vt:i4>
      </vt:variant>
      <vt:variant>
        <vt:i4>620</vt:i4>
      </vt:variant>
      <vt:variant>
        <vt:i4>0</vt:i4>
      </vt:variant>
      <vt:variant>
        <vt:i4>5</vt:i4>
      </vt:variant>
      <vt:variant>
        <vt:lpwstr>https://www.schn.health.nsw.gov.au/files/attachments/reh4033_growth_charts_fano_crops.pdf</vt:lpwstr>
      </vt:variant>
      <vt:variant>
        <vt:lpwstr/>
      </vt:variant>
      <vt:variant>
        <vt:i4>4980810</vt:i4>
      </vt:variant>
      <vt:variant>
        <vt:i4>617</vt:i4>
      </vt:variant>
      <vt:variant>
        <vt:i4>0</vt:i4>
      </vt:variant>
      <vt:variant>
        <vt:i4>5</vt:i4>
      </vt:variant>
      <vt:variant>
        <vt:lpwstr>https://www.schn.health.nsw.gov.au/files/attachments/reh4033_growth_charts_fano_crops.pdf</vt:lpwstr>
      </vt:variant>
      <vt:variant>
        <vt:lpwstr/>
      </vt:variant>
      <vt:variant>
        <vt:i4>1114163</vt:i4>
      </vt:variant>
      <vt:variant>
        <vt:i4>422</vt:i4>
      </vt:variant>
      <vt:variant>
        <vt:i4>0</vt:i4>
      </vt:variant>
      <vt:variant>
        <vt:i4>5</vt:i4>
      </vt:variant>
      <vt:variant>
        <vt:lpwstr/>
      </vt:variant>
      <vt:variant>
        <vt:lpwstr>_Toc22898914</vt:lpwstr>
      </vt:variant>
      <vt:variant>
        <vt:i4>1441843</vt:i4>
      </vt:variant>
      <vt:variant>
        <vt:i4>416</vt:i4>
      </vt:variant>
      <vt:variant>
        <vt:i4>0</vt:i4>
      </vt:variant>
      <vt:variant>
        <vt:i4>5</vt:i4>
      </vt:variant>
      <vt:variant>
        <vt:lpwstr/>
      </vt:variant>
      <vt:variant>
        <vt:lpwstr>_Toc22898913</vt:lpwstr>
      </vt:variant>
      <vt:variant>
        <vt:i4>1507379</vt:i4>
      </vt:variant>
      <vt:variant>
        <vt:i4>410</vt:i4>
      </vt:variant>
      <vt:variant>
        <vt:i4>0</vt:i4>
      </vt:variant>
      <vt:variant>
        <vt:i4>5</vt:i4>
      </vt:variant>
      <vt:variant>
        <vt:lpwstr/>
      </vt:variant>
      <vt:variant>
        <vt:lpwstr>_Toc22898912</vt:lpwstr>
      </vt:variant>
      <vt:variant>
        <vt:i4>1310771</vt:i4>
      </vt:variant>
      <vt:variant>
        <vt:i4>404</vt:i4>
      </vt:variant>
      <vt:variant>
        <vt:i4>0</vt:i4>
      </vt:variant>
      <vt:variant>
        <vt:i4>5</vt:i4>
      </vt:variant>
      <vt:variant>
        <vt:lpwstr/>
      </vt:variant>
      <vt:variant>
        <vt:lpwstr>_Toc22898911</vt:lpwstr>
      </vt:variant>
      <vt:variant>
        <vt:i4>1376307</vt:i4>
      </vt:variant>
      <vt:variant>
        <vt:i4>398</vt:i4>
      </vt:variant>
      <vt:variant>
        <vt:i4>0</vt:i4>
      </vt:variant>
      <vt:variant>
        <vt:i4>5</vt:i4>
      </vt:variant>
      <vt:variant>
        <vt:lpwstr/>
      </vt:variant>
      <vt:variant>
        <vt:lpwstr>_Toc22898910</vt:lpwstr>
      </vt:variant>
      <vt:variant>
        <vt:i4>1835058</vt:i4>
      </vt:variant>
      <vt:variant>
        <vt:i4>392</vt:i4>
      </vt:variant>
      <vt:variant>
        <vt:i4>0</vt:i4>
      </vt:variant>
      <vt:variant>
        <vt:i4>5</vt:i4>
      </vt:variant>
      <vt:variant>
        <vt:lpwstr/>
      </vt:variant>
      <vt:variant>
        <vt:lpwstr>_Toc22898909</vt:lpwstr>
      </vt:variant>
      <vt:variant>
        <vt:i4>1900594</vt:i4>
      </vt:variant>
      <vt:variant>
        <vt:i4>386</vt:i4>
      </vt:variant>
      <vt:variant>
        <vt:i4>0</vt:i4>
      </vt:variant>
      <vt:variant>
        <vt:i4>5</vt:i4>
      </vt:variant>
      <vt:variant>
        <vt:lpwstr/>
      </vt:variant>
      <vt:variant>
        <vt:lpwstr>_Toc22898908</vt:lpwstr>
      </vt:variant>
      <vt:variant>
        <vt:i4>1179698</vt:i4>
      </vt:variant>
      <vt:variant>
        <vt:i4>380</vt:i4>
      </vt:variant>
      <vt:variant>
        <vt:i4>0</vt:i4>
      </vt:variant>
      <vt:variant>
        <vt:i4>5</vt:i4>
      </vt:variant>
      <vt:variant>
        <vt:lpwstr/>
      </vt:variant>
      <vt:variant>
        <vt:lpwstr>_Toc22898907</vt:lpwstr>
      </vt:variant>
      <vt:variant>
        <vt:i4>1245234</vt:i4>
      </vt:variant>
      <vt:variant>
        <vt:i4>374</vt:i4>
      </vt:variant>
      <vt:variant>
        <vt:i4>0</vt:i4>
      </vt:variant>
      <vt:variant>
        <vt:i4>5</vt:i4>
      </vt:variant>
      <vt:variant>
        <vt:lpwstr/>
      </vt:variant>
      <vt:variant>
        <vt:lpwstr>_Toc22898906</vt:lpwstr>
      </vt:variant>
      <vt:variant>
        <vt:i4>1048626</vt:i4>
      </vt:variant>
      <vt:variant>
        <vt:i4>368</vt:i4>
      </vt:variant>
      <vt:variant>
        <vt:i4>0</vt:i4>
      </vt:variant>
      <vt:variant>
        <vt:i4>5</vt:i4>
      </vt:variant>
      <vt:variant>
        <vt:lpwstr/>
      </vt:variant>
      <vt:variant>
        <vt:lpwstr>_Toc22898905</vt:lpwstr>
      </vt:variant>
      <vt:variant>
        <vt:i4>1114162</vt:i4>
      </vt:variant>
      <vt:variant>
        <vt:i4>362</vt:i4>
      </vt:variant>
      <vt:variant>
        <vt:i4>0</vt:i4>
      </vt:variant>
      <vt:variant>
        <vt:i4>5</vt:i4>
      </vt:variant>
      <vt:variant>
        <vt:lpwstr/>
      </vt:variant>
      <vt:variant>
        <vt:lpwstr>_Toc22898904</vt:lpwstr>
      </vt:variant>
      <vt:variant>
        <vt:i4>1441842</vt:i4>
      </vt:variant>
      <vt:variant>
        <vt:i4>356</vt:i4>
      </vt:variant>
      <vt:variant>
        <vt:i4>0</vt:i4>
      </vt:variant>
      <vt:variant>
        <vt:i4>5</vt:i4>
      </vt:variant>
      <vt:variant>
        <vt:lpwstr/>
      </vt:variant>
      <vt:variant>
        <vt:lpwstr>_Toc22898903</vt:lpwstr>
      </vt:variant>
      <vt:variant>
        <vt:i4>1507378</vt:i4>
      </vt:variant>
      <vt:variant>
        <vt:i4>350</vt:i4>
      </vt:variant>
      <vt:variant>
        <vt:i4>0</vt:i4>
      </vt:variant>
      <vt:variant>
        <vt:i4>5</vt:i4>
      </vt:variant>
      <vt:variant>
        <vt:lpwstr/>
      </vt:variant>
      <vt:variant>
        <vt:lpwstr>_Toc22898902</vt:lpwstr>
      </vt:variant>
      <vt:variant>
        <vt:i4>1310770</vt:i4>
      </vt:variant>
      <vt:variant>
        <vt:i4>344</vt:i4>
      </vt:variant>
      <vt:variant>
        <vt:i4>0</vt:i4>
      </vt:variant>
      <vt:variant>
        <vt:i4>5</vt:i4>
      </vt:variant>
      <vt:variant>
        <vt:lpwstr/>
      </vt:variant>
      <vt:variant>
        <vt:lpwstr>_Toc22898901</vt:lpwstr>
      </vt:variant>
      <vt:variant>
        <vt:i4>1376306</vt:i4>
      </vt:variant>
      <vt:variant>
        <vt:i4>338</vt:i4>
      </vt:variant>
      <vt:variant>
        <vt:i4>0</vt:i4>
      </vt:variant>
      <vt:variant>
        <vt:i4>5</vt:i4>
      </vt:variant>
      <vt:variant>
        <vt:lpwstr/>
      </vt:variant>
      <vt:variant>
        <vt:lpwstr>_Toc22898900</vt:lpwstr>
      </vt:variant>
      <vt:variant>
        <vt:i4>1900603</vt:i4>
      </vt:variant>
      <vt:variant>
        <vt:i4>332</vt:i4>
      </vt:variant>
      <vt:variant>
        <vt:i4>0</vt:i4>
      </vt:variant>
      <vt:variant>
        <vt:i4>5</vt:i4>
      </vt:variant>
      <vt:variant>
        <vt:lpwstr/>
      </vt:variant>
      <vt:variant>
        <vt:lpwstr>_Toc22898899</vt:lpwstr>
      </vt:variant>
      <vt:variant>
        <vt:i4>1835067</vt:i4>
      </vt:variant>
      <vt:variant>
        <vt:i4>326</vt:i4>
      </vt:variant>
      <vt:variant>
        <vt:i4>0</vt:i4>
      </vt:variant>
      <vt:variant>
        <vt:i4>5</vt:i4>
      </vt:variant>
      <vt:variant>
        <vt:lpwstr/>
      </vt:variant>
      <vt:variant>
        <vt:lpwstr>_Toc22898898</vt:lpwstr>
      </vt:variant>
      <vt:variant>
        <vt:i4>1245243</vt:i4>
      </vt:variant>
      <vt:variant>
        <vt:i4>320</vt:i4>
      </vt:variant>
      <vt:variant>
        <vt:i4>0</vt:i4>
      </vt:variant>
      <vt:variant>
        <vt:i4>5</vt:i4>
      </vt:variant>
      <vt:variant>
        <vt:lpwstr/>
      </vt:variant>
      <vt:variant>
        <vt:lpwstr>_Toc22898897</vt:lpwstr>
      </vt:variant>
      <vt:variant>
        <vt:i4>1376315</vt:i4>
      </vt:variant>
      <vt:variant>
        <vt:i4>284</vt:i4>
      </vt:variant>
      <vt:variant>
        <vt:i4>0</vt:i4>
      </vt:variant>
      <vt:variant>
        <vt:i4>5</vt:i4>
      </vt:variant>
      <vt:variant>
        <vt:lpwstr/>
      </vt:variant>
      <vt:variant>
        <vt:lpwstr>_Toc22898891</vt:lpwstr>
      </vt:variant>
      <vt:variant>
        <vt:i4>1310779</vt:i4>
      </vt:variant>
      <vt:variant>
        <vt:i4>278</vt:i4>
      </vt:variant>
      <vt:variant>
        <vt:i4>0</vt:i4>
      </vt:variant>
      <vt:variant>
        <vt:i4>5</vt:i4>
      </vt:variant>
      <vt:variant>
        <vt:lpwstr/>
      </vt:variant>
      <vt:variant>
        <vt:lpwstr>_Toc22898890</vt:lpwstr>
      </vt:variant>
      <vt:variant>
        <vt:i4>1900602</vt:i4>
      </vt:variant>
      <vt:variant>
        <vt:i4>272</vt:i4>
      </vt:variant>
      <vt:variant>
        <vt:i4>0</vt:i4>
      </vt:variant>
      <vt:variant>
        <vt:i4>5</vt:i4>
      </vt:variant>
      <vt:variant>
        <vt:lpwstr/>
      </vt:variant>
      <vt:variant>
        <vt:lpwstr>_Toc22898889</vt:lpwstr>
      </vt:variant>
      <vt:variant>
        <vt:i4>1835066</vt:i4>
      </vt:variant>
      <vt:variant>
        <vt:i4>266</vt:i4>
      </vt:variant>
      <vt:variant>
        <vt:i4>0</vt:i4>
      </vt:variant>
      <vt:variant>
        <vt:i4>5</vt:i4>
      </vt:variant>
      <vt:variant>
        <vt:lpwstr/>
      </vt:variant>
      <vt:variant>
        <vt:lpwstr>_Toc22898888</vt:lpwstr>
      </vt:variant>
      <vt:variant>
        <vt:i4>1245242</vt:i4>
      </vt:variant>
      <vt:variant>
        <vt:i4>260</vt:i4>
      </vt:variant>
      <vt:variant>
        <vt:i4>0</vt:i4>
      </vt:variant>
      <vt:variant>
        <vt:i4>5</vt:i4>
      </vt:variant>
      <vt:variant>
        <vt:lpwstr/>
      </vt:variant>
      <vt:variant>
        <vt:lpwstr>_Toc22898887</vt:lpwstr>
      </vt:variant>
      <vt:variant>
        <vt:i4>1179706</vt:i4>
      </vt:variant>
      <vt:variant>
        <vt:i4>254</vt:i4>
      </vt:variant>
      <vt:variant>
        <vt:i4>0</vt:i4>
      </vt:variant>
      <vt:variant>
        <vt:i4>5</vt:i4>
      </vt:variant>
      <vt:variant>
        <vt:lpwstr/>
      </vt:variant>
      <vt:variant>
        <vt:lpwstr>_Toc22898886</vt:lpwstr>
      </vt:variant>
      <vt:variant>
        <vt:i4>1114170</vt:i4>
      </vt:variant>
      <vt:variant>
        <vt:i4>248</vt:i4>
      </vt:variant>
      <vt:variant>
        <vt:i4>0</vt:i4>
      </vt:variant>
      <vt:variant>
        <vt:i4>5</vt:i4>
      </vt:variant>
      <vt:variant>
        <vt:lpwstr/>
      </vt:variant>
      <vt:variant>
        <vt:lpwstr>_Toc22898885</vt:lpwstr>
      </vt:variant>
      <vt:variant>
        <vt:i4>1048634</vt:i4>
      </vt:variant>
      <vt:variant>
        <vt:i4>242</vt:i4>
      </vt:variant>
      <vt:variant>
        <vt:i4>0</vt:i4>
      </vt:variant>
      <vt:variant>
        <vt:i4>5</vt:i4>
      </vt:variant>
      <vt:variant>
        <vt:lpwstr/>
      </vt:variant>
      <vt:variant>
        <vt:lpwstr>_Toc22898884</vt:lpwstr>
      </vt:variant>
      <vt:variant>
        <vt:i4>1507386</vt:i4>
      </vt:variant>
      <vt:variant>
        <vt:i4>236</vt:i4>
      </vt:variant>
      <vt:variant>
        <vt:i4>0</vt:i4>
      </vt:variant>
      <vt:variant>
        <vt:i4>5</vt:i4>
      </vt:variant>
      <vt:variant>
        <vt:lpwstr/>
      </vt:variant>
      <vt:variant>
        <vt:lpwstr>_Toc22898883</vt:lpwstr>
      </vt:variant>
      <vt:variant>
        <vt:i4>1441850</vt:i4>
      </vt:variant>
      <vt:variant>
        <vt:i4>230</vt:i4>
      </vt:variant>
      <vt:variant>
        <vt:i4>0</vt:i4>
      </vt:variant>
      <vt:variant>
        <vt:i4>5</vt:i4>
      </vt:variant>
      <vt:variant>
        <vt:lpwstr/>
      </vt:variant>
      <vt:variant>
        <vt:lpwstr>_Toc22898882</vt:lpwstr>
      </vt:variant>
      <vt:variant>
        <vt:i4>1376314</vt:i4>
      </vt:variant>
      <vt:variant>
        <vt:i4>224</vt:i4>
      </vt:variant>
      <vt:variant>
        <vt:i4>0</vt:i4>
      </vt:variant>
      <vt:variant>
        <vt:i4>5</vt:i4>
      </vt:variant>
      <vt:variant>
        <vt:lpwstr/>
      </vt:variant>
      <vt:variant>
        <vt:lpwstr>_Toc22898881</vt:lpwstr>
      </vt:variant>
      <vt:variant>
        <vt:i4>1310778</vt:i4>
      </vt:variant>
      <vt:variant>
        <vt:i4>218</vt:i4>
      </vt:variant>
      <vt:variant>
        <vt:i4>0</vt:i4>
      </vt:variant>
      <vt:variant>
        <vt:i4>5</vt:i4>
      </vt:variant>
      <vt:variant>
        <vt:lpwstr/>
      </vt:variant>
      <vt:variant>
        <vt:lpwstr>_Toc22898880</vt:lpwstr>
      </vt:variant>
      <vt:variant>
        <vt:i4>1900597</vt:i4>
      </vt:variant>
      <vt:variant>
        <vt:i4>212</vt:i4>
      </vt:variant>
      <vt:variant>
        <vt:i4>0</vt:i4>
      </vt:variant>
      <vt:variant>
        <vt:i4>5</vt:i4>
      </vt:variant>
      <vt:variant>
        <vt:lpwstr/>
      </vt:variant>
      <vt:variant>
        <vt:lpwstr>_Toc22898879</vt:lpwstr>
      </vt:variant>
      <vt:variant>
        <vt:i4>1835061</vt:i4>
      </vt:variant>
      <vt:variant>
        <vt:i4>206</vt:i4>
      </vt:variant>
      <vt:variant>
        <vt:i4>0</vt:i4>
      </vt:variant>
      <vt:variant>
        <vt:i4>5</vt:i4>
      </vt:variant>
      <vt:variant>
        <vt:lpwstr/>
      </vt:variant>
      <vt:variant>
        <vt:lpwstr>_Toc22898878</vt:lpwstr>
      </vt:variant>
      <vt:variant>
        <vt:i4>1245237</vt:i4>
      </vt:variant>
      <vt:variant>
        <vt:i4>200</vt:i4>
      </vt:variant>
      <vt:variant>
        <vt:i4>0</vt:i4>
      </vt:variant>
      <vt:variant>
        <vt:i4>5</vt:i4>
      </vt:variant>
      <vt:variant>
        <vt:lpwstr/>
      </vt:variant>
      <vt:variant>
        <vt:lpwstr>_Toc22898877</vt:lpwstr>
      </vt:variant>
      <vt:variant>
        <vt:i4>1179701</vt:i4>
      </vt:variant>
      <vt:variant>
        <vt:i4>194</vt:i4>
      </vt:variant>
      <vt:variant>
        <vt:i4>0</vt:i4>
      </vt:variant>
      <vt:variant>
        <vt:i4>5</vt:i4>
      </vt:variant>
      <vt:variant>
        <vt:lpwstr/>
      </vt:variant>
      <vt:variant>
        <vt:lpwstr>_Toc22898876</vt:lpwstr>
      </vt:variant>
      <vt:variant>
        <vt:i4>1114165</vt:i4>
      </vt:variant>
      <vt:variant>
        <vt:i4>188</vt:i4>
      </vt:variant>
      <vt:variant>
        <vt:i4>0</vt:i4>
      </vt:variant>
      <vt:variant>
        <vt:i4>5</vt:i4>
      </vt:variant>
      <vt:variant>
        <vt:lpwstr/>
      </vt:variant>
      <vt:variant>
        <vt:lpwstr>_Toc22898875</vt:lpwstr>
      </vt:variant>
      <vt:variant>
        <vt:i4>1048629</vt:i4>
      </vt:variant>
      <vt:variant>
        <vt:i4>182</vt:i4>
      </vt:variant>
      <vt:variant>
        <vt:i4>0</vt:i4>
      </vt:variant>
      <vt:variant>
        <vt:i4>5</vt:i4>
      </vt:variant>
      <vt:variant>
        <vt:lpwstr/>
      </vt:variant>
      <vt:variant>
        <vt:lpwstr>_Toc22898874</vt:lpwstr>
      </vt:variant>
      <vt:variant>
        <vt:i4>1507381</vt:i4>
      </vt:variant>
      <vt:variant>
        <vt:i4>176</vt:i4>
      </vt:variant>
      <vt:variant>
        <vt:i4>0</vt:i4>
      </vt:variant>
      <vt:variant>
        <vt:i4>5</vt:i4>
      </vt:variant>
      <vt:variant>
        <vt:lpwstr/>
      </vt:variant>
      <vt:variant>
        <vt:lpwstr>_Toc22898873</vt:lpwstr>
      </vt:variant>
      <vt:variant>
        <vt:i4>1441845</vt:i4>
      </vt:variant>
      <vt:variant>
        <vt:i4>170</vt:i4>
      </vt:variant>
      <vt:variant>
        <vt:i4>0</vt:i4>
      </vt:variant>
      <vt:variant>
        <vt:i4>5</vt:i4>
      </vt:variant>
      <vt:variant>
        <vt:lpwstr/>
      </vt:variant>
      <vt:variant>
        <vt:lpwstr>_Toc22898872</vt:lpwstr>
      </vt:variant>
      <vt:variant>
        <vt:i4>1376309</vt:i4>
      </vt:variant>
      <vt:variant>
        <vt:i4>164</vt:i4>
      </vt:variant>
      <vt:variant>
        <vt:i4>0</vt:i4>
      </vt:variant>
      <vt:variant>
        <vt:i4>5</vt:i4>
      </vt:variant>
      <vt:variant>
        <vt:lpwstr/>
      </vt:variant>
      <vt:variant>
        <vt:lpwstr>_Toc22898871</vt:lpwstr>
      </vt:variant>
      <vt:variant>
        <vt:i4>1310773</vt:i4>
      </vt:variant>
      <vt:variant>
        <vt:i4>158</vt:i4>
      </vt:variant>
      <vt:variant>
        <vt:i4>0</vt:i4>
      </vt:variant>
      <vt:variant>
        <vt:i4>5</vt:i4>
      </vt:variant>
      <vt:variant>
        <vt:lpwstr/>
      </vt:variant>
      <vt:variant>
        <vt:lpwstr>_Toc22898870</vt:lpwstr>
      </vt:variant>
      <vt:variant>
        <vt:i4>1900596</vt:i4>
      </vt:variant>
      <vt:variant>
        <vt:i4>152</vt:i4>
      </vt:variant>
      <vt:variant>
        <vt:i4>0</vt:i4>
      </vt:variant>
      <vt:variant>
        <vt:i4>5</vt:i4>
      </vt:variant>
      <vt:variant>
        <vt:lpwstr/>
      </vt:variant>
      <vt:variant>
        <vt:lpwstr>_Toc22898869</vt:lpwstr>
      </vt:variant>
      <vt:variant>
        <vt:i4>1835060</vt:i4>
      </vt:variant>
      <vt:variant>
        <vt:i4>146</vt:i4>
      </vt:variant>
      <vt:variant>
        <vt:i4>0</vt:i4>
      </vt:variant>
      <vt:variant>
        <vt:i4>5</vt:i4>
      </vt:variant>
      <vt:variant>
        <vt:lpwstr/>
      </vt:variant>
      <vt:variant>
        <vt:lpwstr>_Toc22898868</vt:lpwstr>
      </vt:variant>
      <vt:variant>
        <vt:i4>1245236</vt:i4>
      </vt:variant>
      <vt:variant>
        <vt:i4>140</vt:i4>
      </vt:variant>
      <vt:variant>
        <vt:i4>0</vt:i4>
      </vt:variant>
      <vt:variant>
        <vt:i4>5</vt:i4>
      </vt:variant>
      <vt:variant>
        <vt:lpwstr/>
      </vt:variant>
      <vt:variant>
        <vt:lpwstr>_Toc22898867</vt:lpwstr>
      </vt:variant>
      <vt:variant>
        <vt:i4>1441844</vt:i4>
      </vt:variant>
      <vt:variant>
        <vt:i4>122</vt:i4>
      </vt:variant>
      <vt:variant>
        <vt:i4>0</vt:i4>
      </vt:variant>
      <vt:variant>
        <vt:i4>5</vt:i4>
      </vt:variant>
      <vt:variant>
        <vt:lpwstr/>
      </vt:variant>
      <vt:variant>
        <vt:lpwstr>_Toc22898862</vt:lpwstr>
      </vt:variant>
      <vt:variant>
        <vt:i4>1376308</vt:i4>
      </vt:variant>
      <vt:variant>
        <vt:i4>116</vt:i4>
      </vt:variant>
      <vt:variant>
        <vt:i4>0</vt:i4>
      </vt:variant>
      <vt:variant>
        <vt:i4>5</vt:i4>
      </vt:variant>
      <vt:variant>
        <vt:lpwstr/>
      </vt:variant>
      <vt:variant>
        <vt:lpwstr>_Toc22898861</vt:lpwstr>
      </vt:variant>
      <vt:variant>
        <vt:i4>1310772</vt:i4>
      </vt:variant>
      <vt:variant>
        <vt:i4>110</vt:i4>
      </vt:variant>
      <vt:variant>
        <vt:i4>0</vt:i4>
      </vt:variant>
      <vt:variant>
        <vt:i4>5</vt:i4>
      </vt:variant>
      <vt:variant>
        <vt:lpwstr/>
      </vt:variant>
      <vt:variant>
        <vt:lpwstr>_Toc22898860</vt:lpwstr>
      </vt:variant>
      <vt:variant>
        <vt:i4>1900599</vt:i4>
      </vt:variant>
      <vt:variant>
        <vt:i4>104</vt:i4>
      </vt:variant>
      <vt:variant>
        <vt:i4>0</vt:i4>
      </vt:variant>
      <vt:variant>
        <vt:i4>5</vt:i4>
      </vt:variant>
      <vt:variant>
        <vt:lpwstr/>
      </vt:variant>
      <vt:variant>
        <vt:lpwstr>_Toc22898859</vt:lpwstr>
      </vt:variant>
      <vt:variant>
        <vt:i4>1245239</vt:i4>
      </vt:variant>
      <vt:variant>
        <vt:i4>92</vt:i4>
      </vt:variant>
      <vt:variant>
        <vt:i4>0</vt:i4>
      </vt:variant>
      <vt:variant>
        <vt:i4>5</vt:i4>
      </vt:variant>
      <vt:variant>
        <vt:lpwstr/>
      </vt:variant>
      <vt:variant>
        <vt:lpwstr>_Toc22898857</vt:lpwstr>
      </vt:variant>
      <vt:variant>
        <vt:i4>1179703</vt:i4>
      </vt:variant>
      <vt:variant>
        <vt:i4>86</vt:i4>
      </vt:variant>
      <vt:variant>
        <vt:i4>0</vt:i4>
      </vt:variant>
      <vt:variant>
        <vt:i4>5</vt:i4>
      </vt:variant>
      <vt:variant>
        <vt:lpwstr/>
      </vt:variant>
      <vt:variant>
        <vt:lpwstr>_Toc22898856</vt:lpwstr>
      </vt:variant>
      <vt:variant>
        <vt:i4>1114167</vt:i4>
      </vt:variant>
      <vt:variant>
        <vt:i4>80</vt:i4>
      </vt:variant>
      <vt:variant>
        <vt:i4>0</vt:i4>
      </vt:variant>
      <vt:variant>
        <vt:i4>5</vt:i4>
      </vt:variant>
      <vt:variant>
        <vt:lpwstr/>
      </vt:variant>
      <vt:variant>
        <vt:lpwstr>_Toc22898855</vt:lpwstr>
      </vt:variant>
      <vt:variant>
        <vt:i4>1048631</vt:i4>
      </vt:variant>
      <vt:variant>
        <vt:i4>74</vt:i4>
      </vt:variant>
      <vt:variant>
        <vt:i4>0</vt:i4>
      </vt:variant>
      <vt:variant>
        <vt:i4>5</vt:i4>
      </vt:variant>
      <vt:variant>
        <vt:lpwstr/>
      </vt:variant>
      <vt:variant>
        <vt:lpwstr>_Toc22898854</vt:lpwstr>
      </vt:variant>
      <vt:variant>
        <vt:i4>1507383</vt:i4>
      </vt:variant>
      <vt:variant>
        <vt:i4>68</vt:i4>
      </vt:variant>
      <vt:variant>
        <vt:i4>0</vt:i4>
      </vt:variant>
      <vt:variant>
        <vt:i4>5</vt:i4>
      </vt:variant>
      <vt:variant>
        <vt:lpwstr/>
      </vt:variant>
      <vt:variant>
        <vt:lpwstr>_Toc22898853</vt:lpwstr>
      </vt:variant>
      <vt:variant>
        <vt:i4>1441847</vt:i4>
      </vt:variant>
      <vt:variant>
        <vt:i4>62</vt:i4>
      </vt:variant>
      <vt:variant>
        <vt:i4>0</vt:i4>
      </vt:variant>
      <vt:variant>
        <vt:i4>5</vt:i4>
      </vt:variant>
      <vt:variant>
        <vt:lpwstr/>
      </vt:variant>
      <vt:variant>
        <vt:lpwstr>_Toc22898852</vt:lpwstr>
      </vt:variant>
      <vt:variant>
        <vt:i4>1376311</vt:i4>
      </vt:variant>
      <vt:variant>
        <vt:i4>56</vt:i4>
      </vt:variant>
      <vt:variant>
        <vt:i4>0</vt:i4>
      </vt:variant>
      <vt:variant>
        <vt:i4>5</vt:i4>
      </vt:variant>
      <vt:variant>
        <vt:lpwstr/>
      </vt:variant>
      <vt:variant>
        <vt:lpwstr>_Toc22898851</vt:lpwstr>
      </vt:variant>
      <vt:variant>
        <vt:i4>1310775</vt:i4>
      </vt:variant>
      <vt:variant>
        <vt:i4>50</vt:i4>
      </vt:variant>
      <vt:variant>
        <vt:i4>0</vt:i4>
      </vt:variant>
      <vt:variant>
        <vt:i4>5</vt:i4>
      </vt:variant>
      <vt:variant>
        <vt:lpwstr/>
      </vt:variant>
      <vt:variant>
        <vt:lpwstr>_Toc22898850</vt:lpwstr>
      </vt:variant>
      <vt:variant>
        <vt:i4>1900598</vt:i4>
      </vt:variant>
      <vt:variant>
        <vt:i4>44</vt:i4>
      </vt:variant>
      <vt:variant>
        <vt:i4>0</vt:i4>
      </vt:variant>
      <vt:variant>
        <vt:i4>5</vt:i4>
      </vt:variant>
      <vt:variant>
        <vt:lpwstr/>
      </vt:variant>
      <vt:variant>
        <vt:lpwstr>_Toc22898849</vt:lpwstr>
      </vt:variant>
      <vt:variant>
        <vt:i4>1835062</vt:i4>
      </vt:variant>
      <vt:variant>
        <vt:i4>38</vt:i4>
      </vt:variant>
      <vt:variant>
        <vt:i4>0</vt:i4>
      </vt:variant>
      <vt:variant>
        <vt:i4>5</vt:i4>
      </vt:variant>
      <vt:variant>
        <vt:lpwstr/>
      </vt:variant>
      <vt:variant>
        <vt:lpwstr>_Toc22898848</vt:lpwstr>
      </vt:variant>
      <vt:variant>
        <vt:i4>1245238</vt:i4>
      </vt:variant>
      <vt:variant>
        <vt:i4>32</vt:i4>
      </vt:variant>
      <vt:variant>
        <vt:i4>0</vt:i4>
      </vt:variant>
      <vt:variant>
        <vt:i4>5</vt:i4>
      </vt:variant>
      <vt:variant>
        <vt:lpwstr/>
      </vt:variant>
      <vt:variant>
        <vt:lpwstr>_Toc22898847</vt:lpwstr>
      </vt:variant>
      <vt:variant>
        <vt:i4>1179702</vt:i4>
      </vt:variant>
      <vt:variant>
        <vt:i4>26</vt:i4>
      </vt:variant>
      <vt:variant>
        <vt:i4>0</vt:i4>
      </vt:variant>
      <vt:variant>
        <vt:i4>5</vt:i4>
      </vt:variant>
      <vt:variant>
        <vt:lpwstr/>
      </vt:variant>
      <vt:variant>
        <vt:lpwstr>_Toc22898846</vt:lpwstr>
      </vt:variant>
      <vt:variant>
        <vt:i4>1114166</vt:i4>
      </vt:variant>
      <vt:variant>
        <vt:i4>20</vt:i4>
      </vt:variant>
      <vt:variant>
        <vt:i4>0</vt:i4>
      </vt:variant>
      <vt:variant>
        <vt:i4>5</vt:i4>
      </vt:variant>
      <vt:variant>
        <vt:lpwstr/>
      </vt:variant>
      <vt:variant>
        <vt:lpwstr>_Toc22898845</vt:lpwstr>
      </vt:variant>
      <vt:variant>
        <vt:i4>1048630</vt:i4>
      </vt:variant>
      <vt:variant>
        <vt:i4>14</vt:i4>
      </vt:variant>
      <vt:variant>
        <vt:i4>0</vt:i4>
      </vt:variant>
      <vt:variant>
        <vt:i4>5</vt:i4>
      </vt:variant>
      <vt:variant>
        <vt:lpwstr/>
      </vt:variant>
      <vt:variant>
        <vt:lpwstr>_Toc22898844</vt:lpwstr>
      </vt:variant>
      <vt:variant>
        <vt:i4>1507382</vt:i4>
      </vt:variant>
      <vt:variant>
        <vt:i4>8</vt:i4>
      </vt:variant>
      <vt:variant>
        <vt:i4>0</vt:i4>
      </vt:variant>
      <vt:variant>
        <vt:i4>5</vt:i4>
      </vt:variant>
      <vt:variant>
        <vt:lpwstr/>
      </vt:variant>
      <vt:variant>
        <vt:lpwstr>_Toc22898843</vt:lpwstr>
      </vt:variant>
      <vt:variant>
        <vt:i4>1441846</vt:i4>
      </vt:variant>
      <vt:variant>
        <vt:i4>2</vt:i4>
      </vt:variant>
      <vt:variant>
        <vt:i4>0</vt:i4>
      </vt:variant>
      <vt:variant>
        <vt:i4>5</vt:i4>
      </vt:variant>
      <vt:variant>
        <vt:lpwstr/>
      </vt:variant>
      <vt:variant>
        <vt:lpwstr>_Toc22898842</vt:lpwstr>
      </vt:variant>
      <vt:variant>
        <vt:i4>4587573</vt:i4>
      </vt:variant>
      <vt:variant>
        <vt:i4>9</vt:i4>
      </vt:variant>
      <vt:variant>
        <vt:i4>0</vt:i4>
      </vt:variant>
      <vt:variant>
        <vt:i4>5</vt:i4>
      </vt:variant>
      <vt:variant>
        <vt:lpwstr>https://www.accessdata.fda.gov/drugsatfda_docs/nda/2021/214938Orig1s000IntegratedR.pdf</vt:lpwstr>
      </vt:variant>
      <vt:variant>
        <vt:lpwstr/>
      </vt:variant>
      <vt:variant>
        <vt:i4>67</vt:i4>
      </vt:variant>
      <vt:variant>
        <vt:i4>6</vt:i4>
      </vt:variant>
      <vt:variant>
        <vt:i4>0</vt:i4>
      </vt:variant>
      <vt:variant>
        <vt:i4>5</vt:i4>
      </vt:variant>
      <vt:variant>
        <vt:lpwstr>https://www.ema.europa.eu/en/medicines/human/EPAR/voxzogo</vt:lpwstr>
      </vt:variant>
      <vt:variant>
        <vt:lpwstr>authorisation-details-section</vt:lpwstr>
      </vt:variant>
      <vt:variant>
        <vt:i4>4587543</vt:i4>
      </vt:variant>
      <vt:variant>
        <vt:i4>3</vt:i4>
      </vt:variant>
      <vt:variant>
        <vt:i4>0</vt:i4>
      </vt:variant>
      <vt:variant>
        <vt:i4>5</vt:i4>
      </vt:variant>
      <vt:variant>
        <vt:lpwstr>https://www.accessdata.fda.gov/scripts/cder/daf/index.cfm?event=overview.process&amp;varApplNo=214938</vt:lpwstr>
      </vt:variant>
      <vt:variant>
        <vt:lpwstr/>
      </vt:variant>
      <vt:variant>
        <vt:i4>67</vt:i4>
      </vt:variant>
      <vt:variant>
        <vt:i4>0</vt:i4>
      </vt:variant>
      <vt:variant>
        <vt:i4>0</vt:i4>
      </vt:variant>
      <vt:variant>
        <vt:i4>5</vt:i4>
      </vt:variant>
      <vt:variant>
        <vt:lpwstr>https://www.ema.europa.eu/en/medicines/human/EPAR/voxzogo</vt:lpwstr>
      </vt:variant>
      <vt:variant>
        <vt:lpwstr>authorisation-details-section</vt:lpwstr>
      </vt:variant>
      <vt:variant>
        <vt:i4>7798898</vt:i4>
      </vt:variant>
      <vt:variant>
        <vt:i4>12</vt:i4>
      </vt:variant>
      <vt:variant>
        <vt:i4>0</vt:i4>
      </vt:variant>
      <vt:variant>
        <vt:i4>5</vt:i4>
      </vt:variant>
      <vt:variant>
        <vt:lpwstr>https://reader.elsevier.com/reader/sd/pii/S1096719221001797?token=230A2AC5B8E8D51A614CD844E93B07E14A950F9D939A766EEEE514170A5BA95713218F323AD2778E95E3666FCBE1E949&amp;originRegion=us-east-1&amp;originCreation=20220509014845</vt:lpwstr>
      </vt:variant>
      <vt:variant>
        <vt:lpwstr/>
      </vt:variant>
      <vt:variant>
        <vt:i4>6357088</vt:i4>
      </vt:variant>
      <vt:variant>
        <vt:i4>9</vt:i4>
      </vt:variant>
      <vt:variant>
        <vt:i4>0</vt:i4>
      </vt:variant>
      <vt:variant>
        <vt:i4>5</vt:i4>
      </vt:variant>
      <vt:variant>
        <vt:lpwstr>https://investors.biomarin.com/2021-04-15-BioMarin-Announces-New-and-Updated-Data-at-2021-American-College-of-Medical-Genetics-and-Genomics-ACMG-Annual-Clinical-Genetics-Meeting-Demonstrating-Commitment-to-Understanding-Achondroplasia-and-Potential-Treatment-Choice</vt:lpwstr>
      </vt:variant>
      <vt:variant>
        <vt:lpwstr/>
      </vt:variant>
      <vt:variant>
        <vt:i4>6750263</vt:i4>
      </vt:variant>
      <vt:variant>
        <vt:i4>6</vt:i4>
      </vt:variant>
      <vt:variant>
        <vt:i4>0</vt:i4>
      </vt:variant>
      <vt:variant>
        <vt:i4>5</vt:i4>
      </vt:variant>
      <vt:variant>
        <vt:lpwstr>https://clinicaltrials.gov/ct2/show/NCT03449368</vt:lpwstr>
      </vt:variant>
      <vt:variant>
        <vt:lpwstr/>
      </vt:variant>
      <vt:variant>
        <vt:i4>2621497</vt:i4>
      </vt:variant>
      <vt:variant>
        <vt:i4>3</vt:i4>
      </vt:variant>
      <vt:variant>
        <vt:i4>0</vt:i4>
      </vt:variant>
      <vt:variant>
        <vt:i4>5</vt:i4>
      </vt:variant>
      <vt:variant>
        <vt:lpwstr>https://www.pbs.gov.au/industry/listing/elements/pbac-meetings/psd/2021-11/files/mepolizumab-psd-november-2021.pdf</vt:lpwstr>
      </vt:variant>
      <vt:variant>
        <vt:lpwstr/>
      </vt:variant>
      <vt:variant>
        <vt:i4>7733310</vt:i4>
      </vt:variant>
      <vt:variant>
        <vt:i4>0</vt:i4>
      </vt:variant>
      <vt:variant>
        <vt:i4>0</vt:i4>
      </vt:variant>
      <vt:variant>
        <vt:i4>5</vt:i4>
      </vt:variant>
      <vt:variant>
        <vt:lpwstr>https://www.pbs.gov.au/info/industry/listing/elements/pbac-meetings/psd/2021-11/mecasermin-solution-for-injection-40-mg-in-4-ml-vial-incre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2023-02-27T01:33:00Z</dcterms:created>
  <dcterms:modified xsi:type="dcterms:W3CDTF">2023-02-27T03:41:00Z</dcterms:modified>
</cp:coreProperties>
</file>