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612A76E1" w:rsidR="00B60939" w:rsidRDefault="004525CB" w:rsidP="009A0F3E">
      <w:pPr>
        <w:pStyle w:val="1-MainHeading"/>
      </w:pPr>
      <w:bookmarkStart w:id="0" w:name="_Toc103774327"/>
      <w:r w:rsidRPr="00CF4F69">
        <w:t>6.10</w:t>
      </w:r>
      <w:r w:rsidR="00163F66" w:rsidRPr="00CF4F69">
        <w:tab/>
      </w:r>
      <w:r w:rsidR="00BE5605" w:rsidRPr="00CF4F69">
        <w:t>UPADACITINIB</w:t>
      </w:r>
      <w:r w:rsidR="00163F66" w:rsidRPr="00CF4F69">
        <w:t>,</w:t>
      </w:r>
      <w:r w:rsidR="00163F66">
        <w:br/>
      </w:r>
      <w:r w:rsidR="009A0F3E">
        <w:t>T</w:t>
      </w:r>
      <w:r w:rsidR="00BE5605">
        <w:t xml:space="preserve">ablet 15 mg, </w:t>
      </w:r>
      <w:r w:rsidR="009A0F3E">
        <w:t>T</w:t>
      </w:r>
      <w:r w:rsidR="00BE5605">
        <w:t xml:space="preserve">ablet 30 mg, </w:t>
      </w:r>
      <w:r w:rsidR="009A0F3E">
        <w:t>T</w:t>
      </w:r>
      <w:r w:rsidR="00BE5605">
        <w:t>ablet 45 mg</w:t>
      </w:r>
      <w:r w:rsidR="00163F66">
        <w:t>,</w:t>
      </w:r>
      <w:r w:rsidR="00163F66">
        <w:br/>
      </w:r>
      <w:r w:rsidR="00BE5605">
        <w:t>Rinvoq</w:t>
      </w:r>
      <w:r w:rsidR="00B60939" w:rsidRPr="004A6040">
        <w:rPr>
          <w:vertAlign w:val="superscript"/>
        </w:rPr>
        <w:t>®</w:t>
      </w:r>
      <w:r w:rsidR="004A6040" w:rsidRPr="004A6040">
        <w:t>,</w:t>
      </w:r>
      <w:r w:rsidR="004A6040" w:rsidRPr="004A6040">
        <w:br/>
      </w:r>
      <w:r w:rsidR="00BE5605">
        <w:t>AbbVie Pty Ltd</w:t>
      </w:r>
      <w:r w:rsidR="00B60939" w:rsidRPr="004A6040">
        <w:t>.</w:t>
      </w:r>
      <w:bookmarkEnd w:id="0"/>
    </w:p>
    <w:p w14:paraId="6683033E" w14:textId="77777777" w:rsidR="009424B8" w:rsidRPr="00407F2D" w:rsidRDefault="009424B8" w:rsidP="009424B8">
      <w:pPr>
        <w:pStyle w:val="2-SectionHeading"/>
        <w:numPr>
          <w:ilvl w:val="0"/>
          <w:numId w:val="1"/>
        </w:numPr>
      </w:pPr>
      <w:bookmarkStart w:id="1" w:name="_Toc103774329"/>
      <w:r w:rsidRPr="00407F2D">
        <w:t xml:space="preserve">Purpose of </w:t>
      </w:r>
      <w:r>
        <w:t>submission</w:t>
      </w:r>
      <w:bookmarkEnd w:id="1"/>
    </w:p>
    <w:p w14:paraId="4B204015" w14:textId="6C5A868F" w:rsidR="009424B8" w:rsidRPr="008B1757" w:rsidRDefault="009424B8" w:rsidP="009424B8">
      <w:pPr>
        <w:pStyle w:val="3-BodyText"/>
      </w:pPr>
      <w:r>
        <w:t xml:space="preserve">The Category </w:t>
      </w:r>
      <w:r w:rsidR="00F206B8">
        <w:t xml:space="preserve">2 </w:t>
      </w:r>
      <w:r>
        <w:t xml:space="preserve">submission </w:t>
      </w:r>
      <w:r w:rsidRPr="004E18E9">
        <w:t xml:space="preserve">requested Authority Required listing </w:t>
      </w:r>
      <w:r>
        <w:t>of</w:t>
      </w:r>
      <w:r w:rsidRPr="004E18E9">
        <w:t xml:space="preserve"> </w:t>
      </w:r>
      <w:r>
        <w:t>upadacitinib (UPA)</w:t>
      </w:r>
      <w:r w:rsidRPr="004E18E9">
        <w:t xml:space="preserve"> for the treatment of </w:t>
      </w:r>
      <w:r>
        <w:t xml:space="preserve">moderate to severe ulcerative colitis (MSUC). If listed, UPA would become the second Janus kinase (JAK) inhibitor available on the PBS for MSUC and the sixth treatment option including </w:t>
      </w:r>
      <w:r w:rsidRPr="0039648C">
        <w:t>tofacitinib (TOF), vedolizumab (VDZ), golimumab (GOL)</w:t>
      </w:r>
      <w:r>
        <w:t>,</w:t>
      </w:r>
      <w:r w:rsidRPr="0039648C">
        <w:t xml:space="preserve"> infliximab (IFX)</w:t>
      </w:r>
      <w:r>
        <w:t xml:space="preserve"> and adalimumab (ADA)</w:t>
      </w:r>
      <w:r w:rsidRPr="0039648C">
        <w:t>.</w:t>
      </w:r>
    </w:p>
    <w:p w14:paraId="2F474850" w14:textId="55D44E19" w:rsidR="009424B8" w:rsidRDefault="009424B8" w:rsidP="008A7C6A">
      <w:pPr>
        <w:pStyle w:val="3-BodyText"/>
      </w:pPr>
      <w:r>
        <w:t>For induction treatment (Week 0 to 16), l</w:t>
      </w:r>
      <w:r w:rsidRPr="0039648C">
        <w:t xml:space="preserve">isting was </w:t>
      </w:r>
      <w:r>
        <w:t>sought</w:t>
      </w:r>
      <w:r w:rsidRPr="0039648C">
        <w:t xml:space="preserve"> on the basis of a cost per</w:t>
      </w:r>
      <w:r>
        <w:t xml:space="preserve"> incremental responder analysis,</w:t>
      </w:r>
      <w:r w:rsidRPr="0039648C">
        <w:t xml:space="preserve"> </w:t>
      </w:r>
      <w:r>
        <w:t xml:space="preserve">where the requested price of </w:t>
      </w:r>
      <w:r w:rsidR="00FC376F">
        <w:t xml:space="preserve">UPA </w:t>
      </w:r>
      <w:r>
        <w:t xml:space="preserve">corresponded to the </w:t>
      </w:r>
      <w:r w:rsidR="00AA546A">
        <w:t>same</w:t>
      </w:r>
      <w:r>
        <w:t xml:space="preserve"> incremental cost per responder versus no treatment as </w:t>
      </w:r>
      <w:r w:rsidR="008A7C6A">
        <w:t xml:space="preserve">the nominated comparator </w:t>
      </w:r>
      <w:r w:rsidR="007A5A2B">
        <w:t>(</w:t>
      </w:r>
      <w:r>
        <w:t xml:space="preserve">comprising of </w:t>
      </w:r>
      <w:r w:rsidR="007A5A2B">
        <w:t xml:space="preserve">a weighted average of </w:t>
      </w:r>
      <w:r>
        <w:t>TOF, VDZ, GOL and IFX</w:t>
      </w:r>
      <w:r w:rsidR="007A5A2B">
        <w:t>)</w:t>
      </w:r>
      <w:r w:rsidR="003E0640">
        <w:t xml:space="preserve"> (</w:t>
      </w:r>
      <w:r w:rsidR="003E0640" w:rsidRPr="003E0640">
        <w:rPr>
          <w:rFonts w:cstheme="minorHAnsi"/>
          <w:b/>
          <w:bCs/>
        </w:rPr>
        <w:fldChar w:fldCharType="begin" w:fldLock="1"/>
      </w:r>
      <w:r w:rsidR="003E0640" w:rsidRPr="003E0640">
        <w:rPr>
          <w:rFonts w:cstheme="minorHAnsi"/>
          <w:b/>
          <w:bCs/>
        </w:rPr>
        <w:instrText xml:space="preserve"> REF _Ref103176150 \h  \* MERGEFORMAT </w:instrText>
      </w:r>
      <w:r w:rsidR="003E0640" w:rsidRPr="003E0640">
        <w:rPr>
          <w:rFonts w:cstheme="minorHAnsi"/>
          <w:b/>
          <w:bCs/>
        </w:rPr>
      </w:r>
      <w:r w:rsidR="003E0640" w:rsidRPr="003E0640">
        <w:rPr>
          <w:rFonts w:cstheme="minorHAnsi"/>
          <w:b/>
          <w:bCs/>
        </w:rPr>
        <w:fldChar w:fldCharType="separate"/>
      </w:r>
      <w:r w:rsidR="008664BD" w:rsidRPr="008664BD">
        <w:rPr>
          <w:rStyle w:val="CommentReference"/>
          <w:rFonts w:asciiTheme="minorHAnsi" w:eastAsiaTheme="minorHAnsi" w:hAnsiTheme="minorHAnsi" w:cstheme="minorHAnsi"/>
          <w:b w:val="0"/>
          <w:bCs/>
          <w:sz w:val="24"/>
          <w:szCs w:val="24"/>
          <w:lang w:eastAsia="en-US"/>
        </w:rPr>
        <w:t xml:space="preserve">Table </w:t>
      </w:r>
      <w:r w:rsidR="008664BD" w:rsidRPr="008664BD">
        <w:rPr>
          <w:rStyle w:val="CommentReference"/>
          <w:rFonts w:asciiTheme="minorHAnsi" w:eastAsiaTheme="minorHAnsi" w:hAnsiTheme="minorHAnsi" w:cstheme="minorHAnsi"/>
          <w:b w:val="0"/>
          <w:bCs/>
          <w:noProof/>
          <w:sz w:val="24"/>
          <w:szCs w:val="24"/>
          <w:lang w:eastAsia="en-US"/>
        </w:rPr>
        <w:t>1</w:t>
      </w:r>
      <w:r w:rsidR="003E0640" w:rsidRPr="003E0640">
        <w:rPr>
          <w:rFonts w:cstheme="minorHAnsi"/>
          <w:b/>
          <w:bCs/>
        </w:rPr>
        <w:fldChar w:fldCharType="end"/>
      </w:r>
      <w:r w:rsidR="003E0640">
        <w:t>)</w:t>
      </w:r>
      <w:r>
        <w:t>. For maintenance treatment (after Week 16), listing was sought on the basis of a cost-minimisation analysis versus TOF.</w:t>
      </w:r>
    </w:p>
    <w:p w14:paraId="5CADE101" w14:textId="092D660C" w:rsidR="009424B8" w:rsidRPr="00D059BB" w:rsidRDefault="009424B8" w:rsidP="009424B8">
      <w:pPr>
        <w:pStyle w:val="Caption"/>
        <w:keepNext/>
        <w:spacing w:after="60"/>
        <w:jc w:val="left"/>
        <w:rPr>
          <w:rStyle w:val="CommentReference"/>
          <w:rFonts w:eastAsiaTheme="minorHAnsi" w:cstheme="minorBidi"/>
          <w:b/>
          <w:color w:val="auto"/>
          <w:lang w:eastAsia="en-US"/>
        </w:rPr>
      </w:pPr>
      <w:bookmarkStart w:id="2" w:name="_Ref103176150"/>
      <w:r w:rsidRPr="00D059BB">
        <w:rPr>
          <w:rStyle w:val="CommentReference"/>
          <w:rFonts w:eastAsiaTheme="minorHAnsi" w:cstheme="minorBidi"/>
          <w:b/>
          <w:color w:val="auto"/>
          <w:lang w:eastAsia="en-US"/>
        </w:rPr>
        <w:t xml:space="preserve">Table </w:t>
      </w:r>
      <w:r w:rsidRPr="00D059BB">
        <w:rPr>
          <w:rStyle w:val="CommentReference"/>
          <w:rFonts w:eastAsiaTheme="minorHAnsi" w:cstheme="minorBidi"/>
          <w:b/>
          <w:color w:val="auto"/>
          <w:lang w:eastAsia="en-US"/>
        </w:rPr>
        <w:fldChar w:fldCharType="begin" w:fldLock="1"/>
      </w:r>
      <w:r w:rsidRPr="00D059BB">
        <w:rPr>
          <w:rStyle w:val="CommentReference"/>
          <w:rFonts w:eastAsiaTheme="minorHAnsi" w:cstheme="minorBidi"/>
          <w:b/>
          <w:color w:val="auto"/>
          <w:lang w:eastAsia="en-US"/>
        </w:rPr>
        <w:instrText xml:space="preserve"> SEQ Table \* ARABIC </w:instrText>
      </w:r>
      <w:r w:rsidRPr="00D059BB">
        <w:rPr>
          <w:rStyle w:val="CommentReference"/>
          <w:rFonts w:eastAsiaTheme="minorHAnsi" w:cstheme="minorBidi"/>
          <w:b/>
          <w:color w:val="auto"/>
          <w:lang w:eastAsia="en-US"/>
        </w:rPr>
        <w:fldChar w:fldCharType="separate"/>
      </w:r>
      <w:r w:rsidR="008664BD">
        <w:rPr>
          <w:rStyle w:val="CommentReference"/>
          <w:rFonts w:eastAsiaTheme="minorHAnsi" w:cstheme="minorBidi"/>
          <w:b/>
          <w:noProof/>
          <w:color w:val="auto"/>
          <w:lang w:eastAsia="en-US"/>
        </w:rPr>
        <w:t>1</w:t>
      </w:r>
      <w:r w:rsidRPr="00D059BB">
        <w:rPr>
          <w:rStyle w:val="CommentReference"/>
          <w:rFonts w:eastAsiaTheme="minorHAnsi" w:cstheme="minorBidi"/>
          <w:b/>
          <w:color w:val="auto"/>
          <w:lang w:eastAsia="en-US"/>
        </w:rPr>
        <w:fldChar w:fldCharType="end"/>
      </w:r>
      <w:bookmarkEnd w:id="2"/>
      <w:r w:rsidRPr="00D059BB">
        <w:rPr>
          <w:rStyle w:val="CommentReference"/>
          <w:rFonts w:eastAsiaTheme="minorHAnsi" w:cstheme="minorBidi"/>
          <w:b/>
          <w:color w:val="auto"/>
          <w:lang w:eastAsia="en-US"/>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8"/>
        <w:gridCol w:w="7349"/>
      </w:tblGrid>
      <w:tr w:rsidR="009424B8" w:rsidRPr="00691913" w14:paraId="5D2BAD35" w14:textId="77777777" w:rsidTr="00313F8C">
        <w:trPr>
          <w:cantSplit/>
          <w:tblHeader/>
        </w:trPr>
        <w:tc>
          <w:tcPr>
            <w:tcW w:w="925" w:type="pct"/>
            <w:shd w:val="clear" w:color="auto" w:fill="auto"/>
          </w:tcPr>
          <w:p w14:paraId="159DC932" w14:textId="77777777" w:rsidR="009424B8" w:rsidRPr="008B1757" w:rsidRDefault="009424B8" w:rsidP="00313F8C">
            <w:pPr>
              <w:pStyle w:val="In-tableHeading"/>
              <w:rPr>
                <w:szCs w:val="20"/>
              </w:rPr>
            </w:pPr>
            <w:r w:rsidRPr="008B1757">
              <w:t>Component</w:t>
            </w:r>
          </w:p>
        </w:tc>
        <w:tc>
          <w:tcPr>
            <w:tcW w:w="4075" w:type="pct"/>
            <w:shd w:val="clear" w:color="auto" w:fill="auto"/>
          </w:tcPr>
          <w:p w14:paraId="613C30DE" w14:textId="77777777" w:rsidR="009424B8" w:rsidRPr="008B1757" w:rsidRDefault="009424B8" w:rsidP="00313F8C">
            <w:pPr>
              <w:pStyle w:val="In-tableHeading"/>
            </w:pPr>
            <w:r w:rsidRPr="008B1757">
              <w:t>Description</w:t>
            </w:r>
          </w:p>
        </w:tc>
      </w:tr>
      <w:tr w:rsidR="009424B8" w:rsidRPr="00691913" w14:paraId="44981F40" w14:textId="77777777" w:rsidTr="00313F8C">
        <w:trPr>
          <w:cantSplit/>
        </w:trPr>
        <w:tc>
          <w:tcPr>
            <w:tcW w:w="925" w:type="pct"/>
            <w:shd w:val="clear" w:color="auto" w:fill="auto"/>
          </w:tcPr>
          <w:p w14:paraId="6FA0AE0E" w14:textId="77777777" w:rsidR="009424B8" w:rsidRPr="00691913" w:rsidRDefault="009424B8" w:rsidP="00313F8C">
            <w:pPr>
              <w:pStyle w:val="TableText0"/>
            </w:pPr>
            <w:r w:rsidRPr="00691913">
              <w:t>Population</w:t>
            </w:r>
          </w:p>
        </w:tc>
        <w:tc>
          <w:tcPr>
            <w:tcW w:w="4075" w:type="pct"/>
            <w:vAlign w:val="center"/>
          </w:tcPr>
          <w:p w14:paraId="02424D32" w14:textId="77777777" w:rsidR="009424B8" w:rsidRPr="001E1E86" w:rsidRDefault="009424B8" w:rsidP="00313F8C">
            <w:pPr>
              <w:pStyle w:val="TableText0"/>
              <w:rPr>
                <w:szCs w:val="20"/>
              </w:rPr>
            </w:pPr>
            <w:r w:rsidRPr="000639B2">
              <w:t xml:space="preserve">Adult patients with </w:t>
            </w:r>
            <w:r>
              <w:t>MSUC</w:t>
            </w:r>
            <w:r w:rsidRPr="000639B2">
              <w:t xml:space="preserve"> who have </w:t>
            </w:r>
            <w:r>
              <w:t>failed to achieve an adequate response, or are contraindicated, to conventional therapies</w:t>
            </w:r>
          </w:p>
        </w:tc>
      </w:tr>
      <w:tr w:rsidR="009424B8" w:rsidRPr="00691913" w14:paraId="2F2836F0" w14:textId="77777777" w:rsidTr="00313F8C">
        <w:trPr>
          <w:cantSplit/>
        </w:trPr>
        <w:tc>
          <w:tcPr>
            <w:tcW w:w="925" w:type="pct"/>
            <w:shd w:val="clear" w:color="auto" w:fill="auto"/>
          </w:tcPr>
          <w:p w14:paraId="1AF3BAEA" w14:textId="77777777" w:rsidR="009424B8" w:rsidRPr="00691913" w:rsidRDefault="009424B8" w:rsidP="00313F8C">
            <w:pPr>
              <w:pStyle w:val="TableText0"/>
            </w:pPr>
            <w:r w:rsidRPr="00691913">
              <w:t>Intervention</w:t>
            </w:r>
          </w:p>
        </w:tc>
        <w:tc>
          <w:tcPr>
            <w:tcW w:w="4075" w:type="pct"/>
            <w:vAlign w:val="center"/>
          </w:tcPr>
          <w:p w14:paraId="13565344" w14:textId="77777777" w:rsidR="009424B8" w:rsidRDefault="009424B8" w:rsidP="00313F8C">
            <w:pPr>
              <w:pStyle w:val="TableText0"/>
            </w:pPr>
            <w:r>
              <w:t>Induction: UPA 45 mg once daily for 8 weeks (up to a maximum of 16 weeks);</w:t>
            </w:r>
          </w:p>
          <w:p w14:paraId="71C50A47" w14:textId="77777777" w:rsidR="009424B8" w:rsidRPr="00691913" w:rsidRDefault="009424B8" w:rsidP="00313F8C">
            <w:pPr>
              <w:pStyle w:val="TableText0"/>
            </w:pPr>
            <w:r>
              <w:t>Maintenance: UPA 15 mg or 30 mg once daily based on patient presentation (the recommended dose is 15 mg once daily for patients ≥65 years and the lower dose may be appropriate for patients with low burden of disease).</w:t>
            </w:r>
          </w:p>
        </w:tc>
      </w:tr>
      <w:tr w:rsidR="009424B8" w:rsidRPr="00691913" w14:paraId="20552CA0" w14:textId="77777777" w:rsidTr="00313F8C">
        <w:trPr>
          <w:cantSplit/>
        </w:trPr>
        <w:tc>
          <w:tcPr>
            <w:tcW w:w="925" w:type="pct"/>
            <w:shd w:val="clear" w:color="auto" w:fill="auto"/>
          </w:tcPr>
          <w:p w14:paraId="34D05374" w14:textId="77777777" w:rsidR="009424B8" w:rsidRPr="00691913" w:rsidRDefault="009424B8" w:rsidP="00313F8C">
            <w:pPr>
              <w:pStyle w:val="TableText0"/>
            </w:pPr>
            <w:r w:rsidRPr="00691913">
              <w:t>Comparator</w:t>
            </w:r>
          </w:p>
        </w:tc>
        <w:tc>
          <w:tcPr>
            <w:tcW w:w="4075" w:type="pct"/>
            <w:vAlign w:val="center"/>
          </w:tcPr>
          <w:p w14:paraId="371E60CF" w14:textId="2EC656D5" w:rsidR="009424B8" w:rsidRPr="00FF2186" w:rsidRDefault="009424B8" w:rsidP="00313F8C">
            <w:pPr>
              <w:pStyle w:val="TableText0"/>
            </w:pPr>
            <w:r>
              <w:t>Main comparator: TOF</w:t>
            </w:r>
            <w:r w:rsidRPr="00FF2186">
              <w:t xml:space="preserve"> 10 mg twice daily for 8 weeks; </w:t>
            </w:r>
            <w:r w:rsidRPr="00FF2186">
              <w:rPr>
                <w:rFonts w:cs="Times New Roman"/>
                <w:szCs w:val="20"/>
                <w:lang w:eastAsia="en-US"/>
              </w:rPr>
              <w:t>then 5mg twice daily (10 mg twice daily in patients who fail to maintain a response with 5mg)</w:t>
            </w:r>
            <w:r w:rsidR="00EF105B">
              <w:rPr>
                <w:rFonts w:cs="Times New Roman"/>
                <w:szCs w:val="20"/>
                <w:lang w:eastAsia="en-US"/>
              </w:rPr>
              <w:fldChar w:fldCharType="begin" w:fldLock="1"/>
            </w:r>
            <w:r w:rsidR="00EF105B">
              <w:rPr>
                <w:rFonts w:cs="Times New Roman"/>
                <w:szCs w:val="20"/>
                <w:lang w:eastAsia="en-US"/>
              </w:rPr>
              <w:instrText xml:space="preserve">  </w:instrText>
            </w:r>
            <w:r w:rsidR="00EF105B">
              <w:rPr>
                <w:rFonts w:cs="Times New Roman"/>
                <w:szCs w:val="20"/>
                <w:lang w:eastAsia="en-US"/>
              </w:rPr>
              <w:fldChar w:fldCharType="end"/>
            </w:r>
          </w:p>
          <w:p w14:paraId="2374AC9C" w14:textId="77777777" w:rsidR="009424B8" w:rsidRDefault="009424B8" w:rsidP="00313F8C">
            <w:pPr>
              <w:pStyle w:val="TableText0"/>
            </w:pPr>
            <w:r w:rsidRPr="00FF2186">
              <w:t xml:space="preserve">Supplementary comparators: </w:t>
            </w:r>
            <w:r>
              <w:t>IFX</w:t>
            </w:r>
            <w:r w:rsidRPr="00FF2186">
              <w:t xml:space="preserve">, </w:t>
            </w:r>
            <w:r>
              <w:t>VDZ</w:t>
            </w:r>
            <w:r w:rsidRPr="00FF2186">
              <w:t xml:space="preserve">, </w:t>
            </w:r>
            <w:r>
              <w:t>ADA, GOL.</w:t>
            </w:r>
          </w:p>
          <w:p w14:paraId="4E0E941E" w14:textId="77777777" w:rsidR="009424B8" w:rsidRPr="00691913" w:rsidRDefault="009424B8" w:rsidP="00313F8C">
            <w:pPr>
              <w:pStyle w:val="TableText0"/>
            </w:pPr>
            <w:r>
              <w:t>Near-market comparator: OZA</w:t>
            </w:r>
          </w:p>
        </w:tc>
      </w:tr>
      <w:tr w:rsidR="009424B8" w:rsidRPr="00691913" w14:paraId="6FB60A19" w14:textId="77777777" w:rsidTr="00313F8C">
        <w:trPr>
          <w:cantSplit/>
        </w:trPr>
        <w:tc>
          <w:tcPr>
            <w:tcW w:w="925" w:type="pct"/>
            <w:shd w:val="clear" w:color="auto" w:fill="auto"/>
          </w:tcPr>
          <w:p w14:paraId="7E9DB4E9" w14:textId="77777777" w:rsidR="009424B8" w:rsidRPr="00691913" w:rsidRDefault="009424B8" w:rsidP="00313F8C">
            <w:pPr>
              <w:pStyle w:val="TableText0"/>
            </w:pPr>
            <w:r w:rsidRPr="00691913">
              <w:t>Outcomes</w:t>
            </w:r>
          </w:p>
        </w:tc>
        <w:tc>
          <w:tcPr>
            <w:tcW w:w="4075" w:type="pct"/>
            <w:vAlign w:val="center"/>
          </w:tcPr>
          <w:p w14:paraId="03325718" w14:textId="77777777" w:rsidR="009424B8" w:rsidRPr="00D770EF" w:rsidRDefault="009424B8" w:rsidP="00313F8C">
            <w:pPr>
              <w:keepNext/>
              <w:jc w:val="left"/>
              <w:rPr>
                <w:rFonts w:ascii="Arial Narrow" w:eastAsiaTheme="minorEastAsia" w:hAnsi="Arial Narrow" w:cs="Times New Roman"/>
                <w:sz w:val="20"/>
                <w:lang w:eastAsia="en-US"/>
              </w:rPr>
            </w:pPr>
            <w:r w:rsidRPr="00D770EF">
              <w:rPr>
                <w:rFonts w:ascii="Arial Narrow" w:eastAsiaTheme="minorEastAsia" w:hAnsi="Arial Narrow" w:cs="Times New Roman"/>
                <w:sz w:val="20"/>
                <w:lang w:eastAsia="en-US"/>
              </w:rPr>
              <w:t xml:space="preserve">Indirect comparison of UPA and </w:t>
            </w:r>
            <w:r>
              <w:rPr>
                <w:rFonts w:ascii="Arial Narrow" w:eastAsiaTheme="minorEastAsia" w:hAnsi="Arial Narrow" w:cs="Times New Roman"/>
                <w:sz w:val="20"/>
                <w:lang w:eastAsia="en-US"/>
              </w:rPr>
              <w:t xml:space="preserve">the nominated comparators </w:t>
            </w:r>
            <w:r w:rsidRPr="00D770EF">
              <w:rPr>
                <w:rFonts w:ascii="Arial Narrow" w:eastAsiaTheme="minorEastAsia" w:hAnsi="Arial Narrow" w:cs="Times New Roman"/>
                <w:sz w:val="20"/>
                <w:lang w:eastAsia="en-US"/>
              </w:rPr>
              <w:t>was conducted for the following outcomes, following induction and maintenance therapy:</w:t>
            </w:r>
          </w:p>
          <w:p w14:paraId="3D43DE5A" w14:textId="77777777" w:rsidR="009424B8" w:rsidRPr="00D770EF" w:rsidRDefault="009424B8" w:rsidP="00313F8C">
            <w:pPr>
              <w:pStyle w:val="TableText0"/>
              <w:rPr>
                <w:rFonts w:eastAsia="Times New Roman" w:cs="Arial"/>
                <w:bCs w:val="0"/>
                <w:snapToGrid w:val="0"/>
                <w:szCs w:val="20"/>
              </w:rPr>
            </w:pPr>
            <w:r w:rsidRPr="00D770EF">
              <w:t>Clinical remission, clinical response, mucosal healing / endoscopic improvement</w:t>
            </w:r>
            <w:r>
              <w:t xml:space="preserve"> (TOF only)</w:t>
            </w:r>
          </w:p>
        </w:tc>
      </w:tr>
      <w:tr w:rsidR="009424B8" w14:paraId="2C1D59FF" w14:textId="77777777" w:rsidTr="00313F8C">
        <w:tc>
          <w:tcPr>
            <w:tcW w:w="925" w:type="pct"/>
            <w:vAlign w:val="center"/>
          </w:tcPr>
          <w:p w14:paraId="35AE450A" w14:textId="77777777" w:rsidR="009424B8" w:rsidRDefault="009424B8" w:rsidP="00313F8C">
            <w:pPr>
              <w:pStyle w:val="TableText0"/>
            </w:pPr>
            <w:r>
              <w:t>Clinical claim</w:t>
            </w:r>
          </w:p>
        </w:tc>
        <w:tc>
          <w:tcPr>
            <w:tcW w:w="4075" w:type="pct"/>
            <w:vAlign w:val="center"/>
          </w:tcPr>
          <w:p w14:paraId="799B5018" w14:textId="77777777" w:rsidR="009424B8" w:rsidRDefault="009424B8" w:rsidP="00313F8C">
            <w:pPr>
              <w:pStyle w:val="TableText0"/>
            </w:pPr>
            <w:r>
              <w:t xml:space="preserve">Effectiveness, induction treatment: </w:t>
            </w:r>
          </w:p>
          <w:p w14:paraId="565CA327" w14:textId="77777777" w:rsidR="009424B8" w:rsidRDefault="009424B8" w:rsidP="004626D3">
            <w:pPr>
              <w:pStyle w:val="TableText0"/>
              <w:numPr>
                <w:ilvl w:val="0"/>
                <w:numId w:val="6"/>
              </w:numPr>
            </w:pPr>
            <w:r>
              <w:t>UPA is more effective than TOF, IFX, VDZ, ADA, GOL, and OZA.</w:t>
            </w:r>
          </w:p>
          <w:p w14:paraId="3AEBE184" w14:textId="77777777" w:rsidR="009424B8" w:rsidRDefault="009424B8" w:rsidP="00313F8C">
            <w:pPr>
              <w:pStyle w:val="TableText0"/>
            </w:pPr>
            <w:r>
              <w:t xml:space="preserve">Effectiveness, maintenance treatment: </w:t>
            </w:r>
          </w:p>
          <w:p w14:paraId="06375056" w14:textId="77777777" w:rsidR="009424B8" w:rsidRDefault="009424B8" w:rsidP="004626D3">
            <w:pPr>
              <w:pStyle w:val="TableText0"/>
              <w:numPr>
                <w:ilvl w:val="0"/>
                <w:numId w:val="6"/>
              </w:numPr>
            </w:pPr>
            <w:r>
              <w:t>UPA is as effective as TOF, VDZ and GOL.</w:t>
            </w:r>
          </w:p>
          <w:p w14:paraId="13119C62" w14:textId="77777777" w:rsidR="009424B8" w:rsidRDefault="009424B8" w:rsidP="004626D3">
            <w:pPr>
              <w:pStyle w:val="TableText0"/>
              <w:numPr>
                <w:ilvl w:val="0"/>
                <w:numId w:val="6"/>
              </w:numPr>
            </w:pPr>
            <w:r>
              <w:t>UPA is more effective than OZA.</w:t>
            </w:r>
          </w:p>
          <w:p w14:paraId="25A9045D" w14:textId="77777777" w:rsidR="009424B8" w:rsidRDefault="009424B8" w:rsidP="004626D3">
            <w:pPr>
              <w:pStyle w:val="TableText0"/>
              <w:numPr>
                <w:ilvl w:val="0"/>
                <w:numId w:val="6"/>
              </w:numPr>
              <w:rPr>
                <w:rFonts w:cstheme="minorHAnsi"/>
              </w:rPr>
            </w:pPr>
            <w:r w:rsidRPr="00F6602F">
              <w:t xml:space="preserve">The therapeutic </w:t>
            </w:r>
            <w:r w:rsidRPr="00F6602F">
              <w:rPr>
                <w:rFonts w:cstheme="minorHAnsi"/>
              </w:rPr>
              <w:t xml:space="preserve">conclusions versus </w:t>
            </w:r>
            <w:r>
              <w:rPr>
                <w:rFonts w:cstheme="minorHAnsi"/>
              </w:rPr>
              <w:t>ADA</w:t>
            </w:r>
            <w:r w:rsidRPr="00F6602F">
              <w:rPr>
                <w:rFonts w:cstheme="minorHAnsi"/>
              </w:rPr>
              <w:t xml:space="preserve"> and </w:t>
            </w:r>
            <w:r>
              <w:rPr>
                <w:rFonts w:cstheme="minorHAnsi"/>
              </w:rPr>
              <w:t>IFX are</w:t>
            </w:r>
            <w:r w:rsidRPr="00F6602F">
              <w:rPr>
                <w:rFonts w:cstheme="minorHAnsi"/>
              </w:rPr>
              <w:t xml:space="preserve"> uncertain given comparisons for maintenance versus these agents were not possible due to differences in trial design</w:t>
            </w:r>
            <w:r>
              <w:rPr>
                <w:rFonts w:cstheme="minorHAnsi"/>
              </w:rPr>
              <w:t>.</w:t>
            </w:r>
          </w:p>
          <w:p w14:paraId="6019366E" w14:textId="77777777" w:rsidR="009424B8" w:rsidRDefault="009424B8" w:rsidP="00313F8C">
            <w:pPr>
              <w:pStyle w:val="TableText0"/>
              <w:rPr>
                <w:rFonts w:cstheme="minorHAnsi"/>
              </w:rPr>
            </w:pPr>
            <w:r>
              <w:rPr>
                <w:rFonts w:cstheme="minorHAnsi"/>
              </w:rPr>
              <w:t xml:space="preserve">Safety: </w:t>
            </w:r>
          </w:p>
          <w:p w14:paraId="424A0136" w14:textId="77777777" w:rsidR="009424B8" w:rsidRPr="00F6602F" w:rsidRDefault="009424B8" w:rsidP="004626D3">
            <w:pPr>
              <w:pStyle w:val="TableText0"/>
              <w:numPr>
                <w:ilvl w:val="0"/>
                <w:numId w:val="6"/>
              </w:numPr>
              <w:rPr>
                <w:rFonts w:cstheme="minorHAnsi"/>
              </w:rPr>
            </w:pPr>
            <w:r w:rsidRPr="00200DC1">
              <w:t>UPA</w:t>
            </w:r>
            <w:r>
              <w:rPr>
                <w:rFonts w:cstheme="minorHAnsi"/>
              </w:rPr>
              <w:t xml:space="preserve"> is non-inferior in terms of safety compared to </w:t>
            </w:r>
            <w:r>
              <w:t>TOF IFX, VDZ, ADA, GOL, and OZA.</w:t>
            </w:r>
          </w:p>
        </w:tc>
      </w:tr>
    </w:tbl>
    <w:p w14:paraId="7D125C42" w14:textId="77777777" w:rsidR="009424B8" w:rsidRDefault="009424B8" w:rsidP="009424B8">
      <w:pPr>
        <w:pStyle w:val="TableFigureFooter"/>
      </w:pPr>
      <w:r>
        <w:t>Source: Table 1-1, p6 of submission.</w:t>
      </w:r>
    </w:p>
    <w:p w14:paraId="446A3AE6" w14:textId="77777777" w:rsidR="009424B8" w:rsidRDefault="009424B8" w:rsidP="009424B8">
      <w:pPr>
        <w:pStyle w:val="TableFigureFooter"/>
      </w:pPr>
      <w:r w:rsidRPr="00F8361E">
        <w:t>A</w:t>
      </w:r>
      <w:r>
        <w:t xml:space="preserve">DA = adalimumab; GOL = golimumab; </w:t>
      </w:r>
      <w:r w:rsidRPr="00C51287">
        <w:t>IFX = infliximab</w:t>
      </w:r>
      <w:r>
        <w:t>; MSUC = moderate to severe ulcerative colitis; OZA = ozanimod; TOF = tofacitinib; UPA = upadacitinib; VDZ = vedolizumab.</w:t>
      </w:r>
    </w:p>
    <w:p w14:paraId="3A626B30" w14:textId="77777777" w:rsidR="009424B8" w:rsidRPr="00407F2D" w:rsidRDefault="009424B8" w:rsidP="009424B8">
      <w:pPr>
        <w:pStyle w:val="2-SectionHeading"/>
        <w:numPr>
          <w:ilvl w:val="0"/>
          <w:numId w:val="1"/>
        </w:numPr>
      </w:pPr>
      <w:bookmarkStart w:id="3" w:name="_Toc103774330"/>
      <w:r w:rsidRPr="00407F2D">
        <w:lastRenderedPageBreak/>
        <w:t>Background</w:t>
      </w:r>
      <w:bookmarkEnd w:id="3"/>
    </w:p>
    <w:p w14:paraId="6CB6DDE9" w14:textId="77777777" w:rsidR="009424B8" w:rsidRPr="004151CF" w:rsidRDefault="009424B8" w:rsidP="009424B8">
      <w:pPr>
        <w:pStyle w:val="4-SubsectionHeading"/>
      </w:pPr>
      <w:bookmarkStart w:id="4" w:name="_Toc22897638"/>
      <w:bookmarkStart w:id="5" w:name="_Toc103774331"/>
      <w:r w:rsidRPr="004151CF">
        <w:t>Registration status</w:t>
      </w:r>
      <w:bookmarkEnd w:id="4"/>
      <w:bookmarkEnd w:id="5"/>
    </w:p>
    <w:p w14:paraId="3E6C2CCE" w14:textId="684311B1" w:rsidR="009424B8" w:rsidRPr="00A132AD" w:rsidRDefault="00A004B8" w:rsidP="009424B8">
      <w:pPr>
        <w:pStyle w:val="3-BodyText"/>
      </w:pPr>
      <w:r w:rsidRPr="00A132AD">
        <w:t>The submission was made under PBAC/TGA parallel process. At time of</w:t>
      </w:r>
      <w:r w:rsidR="00736657" w:rsidRPr="00A132AD">
        <w:t xml:space="preserve"> PBAC</w:t>
      </w:r>
      <w:r w:rsidRPr="00A132AD">
        <w:t xml:space="preserve"> consideration, the clinical evaluation report (CER) was available.</w:t>
      </w:r>
    </w:p>
    <w:p w14:paraId="54281649" w14:textId="2146448D" w:rsidR="00E258F1" w:rsidRPr="00910686" w:rsidRDefault="009424B8" w:rsidP="00A1258F">
      <w:pPr>
        <w:pStyle w:val="3-BodyText"/>
        <w:rPr>
          <w:iCs/>
        </w:rPr>
      </w:pPr>
      <w:r w:rsidRPr="00910686">
        <w:rPr>
          <w:iCs/>
        </w:rPr>
        <w:t xml:space="preserve">The TGA </w:t>
      </w:r>
      <w:r w:rsidR="00E426F9" w:rsidRPr="00910686">
        <w:rPr>
          <w:iCs/>
        </w:rPr>
        <w:t>CER</w:t>
      </w:r>
      <w:r w:rsidRPr="00910686">
        <w:rPr>
          <w:iCs/>
        </w:rPr>
        <w:t xml:space="preserve"> recommended approval of UPA for the treatment of adult patients with moderate to severe active ulcerative colitis who have had an inadequate </w:t>
      </w:r>
      <w:r w:rsidRPr="00910686">
        <w:rPr>
          <w:iCs/>
          <w:color w:val="000000"/>
        </w:rPr>
        <w:t>response, loss of response or intolerance to conventional or biologic therapies (to better reflect the target population), subject to acceptable responses to some clinical questions identified.</w:t>
      </w:r>
    </w:p>
    <w:p w14:paraId="4AD22264" w14:textId="77777777" w:rsidR="00A1258F" w:rsidRPr="00422B70" w:rsidRDefault="00A1258F" w:rsidP="00A1258F">
      <w:pPr>
        <w:pStyle w:val="4-SubsectionHeading"/>
      </w:pPr>
      <w:bookmarkStart w:id="6" w:name="_Toc22897639"/>
      <w:bookmarkStart w:id="7" w:name="_Toc22898847"/>
      <w:bookmarkStart w:id="8" w:name="_Toc103774332"/>
      <w:r w:rsidRPr="00422B70">
        <w:t>Previous PBAC consideration</w:t>
      </w:r>
      <w:bookmarkEnd w:id="6"/>
      <w:bookmarkEnd w:id="7"/>
      <w:bookmarkEnd w:id="8"/>
    </w:p>
    <w:p w14:paraId="7A7E34F6" w14:textId="77777777" w:rsidR="00A1258F" w:rsidRDefault="00A1258F" w:rsidP="00A1258F">
      <w:pPr>
        <w:pStyle w:val="3-BodyText"/>
      </w:pPr>
      <w:r w:rsidRPr="00422B70">
        <w:t xml:space="preserve">The PBAC has not previously considered </w:t>
      </w:r>
      <w:r>
        <w:t>UPA</w:t>
      </w:r>
      <w:r w:rsidRPr="00422B70">
        <w:t xml:space="preserve"> for MSUC. </w:t>
      </w:r>
      <w:r>
        <w:t xml:space="preserve">UPA </w:t>
      </w:r>
      <w:r w:rsidRPr="00422B70">
        <w:t>is PBS listed for</w:t>
      </w:r>
      <w:r>
        <w:t xml:space="preserve"> rheumatoid arthritis</w:t>
      </w:r>
      <w:r w:rsidRPr="00422B70">
        <w:t xml:space="preserve"> (</w:t>
      </w:r>
      <w:r>
        <w:t>May 2020</w:t>
      </w:r>
      <w:r w:rsidRPr="00422B70">
        <w:t>)</w:t>
      </w:r>
      <w:r>
        <w:t>, psoriatic arthritis (October 2021), ankylosing spondylitis (October 2021) and atopic dermatitis (February 2022).</w:t>
      </w:r>
    </w:p>
    <w:p w14:paraId="291F7567" w14:textId="77777777" w:rsidR="009424B8" w:rsidRPr="00882085" w:rsidRDefault="009424B8" w:rsidP="009424B8">
      <w:pPr>
        <w:pStyle w:val="2-SectionHeading"/>
        <w:numPr>
          <w:ilvl w:val="0"/>
          <w:numId w:val="1"/>
        </w:numPr>
      </w:pPr>
      <w:bookmarkStart w:id="9" w:name="_Toc103774333"/>
      <w:r w:rsidRPr="00407F2D">
        <w:t>Requested listing</w:t>
      </w:r>
      <w:bookmarkEnd w:id="9"/>
    </w:p>
    <w:p w14:paraId="36E7BDAB" w14:textId="6D1DBF3D" w:rsidR="009424B8" w:rsidRPr="00F7546C" w:rsidRDefault="00910686" w:rsidP="009424B8">
      <w:pPr>
        <w:pStyle w:val="3-BodyText"/>
        <w:rPr>
          <w:rFonts w:ascii="Calibri" w:eastAsiaTheme="minorEastAsia" w:hAnsi="Calibri"/>
          <w:szCs w:val="22"/>
          <w:lang w:eastAsia="en-US"/>
        </w:rPr>
      </w:pPr>
      <w:r w:rsidRPr="00F7546C">
        <w:t>T</w:t>
      </w:r>
      <w:r w:rsidR="009424B8" w:rsidRPr="00F7546C">
        <w:t xml:space="preserve">he </w:t>
      </w:r>
      <w:r w:rsidR="00A950DF">
        <w:t>Sponsor</w:t>
      </w:r>
      <w:r w:rsidR="009424B8" w:rsidRPr="00F7546C">
        <w:t xml:space="preserve"> requested PBS listing of the UPA 45 mg formulation for initial treatment, and the UPA 30 mg and UPA 15 mg formulations for initial and continuing treatment. </w:t>
      </w:r>
      <w:r w:rsidR="00736657">
        <w:t>For brevity reasons, a</w:t>
      </w:r>
      <w:r w:rsidR="009424B8" w:rsidRPr="00F7546C">
        <w:t xml:space="preserve">n </w:t>
      </w:r>
      <w:r w:rsidR="009424B8" w:rsidRPr="00F7546C">
        <w:rPr>
          <w:rFonts w:ascii="Calibri" w:eastAsiaTheme="minorEastAsia" w:hAnsi="Calibri"/>
          <w:iCs/>
          <w:szCs w:val="22"/>
          <w:lang w:eastAsia="en-US"/>
        </w:rPr>
        <w:t xml:space="preserve">abbreviated version of the requested restrictions for initial and continuing treatment is presented below. </w:t>
      </w:r>
    </w:p>
    <w:p w14:paraId="73642D5F" w14:textId="77777777" w:rsidR="009424B8" w:rsidRPr="007D2D5F" w:rsidRDefault="009424B8" w:rsidP="009424B8">
      <w:pPr>
        <w:pStyle w:val="TableHeade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
        <w:gridCol w:w="1673"/>
        <w:gridCol w:w="1370"/>
        <w:gridCol w:w="973"/>
        <w:gridCol w:w="1009"/>
        <w:gridCol w:w="800"/>
        <w:gridCol w:w="1905"/>
        <w:gridCol w:w="1255"/>
        <w:gridCol w:w="14"/>
      </w:tblGrid>
      <w:tr w:rsidR="009424B8" w:rsidRPr="007D2D5F" w14:paraId="112086B2" w14:textId="77777777" w:rsidTr="00C64D0B">
        <w:trPr>
          <w:cantSplit/>
        </w:trPr>
        <w:tc>
          <w:tcPr>
            <w:tcW w:w="1702" w:type="pct"/>
            <w:gridSpan w:val="3"/>
            <w:tcBorders>
              <w:bottom w:val="single" w:sz="4" w:space="0" w:color="auto"/>
            </w:tcBorders>
            <w:vAlign w:val="center"/>
          </w:tcPr>
          <w:p w14:paraId="652D9710" w14:textId="77777777" w:rsidR="009424B8" w:rsidRPr="002C71CE" w:rsidRDefault="009424B8" w:rsidP="00313F8C">
            <w:pPr>
              <w:pStyle w:val="Tabletext"/>
              <w:rPr>
                <w:b/>
                <w:bCs/>
              </w:rPr>
            </w:pPr>
            <w:r w:rsidRPr="002C71CE">
              <w:rPr>
                <w:b/>
              </w:rPr>
              <w:t>Name, restriction, manner of administration, form</w:t>
            </w:r>
          </w:p>
        </w:tc>
        <w:tc>
          <w:tcPr>
            <w:tcW w:w="539" w:type="pct"/>
            <w:tcBorders>
              <w:bottom w:val="single" w:sz="4" w:space="0" w:color="auto"/>
            </w:tcBorders>
            <w:vAlign w:val="center"/>
          </w:tcPr>
          <w:p w14:paraId="21091CE7" w14:textId="77777777" w:rsidR="009424B8" w:rsidRPr="002C71CE" w:rsidRDefault="009424B8" w:rsidP="00313F8C">
            <w:pPr>
              <w:pStyle w:val="Tabletext"/>
              <w:jc w:val="center"/>
              <w:rPr>
                <w:b/>
                <w:bCs/>
              </w:rPr>
            </w:pPr>
            <w:r w:rsidRPr="002C71CE">
              <w:rPr>
                <w:b/>
              </w:rPr>
              <w:t>Maximum quantity (packs)</w:t>
            </w:r>
          </w:p>
        </w:tc>
        <w:tc>
          <w:tcPr>
            <w:tcW w:w="559" w:type="pct"/>
            <w:tcBorders>
              <w:bottom w:val="single" w:sz="4" w:space="0" w:color="auto"/>
            </w:tcBorders>
            <w:vAlign w:val="center"/>
          </w:tcPr>
          <w:p w14:paraId="75A68675" w14:textId="77777777" w:rsidR="009424B8" w:rsidRPr="002C71CE" w:rsidRDefault="009424B8" w:rsidP="00313F8C">
            <w:pPr>
              <w:pStyle w:val="Tabletext"/>
              <w:jc w:val="center"/>
              <w:rPr>
                <w:b/>
                <w:bCs/>
              </w:rPr>
            </w:pPr>
            <w:r w:rsidRPr="002C71CE">
              <w:rPr>
                <w:b/>
              </w:rPr>
              <w:t>Maximum quantity (units)</w:t>
            </w:r>
          </w:p>
        </w:tc>
        <w:tc>
          <w:tcPr>
            <w:tcW w:w="443" w:type="pct"/>
            <w:tcBorders>
              <w:bottom w:val="single" w:sz="4" w:space="0" w:color="auto"/>
            </w:tcBorders>
            <w:vAlign w:val="center"/>
          </w:tcPr>
          <w:p w14:paraId="10812DB8" w14:textId="77777777" w:rsidR="009424B8" w:rsidRPr="002C71CE" w:rsidRDefault="009424B8" w:rsidP="00313F8C">
            <w:pPr>
              <w:pStyle w:val="Tabletext"/>
              <w:jc w:val="center"/>
              <w:rPr>
                <w:b/>
                <w:bCs/>
              </w:rPr>
            </w:pPr>
            <w:r w:rsidRPr="002C71CE">
              <w:rPr>
                <w:b/>
              </w:rPr>
              <w:t>No. of repeats</w:t>
            </w:r>
          </w:p>
        </w:tc>
        <w:tc>
          <w:tcPr>
            <w:tcW w:w="1055" w:type="pct"/>
            <w:tcBorders>
              <w:bottom w:val="single" w:sz="4" w:space="0" w:color="auto"/>
            </w:tcBorders>
            <w:vAlign w:val="center"/>
          </w:tcPr>
          <w:p w14:paraId="46C39F05" w14:textId="77777777" w:rsidR="009424B8" w:rsidRPr="002C71CE" w:rsidRDefault="009424B8" w:rsidP="00313F8C">
            <w:pPr>
              <w:pStyle w:val="Tabletext"/>
              <w:jc w:val="center"/>
              <w:rPr>
                <w:b/>
                <w:bCs/>
              </w:rPr>
            </w:pPr>
            <w:r w:rsidRPr="002C71CE">
              <w:rPr>
                <w:b/>
              </w:rPr>
              <w:t>Dispensed price for maximum quantity</w:t>
            </w:r>
          </w:p>
        </w:tc>
        <w:tc>
          <w:tcPr>
            <w:tcW w:w="702" w:type="pct"/>
            <w:gridSpan w:val="2"/>
            <w:tcBorders>
              <w:bottom w:val="single" w:sz="4" w:space="0" w:color="auto"/>
            </w:tcBorders>
            <w:vAlign w:val="center"/>
          </w:tcPr>
          <w:p w14:paraId="59B85EFA" w14:textId="77777777" w:rsidR="009424B8" w:rsidRPr="002C71CE" w:rsidRDefault="009424B8" w:rsidP="00313F8C">
            <w:pPr>
              <w:pStyle w:val="Tabletext"/>
              <w:jc w:val="center"/>
              <w:rPr>
                <w:b/>
                <w:bCs/>
              </w:rPr>
            </w:pPr>
            <w:r w:rsidRPr="002C71CE">
              <w:rPr>
                <w:b/>
              </w:rPr>
              <w:t>Proprietary name and manufacturer</w:t>
            </w:r>
          </w:p>
        </w:tc>
      </w:tr>
      <w:tr w:rsidR="009424B8" w:rsidRPr="007D2D5F" w14:paraId="2CFD1599" w14:textId="77777777" w:rsidTr="00C64D0B">
        <w:trPr>
          <w:cantSplit/>
        </w:trPr>
        <w:tc>
          <w:tcPr>
            <w:tcW w:w="1702" w:type="pct"/>
            <w:gridSpan w:val="3"/>
            <w:tcBorders>
              <w:bottom w:val="nil"/>
            </w:tcBorders>
            <w:vAlign w:val="center"/>
          </w:tcPr>
          <w:p w14:paraId="27DC2764" w14:textId="77777777" w:rsidR="009424B8" w:rsidRPr="00B22945" w:rsidRDefault="009424B8" w:rsidP="00313F8C">
            <w:pPr>
              <w:pStyle w:val="Tabletext"/>
              <w:rPr>
                <w:smallCaps/>
              </w:rPr>
            </w:pPr>
            <w:r>
              <w:rPr>
                <w:smallCaps/>
              </w:rPr>
              <w:t>Upadacitinib</w:t>
            </w:r>
          </w:p>
        </w:tc>
        <w:tc>
          <w:tcPr>
            <w:tcW w:w="539" w:type="pct"/>
            <w:tcBorders>
              <w:bottom w:val="nil"/>
            </w:tcBorders>
            <w:vAlign w:val="center"/>
          </w:tcPr>
          <w:p w14:paraId="43E0012B" w14:textId="77777777" w:rsidR="009424B8" w:rsidRPr="0050174E" w:rsidRDefault="009424B8" w:rsidP="00313F8C">
            <w:pPr>
              <w:pStyle w:val="Tabletext"/>
              <w:jc w:val="center"/>
              <w:rPr>
                <w:rFonts w:ascii="Times" w:hAnsi="Times"/>
              </w:rPr>
            </w:pPr>
          </w:p>
        </w:tc>
        <w:tc>
          <w:tcPr>
            <w:tcW w:w="559" w:type="pct"/>
            <w:tcBorders>
              <w:bottom w:val="nil"/>
            </w:tcBorders>
            <w:vAlign w:val="center"/>
          </w:tcPr>
          <w:p w14:paraId="0399A04C" w14:textId="77777777" w:rsidR="009424B8" w:rsidRPr="0050174E" w:rsidRDefault="009424B8" w:rsidP="00313F8C">
            <w:pPr>
              <w:pStyle w:val="Tabletext"/>
              <w:jc w:val="center"/>
              <w:rPr>
                <w:rFonts w:ascii="Times" w:hAnsi="Times"/>
              </w:rPr>
            </w:pPr>
          </w:p>
        </w:tc>
        <w:tc>
          <w:tcPr>
            <w:tcW w:w="443" w:type="pct"/>
            <w:tcBorders>
              <w:bottom w:val="nil"/>
            </w:tcBorders>
            <w:vAlign w:val="center"/>
          </w:tcPr>
          <w:p w14:paraId="37A736A3" w14:textId="77777777" w:rsidR="009424B8" w:rsidRPr="0050174E" w:rsidRDefault="009424B8" w:rsidP="00313F8C">
            <w:pPr>
              <w:pStyle w:val="Tabletext"/>
              <w:jc w:val="center"/>
              <w:rPr>
                <w:rFonts w:ascii="Times" w:hAnsi="Times"/>
              </w:rPr>
            </w:pPr>
          </w:p>
        </w:tc>
        <w:tc>
          <w:tcPr>
            <w:tcW w:w="1055" w:type="pct"/>
            <w:tcBorders>
              <w:bottom w:val="nil"/>
            </w:tcBorders>
            <w:vAlign w:val="center"/>
          </w:tcPr>
          <w:p w14:paraId="24E7D971" w14:textId="77777777" w:rsidR="009424B8" w:rsidRPr="00845DC6" w:rsidRDefault="009424B8" w:rsidP="00313F8C">
            <w:pPr>
              <w:pStyle w:val="Tabletext"/>
              <w:jc w:val="center"/>
              <w:rPr>
                <w:rFonts w:ascii="Times" w:hAnsi="Times"/>
              </w:rPr>
            </w:pPr>
          </w:p>
        </w:tc>
        <w:tc>
          <w:tcPr>
            <w:tcW w:w="702" w:type="pct"/>
            <w:gridSpan w:val="2"/>
            <w:vMerge w:val="restart"/>
            <w:tcBorders>
              <w:top w:val="single" w:sz="4" w:space="0" w:color="auto"/>
              <w:bottom w:val="nil"/>
            </w:tcBorders>
            <w:vAlign w:val="center"/>
          </w:tcPr>
          <w:p w14:paraId="6D8D8FCD" w14:textId="77777777" w:rsidR="009424B8" w:rsidRPr="00AF35B8" w:rsidRDefault="009424B8" w:rsidP="00313F8C">
            <w:pPr>
              <w:pStyle w:val="Tabletext"/>
              <w:jc w:val="center"/>
            </w:pPr>
            <w:r w:rsidRPr="00AF35B8">
              <w:t>RINVOQ®</w:t>
            </w:r>
          </w:p>
          <w:p w14:paraId="6AD29DD0" w14:textId="77777777" w:rsidR="009424B8" w:rsidRPr="0050174E" w:rsidRDefault="009424B8" w:rsidP="00313F8C">
            <w:pPr>
              <w:pStyle w:val="Tabletext"/>
              <w:jc w:val="center"/>
              <w:rPr>
                <w:rFonts w:ascii="Times" w:hAnsi="Times"/>
              </w:rPr>
            </w:pPr>
            <w:r w:rsidRPr="00AF35B8">
              <w:t>AbbVie Pty Ltd</w:t>
            </w:r>
          </w:p>
        </w:tc>
      </w:tr>
      <w:tr w:rsidR="009424B8" w:rsidRPr="007D2D5F" w14:paraId="7599BDC6" w14:textId="77777777" w:rsidTr="00C64D0B">
        <w:trPr>
          <w:cantSplit/>
        </w:trPr>
        <w:tc>
          <w:tcPr>
            <w:tcW w:w="1702" w:type="pct"/>
            <w:gridSpan w:val="3"/>
            <w:tcBorders>
              <w:top w:val="nil"/>
              <w:bottom w:val="nil"/>
            </w:tcBorders>
            <w:vAlign w:val="center"/>
          </w:tcPr>
          <w:p w14:paraId="04324AC1" w14:textId="77777777" w:rsidR="009424B8" w:rsidRDefault="009424B8" w:rsidP="00313F8C">
            <w:pPr>
              <w:pStyle w:val="Tabletext"/>
              <w:rPr>
                <w:smallCaps/>
              </w:rPr>
            </w:pPr>
            <w:r>
              <w:rPr>
                <w:b/>
                <w:bCs/>
              </w:rPr>
              <w:t>Initial treatment</w:t>
            </w:r>
          </w:p>
        </w:tc>
        <w:tc>
          <w:tcPr>
            <w:tcW w:w="539" w:type="pct"/>
            <w:tcBorders>
              <w:top w:val="nil"/>
              <w:bottom w:val="nil"/>
            </w:tcBorders>
            <w:vAlign w:val="center"/>
          </w:tcPr>
          <w:p w14:paraId="186A7C1F" w14:textId="77777777" w:rsidR="009424B8" w:rsidRPr="0050174E" w:rsidRDefault="009424B8" w:rsidP="00313F8C">
            <w:pPr>
              <w:pStyle w:val="Tabletext"/>
              <w:jc w:val="center"/>
              <w:rPr>
                <w:rFonts w:ascii="Times" w:hAnsi="Times"/>
              </w:rPr>
            </w:pPr>
          </w:p>
        </w:tc>
        <w:tc>
          <w:tcPr>
            <w:tcW w:w="559" w:type="pct"/>
            <w:tcBorders>
              <w:top w:val="nil"/>
              <w:bottom w:val="nil"/>
            </w:tcBorders>
            <w:vAlign w:val="center"/>
          </w:tcPr>
          <w:p w14:paraId="482878F8" w14:textId="77777777" w:rsidR="009424B8" w:rsidRPr="0050174E" w:rsidRDefault="009424B8" w:rsidP="00313F8C">
            <w:pPr>
              <w:pStyle w:val="Tabletext"/>
              <w:jc w:val="center"/>
              <w:rPr>
                <w:rFonts w:ascii="Times" w:hAnsi="Times"/>
              </w:rPr>
            </w:pPr>
          </w:p>
        </w:tc>
        <w:tc>
          <w:tcPr>
            <w:tcW w:w="443" w:type="pct"/>
            <w:tcBorders>
              <w:top w:val="nil"/>
              <w:bottom w:val="nil"/>
            </w:tcBorders>
            <w:vAlign w:val="center"/>
          </w:tcPr>
          <w:p w14:paraId="53B5956A" w14:textId="77777777" w:rsidR="009424B8" w:rsidRPr="0050174E" w:rsidRDefault="009424B8" w:rsidP="00313F8C">
            <w:pPr>
              <w:pStyle w:val="Tabletext"/>
              <w:jc w:val="center"/>
              <w:rPr>
                <w:rFonts w:ascii="Times" w:hAnsi="Times"/>
              </w:rPr>
            </w:pPr>
          </w:p>
        </w:tc>
        <w:tc>
          <w:tcPr>
            <w:tcW w:w="1055" w:type="pct"/>
            <w:tcBorders>
              <w:top w:val="nil"/>
              <w:bottom w:val="nil"/>
            </w:tcBorders>
            <w:vAlign w:val="center"/>
          </w:tcPr>
          <w:p w14:paraId="7831DCBF" w14:textId="77777777" w:rsidR="009424B8" w:rsidRPr="00845DC6" w:rsidRDefault="009424B8" w:rsidP="00313F8C">
            <w:pPr>
              <w:pStyle w:val="Tabletext"/>
              <w:jc w:val="center"/>
              <w:rPr>
                <w:rFonts w:ascii="Times" w:hAnsi="Times"/>
              </w:rPr>
            </w:pPr>
          </w:p>
        </w:tc>
        <w:tc>
          <w:tcPr>
            <w:tcW w:w="702" w:type="pct"/>
            <w:gridSpan w:val="2"/>
            <w:vMerge/>
            <w:tcBorders>
              <w:top w:val="nil"/>
              <w:bottom w:val="nil"/>
            </w:tcBorders>
            <w:vAlign w:val="center"/>
          </w:tcPr>
          <w:p w14:paraId="2BEE720A" w14:textId="77777777" w:rsidR="009424B8" w:rsidRDefault="009424B8" w:rsidP="00313F8C">
            <w:pPr>
              <w:pStyle w:val="Tabletext"/>
              <w:jc w:val="center"/>
              <w:rPr>
                <w:rFonts w:ascii="Times" w:hAnsi="Times"/>
              </w:rPr>
            </w:pPr>
          </w:p>
        </w:tc>
      </w:tr>
      <w:tr w:rsidR="009424B8" w:rsidRPr="007D2D5F" w14:paraId="5884BCFD" w14:textId="77777777" w:rsidTr="00C64D0B">
        <w:trPr>
          <w:cantSplit/>
        </w:trPr>
        <w:tc>
          <w:tcPr>
            <w:tcW w:w="1702" w:type="pct"/>
            <w:gridSpan w:val="3"/>
            <w:tcBorders>
              <w:top w:val="nil"/>
              <w:bottom w:val="nil"/>
            </w:tcBorders>
            <w:vAlign w:val="center"/>
          </w:tcPr>
          <w:p w14:paraId="26125476" w14:textId="77777777" w:rsidR="009424B8" w:rsidRDefault="009424B8" w:rsidP="00313F8C">
            <w:pPr>
              <w:pStyle w:val="Tabletext"/>
              <w:rPr>
                <w:smallCaps/>
              </w:rPr>
            </w:pPr>
            <w:r>
              <w:t>45 mg tablet, 28</w:t>
            </w:r>
          </w:p>
        </w:tc>
        <w:tc>
          <w:tcPr>
            <w:tcW w:w="539" w:type="pct"/>
            <w:tcBorders>
              <w:top w:val="nil"/>
              <w:bottom w:val="nil"/>
            </w:tcBorders>
            <w:vAlign w:val="center"/>
          </w:tcPr>
          <w:p w14:paraId="283EEC57" w14:textId="77777777" w:rsidR="009424B8" w:rsidRDefault="009424B8" w:rsidP="00313F8C">
            <w:pPr>
              <w:pStyle w:val="Tabletext"/>
              <w:jc w:val="center"/>
            </w:pPr>
            <w:r>
              <w:t>1</w:t>
            </w:r>
          </w:p>
        </w:tc>
        <w:tc>
          <w:tcPr>
            <w:tcW w:w="559" w:type="pct"/>
            <w:tcBorders>
              <w:top w:val="nil"/>
              <w:bottom w:val="nil"/>
            </w:tcBorders>
            <w:vAlign w:val="center"/>
          </w:tcPr>
          <w:p w14:paraId="10FD854C" w14:textId="77777777" w:rsidR="009424B8" w:rsidRDefault="009424B8" w:rsidP="00313F8C">
            <w:pPr>
              <w:pStyle w:val="Tabletext"/>
              <w:jc w:val="center"/>
            </w:pPr>
            <w:r>
              <w:t>28</w:t>
            </w:r>
          </w:p>
        </w:tc>
        <w:tc>
          <w:tcPr>
            <w:tcW w:w="443" w:type="pct"/>
            <w:tcBorders>
              <w:top w:val="nil"/>
              <w:bottom w:val="nil"/>
            </w:tcBorders>
            <w:vAlign w:val="center"/>
          </w:tcPr>
          <w:p w14:paraId="68EF7738" w14:textId="30796CB7" w:rsidR="009424B8" w:rsidRPr="0050174E" w:rsidRDefault="009424B8" w:rsidP="00313F8C">
            <w:pPr>
              <w:pStyle w:val="Tabletext"/>
              <w:jc w:val="center"/>
            </w:pPr>
            <w:r>
              <w:t>3</w:t>
            </w:r>
          </w:p>
        </w:tc>
        <w:tc>
          <w:tcPr>
            <w:tcW w:w="1055" w:type="pct"/>
            <w:tcBorders>
              <w:top w:val="nil"/>
              <w:bottom w:val="nil"/>
            </w:tcBorders>
            <w:vAlign w:val="center"/>
          </w:tcPr>
          <w:p w14:paraId="45BD8B8A" w14:textId="74DEE840" w:rsidR="009424B8" w:rsidRPr="00E12B5A" w:rsidRDefault="009424B8" w:rsidP="00313F8C">
            <w:pPr>
              <w:pStyle w:val="Tabletext"/>
              <w:jc w:val="center"/>
            </w:pPr>
            <w:r w:rsidRPr="00E12B5A">
              <w:t>$</w:t>
            </w:r>
            <w:r w:rsidR="00035272" w:rsidRPr="00035272">
              <w:t xml:space="preserve"> </w:t>
            </w:r>
            <w:r w:rsidR="00035272" w:rsidRPr="0096520E">
              <w:rPr>
                <w:color w:val="000000"/>
                <w:spacing w:val="46"/>
                <w:shd w:val="solid" w:color="000000" w:fill="000000"/>
                <w:fitText w:val="220" w:id="-1436812544"/>
                <w14:textFill>
                  <w14:solidFill>
                    <w14:srgbClr w14:val="000000">
                      <w14:alpha w14:val="100000"/>
                    </w14:srgbClr>
                  </w14:solidFill>
                </w14:textFill>
              </w:rPr>
              <w:t>||</w:t>
            </w:r>
            <w:r w:rsidR="00035272" w:rsidRPr="0096520E">
              <w:rPr>
                <w:color w:val="000000"/>
                <w:spacing w:val="1"/>
                <w:shd w:val="solid" w:color="000000" w:fill="000000"/>
                <w:fitText w:val="220" w:id="-1436812544"/>
                <w14:textFill>
                  <w14:solidFill>
                    <w14:srgbClr w14:val="000000">
                      <w14:alpha w14:val="100000"/>
                    </w14:srgbClr>
                  </w14:solidFill>
                </w14:textFill>
              </w:rPr>
              <w:t>|</w:t>
            </w:r>
            <w:r w:rsidRPr="00E12B5A">
              <w:t xml:space="preserve"> (published</w:t>
            </w:r>
            <w:r w:rsidRPr="00E12B5A">
              <w:rPr>
                <w:vertAlign w:val="superscript"/>
              </w:rPr>
              <w:t>*</w:t>
            </w:r>
            <w:r w:rsidRPr="00E12B5A">
              <w:t>)</w:t>
            </w:r>
          </w:p>
        </w:tc>
        <w:tc>
          <w:tcPr>
            <w:tcW w:w="702" w:type="pct"/>
            <w:gridSpan w:val="2"/>
            <w:vMerge/>
            <w:tcBorders>
              <w:top w:val="nil"/>
              <w:bottom w:val="nil"/>
            </w:tcBorders>
            <w:vAlign w:val="center"/>
          </w:tcPr>
          <w:p w14:paraId="139F1210" w14:textId="77777777" w:rsidR="009424B8" w:rsidRDefault="009424B8" w:rsidP="00313F8C">
            <w:pPr>
              <w:pStyle w:val="Tabletext"/>
              <w:jc w:val="center"/>
            </w:pPr>
          </w:p>
        </w:tc>
      </w:tr>
      <w:tr w:rsidR="009424B8" w:rsidRPr="007D2D5F" w14:paraId="1C36191A" w14:textId="77777777" w:rsidTr="00C64D0B">
        <w:trPr>
          <w:cantSplit/>
        </w:trPr>
        <w:tc>
          <w:tcPr>
            <w:tcW w:w="1702" w:type="pct"/>
            <w:gridSpan w:val="3"/>
            <w:tcBorders>
              <w:top w:val="nil"/>
              <w:bottom w:val="nil"/>
            </w:tcBorders>
            <w:vAlign w:val="center"/>
          </w:tcPr>
          <w:p w14:paraId="77531331" w14:textId="77777777" w:rsidR="009424B8" w:rsidRDefault="009424B8" w:rsidP="00313F8C">
            <w:pPr>
              <w:pStyle w:val="Tabletext"/>
              <w:rPr>
                <w:smallCaps/>
              </w:rPr>
            </w:pPr>
            <w:r>
              <w:rPr>
                <w:b/>
                <w:bCs/>
              </w:rPr>
              <w:t>Initial treatment – dose change</w:t>
            </w:r>
          </w:p>
        </w:tc>
        <w:tc>
          <w:tcPr>
            <w:tcW w:w="539" w:type="pct"/>
            <w:tcBorders>
              <w:top w:val="nil"/>
              <w:bottom w:val="nil"/>
            </w:tcBorders>
            <w:vAlign w:val="center"/>
          </w:tcPr>
          <w:p w14:paraId="49144479" w14:textId="77777777" w:rsidR="009424B8" w:rsidRDefault="009424B8" w:rsidP="00313F8C">
            <w:pPr>
              <w:pStyle w:val="Tabletext"/>
              <w:jc w:val="center"/>
            </w:pPr>
          </w:p>
        </w:tc>
        <w:tc>
          <w:tcPr>
            <w:tcW w:w="559" w:type="pct"/>
            <w:tcBorders>
              <w:top w:val="nil"/>
              <w:bottom w:val="nil"/>
            </w:tcBorders>
            <w:vAlign w:val="center"/>
          </w:tcPr>
          <w:p w14:paraId="2993B199" w14:textId="77777777" w:rsidR="009424B8" w:rsidRDefault="009424B8" w:rsidP="00313F8C">
            <w:pPr>
              <w:pStyle w:val="Tabletext"/>
              <w:jc w:val="center"/>
            </w:pPr>
          </w:p>
        </w:tc>
        <w:tc>
          <w:tcPr>
            <w:tcW w:w="443" w:type="pct"/>
            <w:tcBorders>
              <w:top w:val="nil"/>
              <w:bottom w:val="nil"/>
            </w:tcBorders>
            <w:vAlign w:val="center"/>
          </w:tcPr>
          <w:p w14:paraId="2210F3AE" w14:textId="77777777" w:rsidR="009424B8" w:rsidRPr="0050174E" w:rsidRDefault="009424B8" w:rsidP="00313F8C">
            <w:pPr>
              <w:pStyle w:val="Tabletext"/>
              <w:jc w:val="center"/>
            </w:pPr>
          </w:p>
        </w:tc>
        <w:tc>
          <w:tcPr>
            <w:tcW w:w="1055" w:type="pct"/>
            <w:tcBorders>
              <w:top w:val="nil"/>
              <w:bottom w:val="nil"/>
            </w:tcBorders>
            <w:vAlign w:val="center"/>
          </w:tcPr>
          <w:p w14:paraId="7F611D6B" w14:textId="77777777" w:rsidR="009424B8" w:rsidRPr="00E12B5A" w:rsidRDefault="009424B8" w:rsidP="00313F8C">
            <w:pPr>
              <w:pStyle w:val="Tabletext"/>
              <w:jc w:val="center"/>
            </w:pPr>
          </w:p>
        </w:tc>
        <w:tc>
          <w:tcPr>
            <w:tcW w:w="702" w:type="pct"/>
            <w:gridSpan w:val="2"/>
            <w:vMerge/>
            <w:tcBorders>
              <w:top w:val="nil"/>
              <w:bottom w:val="nil"/>
            </w:tcBorders>
            <w:vAlign w:val="center"/>
          </w:tcPr>
          <w:p w14:paraId="4BB28F73" w14:textId="77777777" w:rsidR="009424B8" w:rsidRDefault="009424B8" w:rsidP="00313F8C">
            <w:pPr>
              <w:pStyle w:val="Tabletext"/>
              <w:jc w:val="center"/>
            </w:pPr>
          </w:p>
        </w:tc>
      </w:tr>
      <w:tr w:rsidR="009424B8" w:rsidRPr="007D2D5F" w14:paraId="63C6A957" w14:textId="77777777" w:rsidTr="00C64D0B">
        <w:trPr>
          <w:cantSplit/>
        </w:trPr>
        <w:tc>
          <w:tcPr>
            <w:tcW w:w="1702" w:type="pct"/>
            <w:gridSpan w:val="3"/>
            <w:tcBorders>
              <w:top w:val="nil"/>
              <w:bottom w:val="nil"/>
            </w:tcBorders>
            <w:vAlign w:val="center"/>
          </w:tcPr>
          <w:p w14:paraId="626DCA9E" w14:textId="77777777" w:rsidR="009424B8" w:rsidRDefault="009424B8" w:rsidP="00313F8C">
            <w:pPr>
              <w:pStyle w:val="Tabletext"/>
              <w:rPr>
                <w:smallCaps/>
              </w:rPr>
            </w:pPr>
            <w:r>
              <w:t>30 mg tablet, 28</w:t>
            </w:r>
          </w:p>
        </w:tc>
        <w:tc>
          <w:tcPr>
            <w:tcW w:w="539" w:type="pct"/>
            <w:tcBorders>
              <w:top w:val="nil"/>
              <w:bottom w:val="nil"/>
            </w:tcBorders>
            <w:vAlign w:val="center"/>
          </w:tcPr>
          <w:p w14:paraId="2902F6E0" w14:textId="77777777" w:rsidR="009424B8" w:rsidRDefault="009424B8" w:rsidP="00313F8C">
            <w:pPr>
              <w:pStyle w:val="Tabletext"/>
              <w:jc w:val="center"/>
            </w:pPr>
            <w:r>
              <w:t>1</w:t>
            </w:r>
          </w:p>
        </w:tc>
        <w:tc>
          <w:tcPr>
            <w:tcW w:w="559" w:type="pct"/>
            <w:tcBorders>
              <w:top w:val="nil"/>
              <w:bottom w:val="nil"/>
            </w:tcBorders>
            <w:vAlign w:val="center"/>
          </w:tcPr>
          <w:p w14:paraId="71C5C34B" w14:textId="77777777" w:rsidR="009424B8" w:rsidRDefault="009424B8" w:rsidP="00313F8C">
            <w:pPr>
              <w:pStyle w:val="Tabletext"/>
              <w:jc w:val="center"/>
            </w:pPr>
            <w:r>
              <w:t>28</w:t>
            </w:r>
          </w:p>
        </w:tc>
        <w:tc>
          <w:tcPr>
            <w:tcW w:w="443" w:type="pct"/>
            <w:tcBorders>
              <w:top w:val="nil"/>
              <w:bottom w:val="nil"/>
            </w:tcBorders>
            <w:vAlign w:val="center"/>
          </w:tcPr>
          <w:p w14:paraId="4AE1FEDE" w14:textId="77777777" w:rsidR="009424B8" w:rsidRPr="0050174E" w:rsidRDefault="009424B8" w:rsidP="00313F8C">
            <w:pPr>
              <w:pStyle w:val="Tabletext"/>
              <w:jc w:val="center"/>
            </w:pPr>
            <w:r>
              <w:t>1</w:t>
            </w:r>
          </w:p>
        </w:tc>
        <w:tc>
          <w:tcPr>
            <w:tcW w:w="1055" w:type="pct"/>
            <w:tcBorders>
              <w:top w:val="nil"/>
              <w:bottom w:val="nil"/>
            </w:tcBorders>
            <w:vAlign w:val="center"/>
          </w:tcPr>
          <w:p w14:paraId="5AFB76C5" w14:textId="77777777" w:rsidR="009424B8" w:rsidRPr="00E12B5A" w:rsidRDefault="009424B8" w:rsidP="00313F8C">
            <w:pPr>
              <w:pStyle w:val="Tabletext"/>
              <w:jc w:val="center"/>
            </w:pPr>
            <w:r w:rsidRPr="00E12B5A">
              <w:t>$2076.38 (published</w:t>
            </w:r>
            <w:r w:rsidRPr="00E12B5A">
              <w:rPr>
                <w:vertAlign w:val="superscript"/>
              </w:rPr>
              <w:t>*</w:t>
            </w:r>
            <w:r w:rsidRPr="00E12B5A">
              <w:t>)</w:t>
            </w:r>
          </w:p>
        </w:tc>
        <w:tc>
          <w:tcPr>
            <w:tcW w:w="702" w:type="pct"/>
            <w:gridSpan w:val="2"/>
            <w:vMerge/>
            <w:tcBorders>
              <w:top w:val="nil"/>
              <w:bottom w:val="nil"/>
            </w:tcBorders>
            <w:vAlign w:val="center"/>
          </w:tcPr>
          <w:p w14:paraId="7C084186" w14:textId="77777777" w:rsidR="009424B8" w:rsidRDefault="009424B8" w:rsidP="00313F8C">
            <w:pPr>
              <w:pStyle w:val="Tabletext"/>
              <w:jc w:val="center"/>
            </w:pPr>
          </w:p>
        </w:tc>
      </w:tr>
      <w:tr w:rsidR="009424B8" w:rsidRPr="007D2D5F" w14:paraId="0B3E21BD" w14:textId="77777777" w:rsidTr="00C64D0B">
        <w:trPr>
          <w:cantSplit/>
        </w:trPr>
        <w:tc>
          <w:tcPr>
            <w:tcW w:w="1702" w:type="pct"/>
            <w:gridSpan w:val="3"/>
            <w:tcBorders>
              <w:top w:val="nil"/>
              <w:bottom w:val="nil"/>
            </w:tcBorders>
            <w:vAlign w:val="center"/>
          </w:tcPr>
          <w:p w14:paraId="575B4B97" w14:textId="77777777" w:rsidR="009424B8" w:rsidRDefault="009424B8" w:rsidP="00313F8C">
            <w:pPr>
              <w:pStyle w:val="Tabletext"/>
              <w:rPr>
                <w:smallCaps/>
              </w:rPr>
            </w:pPr>
            <w:r>
              <w:t>15 mg tablet, 28</w:t>
            </w:r>
          </w:p>
        </w:tc>
        <w:tc>
          <w:tcPr>
            <w:tcW w:w="539" w:type="pct"/>
            <w:tcBorders>
              <w:top w:val="nil"/>
              <w:bottom w:val="nil"/>
            </w:tcBorders>
            <w:vAlign w:val="center"/>
          </w:tcPr>
          <w:p w14:paraId="646FC9A7" w14:textId="77777777" w:rsidR="009424B8" w:rsidRDefault="009424B8" w:rsidP="00313F8C">
            <w:pPr>
              <w:pStyle w:val="Tabletext"/>
              <w:jc w:val="center"/>
            </w:pPr>
            <w:r>
              <w:t>1</w:t>
            </w:r>
          </w:p>
        </w:tc>
        <w:tc>
          <w:tcPr>
            <w:tcW w:w="559" w:type="pct"/>
            <w:tcBorders>
              <w:top w:val="nil"/>
              <w:bottom w:val="nil"/>
            </w:tcBorders>
            <w:vAlign w:val="center"/>
          </w:tcPr>
          <w:p w14:paraId="2F97F7CA" w14:textId="77777777" w:rsidR="009424B8" w:rsidRDefault="009424B8" w:rsidP="00313F8C">
            <w:pPr>
              <w:pStyle w:val="Tabletext"/>
              <w:jc w:val="center"/>
            </w:pPr>
            <w:r>
              <w:t>28</w:t>
            </w:r>
          </w:p>
        </w:tc>
        <w:tc>
          <w:tcPr>
            <w:tcW w:w="443" w:type="pct"/>
            <w:tcBorders>
              <w:top w:val="nil"/>
              <w:bottom w:val="nil"/>
            </w:tcBorders>
            <w:vAlign w:val="center"/>
          </w:tcPr>
          <w:p w14:paraId="7409DE57" w14:textId="77777777" w:rsidR="009424B8" w:rsidRPr="0050174E" w:rsidRDefault="009424B8" w:rsidP="00313F8C">
            <w:pPr>
              <w:pStyle w:val="Tabletext"/>
              <w:jc w:val="center"/>
            </w:pPr>
            <w:r>
              <w:t>1</w:t>
            </w:r>
          </w:p>
        </w:tc>
        <w:tc>
          <w:tcPr>
            <w:tcW w:w="1055" w:type="pct"/>
            <w:tcBorders>
              <w:top w:val="nil"/>
              <w:bottom w:val="nil"/>
            </w:tcBorders>
            <w:vAlign w:val="center"/>
          </w:tcPr>
          <w:p w14:paraId="39A3A744" w14:textId="77777777" w:rsidR="009424B8" w:rsidRPr="00E12B5A" w:rsidRDefault="009424B8" w:rsidP="00313F8C">
            <w:pPr>
              <w:pStyle w:val="Tabletext"/>
              <w:jc w:val="center"/>
            </w:pPr>
            <w:r w:rsidRPr="00E12B5A">
              <w:t>$1271.40 (published</w:t>
            </w:r>
            <w:r w:rsidRPr="00E12B5A">
              <w:rPr>
                <w:vertAlign w:val="superscript"/>
              </w:rPr>
              <w:t>*</w:t>
            </w:r>
            <w:r w:rsidRPr="00E12B5A">
              <w:t>)</w:t>
            </w:r>
          </w:p>
        </w:tc>
        <w:tc>
          <w:tcPr>
            <w:tcW w:w="702" w:type="pct"/>
            <w:gridSpan w:val="2"/>
            <w:vMerge/>
            <w:tcBorders>
              <w:top w:val="nil"/>
              <w:bottom w:val="nil"/>
            </w:tcBorders>
            <w:vAlign w:val="center"/>
          </w:tcPr>
          <w:p w14:paraId="5654B8B0" w14:textId="77777777" w:rsidR="009424B8" w:rsidRDefault="009424B8" w:rsidP="00313F8C">
            <w:pPr>
              <w:pStyle w:val="Tabletext"/>
              <w:jc w:val="center"/>
            </w:pPr>
          </w:p>
        </w:tc>
      </w:tr>
      <w:tr w:rsidR="009424B8" w:rsidRPr="007D2D5F" w14:paraId="240EEC5A" w14:textId="77777777" w:rsidTr="00C64D0B">
        <w:trPr>
          <w:cantSplit/>
        </w:trPr>
        <w:tc>
          <w:tcPr>
            <w:tcW w:w="1702" w:type="pct"/>
            <w:gridSpan w:val="3"/>
            <w:tcBorders>
              <w:top w:val="nil"/>
              <w:bottom w:val="nil"/>
            </w:tcBorders>
            <w:vAlign w:val="center"/>
          </w:tcPr>
          <w:p w14:paraId="69A1156B" w14:textId="77777777" w:rsidR="009424B8" w:rsidRPr="00C40919" w:rsidRDefault="009424B8" w:rsidP="00313F8C">
            <w:pPr>
              <w:pStyle w:val="Tabletext"/>
              <w:rPr>
                <w:b/>
                <w:bCs/>
              </w:rPr>
            </w:pPr>
            <w:r>
              <w:rPr>
                <w:b/>
                <w:bCs/>
              </w:rPr>
              <w:t>Continuing treatment</w:t>
            </w:r>
          </w:p>
        </w:tc>
        <w:tc>
          <w:tcPr>
            <w:tcW w:w="539" w:type="pct"/>
            <w:tcBorders>
              <w:top w:val="nil"/>
              <w:bottom w:val="nil"/>
            </w:tcBorders>
            <w:vAlign w:val="center"/>
          </w:tcPr>
          <w:p w14:paraId="63BF87D4" w14:textId="77777777" w:rsidR="009424B8" w:rsidRDefault="009424B8" w:rsidP="00313F8C">
            <w:pPr>
              <w:pStyle w:val="Tabletext"/>
              <w:jc w:val="center"/>
            </w:pPr>
          </w:p>
        </w:tc>
        <w:tc>
          <w:tcPr>
            <w:tcW w:w="559" w:type="pct"/>
            <w:tcBorders>
              <w:top w:val="nil"/>
              <w:bottom w:val="nil"/>
            </w:tcBorders>
            <w:vAlign w:val="center"/>
          </w:tcPr>
          <w:p w14:paraId="45CAC7AD" w14:textId="77777777" w:rsidR="009424B8" w:rsidRDefault="009424B8" w:rsidP="00313F8C">
            <w:pPr>
              <w:pStyle w:val="Tabletext"/>
              <w:jc w:val="center"/>
            </w:pPr>
          </w:p>
        </w:tc>
        <w:tc>
          <w:tcPr>
            <w:tcW w:w="443" w:type="pct"/>
            <w:tcBorders>
              <w:top w:val="nil"/>
              <w:bottom w:val="nil"/>
            </w:tcBorders>
            <w:vAlign w:val="center"/>
          </w:tcPr>
          <w:p w14:paraId="0F5B14C3" w14:textId="77777777" w:rsidR="009424B8" w:rsidRPr="0050174E" w:rsidRDefault="009424B8" w:rsidP="00313F8C">
            <w:pPr>
              <w:pStyle w:val="Tabletext"/>
              <w:jc w:val="center"/>
            </w:pPr>
          </w:p>
        </w:tc>
        <w:tc>
          <w:tcPr>
            <w:tcW w:w="1055" w:type="pct"/>
            <w:tcBorders>
              <w:top w:val="nil"/>
              <w:bottom w:val="nil"/>
            </w:tcBorders>
            <w:vAlign w:val="center"/>
          </w:tcPr>
          <w:p w14:paraId="3438394F" w14:textId="77777777" w:rsidR="009424B8" w:rsidRPr="00E12B5A" w:rsidRDefault="009424B8" w:rsidP="00313F8C">
            <w:pPr>
              <w:pStyle w:val="Tabletext"/>
              <w:jc w:val="center"/>
            </w:pPr>
          </w:p>
        </w:tc>
        <w:tc>
          <w:tcPr>
            <w:tcW w:w="702" w:type="pct"/>
            <w:gridSpan w:val="2"/>
            <w:vMerge/>
            <w:tcBorders>
              <w:top w:val="nil"/>
              <w:bottom w:val="nil"/>
            </w:tcBorders>
            <w:vAlign w:val="center"/>
          </w:tcPr>
          <w:p w14:paraId="6BFB5593" w14:textId="77777777" w:rsidR="009424B8" w:rsidRDefault="009424B8" w:rsidP="00313F8C">
            <w:pPr>
              <w:pStyle w:val="Tabletext"/>
              <w:jc w:val="center"/>
            </w:pPr>
          </w:p>
        </w:tc>
      </w:tr>
      <w:tr w:rsidR="009424B8" w:rsidRPr="007D2D5F" w14:paraId="2D959D6F" w14:textId="77777777" w:rsidTr="00C64D0B">
        <w:trPr>
          <w:cantSplit/>
        </w:trPr>
        <w:tc>
          <w:tcPr>
            <w:tcW w:w="1702" w:type="pct"/>
            <w:gridSpan w:val="3"/>
            <w:tcBorders>
              <w:top w:val="nil"/>
              <w:bottom w:val="nil"/>
            </w:tcBorders>
            <w:vAlign w:val="center"/>
          </w:tcPr>
          <w:p w14:paraId="6B8E0D96" w14:textId="77777777" w:rsidR="009424B8" w:rsidRPr="00C40919" w:rsidRDefault="009424B8" w:rsidP="00313F8C">
            <w:pPr>
              <w:pStyle w:val="Tabletext"/>
            </w:pPr>
            <w:r>
              <w:t>30 mg tablet, 28</w:t>
            </w:r>
          </w:p>
        </w:tc>
        <w:tc>
          <w:tcPr>
            <w:tcW w:w="539" w:type="pct"/>
            <w:tcBorders>
              <w:top w:val="nil"/>
              <w:bottom w:val="nil"/>
            </w:tcBorders>
            <w:vAlign w:val="center"/>
          </w:tcPr>
          <w:p w14:paraId="43AC2BFA" w14:textId="77777777" w:rsidR="009424B8" w:rsidRDefault="009424B8" w:rsidP="00313F8C">
            <w:pPr>
              <w:pStyle w:val="Tabletext"/>
              <w:jc w:val="center"/>
            </w:pPr>
            <w:r>
              <w:t>1</w:t>
            </w:r>
          </w:p>
        </w:tc>
        <w:tc>
          <w:tcPr>
            <w:tcW w:w="559" w:type="pct"/>
            <w:tcBorders>
              <w:top w:val="nil"/>
              <w:bottom w:val="nil"/>
            </w:tcBorders>
            <w:vAlign w:val="center"/>
          </w:tcPr>
          <w:p w14:paraId="3F1FF2A8" w14:textId="77777777" w:rsidR="009424B8" w:rsidRDefault="009424B8" w:rsidP="00313F8C">
            <w:pPr>
              <w:pStyle w:val="Tabletext"/>
              <w:jc w:val="center"/>
            </w:pPr>
            <w:r>
              <w:t>28</w:t>
            </w:r>
          </w:p>
        </w:tc>
        <w:tc>
          <w:tcPr>
            <w:tcW w:w="443" w:type="pct"/>
            <w:tcBorders>
              <w:top w:val="nil"/>
              <w:bottom w:val="nil"/>
            </w:tcBorders>
            <w:vAlign w:val="center"/>
          </w:tcPr>
          <w:p w14:paraId="47ACF2E5" w14:textId="77777777" w:rsidR="009424B8" w:rsidRPr="0050174E" w:rsidRDefault="009424B8" w:rsidP="00313F8C">
            <w:pPr>
              <w:pStyle w:val="Tabletext"/>
              <w:jc w:val="center"/>
            </w:pPr>
            <w:r>
              <w:t>5</w:t>
            </w:r>
          </w:p>
        </w:tc>
        <w:tc>
          <w:tcPr>
            <w:tcW w:w="1055" w:type="pct"/>
            <w:tcBorders>
              <w:top w:val="nil"/>
              <w:bottom w:val="nil"/>
            </w:tcBorders>
            <w:vAlign w:val="center"/>
          </w:tcPr>
          <w:p w14:paraId="50EF0931" w14:textId="77777777" w:rsidR="009424B8" w:rsidRPr="00E12B5A" w:rsidRDefault="009424B8" w:rsidP="00313F8C">
            <w:pPr>
              <w:pStyle w:val="Tabletext"/>
              <w:jc w:val="center"/>
            </w:pPr>
            <w:r w:rsidRPr="00E12B5A">
              <w:t>$2076.38 (published</w:t>
            </w:r>
            <w:r w:rsidRPr="00E12B5A">
              <w:rPr>
                <w:vertAlign w:val="superscript"/>
              </w:rPr>
              <w:t>*</w:t>
            </w:r>
            <w:r w:rsidRPr="00E12B5A">
              <w:t>)</w:t>
            </w:r>
          </w:p>
        </w:tc>
        <w:tc>
          <w:tcPr>
            <w:tcW w:w="702" w:type="pct"/>
            <w:gridSpan w:val="2"/>
            <w:vMerge/>
            <w:tcBorders>
              <w:top w:val="nil"/>
              <w:bottom w:val="nil"/>
            </w:tcBorders>
            <w:vAlign w:val="center"/>
          </w:tcPr>
          <w:p w14:paraId="7D407A02" w14:textId="77777777" w:rsidR="009424B8" w:rsidRDefault="009424B8" w:rsidP="00313F8C">
            <w:pPr>
              <w:pStyle w:val="Tabletext"/>
              <w:jc w:val="center"/>
            </w:pPr>
          </w:p>
        </w:tc>
      </w:tr>
      <w:tr w:rsidR="009424B8" w:rsidRPr="007D2D5F" w14:paraId="761CE69E" w14:textId="77777777" w:rsidTr="00C64D0B">
        <w:trPr>
          <w:cantSplit/>
        </w:trPr>
        <w:tc>
          <w:tcPr>
            <w:tcW w:w="1702" w:type="pct"/>
            <w:gridSpan w:val="3"/>
            <w:tcBorders>
              <w:top w:val="nil"/>
              <w:bottom w:val="nil"/>
            </w:tcBorders>
            <w:vAlign w:val="center"/>
          </w:tcPr>
          <w:p w14:paraId="5FC564CB" w14:textId="77777777" w:rsidR="009424B8" w:rsidRPr="00C40919" w:rsidRDefault="009424B8" w:rsidP="00313F8C">
            <w:pPr>
              <w:pStyle w:val="Tabletext"/>
            </w:pPr>
            <w:r>
              <w:t>15 mg tablet, 28</w:t>
            </w:r>
          </w:p>
        </w:tc>
        <w:tc>
          <w:tcPr>
            <w:tcW w:w="539" w:type="pct"/>
            <w:tcBorders>
              <w:top w:val="nil"/>
              <w:bottom w:val="nil"/>
            </w:tcBorders>
            <w:vAlign w:val="center"/>
          </w:tcPr>
          <w:p w14:paraId="32B8A5CD" w14:textId="77777777" w:rsidR="009424B8" w:rsidRDefault="009424B8" w:rsidP="00313F8C">
            <w:pPr>
              <w:pStyle w:val="Tabletext"/>
              <w:jc w:val="center"/>
            </w:pPr>
            <w:r>
              <w:t>1</w:t>
            </w:r>
          </w:p>
        </w:tc>
        <w:tc>
          <w:tcPr>
            <w:tcW w:w="559" w:type="pct"/>
            <w:tcBorders>
              <w:top w:val="nil"/>
              <w:bottom w:val="nil"/>
            </w:tcBorders>
            <w:vAlign w:val="center"/>
          </w:tcPr>
          <w:p w14:paraId="70BD6C15" w14:textId="77777777" w:rsidR="009424B8" w:rsidRDefault="009424B8" w:rsidP="00313F8C">
            <w:pPr>
              <w:pStyle w:val="Tabletext"/>
              <w:jc w:val="center"/>
            </w:pPr>
            <w:r>
              <w:t>28</w:t>
            </w:r>
          </w:p>
        </w:tc>
        <w:tc>
          <w:tcPr>
            <w:tcW w:w="443" w:type="pct"/>
            <w:tcBorders>
              <w:top w:val="nil"/>
              <w:bottom w:val="nil"/>
            </w:tcBorders>
            <w:vAlign w:val="center"/>
          </w:tcPr>
          <w:p w14:paraId="2DE84DD4" w14:textId="77777777" w:rsidR="009424B8" w:rsidRPr="0050174E" w:rsidRDefault="009424B8" w:rsidP="00313F8C">
            <w:pPr>
              <w:pStyle w:val="Tabletext"/>
              <w:jc w:val="center"/>
            </w:pPr>
            <w:r>
              <w:t>5</w:t>
            </w:r>
          </w:p>
        </w:tc>
        <w:tc>
          <w:tcPr>
            <w:tcW w:w="1055" w:type="pct"/>
            <w:tcBorders>
              <w:top w:val="nil"/>
              <w:bottom w:val="nil"/>
            </w:tcBorders>
            <w:vAlign w:val="center"/>
          </w:tcPr>
          <w:p w14:paraId="43FE7C95" w14:textId="77777777" w:rsidR="009424B8" w:rsidRPr="0050174E" w:rsidRDefault="009424B8" w:rsidP="00313F8C">
            <w:pPr>
              <w:pStyle w:val="Tabletext"/>
              <w:jc w:val="center"/>
            </w:pPr>
            <w:r w:rsidRPr="00E12B5A">
              <w:t>$</w:t>
            </w:r>
            <w:r w:rsidRPr="00E12B5A">
              <w:rPr>
                <w:shd w:val="clear" w:color="auto" w:fill="FFFFFF" w:themeFill="background1"/>
              </w:rPr>
              <w:t xml:space="preserve">1271.40 </w:t>
            </w:r>
            <w:r>
              <w:t>(</w:t>
            </w:r>
            <w:r w:rsidRPr="0050174E">
              <w:t>published</w:t>
            </w:r>
            <w:r>
              <w:rPr>
                <w:vertAlign w:val="superscript"/>
              </w:rPr>
              <w:t>*</w:t>
            </w:r>
            <w:r>
              <w:t>)</w:t>
            </w:r>
          </w:p>
        </w:tc>
        <w:tc>
          <w:tcPr>
            <w:tcW w:w="702" w:type="pct"/>
            <w:gridSpan w:val="2"/>
            <w:vMerge/>
            <w:tcBorders>
              <w:top w:val="nil"/>
              <w:bottom w:val="nil"/>
            </w:tcBorders>
            <w:vAlign w:val="center"/>
          </w:tcPr>
          <w:p w14:paraId="14FE2D4F" w14:textId="77777777" w:rsidR="009424B8" w:rsidRDefault="009424B8" w:rsidP="00313F8C">
            <w:pPr>
              <w:pStyle w:val="Tabletext"/>
              <w:jc w:val="center"/>
            </w:pPr>
          </w:p>
        </w:tc>
      </w:tr>
      <w:tr w:rsidR="009424B8" w:rsidRPr="00A30A33" w14:paraId="28063CCF"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4DC84112" w14:textId="77777777" w:rsidR="009424B8" w:rsidRPr="00A30A33" w:rsidRDefault="009424B8" w:rsidP="00313F8C">
            <w:pPr>
              <w:pStyle w:val="Tabletext"/>
            </w:pPr>
            <w:r>
              <w:t>Category/Program:</w:t>
            </w:r>
          </w:p>
        </w:tc>
        <w:tc>
          <w:tcPr>
            <w:tcW w:w="4050" w:type="pct"/>
            <w:gridSpan w:val="6"/>
            <w:tcBorders>
              <w:top w:val="single" w:sz="4" w:space="0" w:color="auto"/>
              <w:left w:val="single" w:sz="4" w:space="0" w:color="auto"/>
              <w:bottom w:val="single" w:sz="4" w:space="0" w:color="auto"/>
              <w:right w:val="single" w:sz="4" w:space="0" w:color="auto"/>
            </w:tcBorders>
          </w:tcPr>
          <w:p w14:paraId="16752B2E" w14:textId="77777777" w:rsidR="009424B8" w:rsidRPr="00A30A33" w:rsidRDefault="009424B8" w:rsidP="00313F8C">
            <w:pPr>
              <w:pStyle w:val="Tabletext"/>
            </w:pPr>
            <w:r>
              <w:t>General Schedule</w:t>
            </w:r>
          </w:p>
        </w:tc>
      </w:tr>
      <w:tr w:rsidR="009424B8" w:rsidRPr="00A30A33" w14:paraId="2D554EBF"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1257946A" w14:textId="77777777" w:rsidR="009424B8" w:rsidRPr="00A30A33" w:rsidRDefault="009424B8" w:rsidP="00313F8C">
            <w:pPr>
              <w:pStyle w:val="Tabletext"/>
            </w:pPr>
            <w:r>
              <w:t>PBS indication:</w:t>
            </w:r>
          </w:p>
        </w:tc>
        <w:tc>
          <w:tcPr>
            <w:tcW w:w="4050" w:type="pct"/>
            <w:gridSpan w:val="6"/>
            <w:tcBorders>
              <w:top w:val="single" w:sz="4" w:space="0" w:color="auto"/>
              <w:left w:val="single" w:sz="4" w:space="0" w:color="auto"/>
              <w:bottom w:val="single" w:sz="4" w:space="0" w:color="auto"/>
              <w:right w:val="single" w:sz="4" w:space="0" w:color="auto"/>
            </w:tcBorders>
          </w:tcPr>
          <w:p w14:paraId="44E5575C" w14:textId="77777777" w:rsidR="009424B8" w:rsidRPr="00A30A33" w:rsidRDefault="009424B8" w:rsidP="00313F8C">
            <w:pPr>
              <w:pStyle w:val="Tabletext"/>
            </w:pPr>
            <w:r>
              <w:t>Moderate to severe ulcerative colitis</w:t>
            </w:r>
          </w:p>
        </w:tc>
      </w:tr>
      <w:tr w:rsidR="009424B8" w:rsidRPr="00A30A33" w14:paraId="1C49B785"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3CBAC58F" w14:textId="77777777" w:rsidR="009424B8" w:rsidRPr="00A30A33" w:rsidRDefault="009424B8" w:rsidP="00313F8C">
            <w:pPr>
              <w:pStyle w:val="Tabletext"/>
            </w:pPr>
            <w:r>
              <w:t>Treatment phase:</w:t>
            </w:r>
          </w:p>
        </w:tc>
        <w:tc>
          <w:tcPr>
            <w:tcW w:w="4050" w:type="pct"/>
            <w:gridSpan w:val="6"/>
            <w:tcBorders>
              <w:top w:val="single" w:sz="4" w:space="0" w:color="auto"/>
              <w:left w:val="single" w:sz="4" w:space="0" w:color="auto"/>
              <w:bottom w:val="single" w:sz="4" w:space="0" w:color="auto"/>
              <w:right w:val="single" w:sz="4" w:space="0" w:color="auto"/>
            </w:tcBorders>
          </w:tcPr>
          <w:p w14:paraId="6439E66C" w14:textId="77777777" w:rsidR="009424B8" w:rsidRPr="00A30A33" w:rsidRDefault="009424B8" w:rsidP="00313F8C">
            <w:pPr>
              <w:pStyle w:val="Tabletext"/>
            </w:pPr>
            <w:r>
              <w:t>Initial treatment 1 (new patient)</w:t>
            </w:r>
          </w:p>
        </w:tc>
      </w:tr>
      <w:tr w:rsidR="009424B8" w:rsidRPr="00A30A33" w14:paraId="5E60AEC4"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53122D93" w14:textId="77777777" w:rsidR="009424B8" w:rsidRPr="00A30A33" w:rsidRDefault="009424B8" w:rsidP="00313F8C">
            <w:pPr>
              <w:pStyle w:val="Tabletext"/>
            </w:pPr>
            <w:r w:rsidRPr="00A30A33">
              <w:t>Restriction</w:t>
            </w:r>
            <w:r>
              <w:t>:</w:t>
            </w:r>
          </w:p>
        </w:tc>
        <w:tc>
          <w:tcPr>
            <w:tcW w:w="4050" w:type="pct"/>
            <w:gridSpan w:val="6"/>
            <w:tcBorders>
              <w:top w:val="single" w:sz="4" w:space="0" w:color="auto"/>
              <w:left w:val="single" w:sz="4" w:space="0" w:color="auto"/>
              <w:bottom w:val="single" w:sz="4" w:space="0" w:color="auto"/>
              <w:right w:val="single" w:sz="4" w:space="0" w:color="auto"/>
            </w:tcBorders>
          </w:tcPr>
          <w:p w14:paraId="7B6B4C72" w14:textId="77777777" w:rsidR="009424B8" w:rsidRPr="00A30A33" w:rsidRDefault="009424B8" w:rsidP="00313F8C">
            <w:pPr>
              <w:pStyle w:val="TableText0"/>
              <w:keepNext w:val="0"/>
            </w:pPr>
            <w:r>
              <w:fldChar w:fldCharType="begin" w:fldLock="1">
                <w:ffData>
                  <w:name w:val=""/>
                  <w:enabled/>
                  <w:calcOnExit w:val="0"/>
                  <w:checkBox>
                    <w:sizeAuto/>
                    <w:default w:val="1"/>
                  </w:checkBox>
                </w:ffData>
              </w:fldChar>
            </w:r>
            <w:r>
              <w:instrText xml:space="preserve"> FORMCHECKBOX </w:instrText>
            </w:r>
            <w:r w:rsidR="007225AD">
              <w:fldChar w:fldCharType="separate"/>
            </w:r>
            <w:r>
              <w:fldChar w:fldCharType="end"/>
            </w:r>
            <w:r w:rsidRPr="00B43577">
              <w:t>Authority Required - In Writing</w:t>
            </w:r>
          </w:p>
        </w:tc>
      </w:tr>
      <w:tr w:rsidR="009424B8" w:rsidRPr="00A30A33" w14:paraId="7700A5DE"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510"/>
        </w:trPr>
        <w:tc>
          <w:tcPr>
            <w:tcW w:w="927" w:type="pct"/>
            <w:tcBorders>
              <w:top w:val="single" w:sz="4" w:space="0" w:color="auto"/>
              <w:left w:val="single" w:sz="4" w:space="0" w:color="auto"/>
              <w:bottom w:val="single" w:sz="4" w:space="0" w:color="auto"/>
              <w:right w:val="single" w:sz="4" w:space="0" w:color="auto"/>
            </w:tcBorders>
            <w:hideMark/>
          </w:tcPr>
          <w:p w14:paraId="3E1D910F" w14:textId="77777777" w:rsidR="009424B8" w:rsidRPr="00A30A33" w:rsidRDefault="009424B8" w:rsidP="00313F8C">
            <w:pPr>
              <w:pStyle w:val="Tabletext"/>
            </w:pPr>
            <w:r w:rsidRPr="00A30A33">
              <w:t>Treatment criteria</w:t>
            </w:r>
            <w:r>
              <w:t>:</w:t>
            </w:r>
          </w:p>
        </w:tc>
        <w:tc>
          <w:tcPr>
            <w:tcW w:w="4050" w:type="pct"/>
            <w:gridSpan w:val="6"/>
            <w:tcBorders>
              <w:top w:val="single" w:sz="4" w:space="0" w:color="auto"/>
              <w:left w:val="single" w:sz="4" w:space="0" w:color="auto"/>
              <w:bottom w:val="single" w:sz="4" w:space="0" w:color="auto"/>
              <w:right w:val="single" w:sz="4" w:space="0" w:color="auto"/>
            </w:tcBorders>
          </w:tcPr>
          <w:p w14:paraId="0F52CFF5" w14:textId="77777777" w:rsidR="009424B8" w:rsidRPr="00A30A33" w:rsidRDefault="009424B8" w:rsidP="00313F8C">
            <w:pPr>
              <w:pStyle w:val="Tabletext"/>
            </w:pPr>
            <w:r>
              <w:t>Must be treated by a gastroenterologist or consultant physician [internal medicine specialising in gastroenterology] or consultant physician [general medicine specialising in gastroenterology]</w:t>
            </w:r>
          </w:p>
        </w:tc>
      </w:tr>
      <w:tr w:rsidR="009424B8" w:rsidRPr="00A30A33" w14:paraId="36A6ED85"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6EE83ADE" w14:textId="77777777" w:rsidR="009424B8" w:rsidRPr="00A30A33" w:rsidRDefault="009424B8" w:rsidP="00313F8C">
            <w:pPr>
              <w:pStyle w:val="Tabletext"/>
            </w:pPr>
            <w:r w:rsidRPr="00A30A33">
              <w:lastRenderedPageBreak/>
              <w:t>Clinical criteria</w:t>
            </w:r>
            <w:r>
              <w:t>:</w:t>
            </w:r>
          </w:p>
        </w:tc>
        <w:tc>
          <w:tcPr>
            <w:tcW w:w="4050" w:type="pct"/>
            <w:gridSpan w:val="6"/>
            <w:tcBorders>
              <w:top w:val="single" w:sz="4" w:space="0" w:color="auto"/>
              <w:left w:val="single" w:sz="4" w:space="0" w:color="auto"/>
              <w:bottom w:val="single" w:sz="4" w:space="0" w:color="auto"/>
              <w:right w:val="single" w:sz="4" w:space="0" w:color="auto"/>
            </w:tcBorders>
          </w:tcPr>
          <w:p w14:paraId="5E27555A" w14:textId="77777777" w:rsidR="009424B8" w:rsidRDefault="009424B8" w:rsidP="00313F8C">
            <w:pPr>
              <w:jc w:val="left"/>
              <w:rPr>
                <w:rFonts w:ascii="Arial Narrow" w:hAnsi="Arial Narrow" w:cs="Open Sans"/>
                <w:color w:val="222222"/>
                <w:sz w:val="20"/>
                <w:szCs w:val="20"/>
              </w:rPr>
            </w:pPr>
            <w:r w:rsidRPr="00475980">
              <w:rPr>
                <w:rFonts w:ascii="Arial Narrow" w:hAnsi="Arial Narrow" w:cs="Open Sans"/>
                <w:color w:val="222222"/>
                <w:sz w:val="20"/>
                <w:szCs w:val="20"/>
              </w:rPr>
              <w:t xml:space="preserve">Patient must have failed to achieve an adequate response to a 5-aminosalicylate oral preparation in a standard dose for induction of remission for 3 or more </w:t>
            </w:r>
            <w:r>
              <w:rPr>
                <w:rFonts w:ascii="Arial Narrow" w:hAnsi="Arial Narrow" w:cs="Open Sans"/>
                <w:color w:val="222222"/>
                <w:sz w:val="20"/>
                <w:szCs w:val="20"/>
              </w:rPr>
              <w:t xml:space="preserve">consecutive </w:t>
            </w:r>
            <w:r w:rsidRPr="00475980">
              <w:rPr>
                <w:rFonts w:ascii="Arial Narrow" w:hAnsi="Arial Narrow" w:cs="Open Sans"/>
                <w:color w:val="222222"/>
                <w:sz w:val="20"/>
                <w:szCs w:val="20"/>
              </w:rPr>
              <w:t>months or have intolerance necessitating permanent treatment withdrawal,</w:t>
            </w:r>
          </w:p>
          <w:p w14:paraId="26023D88" w14:textId="77777777" w:rsidR="009424B8" w:rsidRDefault="009424B8" w:rsidP="00313F8C">
            <w:pPr>
              <w:jc w:val="left"/>
              <w:rPr>
                <w:rFonts w:ascii="Arial Narrow" w:hAnsi="Arial Narrow" w:cs="Open Sans"/>
                <w:color w:val="222222"/>
                <w:sz w:val="20"/>
                <w:szCs w:val="20"/>
              </w:rPr>
            </w:pPr>
            <w:r>
              <w:rPr>
                <w:rFonts w:ascii="Arial Narrow" w:hAnsi="Arial Narrow" w:cs="Open Sans"/>
                <w:color w:val="222222"/>
                <w:sz w:val="20"/>
                <w:szCs w:val="20"/>
              </w:rPr>
              <w:t>AND</w:t>
            </w:r>
          </w:p>
          <w:p w14:paraId="3EFF4A18" w14:textId="77777777" w:rsidR="009424B8" w:rsidRPr="000E54FC" w:rsidRDefault="009424B8" w:rsidP="00313F8C">
            <w:pPr>
              <w:pStyle w:val="TableFigureFooter"/>
              <w:spacing w:after="0"/>
            </w:pPr>
            <w:r w:rsidRPr="000E54FC">
              <w:rPr>
                <w:rFonts w:cs="Open Sans"/>
                <w:color w:val="222222"/>
                <w:sz w:val="20"/>
                <w:szCs w:val="20"/>
              </w:rPr>
              <w:t xml:space="preserve">Patient must have failed to achieve an adequate response to azathioprine at a dose of at least 2 mg per kg daily for 3 or more </w:t>
            </w:r>
            <w:r>
              <w:rPr>
                <w:rFonts w:cs="Open Sans"/>
                <w:color w:val="222222"/>
                <w:sz w:val="20"/>
                <w:szCs w:val="20"/>
              </w:rPr>
              <w:t xml:space="preserve">consecutive </w:t>
            </w:r>
            <w:r w:rsidRPr="000E54FC">
              <w:rPr>
                <w:rFonts w:cs="Open Sans"/>
                <w:color w:val="222222"/>
                <w:sz w:val="20"/>
                <w:szCs w:val="20"/>
              </w:rPr>
              <w:t>months or have intolerance necessitating permanent treatment withdrawal</w:t>
            </w:r>
            <w:r>
              <w:rPr>
                <w:rFonts w:cs="Open Sans"/>
                <w:color w:val="222222"/>
                <w:sz w:val="20"/>
                <w:szCs w:val="20"/>
              </w:rPr>
              <w:t>;</w:t>
            </w:r>
          </w:p>
          <w:p w14:paraId="62CA63B1" w14:textId="77777777" w:rsidR="009424B8" w:rsidRDefault="009424B8" w:rsidP="00313F8C">
            <w:pPr>
              <w:jc w:val="left"/>
              <w:rPr>
                <w:rFonts w:ascii="Arial Narrow" w:hAnsi="Arial Narrow" w:cs="Open Sans"/>
                <w:color w:val="222222"/>
                <w:sz w:val="20"/>
                <w:szCs w:val="20"/>
              </w:rPr>
            </w:pPr>
            <w:r>
              <w:rPr>
                <w:rFonts w:ascii="Arial Narrow" w:hAnsi="Arial Narrow" w:cs="Open Sans"/>
                <w:color w:val="222222"/>
                <w:sz w:val="20"/>
                <w:szCs w:val="20"/>
              </w:rPr>
              <w:t>OR</w:t>
            </w:r>
          </w:p>
          <w:p w14:paraId="095F6980" w14:textId="77777777" w:rsidR="009424B8" w:rsidRPr="008C260C" w:rsidRDefault="009424B8" w:rsidP="00313F8C">
            <w:pPr>
              <w:pStyle w:val="TableFigureFooter"/>
              <w:spacing w:after="0"/>
            </w:pPr>
            <w:r w:rsidRPr="008C260C">
              <w:rPr>
                <w:rFonts w:cs="Open Sans"/>
                <w:color w:val="222222"/>
                <w:sz w:val="20"/>
                <w:szCs w:val="20"/>
              </w:rPr>
              <w:t>Patient must have failed to achieve an adequate response to 6-mercaptopurine at a dose of at least 1 mg per kg daily for 3 or mor</w:t>
            </w:r>
            <w:r>
              <w:rPr>
                <w:rFonts w:cs="Open Sans"/>
                <w:color w:val="222222"/>
                <w:sz w:val="20"/>
                <w:szCs w:val="20"/>
              </w:rPr>
              <w:t>e</w:t>
            </w:r>
            <w:r w:rsidRPr="008C260C">
              <w:rPr>
                <w:rFonts w:cs="Open Sans"/>
                <w:color w:val="222222"/>
                <w:sz w:val="20"/>
                <w:szCs w:val="20"/>
              </w:rPr>
              <w:t xml:space="preserve"> </w:t>
            </w:r>
            <w:r>
              <w:rPr>
                <w:rFonts w:cs="Open Sans"/>
                <w:color w:val="222222"/>
                <w:sz w:val="20"/>
                <w:szCs w:val="20"/>
              </w:rPr>
              <w:t xml:space="preserve">consecutive </w:t>
            </w:r>
            <w:r w:rsidRPr="008C260C">
              <w:rPr>
                <w:rFonts w:cs="Open Sans"/>
                <w:color w:val="222222"/>
                <w:sz w:val="20"/>
                <w:szCs w:val="20"/>
              </w:rPr>
              <w:t>months or have intolerance necessitating permanent treatment withdrawal</w:t>
            </w:r>
            <w:r w:rsidRPr="008C260C">
              <w:rPr>
                <w:rFonts w:cs="Open Sans"/>
                <w:color w:val="222222"/>
                <w:sz w:val="20"/>
                <w:szCs w:val="20"/>
                <w:shd w:val="clear" w:color="auto" w:fill="EEEEEE"/>
              </w:rPr>
              <w:t>;</w:t>
            </w:r>
          </w:p>
          <w:p w14:paraId="2C5F1211" w14:textId="77777777" w:rsidR="009424B8" w:rsidRDefault="009424B8" w:rsidP="00313F8C">
            <w:pPr>
              <w:jc w:val="left"/>
              <w:rPr>
                <w:rFonts w:ascii="Arial Narrow" w:hAnsi="Arial Narrow" w:cs="Open Sans"/>
                <w:color w:val="222222"/>
                <w:sz w:val="20"/>
                <w:szCs w:val="20"/>
              </w:rPr>
            </w:pPr>
            <w:r>
              <w:rPr>
                <w:rFonts w:ascii="Arial Narrow" w:hAnsi="Arial Narrow" w:cs="Open Sans"/>
                <w:color w:val="222222"/>
                <w:sz w:val="20"/>
                <w:szCs w:val="20"/>
              </w:rPr>
              <w:t>OR</w:t>
            </w:r>
          </w:p>
          <w:p w14:paraId="5644E35A" w14:textId="77777777" w:rsidR="009424B8" w:rsidRPr="00414831" w:rsidRDefault="009424B8" w:rsidP="00313F8C">
            <w:pPr>
              <w:jc w:val="left"/>
              <w:rPr>
                <w:rFonts w:ascii="Arial Narrow" w:hAnsi="Arial Narrow" w:cs="Open Sans"/>
                <w:color w:val="222222"/>
                <w:sz w:val="20"/>
                <w:szCs w:val="20"/>
              </w:rPr>
            </w:pPr>
            <w:r w:rsidRPr="00414831">
              <w:rPr>
                <w:rFonts w:ascii="Arial Narrow" w:hAnsi="Arial Narrow" w:cs="Open Sans"/>
                <w:color w:val="222222"/>
                <w:sz w:val="20"/>
                <w:szCs w:val="20"/>
              </w:rPr>
              <w:t xml:space="preserve">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w:t>
            </w:r>
            <w:r>
              <w:rPr>
                <w:rFonts w:ascii="Arial Narrow" w:hAnsi="Arial Narrow" w:cs="Open Sans"/>
                <w:color w:val="222222"/>
                <w:sz w:val="20"/>
                <w:szCs w:val="20"/>
              </w:rPr>
              <w:t xml:space="preserve">consecutive </w:t>
            </w:r>
            <w:r w:rsidRPr="00414831">
              <w:rPr>
                <w:rFonts w:ascii="Arial Narrow" w:hAnsi="Arial Narrow" w:cs="Open Sans"/>
                <w:color w:val="222222"/>
                <w:sz w:val="20"/>
                <w:szCs w:val="20"/>
              </w:rPr>
              <w:t>months of treatment of an appropriately dosed thiopurine agent,</w:t>
            </w:r>
          </w:p>
          <w:p w14:paraId="2BD2D0FC" w14:textId="77777777" w:rsidR="009424B8" w:rsidRPr="000E54FC" w:rsidRDefault="009424B8" w:rsidP="00313F8C">
            <w:pPr>
              <w:jc w:val="left"/>
              <w:rPr>
                <w:rFonts w:ascii="Arial Narrow" w:hAnsi="Arial Narrow" w:cs="Open Sans"/>
                <w:color w:val="222222"/>
                <w:sz w:val="20"/>
                <w:szCs w:val="20"/>
              </w:rPr>
            </w:pPr>
            <w:r>
              <w:rPr>
                <w:rFonts w:ascii="Arial Narrow" w:hAnsi="Arial Narrow" w:cs="Open Sans"/>
                <w:color w:val="222222"/>
                <w:sz w:val="20"/>
                <w:szCs w:val="20"/>
              </w:rPr>
              <w:t>AND</w:t>
            </w:r>
          </w:p>
          <w:p w14:paraId="51A80C7E" w14:textId="77777777" w:rsidR="009424B8" w:rsidRPr="009B33F6" w:rsidRDefault="009424B8" w:rsidP="00313F8C">
            <w:pPr>
              <w:jc w:val="left"/>
              <w:rPr>
                <w:rFonts w:ascii="Arial Narrow" w:eastAsiaTheme="minorEastAsia" w:hAnsi="Arial Narrow"/>
                <w:sz w:val="20"/>
                <w:szCs w:val="20"/>
                <w:lang w:val="en-US" w:eastAsia="en-US"/>
              </w:rPr>
            </w:pPr>
            <w:r w:rsidRPr="009B33F6">
              <w:rPr>
                <w:rFonts w:ascii="Arial Narrow" w:eastAsiaTheme="minorEastAsia" w:hAnsi="Arial Narrow"/>
                <w:sz w:val="20"/>
                <w:szCs w:val="20"/>
                <w:lang w:val="en-US" w:eastAsia="en-US"/>
              </w:rPr>
              <w:t>Patient must have a Mayo clinic score</w:t>
            </w:r>
            <w:r>
              <w:rPr>
                <w:rFonts w:ascii="Arial Narrow" w:eastAsiaTheme="minorEastAsia" w:hAnsi="Arial Narrow"/>
                <w:sz w:val="20"/>
                <w:szCs w:val="20"/>
                <w:lang w:val="en-US" w:eastAsia="en-US"/>
              </w:rPr>
              <w:t xml:space="preserve"> greater than or equal to</w:t>
            </w:r>
            <w:r w:rsidRPr="009B33F6">
              <w:rPr>
                <w:rFonts w:ascii="Arial Narrow" w:eastAsiaTheme="minorEastAsia" w:hAnsi="Arial Narrow"/>
                <w:sz w:val="20"/>
                <w:szCs w:val="20"/>
                <w:lang w:val="en-US" w:eastAsia="en-US"/>
              </w:rPr>
              <w:t xml:space="preserve"> 6; </w:t>
            </w:r>
          </w:p>
          <w:p w14:paraId="36F41969" w14:textId="77777777" w:rsidR="009424B8" w:rsidRPr="009B33F6" w:rsidRDefault="009424B8" w:rsidP="00313F8C">
            <w:pPr>
              <w:jc w:val="left"/>
              <w:rPr>
                <w:rFonts w:ascii="Arial Narrow" w:eastAsiaTheme="minorEastAsia" w:hAnsi="Arial Narrow"/>
                <w:sz w:val="20"/>
                <w:szCs w:val="20"/>
                <w:lang w:val="en-US" w:eastAsia="en-US"/>
              </w:rPr>
            </w:pPr>
            <w:r w:rsidRPr="009B33F6">
              <w:rPr>
                <w:rFonts w:ascii="Arial Narrow" w:eastAsiaTheme="minorEastAsia" w:hAnsi="Arial Narrow"/>
                <w:sz w:val="20"/>
                <w:szCs w:val="20"/>
                <w:lang w:val="en-US" w:eastAsia="en-US"/>
              </w:rPr>
              <w:t>OR</w:t>
            </w:r>
          </w:p>
          <w:p w14:paraId="4D7FB09A" w14:textId="77777777" w:rsidR="009424B8" w:rsidRPr="00A30A33" w:rsidRDefault="009424B8" w:rsidP="00313F8C">
            <w:pPr>
              <w:pStyle w:val="Tabletext"/>
            </w:pPr>
            <w:r w:rsidRPr="009B33F6">
              <w:rPr>
                <w:rFonts w:eastAsiaTheme="minorEastAsia" w:cs="Arial"/>
                <w:szCs w:val="20"/>
                <w:lang w:val="en-US" w:eastAsia="en-US"/>
              </w:rPr>
              <w:t>Patient must have a partial Mayo clinic score</w:t>
            </w:r>
            <w:r>
              <w:rPr>
                <w:rFonts w:eastAsiaTheme="minorEastAsia" w:cs="Arial"/>
                <w:szCs w:val="20"/>
                <w:lang w:val="en-US" w:eastAsia="en-US"/>
              </w:rPr>
              <w:t xml:space="preserve"> greater than or equal to </w:t>
            </w:r>
            <w:r w:rsidRPr="009B33F6">
              <w:rPr>
                <w:rFonts w:eastAsiaTheme="minorEastAsia" w:cs="Arial"/>
                <w:szCs w:val="20"/>
                <w:lang w:val="en-US" w:eastAsia="en-US"/>
              </w:rPr>
              <w:t>6, provided the rectal bleeding and stool frequency subscores are both</w:t>
            </w:r>
            <w:r>
              <w:rPr>
                <w:rFonts w:eastAsiaTheme="minorEastAsia" w:cs="Arial"/>
                <w:szCs w:val="20"/>
                <w:lang w:val="en-US" w:eastAsia="en-US"/>
              </w:rPr>
              <w:t xml:space="preserve"> greater than or equal to </w:t>
            </w:r>
            <w:r w:rsidRPr="009B33F6">
              <w:rPr>
                <w:rFonts w:eastAsiaTheme="minorEastAsia" w:cs="Arial"/>
                <w:szCs w:val="20"/>
                <w:lang w:val="en-US" w:eastAsia="en-US"/>
              </w:rPr>
              <w:t>2</w:t>
            </w:r>
            <w:r>
              <w:rPr>
                <w:rFonts w:eastAsiaTheme="minorEastAsia" w:cs="Arial"/>
                <w:szCs w:val="20"/>
                <w:lang w:val="en-US" w:eastAsia="en-US"/>
              </w:rPr>
              <w:t xml:space="preserve"> (endoscopy subscore is not required for a partial Mayo clinic score)</w:t>
            </w:r>
            <w:r w:rsidRPr="009B33F6">
              <w:rPr>
                <w:rFonts w:eastAsiaTheme="minorEastAsia" w:cs="Arial"/>
                <w:szCs w:val="20"/>
                <w:lang w:val="en-US" w:eastAsia="en-US"/>
              </w:rPr>
              <w:t>.</w:t>
            </w:r>
          </w:p>
        </w:tc>
      </w:tr>
      <w:tr w:rsidR="009424B8" w:rsidRPr="00A30A33" w14:paraId="31F9631C"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tcPr>
          <w:p w14:paraId="3CF2DE89" w14:textId="77777777" w:rsidR="009424B8" w:rsidRPr="00A30A33" w:rsidRDefault="009424B8" w:rsidP="00313F8C">
            <w:pPr>
              <w:pStyle w:val="Tabletext"/>
            </w:pPr>
            <w:r w:rsidRPr="00A30A33">
              <w:t>Population criteria</w:t>
            </w:r>
            <w:r>
              <w:t>:</w:t>
            </w:r>
          </w:p>
        </w:tc>
        <w:tc>
          <w:tcPr>
            <w:tcW w:w="4050" w:type="pct"/>
            <w:gridSpan w:val="6"/>
            <w:tcBorders>
              <w:top w:val="single" w:sz="4" w:space="0" w:color="auto"/>
              <w:left w:val="single" w:sz="4" w:space="0" w:color="auto"/>
              <w:bottom w:val="single" w:sz="4" w:space="0" w:color="auto"/>
              <w:right w:val="single" w:sz="4" w:space="0" w:color="auto"/>
            </w:tcBorders>
          </w:tcPr>
          <w:p w14:paraId="4C4FF1BB" w14:textId="77777777" w:rsidR="009424B8" w:rsidRPr="00A30A33" w:rsidRDefault="009424B8" w:rsidP="00313F8C">
            <w:pPr>
              <w:pStyle w:val="Tabletext"/>
              <w:rPr>
                <w:color w:val="000000"/>
              </w:rPr>
            </w:pPr>
            <w:r>
              <w:t>Patient must be aged 18 years or older.</w:t>
            </w:r>
          </w:p>
        </w:tc>
      </w:tr>
      <w:tr w:rsidR="009424B8" w:rsidRPr="00A30A33" w14:paraId="7C6D3FBE"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475BEA49" w14:textId="77777777" w:rsidR="009424B8" w:rsidRPr="00A30A33" w:rsidRDefault="009424B8" w:rsidP="00313F8C">
            <w:pPr>
              <w:pStyle w:val="Tabletext"/>
            </w:pPr>
            <w:r>
              <w:t>Prescriber criteria:</w:t>
            </w:r>
          </w:p>
        </w:tc>
        <w:tc>
          <w:tcPr>
            <w:tcW w:w="4050" w:type="pct"/>
            <w:gridSpan w:val="6"/>
            <w:tcBorders>
              <w:top w:val="single" w:sz="4" w:space="0" w:color="auto"/>
              <w:left w:val="single" w:sz="4" w:space="0" w:color="auto"/>
              <w:bottom w:val="single" w:sz="4" w:space="0" w:color="auto"/>
              <w:right w:val="single" w:sz="4" w:space="0" w:color="auto"/>
            </w:tcBorders>
          </w:tcPr>
          <w:p w14:paraId="2C37C671" w14:textId="77777777" w:rsidR="009424B8" w:rsidRDefault="009424B8" w:rsidP="00313F8C">
            <w:pPr>
              <w:jc w:val="left"/>
              <w:rPr>
                <w:rFonts w:ascii="Arial Narrow" w:hAnsi="Arial Narrow"/>
                <w:sz w:val="20"/>
                <w:szCs w:val="20"/>
              </w:rPr>
            </w:pPr>
            <w:r w:rsidRPr="00FB24FD">
              <w:rPr>
                <w:rFonts w:ascii="Arial Narrow" w:hAnsi="Arial Narrow"/>
                <w:sz w:val="20"/>
                <w:szCs w:val="20"/>
              </w:rPr>
              <w:t>An assessment of a patient's response to this initial course of treatment must be conducted up to 12 weeks after the first dose</w:t>
            </w:r>
            <w:r>
              <w:rPr>
                <w:rFonts w:ascii="Arial Narrow" w:hAnsi="Arial Narrow"/>
                <w:sz w:val="20"/>
                <w:szCs w:val="20"/>
              </w:rPr>
              <w:t>.</w:t>
            </w:r>
          </w:p>
          <w:p w14:paraId="72C4A14F" w14:textId="77777777" w:rsidR="009424B8" w:rsidRPr="00A30A33" w:rsidRDefault="009424B8" w:rsidP="00313F8C">
            <w:pPr>
              <w:pStyle w:val="Tabletext"/>
              <w:rPr>
                <w:color w:val="000000"/>
              </w:rPr>
            </w:pPr>
            <w:r>
              <w:t>A maximum of 16 weeks of treatment with this drug will be approved under this criterion.</w:t>
            </w:r>
          </w:p>
        </w:tc>
      </w:tr>
      <w:tr w:rsidR="009424B8" w:rsidRPr="00A30A33" w14:paraId="0EA0C439"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06335988" w14:textId="77777777" w:rsidR="009424B8" w:rsidRPr="00A30A33" w:rsidRDefault="009424B8" w:rsidP="00313F8C">
            <w:pPr>
              <w:pStyle w:val="Tabletext"/>
            </w:pPr>
            <w:r>
              <w:t>Category/Program:</w:t>
            </w:r>
          </w:p>
        </w:tc>
        <w:tc>
          <w:tcPr>
            <w:tcW w:w="4050" w:type="pct"/>
            <w:gridSpan w:val="6"/>
            <w:tcBorders>
              <w:top w:val="single" w:sz="4" w:space="0" w:color="auto"/>
              <w:left w:val="single" w:sz="4" w:space="0" w:color="auto"/>
              <w:bottom w:val="single" w:sz="4" w:space="0" w:color="auto"/>
              <w:right w:val="single" w:sz="4" w:space="0" w:color="auto"/>
            </w:tcBorders>
          </w:tcPr>
          <w:p w14:paraId="7AFE7378" w14:textId="77777777" w:rsidR="009424B8" w:rsidRPr="00A30A33" w:rsidRDefault="009424B8" w:rsidP="00313F8C">
            <w:pPr>
              <w:pStyle w:val="Tabletext"/>
            </w:pPr>
            <w:r>
              <w:t>General Schedule</w:t>
            </w:r>
          </w:p>
        </w:tc>
      </w:tr>
      <w:tr w:rsidR="009424B8" w:rsidRPr="00A30A33" w14:paraId="70DB3137"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48947B79" w14:textId="77777777" w:rsidR="009424B8" w:rsidRPr="00A30A33" w:rsidRDefault="009424B8" w:rsidP="00313F8C">
            <w:pPr>
              <w:pStyle w:val="Tabletext"/>
            </w:pPr>
            <w:r>
              <w:t>PBS indication:</w:t>
            </w:r>
          </w:p>
        </w:tc>
        <w:tc>
          <w:tcPr>
            <w:tcW w:w="4050" w:type="pct"/>
            <w:gridSpan w:val="6"/>
            <w:tcBorders>
              <w:top w:val="single" w:sz="4" w:space="0" w:color="auto"/>
              <w:left w:val="single" w:sz="4" w:space="0" w:color="auto"/>
              <w:bottom w:val="single" w:sz="4" w:space="0" w:color="auto"/>
              <w:right w:val="single" w:sz="4" w:space="0" w:color="auto"/>
            </w:tcBorders>
          </w:tcPr>
          <w:p w14:paraId="0351B6B7" w14:textId="77777777" w:rsidR="009424B8" w:rsidRPr="00A30A33" w:rsidRDefault="009424B8" w:rsidP="00313F8C">
            <w:pPr>
              <w:pStyle w:val="Tabletext"/>
            </w:pPr>
            <w:r>
              <w:t>Moderate to severe ulcerative colitis</w:t>
            </w:r>
          </w:p>
        </w:tc>
      </w:tr>
      <w:tr w:rsidR="009424B8" w:rsidRPr="00A30A33" w14:paraId="3293EF15"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23FC07AA" w14:textId="77777777" w:rsidR="009424B8" w:rsidRPr="00A30A33" w:rsidRDefault="009424B8" w:rsidP="00313F8C">
            <w:pPr>
              <w:pStyle w:val="Tabletext"/>
            </w:pPr>
            <w:r>
              <w:t>Treatment phase:</w:t>
            </w:r>
          </w:p>
        </w:tc>
        <w:tc>
          <w:tcPr>
            <w:tcW w:w="4050" w:type="pct"/>
            <w:gridSpan w:val="6"/>
            <w:tcBorders>
              <w:top w:val="single" w:sz="4" w:space="0" w:color="auto"/>
              <w:left w:val="single" w:sz="4" w:space="0" w:color="auto"/>
              <w:bottom w:val="single" w:sz="4" w:space="0" w:color="auto"/>
              <w:right w:val="single" w:sz="4" w:space="0" w:color="auto"/>
            </w:tcBorders>
          </w:tcPr>
          <w:p w14:paraId="16BED8E8" w14:textId="77777777" w:rsidR="009424B8" w:rsidRPr="00A30A33" w:rsidRDefault="009424B8" w:rsidP="00313F8C">
            <w:pPr>
              <w:pStyle w:val="Tabletext"/>
            </w:pPr>
            <w:r>
              <w:t>Continuing treatment</w:t>
            </w:r>
          </w:p>
        </w:tc>
      </w:tr>
      <w:tr w:rsidR="009424B8" w:rsidRPr="00A30A33" w14:paraId="7D97A890"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7047D84F" w14:textId="77777777" w:rsidR="009424B8" w:rsidRPr="00A30A33" w:rsidRDefault="009424B8" w:rsidP="00313F8C">
            <w:pPr>
              <w:pStyle w:val="Tabletext"/>
            </w:pPr>
            <w:r w:rsidRPr="00A30A33">
              <w:t>Restriction</w:t>
            </w:r>
            <w:r>
              <w:t>:</w:t>
            </w:r>
          </w:p>
        </w:tc>
        <w:tc>
          <w:tcPr>
            <w:tcW w:w="4050" w:type="pct"/>
            <w:gridSpan w:val="6"/>
            <w:tcBorders>
              <w:top w:val="single" w:sz="4" w:space="0" w:color="auto"/>
              <w:left w:val="single" w:sz="4" w:space="0" w:color="auto"/>
              <w:bottom w:val="single" w:sz="4" w:space="0" w:color="auto"/>
              <w:right w:val="single" w:sz="4" w:space="0" w:color="auto"/>
            </w:tcBorders>
          </w:tcPr>
          <w:p w14:paraId="0F424D2E" w14:textId="77777777" w:rsidR="009424B8" w:rsidRPr="00A30A33" w:rsidRDefault="009424B8" w:rsidP="00313F8C">
            <w:pPr>
              <w:pStyle w:val="TableText0"/>
              <w:keepNext w:val="0"/>
            </w:pPr>
            <w:r>
              <w:fldChar w:fldCharType="begin" w:fldLock="1">
                <w:ffData>
                  <w:name w:val=""/>
                  <w:enabled/>
                  <w:calcOnExit w:val="0"/>
                  <w:checkBox>
                    <w:sizeAuto/>
                    <w:default w:val="1"/>
                  </w:checkBox>
                </w:ffData>
              </w:fldChar>
            </w:r>
            <w:r>
              <w:instrText xml:space="preserve"> FORMCHECKBOX </w:instrText>
            </w:r>
            <w:r w:rsidR="007225AD">
              <w:fldChar w:fldCharType="separate"/>
            </w:r>
            <w:r>
              <w:fldChar w:fldCharType="end"/>
            </w:r>
            <w:r w:rsidRPr="00B43577">
              <w:t xml:space="preserve">Authority Required </w:t>
            </w:r>
            <w:r>
              <w:t>–</w:t>
            </w:r>
            <w:r w:rsidRPr="00B43577">
              <w:t xml:space="preserve"> Telephone</w:t>
            </w:r>
            <w:r>
              <w:t>, Electronic</w:t>
            </w:r>
          </w:p>
        </w:tc>
      </w:tr>
      <w:tr w:rsidR="009424B8" w:rsidRPr="00A30A33" w14:paraId="2328108B"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3E2A87C3" w14:textId="77777777" w:rsidR="009424B8" w:rsidRPr="00A30A33" w:rsidRDefault="009424B8" w:rsidP="00313F8C">
            <w:pPr>
              <w:pStyle w:val="Tabletext"/>
            </w:pPr>
            <w:r w:rsidRPr="00A30A33">
              <w:t>Treatment criteria</w:t>
            </w:r>
            <w:r>
              <w:t>:</w:t>
            </w:r>
          </w:p>
        </w:tc>
        <w:tc>
          <w:tcPr>
            <w:tcW w:w="4050" w:type="pct"/>
            <w:gridSpan w:val="6"/>
            <w:tcBorders>
              <w:top w:val="single" w:sz="4" w:space="0" w:color="auto"/>
              <w:left w:val="single" w:sz="4" w:space="0" w:color="auto"/>
              <w:bottom w:val="single" w:sz="4" w:space="0" w:color="auto"/>
              <w:right w:val="single" w:sz="4" w:space="0" w:color="auto"/>
            </w:tcBorders>
          </w:tcPr>
          <w:p w14:paraId="00A7099A" w14:textId="77777777" w:rsidR="009424B8" w:rsidRPr="00A30A33" w:rsidRDefault="009424B8" w:rsidP="00313F8C">
            <w:pPr>
              <w:pStyle w:val="Tabletext"/>
            </w:pPr>
            <w:r>
              <w:t>Must be treated by a gastroenterologist or consultant physician [internal medicine specialising in gastroenterology] or consultant physician [general medicine specialising in gastroenterology]</w:t>
            </w:r>
          </w:p>
        </w:tc>
      </w:tr>
      <w:tr w:rsidR="009424B8" w:rsidRPr="00A30A33" w14:paraId="410E0706"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530F75CB" w14:textId="77777777" w:rsidR="009424B8" w:rsidRPr="00A30A33" w:rsidRDefault="009424B8" w:rsidP="00313F8C">
            <w:pPr>
              <w:pStyle w:val="Tabletext"/>
            </w:pPr>
            <w:r w:rsidRPr="00A30A33">
              <w:t>Clinical criteria</w:t>
            </w:r>
            <w:r>
              <w:t>:</w:t>
            </w:r>
          </w:p>
        </w:tc>
        <w:tc>
          <w:tcPr>
            <w:tcW w:w="4050" w:type="pct"/>
            <w:gridSpan w:val="6"/>
            <w:tcBorders>
              <w:top w:val="single" w:sz="4" w:space="0" w:color="auto"/>
              <w:left w:val="single" w:sz="4" w:space="0" w:color="auto"/>
              <w:bottom w:val="single" w:sz="4" w:space="0" w:color="auto"/>
              <w:right w:val="single" w:sz="4" w:space="0" w:color="auto"/>
            </w:tcBorders>
          </w:tcPr>
          <w:p w14:paraId="1326D529" w14:textId="77777777" w:rsidR="009424B8" w:rsidRDefault="009424B8" w:rsidP="00313F8C">
            <w:pPr>
              <w:pStyle w:val="TableText0"/>
              <w:keepNext w:val="0"/>
              <w:widowControl w:val="0"/>
              <w:rPr>
                <w:rFonts w:cs="Arial"/>
              </w:rPr>
            </w:pPr>
            <w:r>
              <w:rPr>
                <w:rFonts w:cs="Arial"/>
              </w:rPr>
              <w:t>Patient must have previously received PBS-subsidised treatment with this drug for this condition</w:t>
            </w:r>
          </w:p>
          <w:p w14:paraId="53CC50F9" w14:textId="77777777" w:rsidR="009424B8" w:rsidRDefault="009424B8" w:rsidP="00313F8C">
            <w:pPr>
              <w:pStyle w:val="TableText0"/>
              <w:keepNext w:val="0"/>
              <w:widowControl w:val="0"/>
              <w:rPr>
                <w:rFonts w:cs="Arial"/>
              </w:rPr>
            </w:pPr>
            <w:r>
              <w:rPr>
                <w:rFonts w:cs="Arial"/>
              </w:rPr>
              <w:t>AND</w:t>
            </w:r>
          </w:p>
          <w:p w14:paraId="604B3A72" w14:textId="77777777" w:rsidR="009424B8" w:rsidRPr="00A30A33" w:rsidRDefault="009424B8" w:rsidP="00313F8C">
            <w:pPr>
              <w:pStyle w:val="Tabletext"/>
            </w:pPr>
            <w:r>
              <w:rPr>
                <w:rFonts w:cs="Arial"/>
              </w:rPr>
              <w:t>Patient must have demonstrated or sustained an adequate response to treatment by having a partial Mayo clinic score less than or equal to 2, with no subscore greater than 1 while receiving treatment with this drug.</w:t>
            </w:r>
          </w:p>
        </w:tc>
      </w:tr>
      <w:tr w:rsidR="009424B8" w:rsidRPr="00A30A33" w14:paraId="1EF5297C"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tcPr>
          <w:p w14:paraId="52304254" w14:textId="77777777" w:rsidR="009424B8" w:rsidRPr="00A30A33" w:rsidRDefault="009424B8" w:rsidP="00313F8C">
            <w:pPr>
              <w:pStyle w:val="Tabletext"/>
            </w:pPr>
            <w:r w:rsidRPr="00A30A33">
              <w:t>Population criteria</w:t>
            </w:r>
            <w:r>
              <w:t>:</w:t>
            </w:r>
          </w:p>
        </w:tc>
        <w:tc>
          <w:tcPr>
            <w:tcW w:w="4050" w:type="pct"/>
            <w:gridSpan w:val="6"/>
            <w:tcBorders>
              <w:top w:val="single" w:sz="4" w:space="0" w:color="auto"/>
              <w:left w:val="single" w:sz="4" w:space="0" w:color="auto"/>
              <w:bottom w:val="single" w:sz="4" w:space="0" w:color="auto"/>
              <w:right w:val="single" w:sz="4" w:space="0" w:color="auto"/>
            </w:tcBorders>
          </w:tcPr>
          <w:p w14:paraId="206D5F7E" w14:textId="77777777" w:rsidR="009424B8" w:rsidRPr="00A30A33" w:rsidRDefault="009424B8" w:rsidP="00313F8C">
            <w:pPr>
              <w:pStyle w:val="Tabletext"/>
              <w:rPr>
                <w:color w:val="000000"/>
              </w:rPr>
            </w:pPr>
            <w:r>
              <w:t>Patient must be aged 18 years or older.</w:t>
            </w:r>
          </w:p>
        </w:tc>
      </w:tr>
      <w:tr w:rsidR="009424B8" w:rsidRPr="00A30A33" w14:paraId="1FB059D2" w14:textId="77777777" w:rsidTr="00C64D0B">
        <w:tblPrEx>
          <w:tblBorders>
            <w:left w:val="single" w:sz="4" w:space="0" w:color="auto"/>
            <w:right w:val="single" w:sz="4" w:space="0" w:color="auto"/>
            <w:insideV w:val="single" w:sz="4" w:space="0" w:color="auto"/>
          </w:tblBorders>
          <w:tblCellMar>
            <w:left w:w="28" w:type="dxa"/>
            <w:right w:w="28" w:type="dxa"/>
          </w:tblCellMar>
        </w:tblPrEx>
        <w:trPr>
          <w:gridBefore w:val="1"/>
          <w:gridAfter w:val="1"/>
          <w:wBefore w:w="16" w:type="pct"/>
          <w:wAfter w:w="8" w:type="pct"/>
          <w:cantSplit/>
          <w:trHeight w:val="20"/>
        </w:trPr>
        <w:tc>
          <w:tcPr>
            <w:tcW w:w="927" w:type="pct"/>
            <w:tcBorders>
              <w:top w:val="single" w:sz="4" w:space="0" w:color="auto"/>
              <w:left w:val="single" w:sz="4" w:space="0" w:color="auto"/>
              <w:bottom w:val="single" w:sz="4" w:space="0" w:color="auto"/>
              <w:right w:val="single" w:sz="4" w:space="0" w:color="auto"/>
            </w:tcBorders>
            <w:hideMark/>
          </w:tcPr>
          <w:p w14:paraId="3E45432D" w14:textId="77777777" w:rsidR="009424B8" w:rsidRPr="00A30A33" w:rsidRDefault="009424B8" w:rsidP="00313F8C">
            <w:pPr>
              <w:pStyle w:val="Tabletext"/>
            </w:pPr>
            <w:r>
              <w:t>Prescriber criteria:</w:t>
            </w:r>
          </w:p>
        </w:tc>
        <w:tc>
          <w:tcPr>
            <w:tcW w:w="4050" w:type="pct"/>
            <w:gridSpan w:val="6"/>
            <w:tcBorders>
              <w:top w:val="single" w:sz="4" w:space="0" w:color="auto"/>
              <w:left w:val="single" w:sz="4" w:space="0" w:color="auto"/>
              <w:bottom w:val="single" w:sz="4" w:space="0" w:color="auto"/>
              <w:right w:val="single" w:sz="4" w:space="0" w:color="auto"/>
            </w:tcBorders>
          </w:tcPr>
          <w:p w14:paraId="022EF9FB" w14:textId="77777777" w:rsidR="009424B8" w:rsidRPr="002926D3" w:rsidRDefault="009424B8" w:rsidP="00313F8C">
            <w:pPr>
              <w:jc w:val="left"/>
              <w:rPr>
                <w:rFonts w:ascii="Arial Narrow" w:hAnsi="Arial Narrow"/>
                <w:sz w:val="20"/>
                <w:szCs w:val="20"/>
              </w:rPr>
            </w:pPr>
            <w:r w:rsidRPr="002926D3">
              <w:rPr>
                <w:rFonts w:ascii="Arial Narrow" w:hAnsi="Arial Narrow"/>
                <w:sz w:val="20"/>
                <w:szCs w:val="20"/>
              </w:rPr>
              <w:t>Patients who have failed to maintain a partial Mayo clinic score less than or equal to 2, with no subscore greater than 1 with continuing treatment with this drug, will not be eligible to receive further PBS-subsidised treatment with this drug.</w:t>
            </w:r>
          </w:p>
          <w:p w14:paraId="5F38C37C" w14:textId="77777777" w:rsidR="009424B8" w:rsidRPr="00A30A33" w:rsidRDefault="009424B8" w:rsidP="00313F8C">
            <w:pPr>
              <w:pStyle w:val="Tabletext"/>
              <w:rPr>
                <w:color w:val="000000"/>
              </w:rPr>
            </w:pPr>
            <w:r w:rsidRPr="002926D3">
              <w:rPr>
                <w:szCs w:val="20"/>
              </w:rPr>
              <w:t>Patients are eligible to receive continuing treatment with this drug in courses of up to 24 weeks providing they continue to sustain a response.</w:t>
            </w:r>
          </w:p>
        </w:tc>
      </w:tr>
    </w:tbl>
    <w:p w14:paraId="4B729BBD" w14:textId="77777777" w:rsidR="009424B8" w:rsidRDefault="009424B8" w:rsidP="009424B8">
      <w:pPr>
        <w:pStyle w:val="TableFooter"/>
      </w:pPr>
      <w:r>
        <w:t>Source: Table 1-7, pp19-20 of the submission;</w:t>
      </w:r>
      <w:r w:rsidRPr="007A2FDF">
        <w:t xml:space="preserve"> </w:t>
      </w:r>
      <w:r>
        <w:t>Key documents 0.3.4 Restriction criteria upadacitinib moderate to severe UC.</w:t>
      </w:r>
    </w:p>
    <w:p w14:paraId="06CD8252" w14:textId="77777777" w:rsidR="009424B8" w:rsidRDefault="009424B8" w:rsidP="00761A56">
      <w:pPr>
        <w:pStyle w:val="TableFooter"/>
        <w:tabs>
          <w:tab w:val="left" w:pos="142"/>
        </w:tabs>
        <w:spacing w:after="120"/>
        <w:ind w:left="136" w:hanging="136"/>
      </w:pPr>
      <w:r>
        <w:rPr>
          <w:vertAlign w:val="superscript"/>
        </w:rPr>
        <w:t>*</w:t>
      </w:r>
      <w:r>
        <w:tab/>
        <w:t>The submission requested a special pricing arrangement. The effective price of UPA cannot be calculated as the effective prices for the treatment of UC are not publicly available.</w:t>
      </w:r>
    </w:p>
    <w:p w14:paraId="38DFA86D" w14:textId="085C4FCC" w:rsidR="009424B8" w:rsidRPr="00B04E68" w:rsidRDefault="009424B8" w:rsidP="009424B8">
      <w:pPr>
        <w:pStyle w:val="3-BodyText"/>
        <w:rPr>
          <w:rFonts w:ascii="Calibri" w:eastAsiaTheme="minorEastAsia" w:hAnsi="Calibri"/>
          <w:i/>
          <w:iCs/>
          <w:szCs w:val="22"/>
          <w:lang w:eastAsia="en-US"/>
        </w:rPr>
      </w:pPr>
      <w:r w:rsidRPr="00B04E68">
        <w:rPr>
          <w:rFonts w:eastAsiaTheme="minorEastAsia" w:cstheme="minorHAnsi"/>
          <w:lang w:eastAsia="en-US"/>
        </w:rPr>
        <w:t>The restriction criteria were equivalent to</w:t>
      </w:r>
      <w:r w:rsidR="003C095A">
        <w:rPr>
          <w:rFonts w:eastAsiaTheme="minorEastAsia" w:cstheme="minorHAnsi"/>
          <w:lang w:eastAsia="en-US"/>
        </w:rPr>
        <w:t xml:space="preserve"> </w:t>
      </w:r>
      <w:r w:rsidR="00ED0F18">
        <w:rPr>
          <w:rFonts w:eastAsiaTheme="minorEastAsia" w:cstheme="minorHAnsi"/>
          <w:lang w:eastAsia="en-US"/>
        </w:rPr>
        <w:t>those applying to the comparator</w:t>
      </w:r>
      <w:r w:rsidRPr="00B04E68">
        <w:rPr>
          <w:rFonts w:eastAsiaTheme="minorEastAsia" w:cstheme="minorHAnsi"/>
          <w:lang w:eastAsia="en-US"/>
        </w:rPr>
        <w:t xml:space="preserve">. </w:t>
      </w:r>
      <w:r w:rsidRPr="00B04E68">
        <w:rPr>
          <w:rFonts w:eastAsiaTheme="minorEastAsia"/>
          <w:szCs w:val="22"/>
          <w:lang w:eastAsia="en-US"/>
        </w:rPr>
        <w:t>For induction treatment</w:t>
      </w:r>
      <w:r w:rsidR="00377DF9">
        <w:rPr>
          <w:rFonts w:eastAsiaTheme="minorEastAsia"/>
          <w:szCs w:val="22"/>
          <w:lang w:eastAsia="en-US"/>
        </w:rPr>
        <w:t xml:space="preserve"> (which the Treatment phase terms as ‘Initial treatment’)</w:t>
      </w:r>
      <w:r w:rsidRPr="00B04E68">
        <w:rPr>
          <w:rFonts w:eastAsiaTheme="minorEastAsia"/>
          <w:szCs w:val="22"/>
          <w:lang w:eastAsia="en-US"/>
        </w:rPr>
        <w:t>, the requested number of repeats allows patients to start and remain on UPA 45 mg for 16 weeks or start on UPA 45 mg for 8 weeks and switch to UPA 30 mg or 15 mg doses for a further 8 weeks, in-line with the recommended dose. For maintenance treatment</w:t>
      </w:r>
      <w:r w:rsidR="00377DF9">
        <w:rPr>
          <w:rFonts w:eastAsiaTheme="minorEastAsia"/>
          <w:szCs w:val="22"/>
          <w:lang w:eastAsia="en-US"/>
        </w:rPr>
        <w:t xml:space="preserve"> (which the Treatment phase terms as ‘continuing treatment’)</w:t>
      </w:r>
      <w:r w:rsidRPr="00B04E68">
        <w:rPr>
          <w:rFonts w:eastAsiaTheme="minorEastAsia"/>
          <w:szCs w:val="22"/>
          <w:lang w:eastAsia="en-US"/>
        </w:rPr>
        <w:t>, the requested number of repeats provides for up to 24 weeks of treatment with UPA 30 mg and/or 15 mg.</w:t>
      </w:r>
      <w:r w:rsidR="00ED0F18">
        <w:rPr>
          <w:rFonts w:eastAsiaTheme="minorEastAsia"/>
          <w:szCs w:val="22"/>
          <w:lang w:eastAsia="en-US"/>
        </w:rPr>
        <w:t xml:space="preserve"> This is because the </w:t>
      </w:r>
      <w:r w:rsidR="00377DF9">
        <w:rPr>
          <w:rFonts w:eastAsiaTheme="minorEastAsia"/>
          <w:szCs w:val="22"/>
          <w:lang w:eastAsia="en-US"/>
        </w:rPr>
        <w:t xml:space="preserve">draft </w:t>
      </w:r>
      <w:r w:rsidR="00ED0F18">
        <w:rPr>
          <w:rFonts w:eastAsiaTheme="minorEastAsia"/>
          <w:szCs w:val="22"/>
          <w:lang w:eastAsia="en-US"/>
        </w:rPr>
        <w:t xml:space="preserve">Product Information does not recommend </w:t>
      </w:r>
      <w:r w:rsidR="00377DF9">
        <w:rPr>
          <w:rFonts w:eastAsiaTheme="minorEastAsia"/>
          <w:szCs w:val="22"/>
          <w:lang w:eastAsia="en-US"/>
        </w:rPr>
        <w:t xml:space="preserve">maintenance </w:t>
      </w:r>
      <w:r w:rsidR="00ED0F18">
        <w:rPr>
          <w:rFonts w:eastAsiaTheme="minorEastAsia"/>
          <w:szCs w:val="22"/>
          <w:lang w:eastAsia="en-US"/>
        </w:rPr>
        <w:t>treatment with 45 mg.</w:t>
      </w:r>
    </w:p>
    <w:p w14:paraId="774D278D" w14:textId="7C29AD21" w:rsidR="009424B8" w:rsidRPr="00910686" w:rsidRDefault="009424B8" w:rsidP="009424B8">
      <w:pPr>
        <w:pStyle w:val="3-BodyText"/>
        <w:rPr>
          <w:rFonts w:ascii="Calibri" w:eastAsiaTheme="minorEastAsia" w:hAnsi="Calibri"/>
          <w:szCs w:val="22"/>
          <w:lang w:eastAsia="en-US"/>
        </w:rPr>
      </w:pPr>
      <w:r w:rsidRPr="00910686">
        <w:rPr>
          <w:rFonts w:eastAsiaTheme="minorEastAsia"/>
          <w:szCs w:val="22"/>
          <w:lang w:eastAsia="en-US"/>
        </w:rPr>
        <w:t xml:space="preserve">There is the potential for wastage with the UPA 45 mg dose if patients </w:t>
      </w:r>
      <w:r w:rsidR="00ED0F18">
        <w:rPr>
          <w:rFonts w:eastAsiaTheme="minorEastAsia"/>
          <w:szCs w:val="22"/>
          <w:lang w:eastAsia="en-US"/>
        </w:rPr>
        <w:t xml:space="preserve">have their 45 mg prescription dispensed, but is then given instruction to </w:t>
      </w:r>
      <w:r w:rsidRPr="00910686">
        <w:rPr>
          <w:rFonts w:eastAsiaTheme="minorEastAsia"/>
          <w:szCs w:val="22"/>
          <w:lang w:eastAsia="en-US"/>
        </w:rPr>
        <w:t xml:space="preserve">lower </w:t>
      </w:r>
      <w:r w:rsidR="00ED0F18">
        <w:rPr>
          <w:rFonts w:eastAsiaTheme="minorEastAsia"/>
          <w:szCs w:val="22"/>
          <w:lang w:eastAsia="en-US"/>
        </w:rPr>
        <w:t xml:space="preserve">the </w:t>
      </w:r>
      <w:r w:rsidRPr="00910686">
        <w:rPr>
          <w:rFonts w:eastAsiaTheme="minorEastAsia"/>
          <w:szCs w:val="22"/>
          <w:lang w:eastAsia="en-US"/>
        </w:rPr>
        <w:t>dose (UPA 30 mg or 15 mg) after 8 weeks</w:t>
      </w:r>
      <w:r w:rsidR="00ED0F18">
        <w:rPr>
          <w:rFonts w:eastAsiaTheme="minorEastAsia"/>
          <w:szCs w:val="22"/>
          <w:lang w:eastAsia="en-US"/>
        </w:rPr>
        <w:t xml:space="preserve"> as a 45 mg tablet would not be able to be accurately divided into smaller doses</w:t>
      </w:r>
      <w:r w:rsidRPr="00910686">
        <w:rPr>
          <w:rFonts w:eastAsiaTheme="minorEastAsia"/>
          <w:szCs w:val="22"/>
          <w:lang w:eastAsia="en-US"/>
        </w:rPr>
        <w:t>. In addition, s</w:t>
      </w:r>
      <w:r w:rsidRPr="00910686">
        <w:t>eparate listings to allow for dose changes during initial treatment (i.e. decreasing from UPA 45 mg to 30 mg or 15 mg) and maintenance treatment (i.e. increasing from UPA 15 mg to 30 mg or decreasing from UPA 30 mg to 15 mg) may be unnecessary given dose changes with other treatments (e.g. TOF) are permitted under Balance of supply restrictions.</w:t>
      </w:r>
    </w:p>
    <w:p w14:paraId="65F330C6" w14:textId="5CB6C528" w:rsidR="009424B8" w:rsidRPr="00153434" w:rsidRDefault="009424B8" w:rsidP="008A7C6A">
      <w:pPr>
        <w:pStyle w:val="3-BodyText"/>
        <w:rPr>
          <w:rFonts w:ascii="Calibri" w:eastAsiaTheme="minorEastAsia" w:hAnsi="Calibri"/>
          <w:szCs w:val="22"/>
          <w:lang w:eastAsia="en-US"/>
        </w:rPr>
      </w:pPr>
      <w:r w:rsidRPr="00415875">
        <w:rPr>
          <w:rFonts w:eastAsiaTheme="minorEastAsia"/>
          <w:szCs w:val="22"/>
          <w:lang w:eastAsia="en-US"/>
        </w:rPr>
        <w:t xml:space="preserve">The submission requested a Special Pricing Arrangement (SPA). </w:t>
      </w:r>
      <w:r>
        <w:rPr>
          <w:rFonts w:eastAsiaTheme="minorEastAsia"/>
          <w:szCs w:val="22"/>
          <w:lang w:eastAsia="en-US"/>
        </w:rPr>
        <w:t xml:space="preserve">The proposed published price for UPA for MSUC is equivalent to the published price of UPA 15 mg and 30 mg in other indications. As UPA 45 mg is not currently available on the PBS for any other indication, the </w:t>
      </w:r>
      <w:r w:rsidR="00A950DF">
        <w:rPr>
          <w:rFonts w:eastAsiaTheme="minorEastAsia"/>
          <w:szCs w:val="22"/>
          <w:lang w:eastAsia="en-US"/>
        </w:rPr>
        <w:t>sponsor</w:t>
      </w:r>
      <w:r>
        <w:rPr>
          <w:rFonts w:eastAsiaTheme="minorEastAsia"/>
          <w:szCs w:val="22"/>
          <w:lang w:eastAsia="en-US"/>
        </w:rPr>
        <w:t xml:space="preserve"> proposed a new published price approximately one and one-thirds of the 30 mg price at an AEMP level. The submission requested a flat effective pricing structure across all dose formulations.</w:t>
      </w:r>
    </w:p>
    <w:p w14:paraId="602DFE94" w14:textId="41B62B49" w:rsidR="00A963AD" w:rsidRPr="004626D3" w:rsidRDefault="00553EEF" w:rsidP="00762B07">
      <w:pPr>
        <w:pStyle w:val="3-BodyText"/>
        <w:rPr>
          <w:rFonts w:ascii="Calibri" w:eastAsiaTheme="minorEastAsia" w:hAnsi="Calibri"/>
          <w:szCs w:val="22"/>
          <w:lang w:eastAsia="en-US"/>
        </w:rPr>
      </w:pPr>
      <w:r>
        <w:rPr>
          <w:rFonts w:eastAsiaTheme="minorEastAsia"/>
          <w:lang w:eastAsia="en-US"/>
        </w:rPr>
        <w:t xml:space="preserve">Based on the published prices of the nominated comparators, the submission </w:t>
      </w:r>
      <w:r w:rsidR="000E0A26">
        <w:rPr>
          <w:rFonts w:eastAsiaTheme="minorEastAsia"/>
          <w:lang w:eastAsia="en-US"/>
        </w:rPr>
        <w:t xml:space="preserve"> originally </w:t>
      </w:r>
      <w:r>
        <w:rPr>
          <w:rFonts w:eastAsiaTheme="minorEastAsia"/>
          <w:lang w:eastAsia="en-US"/>
        </w:rPr>
        <w:t xml:space="preserve">estimated an indicative effective price of UPA for initial treatment using a cost-per-responder analysis </w:t>
      </w:r>
      <w:r w:rsidR="00762B07" w:rsidRPr="00153434">
        <w:rPr>
          <w:rFonts w:eastAsiaTheme="minorEastAsia"/>
          <w:lang w:eastAsia="en-US"/>
        </w:rPr>
        <w:t>(AEMP = $</w:t>
      </w:r>
      <w:r w:rsidR="00762B07" w:rsidRPr="00CF3A1C">
        <w:rPr>
          <w:rFonts w:eastAsiaTheme="minorEastAsia"/>
          <w:lang w:eastAsia="en-US"/>
        </w:rPr>
        <w:t>5,032.48,</w:t>
      </w:r>
      <w:r w:rsidR="00762B07" w:rsidRPr="00153434">
        <w:rPr>
          <w:rFonts w:eastAsiaTheme="minorEastAsia"/>
          <w:lang w:eastAsia="en-US"/>
        </w:rPr>
        <w:t xml:space="preserve"> flat price for 45 mg, 30 mg and 15 mg formulations)</w:t>
      </w:r>
      <w:r w:rsidR="00762B07">
        <w:rPr>
          <w:rFonts w:eastAsiaTheme="minorEastAsia"/>
          <w:lang w:eastAsia="en-US"/>
        </w:rPr>
        <w:t xml:space="preserve"> </w:t>
      </w:r>
      <w:r>
        <w:rPr>
          <w:rFonts w:eastAsiaTheme="minorEastAsia"/>
          <w:lang w:eastAsia="en-US"/>
        </w:rPr>
        <w:t>and</w:t>
      </w:r>
      <w:r w:rsidR="00762B07">
        <w:rPr>
          <w:rFonts w:eastAsiaTheme="minorEastAsia"/>
          <w:lang w:eastAsia="en-US"/>
        </w:rPr>
        <w:t xml:space="preserve"> an indicat</w:t>
      </w:r>
      <w:r w:rsidR="0012379A">
        <w:rPr>
          <w:rFonts w:eastAsiaTheme="minorEastAsia"/>
          <w:lang w:eastAsia="en-US"/>
        </w:rPr>
        <w:t>ive</w:t>
      </w:r>
      <w:r w:rsidR="00762B07">
        <w:rPr>
          <w:rFonts w:eastAsiaTheme="minorEastAsia"/>
          <w:lang w:eastAsia="en-US"/>
        </w:rPr>
        <w:t xml:space="preserve"> effective </w:t>
      </w:r>
      <w:r w:rsidR="00643DF0">
        <w:rPr>
          <w:rFonts w:eastAsiaTheme="minorEastAsia"/>
          <w:lang w:eastAsia="en-US"/>
        </w:rPr>
        <w:t xml:space="preserve">price </w:t>
      </w:r>
      <w:r w:rsidR="00762B07">
        <w:rPr>
          <w:rFonts w:eastAsiaTheme="minorEastAsia"/>
          <w:lang w:eastAsia="en-US"/>
        </w:rPr>
        <w:t xml:space="preserve">of UPA for continuing treatment using a cost-minimisation analysis </w:t>
      </w:r>
      <w:r w:rsidR="00762B07" w:rsidRPr="00153434">
        <w:rPr>
          <w:rFonts w:eastAsiaTheme="minorEastAsia"/>
          <w:lang w:eastAsia="en-US"/>
        </w:rPr>
        <w:t>(AEMP = $</w:t>
      </w:r>
      <w:r w:rsidR="00762B07" w:rsidRPr="00CF3A1C">
        <w:rPr>
          <w:rFonts w:eastAsiaTheme="minorEastAsia"/>
          <w:lang w:eastAsia="en-US"/>
        </w:rPr>
        <w:t>1</w:t>
      </w:r>
      <w:r w:rsidR="00AD2409" w:rsidRPr="00CF3A1C">
        <w:rPr>
          <w:rFonts w:eastAsiaTheme="minorEastAsia"/>
          <w:lang w:eastAsia="en-US"/>
        </w:rPr>
        <w:t>,</w:t>
      </w:r>
      <w:r w:rsidR="00762B07" w:rsidRPr="00CF3A1C">
        <w:rPr>
          <w:rFonts w:eastAsiaTheme="minorEastAsia"/>
          <w:lang w:eastAsia="en-US"/>
        </w:rPr>
        <w:t>092.47</w:t>
      </w:r>
      <w:r w:rsidR="00762B07" w:rsidRPr="00153434">
        <w:rPr>
          <w:rFonts w:eastAsiaTheme="minorEastAsia"/>
          <w:lang w:eastAsia="en-US"/>
        </w:rPr>
        <w:t>, flat price for 30 mg and 15 mg formulations)</w:t>
      </w:r>
      <w:r w:rsidR="00762B07">
        <w:rPr>
          <w:rFonts w:eastAsiaTheme="minorEastAsia"/>
          <w:lang w:eastAsia="en-US"/>
        </w:rPr>
        <w:t xml:space="preserve">. </w:t>
      </w:r>
      <w:r w:rsidR="000E0A26">
        <w:rPr>
          <w:rFonts w:eastAsiaTheme="minorEastAsia"/>
          <w:lang w:eastAsia="en-US"/>
        </w:rPr>
        <w:t xml:space="preserve">In its Pre-PBAC Response, the </w:t>
      </w:r>
      <w:r w:rsidR="00A950DF">
        <w:rPr>
          <w:rFonts w:eastAsiaTheme="minorEastAsia"/>
          <w:lang w:eastAsia="en-US"/>
        </w:rPr>
        <w:t>sponsor</w:t>
      </w:r>
      <w:r w:rsidR="000E0A26">
        <w:rPr>
          <w:rFonts w:eastAsiaTheme="minorEastAsia"/>
          <w:lang w:eastAsia="en-US"/>
        </w:rPr>
        <w:t xml:space="preserve"> indicated a willingness to list UPA for MSUC on a cost minimisation basis with alternative therapies.</w:t>
      </w:r>
    </w:p>
    <w:p w14:paraId="758504FF" w14:textId="77777777" w:rsidR="004626D3" w:rsidRPr="00C33D30" w:rsidRDefault="004626D3" w:rsidP="004626D3">
      <w:pPr>
        <w:ind w:firstLine="709"/>
        <w:rPr>
          <w:rFonts w:asciiTheme="minorHAnsi" w:hAnsiTheme="minorHAnsi"/>
          <w:i/>
        </w:rPr>
      </w:pPr>
      <w:bookmarkStart w:id="10" w:name="_Hlk76375324"/>
      <w:r w:rsidRPr="00C33D30">
        <w:rPr>
          <w:rFonts w:asciiTheme="minorHAnsi" w:hAnsiTheme="minorHAnsi"/>
          <w:i/>
        </w:rPr>
        <w:t>For more detail on PBAC’s view, see section 7 PBAC outcome.</w:t>
      </w:r>
    </w:p>
    <w:bookmarkEnd w:id="10"/>
    <w:p w14:paraId="0A4E3663" w14:textId="77777777" w:rsidR="004626D3" w:rsidRPr="00910686" w:rsidRDefault="004626D3" w:rsidP="004626D3">
      <w:pPr>
        <w:pStyle w:val="3-BodyText"/>
        <w:numPr>
          <w:ilvl w:val="0"/>
          <w:numId w:val="0"/>
        </w:numPr>
        <w:ind w:left="720"/>
        <w:rPr>
          <w:rFonts w:ascii="Calibri" w:eastAsiaTheme="minorEastAsia" w:hAnsi="Calibri"/>
          <w:szCs w:val="22"/>
          <w:lang w:eastAsia="en-US"/>
        </w:rPr>
      </w:pPr>
    </w:p>
    <w:p w14:paraId="3497BFEF" w14:textId="1FDCF2B3" w:rsidR="009424B8" w:rsidRPr="00407F2D" w:rsidRDefault="009424B8" w:rsidP="009424B8">
      <w:pPr>
        <w:pStyle w:val="2-SectionHeading"/>
        <w:numPr>
          <w:ilvl w:val="0"/>
          <w:numId w:val="1"/>
        </w:numPr>
      </w:pPr>
      <w:bookmarkStart w:id="11" w:name="_Toc103774334"/>
      <w:r>
        <w:t>Population and disease</w:t>
      </w:r>
      <w:bookmarkEnd w:id="11"/>
    </w:p>
    <w:p w14:paraId="2AACE28D" w14:textId="79E37CFC" w:rsidR="00801089" w:rsidRPr="00910686" w:rsidRDefault="009424B8" w:rsidP="00801089">
      <w:pPr>
        <w:pStyle w:val="ListParagraph"/>
        <w:numPr>
          <w:ilvl w:val="1"/>
          <w:numId w:val="1"/>
        </w:numPr>
        <w:spacing w:after="160"/>
        <w:rPr>
          <w:bCs/>
        </w:rPr>
      </w:pPr>
      <w:r w:rsidRPr="00910686">
        <w:rPr>
          <w:bCs/>
        </w:rPr>
        <w:t>Ulcerative colitis is a life-long</w:t>
      </w:r>
      <w:r w:rsidR="007464A6" w:rsidRPr="00910686">
        <w:rPr>
          <w:bCs/>
        </w:rPr>
        <w:t>,</w:t>
      </w:r>
      <w:r w:rsidRPr="00910686">
        <w:rPr>
          <w:bCs/>
        </w:rPr>
        <w:t xml:space="preserve"> chronic relapsing and remitting inflammatory disease that involves ulceration of the mucosa of the colon. Patients with ulcerative colitis most commonly present with bloody diarrhoea, rectal bleeding, tenesmus (sensation of incomplete defecation), abdominal pain, and passage of mucus. Patients with MSUC may also have systemic symptoms, including fatigue, fever, anorexia, nausea, weight loss, and dehydration. The most serious complications of ulcerative colitis are bowel perforation and colorectal cancer.</w:t>
      </w:r>
    </w:p>
    <w:p w14:paraId="3B8C5508" w14:textId="2EC01826" w:rsidR="009424B8" w:rsidRPr="00801089" w:rsidRDefault="009424B8" w:rsidP="00801089">
      <w:pPr>
        <w:pStyle w:val="ListParagraph"/>
        <w:numPr>
          <w:ilvl w:val="1"/>
          <w:numId w:val="1"/>
        </w:numPr>
        <w:spacing w:after="160"/>
        <w:rPr>
          <w:bCs/>
          <w:i/>
          <w:iCs/>
        </w:rPr>
      </w:pPr>
      <w:r w:rsidRPr="00910686">
        <w:rPr>
          <w:bCs/>
        </w:rPr>
        <w:t xml:space="preserve">The Mayo score is an indicator of disease activity based on assessment/grading of disease across up to four categories (endoscopy, stool frequency, rectal bleeding and physician’s global assessment). </w:t>
      </w:r>
      <w:r w:rsidRPr="00910686">
        <w:rPr>
          <w:rFonts w:eastAsiaTheme="minorEastAsia"/>
          <w:szCs w:val="22"/>
          <w:lang w:eastAsia="en-US"/>
        </w:rPr>
        <w:t>Over time, different permutations of the Mayo score have been developed to define severity of disease and assess response to treatment</w:t>
      </w:r>
      <w:r w:rsidR="00724302">
        <w:rPr>
          <w:rFonts w:eastAsiaTheme="minorEastAsia"/>
          <w:szCs w:val="22"/>
          <w:lang w:eastAsia="en-US"/>
        </w:rPr>
        <w:t>.</w:t>
      </w:r>
      <w:r w:rsidRPr="00910686">
        <w:rPr>
          <w:rFonts w:eastAsiaTheme="minorEastAsia"/>
          <w:szCs w:val="22"/>
          <w:lang w:eastAsia="en-US"/>
        </w:rPr>
        <w:t xml:space="preserve"> </w:t>
      </w:r>
      <w:r w:rsidRPr="00910686">
        <w:t>The original full Mayo score incorporates the subscores of all four categories; the partial Mayo score excludes the endoscopic subscore; and the more recent modified/adapted Mayo score (recommended by the FDA in 2016</w:t>
      </w:r>
      <w:r w:rsidRPr="00910686">
        <w:rPr>
          <w:rStyle w:val="FootnoteReference"/>
        </w:rPr>
        <w:footnoteReference w:id="1"/>
      </w:r>
      <w:r w:rsidRPr="00910686">
        <w:t>) excludes the physician rating sub-score (as well as excluding friability from endoscopic score of 1).</w:t>
      </w:r>
      <w:r w:rsidR="00A56E6D" w:rsidRPr="00910686">
        <w:t xml:space="preserve"> </w:t>
      </w:r>
      <w:r w:rsidRPr="00910686">
        <w:rPr>
          <w:bCs/>
        </w:rPr>
        <w:t>Although some studies</w:t>
      </w:r>
      <w:r w:rsidRPr="00910686">
        <w:rPr>
          <w:vertAlign w:val="superscript"/>
        </w:rPr>
        <w:footnoteReference w:id="2"/>
      </w:r>
      <w:r w:rsidRPr="00910686">
        <w:rPr>
          <w:bCs/>
          <w:vertAlign w:val="superscript"/>
        </w:rPr>
        <w:t>,</w:t>
      </w:r>
      <w:r w:rsidRPr="00910686">
        <w:rPr>
          <w:rStyle w:val="FootnoteReference"/>
          <w:bCs/>
        </w:rPr>
        <w:footnoteReference w:id="3"/>
      </w:r>
      <w:r w:rsidRPr="00910686">
        <w:rPr>
          <w:bCs/>
        </w:rPr>
        <w:t xml:space="preserve"> have demonstrated that the full Mayo score, partial Mayo score and adapted Mayo score are correlated with each other, t</w:t>
      </w:r>
      <w:r w:rsidRPr="00910686">
        <w:rPr>
          <w:rFonts w:eastAsiaTheme="minorHAnsi" w:cstheme="minorBidi"/>
          <w:szCs w:val="22"/>
          <w:lang w:eastAsia="en-US"/>
        </w:rPr>
        <w:t>he evolving nature of the Mayo score (and related definitions of severity and response to treatment) means clinical evidence developed over time is likely to become less comparable in terms of selection criteria and measurement of key outcomes</w:t>
      </w:r>
      <w:r w:rsidRPr="00910686">
        <w:rPr>
          <w:bCs/>
        </w:rPr>
        <w:t>.</w:t>
      </w:r>
      <w:r w:rsidR="00A56E6D" w:rsidRPr="00910686">
        <w:rPr>
          <w:bCs/>
        </w:rPr>
        <w:t xml:space="preserve"> In</w:t>
      </w:r>
      <w:r w:rsidR="00A56E6D" w:rsidRPr="00801089">
        <w:rPr>
          <w:bCs/>
          <w:i/>
          <w:iCs/>
        </w:rPr>
        <w:t xml:space="preserve"> </w:t>
      </w:r>
      <w:r w:rsidR="00A56E6D" w:rsidRPr="00910686">
        <w:rPr>
          <w:bCs/>
        </w:rPr>
        <w:t xml:space="preserve">this submission, </w:t>
      </w:r>
      <w:r w:rsidR="00A56E6D" w:rsidRPr="00910686">
        <w:rPr>
          <w:rFonts w:eastAsiaTheme="minorHAnsi" w:cstheme="minorBidi"/>
          <w:szCs w:val="22"/>
          <w:lang w:eastAsia="en-US"/>
        </w:rPr>
        <w:t>the more recent UPA trials defined key eligibility criteria and trial outcomes using the adapted Mayo score whereas older comparator trials generally used the full Mayo score.</w:t>
      </w:r>
    </w:p>
    <w:p w14:paraId="11A6EB6D" w14:textId="5071B5BE" w:rsidR="009424B8" w:rsidRDefault="009424B8" w:rsidP="009424B8">
      <w:pPr>
        <w:widowControl w:val="0"/>
        <w:numPr>
          <w:ilvl w:val="1"/>
          <w:numId w:val="1"/>
        </w:numPr>
        <w:spacing w:after="160"/>
        <w:rPr>
          <w:rFonts w:eastAsiaTheme="minorEastAsia"/>
          <w:snapToGrid w:val="0"/>
          <w:szCs w:val="22"/>
          <w:lang w:eastAsia="en-US"/>
        </w:rPr>
      </w:pPr>
      <w:r>
        <w:rPr>
          <w:rFonts w:eastAsiaTheme="minorEastAsia"/>
          <w:snapToGrid w:val="0"/>
          <w:szCs w:val="22"/>
          <w:lang w:eastAsia="en-US"/>
        </w:rPr>
        <w:t xml:space="preserve">Under current PBS criteria, patients with MSUC (full Mayo score </w:t>
      </w:r>
      <w:r>
        <w:rPr>
          <w:rFonts w:eastAsiaTheme="minorEastAsia" w:cs="Calibri"/>
          <w:snapToGrid w:val="0"/>
          <w:szCs w:val="22"/>
          <w:lang w:eastAsia="en-US"/>
        </w:rPr>
        <w:t>≥</w:t>
      </w:r>
      <w:r w:rsidR="001B0EA8">
        <w:rPr>
          <w:rFonts w:eastAsiaTheme="minorEastAsia" w:cs="Calibri"/>
          <w:snapToGrid w:val="0"/>
          <w:szCs w:val="22"/>
          <w:lang w:eastAsia="en-US"/>
        </w:rPr>
        <w:t> </w:t>
      </w:r>
      <w:r>
        <w:rPr>
          <w:rFonts w:eastAsiaTheme="minorEastAsia"/>
          <w:snapToGrid w:val="0"/>
          <w:szCs w:val="22"/>
          <w:lang w:eastAsia="en-US"/>
        </w:rPr>
        <w:t>6 or partial Mayo score &gt;</w:t>
      </w:r>
      <w:r w:rsidR="001B0EA8">
        <w:rPr>
          <w:rFonts w:eastAsiaTheme="minorEastAsia"/>
          <w:snapToGrid w:val="0"/>
          <w:szCs w:val="22"/>
          <w:lang w:eastAsia="en-US"/>
        </w:rPr>
        <w:t> </w:t>
      </w:r>
      <w:r>
        <w:rPr>
          <w:rFonts w:eastAsiaTheme="minorEastAsia"/>
          <w:snapToGrid w:val="0"/>
          <w:szCs w:val="22"/>
          <w:lang w:eastAsia="en-US"/>
        </w:rPr>
        <w:t xml:space="preserve">6 provided both rectal bleeding and stool frequency subscores </w:t>
      </w:r>
      <w:r>
        <w:rPr>
          <w:rFonts w:eastAsiaTheme="minorEastAsia" w:cs="Calibri"/>
          <w:snapToGrid w:val="0"/>
          <w:szCs w:val="22"/>
          <w:lang w:eastAsia="en-US"/>
        </w:rPr>
        <w:t>≥</w:t>
      </w:r>
      <w:r w:rsidR="001B0EA8">
        <w:rPr>
          <w:rFonts w:eastAsiaTheme="minorEastAsia" w:cs="Calibri"/>
          <w:snapToGrid w:val="0"/>
          <w:szCs w:val="22"/>
          <w:lang w:eastAsia="en-US"/>
        </w:rPr>
        <w:t> </w:t>
      </w:r>
      <w:r>
        <w:rPr>
          <w:rFonts w:eastAsiaTheme="minorEastAsia"/>
          <w:snapToGrid w:val="0"/>
          <w:szCs w:val="22"/>
          <w:lang w:eastAsia="en-US"/>
        </w:rPr>
        <w:t>2)</w:t>
      </w:r>
      <w:r w:rsidR="007464A6">
        <w:rPr>
          <w:rFonts w:eastAsiaTheme="minorEastAsia"/>
          <w:snapToGrid w:val="0"/>
          <w:szCs w:val="22"/>
          <w:lang w:eastAsia="en-US"/>
        </w:rPr>
        <w:t xml:space="preserve">, who have failed </w:t>
      </w:r>
      <w:r w:rsidR="00955EEC">
        <w:rPr>
          <w:rFonts w:eastAsiaTheme="minorEastAsia"/>
          <w:snapToGrid w:val="0"/>
          <w:szCs w:val="22"/>
          <w:lang w:eastAsia="en-US"/>
        </w:rPr>
        <w:t>(or are unable to tolerate) a 5-aminosalicylate (5-ASA) oral agent and at least one of azathioprine, mercaptopurine or oral steroids,</w:t>
      </w:r>
      <w:r>
        <w:rPr>
          <w:rFonts w:eastAsiaTheme="minorEastAsia"/>
          <w:snapToGrid w:val="0"/>
          <w:szCs w:val="22"/>
          <w:lang w:eastAsia="en-US"/>
        </w:rPr>
        <w:t xml:space="preserve"> are eligible for treatment with TOF (JAK inhibitor), IFX (TNF inhibitor), VDZ (</w:t>
      </w:r>
      <w:r w:rsidRPr="00944F89">
        <w:rPr>
          <w:rFonts w:eastAsiaTheme="minorEastAsia"/>
          <w:snapToGrid w:val="0"/>
          <w:szCs w:val="22"/>
          <w:lang w:eastAsia="en-US"/>
        </w:rPr>
        <w:t>integrin inhibitor</w:t>
      </w:r>
      <w:r>
        <w:rPr>
          <w:rFonts w:eastAsiaTheme="minorEastAsia"/>
          <w:snapToGrid w:val="0"/>
          <w:szCs w:val="22"/>
          <w:lang w:eastAsia="en-US"/>
        </w:rPr>
        <w:t xml:space="preserve">), GOL (TNF inhibitor), and ADA (TNF inhibitor). </w:t>
      </w:r>
      <w:r w:rsidRPr="00BF0F6C">
        <w:rPr>
          <w:rFonts w:eastAsiaTheme="minorEastAsia"/>
          <w:snapToGrid w:val="0"/>
          <w:szCs w:val="22"/>
          <w:lang w:eastAsia="en-US"/>
        </w:rPr>
        <w:t xml:space="preserve">The addition of </w:t>
      </w:r>
      <w:r>
        <w:rPr>
          <w:rFonts w:eastAsiaTheme="minorEastAsia"/>
          <w:snapToGrid w:val="0"/>
          <w:szCs w:val="22"/>
          <w:lang w:eastAsia="en-US"/>
        </w:rPr>
        <w:t>UPA (JAK1 selective inhibitor)</w:t>
      </w:r>
      <w:r w:rsidRPr="00BF0F6C">
        <w:rPr>
          <w:rFonts w:eastAsiaTheme="minorEastAsia"/>
          <w:snapToGrid w:val="0"/>
          <w:szCs w:val="22"/>
          <w:lang w:eastAsia="en-US"/>
        </w:rPr>
        <w:t xml:space="preserve"> to the clinical management algorithm will not alter current practice, but will allow for an additional option.</w:t>
      </w:r>
    </w:p>
    <w:p w14:paraId="14B04717" w14:textId="77777777" w:rsidR="004626D3" w:rsidRPr="00C33D30" w:rsidRDefault="004626D3" w:rsidP="004626D3">
      <w:pPr>
        <w:ind w:firstLine="709"/>
        <w:rPr>
          <w:rFonts w:asciiTheme="minorHAnsi" w:hAnsiTheme="minorHAnsi"/>
          <w:i/>
        </w:rPr>
      </w:pPr>
      <w:r w:rsidRPr="00C33D30">
        <w:rPr>
          <w:rFonts w:asciiTheme="minorHAnsi" w:hAnsiTheme="minorHAnsi"/>
          <w:i/>
        </w:rPr>
        <w:t>For more detail on PBAC’s view, see section 7 PBAC outcome.</w:t>
      </w:r>
    </w:p>
    <w:p w14:paraId="565D571B" w14:textId="77777777" w:rsidR="004626D3" w:rsidRDefault="004626D3" w:rsidP="004626D3">
      <w:pPr>
        <w:widowControl w:val="0"/>
        <w:spacing w:after="160"/>
        <w:ind w:left="720"/>
        <w:rPr>
          <w:rFonts w:eastAsiaTheme="minorEastAsia"/>
          <w:snapToGrid w:val="0"/>
          <w:szCs w:val="22"/>
          <w:lang w:eastAsia="en-US"/>
        </w:rPr>
      </w:pPr>
    </w:p>
    <w:p w14:paraId="4BA26E11" w14:textId="77777777" w:rsidR="009424B8" w:rsidRPr="00407F2D" w:rsidRDefault="009424B8" w:rsidP="009424B8">
      <w:pPr>
        <w:pStyle w:val="2-SectionHeading"/>
        <w:numPr>
          <w:ilvl w:val="0"/>
          <w:numId w:val="1"/>
        </w:numPr>
      </w:pPr>
      <w:bookmarkStart w:id="12" w:name="_Toc103774335"/>
      <w:r w:rsidRPr="00407F2D">
        <w:t>Comparator</w:t>
      </w:r>
      <w:bookmarkEnd w:id="12"/>
    </w:p>
    <w:p w14:paraId="1A5C620C" w14:textId="3AF8A6F9" w:rsidR="009424B8" w:rsidRPr="00F7546C" w:rsidRDefault="009424B8" w:rsidP="00A56E6D">
      <w:pPr>
        <w:pStyle w:val="3-BodyText"/>
        <w:rPr>
          <w:snapToGrid/>
          <w:lang w:val="en-US"/>
        </w:rPr>
      </w:pPr>
      <w:r w:rsidRPr="00B9275E">
        <w:t xml:space="preserve">The submission nominated TOF as the main comparator, given TOF is the closest pharmacological analogue, has the same oral route of administration (other alternatives are </w:t>
      </w:r>
      <w:r w:rsidR="008F55E6">
        <w:t>intravenous (</w:t>
      </w:r>
      <w:r w:rsidRPr="00B9275E">
        <w:t>IV</w:t>
      </w:r>
      <w:r w:rsidR="008F55E6">
        <w:t>)</w:t>
      </w:r>
      <w:r w:rsidRPr="00B9275E">
        <w:t xml:space="preserve"> and/or </w:t>
      </w:r>
      <w:r w:rsidR="008F55E6">
        <w:t>subcutaneous (</w:t>
      </w:r>
      <w:r w:rsidRPr="00B9275E">
        <w:t>SC)</w:t>
      </w:r>
      <w:r w:rsidR="008F55E6">
        <w:t xml:space="preserve"> injections)</w:t>
      </w:r>
      <w:r w:rsidRPr="00B9275E">
        <w:t xml:space="preserve"> and clinicians would likely consider UPA and TOF for similar patients.</w:t>
      </w:r>
      <w:r w:rsidR="00A56E6D">
        <w:t xml:space="preserve"> </w:t>
      </w:r>
      <w:r w:rsidRPr="00A56E6D">
        <w:rPr>
          <w:rFonts w:eastAsiaTheme="minorEastAsia"/>
          <w:szCs w:val="22"/>
          <w:lang w:eastAsia="en-US"/>
        </w:rPr>
        <w:t>The submission also nominated other PBS-listed treatments (IFX, ADA, VDZ and GOL) as supplementary comparators, as well as ozanimod (OZA; a SP1 modulator) as a near</w:t>
      </w:r>
      <w:r w:rsidR="00F22820">
        <w:rPr>
          <w:rFonts w:eastAsiaTheme="minorEastAsia"/>
          <w:szCs w:val="22"/>
          <w:lang w:eastAsia="en-US"/>
        </w:rPr>
        <w:t>-</w:t>
      </w:r>
      <w:r w:rsidRPr="00A56E6D">
        <w:rPr>
          <w:rFonts w:eastAsiaTheme="minorEastAsia"/>
          <w:szCs w:val="22"/>
          <w:lang w:eastAsia="en-US"/>
        </w:rPr>
        <w:t xml:space="preserve">market comparator given the PBAC </w:t>
      </w:r>
      <w:r w:rsidR="00F22820" w:rsidRPr="004626D3">
        <w:rPr>
          <w:rFonts w:eastAsiaTheme="minorEastAsia"/>
          <w:szCs w:val="22"/>
          <w:lang w:eastAsia="en-US"/>
        </w:rPr>
        <w:t xml:space="preserve">recommended </w:t>
      </w:r>
      <w:r w:rsidRPr="00A56E6D">
        <w:rPr>
          <w:rFonts w:eastAsiaTheme="minorEastAsia"/>
          <w:szCs w:val="22"/>
          <w:lang w:eastAsia="en-US"/>
        </w:rPr>
        <w:t xml:space="preserve">OZA for MSUC at the March 2022 PBAC meeting. </w:t>
      </w:r>
      <w:r w:rsidRPr="00910686">
        <w:rPr>
          <w:rFonts w:eastAsiaTheme="minorEastAsia"/>
          <w:szCs w:val="22"/>
          <w:lang w:eastAsia="en-US"/>
        </w:rPr>
        <w:t>Ustekinumab (UST; an interleukin inhibitor) may also be considered a near-market comparator, given the PBAC consider</w:t>
      </w:r>
      <w:r w:rsidR="00541B6F">
        <w:rPr>
          <w:rFonts w:eastAsiaTheme="minorEastAsia"/>
          <w:szCs w:val="22"/>
          <w:lang w:eastAsia="en-US"/>
        </w:rPr>
        <w:t>ed</w:t>
      </w:r>
      <w:r w:rsidRPr="00910686">
        <w:rPr>
          <w:rFonts w:eastAsiaTheme="minorEastAsia"/>
          <w:szCs w:val="22"/>
          <w:lang w:eastAsia="en-US"/>
        </w:rPr>
        <w:t xml:space="preserve"> PBS-listing of UST for MSUC at the July 2022 PBAC </w:t>
      </w:r>
      <w:r w:rsidRPr="00F7546C">
        <w:rPr>
          <w:rFonts w:eastAsiaTheme="minorEastAsia"/>
          <w:szCs w:val="22"/>
          <w:lang w:eastAsia="en-US"/>
        </w:rPr>
        <w:t>meeting.</w:t>
      </w:r>
    </w:p>
    <w:p w14:paraId="3D695BC9" w14:textId="7B2F68C3" w:rsidR="006259C4" w:rsidRPr="00F7546C" w:rsidRDefault="009424B8" w:rsidP="00D85729">
      <w:pPr>
        <w:pStyle w:val="3-BodyText"/>
        <w:rPr>
          <w:snapToGrid/>
          <w:lang w:val="en-US"/>
        </w:rPr>
      </w:pPr>
      <w:bookmarkStart w:id="13" w:name="_Hlk103283203"/>
      <w:r w:rsidRPr="00F7546C">
        <w:rPr>
          <w:rFonts w:eastAsiaTheme="minorEastAsia"/>
          <w:szCs w:val="22"/>
          <w:lang w:eastAsia="en-US"/>
        </w:rPr>
        <w:t>The nomination of TOF and all other PBS-listed treatments for MSUC as relevant comparators was appropriate</w:t>
      </w:r>
      <w:r w:rsidR="00D85729" w:rsidRPr="00F7546C">
        <w:rPr>
          <w:rFonts w:eastAsiaTheme="minorEastAsia"/>
          <w:szCs w:val="22"/>
          <w:lang w:eastAsia="en-US"/>
        </w:rPr>
        <w:t>,</w:t>
      </w:r>
      <w:r w:rsidR="00C34887" w:rsidRPr="00F7546C">
        <w:rPr>
          <w:rFonts w:eastAsiaTheme="minorEastAsia"/>
          <w:szCs w:val="22"/>
          <w:lang w:eastAsia="en-US"/>
        </w:rPr>
        <w:t xml:space="preserve"> and all are alternative therapies as </w:t>
      </w:r>
      <w:r w:rsidRPr="00F7546C">
        <w:rPr>
          <w:rFonts w:eastAsiaTheme="minorEastAsia"/>
          <w:szCs w:val="22"/>
          <w:lang w:eastAsia="en-US"/>
        </w:rPr>
        <w:t xml:space="preserve">UPA may replace any of these treatments in practice. </w:t>
      </w:r>
      <w:bookmarkEnd w:id="13"/>
      <w:r w:rsidR="006259C4" w:rsidRPr="00F7546C">
        <w:t>TOF was recommended for PBS listing on the basis of cost minimisation against the least costly biologic therapy of IFX, GOL or VDZ. The PBAC accepted that TOF is likely of non-inferior safety and efficacy to these agents in MSUC, and that there is sufficient basis to conclude that TOF, for some patients, provides a significant improvement in efficacy in the induction phase compared to ADA, based on the ITT analyses (para</w:t>
      </w:r>
      <w:r w:rsidR="00725ADE" w:rsidRPr="00F7546C">
        <w:t>graph</w:t>
      </w:r>
      <w:r w:rsidR="006259C4" w:rsidRPr="00F7546C">
        <w:t xml:space="preserve"> 7.1, TOF </w:t>
      </w:r>
      <w:r w:rsidR="00267545">
        <w:rPr>
          <w:rFonts w:eastAsiaTheme="minorEastAsia"/>
          <w:szCs w:val="22"/>
          <w:lang w:eastAsia="en-US"/>
        </w:rPr>
        <w:t>P</w:t>
      </w:r>
      <w:r w:rsidR="00B1589C">
        <w:rPr>
          <w:rFonts w:eastAsiaTheme="minorEastAsia"/>
          <w:szCs w:val="22"/>
          <w:lang w:eastAsia="en-US"/>
        </w:rPr>
        <w:t xml:space="preserve">ublic </w:t>
      </w:r>
      <w:r w:rsidR="008657FB">
        <w:rPr>
          <w:rFonts w:eastAsiaTheme="minorEastAsia"/>
          <w:szCs w:val="22"/>
          <w:lang w:eastAsia="en-US"/>
        </w:rPr>
        <w:t>S</w:t>
      </w:r>
      <w:r w:rsidR="00B1589C">
        <w:rPr>
          <w:rFonts w:eastAsiaTheme="minorEastAsia"/>
          <w:szCs w:val="22"/>
          <w:lang w:eastAsia="en-US"/>
        </w:rPr>
        <w:t xml:space="preserve">ummary </w:t>
      </w:r>
      <w:r w:rsidR="008657FB">
        <w:rPr>
          <w:rFonts w:eastAsiaTheme="minorEastAsia"/>
          <w:szCs w:val="22"/>
          <w:lang w:eastAsia="en-US"/>
        </w:rPr>
        <w:t>D</w:t>
      </w:r>
      <w:r w:rsidR="00B1589C">
        <w:rPr>
          <w:rFonts w:eastAsiaTheme="minorEastAsia"/>
          <w:szCs w:val="22"/>
          <w:lang w:eastAsia="en-US"/>
        </w:rPr>
        <w:t>ocument (</w:t>
      </w:r>
      <w:r w:rsidR="006259C4" w:rsidRPr="00F7546C">
        <w:t>PSD</w:t>
      </w:r>
      <w:r w:rsidR="00B1589C">
        <w:t>)</w:t>
      </w:r>
      <w:r w:rsidR="006259C4" w:rsidRPr="00F7546C">
        <w:t>, November 2020).</w:t>
      </w:r>
      <w:r w:rsidR="00D85729" w:rsidRPr="00F7546C">
        <w:t xml:space="preserve"> </w:t>
      </w:r>
    </w:p>
    <w:p w14:paraId="652A2C31" w14:textId="60A69971" w:rsidR="009424B8" w:rsidRPr="004626D3" w:rsidRDefault="00762B07" w:rsidP="00D85729">
      <w:pPr>
        <w:pStyle w:val="3-BodyText"/>
        <w:rPr>
          <w:iCs/>
          <w:snapToGrid/>
          <w:lang w:val="en-US"/>
        </w:rPr>
      </w:pPr>
      <w:r w:rsidRPr="00910686">
        <w:rPr>
          <w:iCs/>
        </w:rPr>
        <w:t>U</w:t>
      </w:r>
      <w:r w:rsidR="009424B8" w:rsidRPr="00910686">
        <w:rPr>
          <w:iCs/>
        </w:rPr>
        <w:t xml:space="preserve">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w:t>
      </w:r>
    </w:p>
    <w:p w14:paraId="6A089100" w14:textId="77777777" w:rsidR="004626D3" w:rsidRPr="00C33D30" w:rsidRDefault="004626D3" w:rsidP="004626D3">
      <w:pPr>
        <w:ind w:firstLine="709"/>
        <w:rPr>
          <w:rFonts w:asciiTheme="minorHAnsi" w:hAnsiTheme="minorHAnsi"/>
          <w:i/>
        </w:rPr>
      </w:pPr>
      <w:r w:rsidRPr="00C33D30">
        <w:rPr>
          <w:rFonts w:asciiTheme="minorHAnsi" w:hAnsiTheme="minorHAnsi"/>
          <w:i/>
        </w:rPr>
        <w:t>For more detail on PBAC’s view, see section 7 PBAC outcome.</w:t>
      </w:r>
    </w:p>
    <w:p w14:paraId="0EB30181" w14:textId="77777777" w:rsidR="004626D3" w:rsidRPr="00910686" w:rsidRDefault="004626D3" w:rsidP="004626D3">
      <w:pPr>
        <w:pStyle w:val="3-BodyText"/>
        <w:numPr>
          <w:ilvl w:val="0"/>
          <w:numId w:val="0"/>
        </w:numPr>
        <w:ind w:left="720"/>
        <w:rPr>
          <w:iCs/>
          <w:snapToGrid/>
          <w:lang w:val="en-US"/>
        </w:rPr>
      </w:pPr>
    </w:p>
    <w:p w14:paraId="1DEE38BB" w14:textId="77777777" w:rsidR="009424B8" w:rsidRPr="00407F2D" w:rsidRDefault="009424B8" w:rsidP="009424B8">
      <w:pPr>
        <w:pStyle w:val="2-SectionHeading"/>
        <w:numPr>
          <w:ilvl w:val="0"/>
          <w:numId w:val="1"/>
        </w:numPr>
      </w:pPr>
      <w:bookmarkStart w:id="14" w:name="_Toc103774336"/>
      <w:bookmarkStart w:id="15" w:name="_Toc22897640"/>
      <w:r>
        <w:t>C</w:t>
      </w:r>
      <w:r w:rsidRPr="00407F2D">
        <w:t>onsideration of the evidence</w:t>
      </w:r>
      <w:bookmarkEnd w:id="14"/>
    </w:p>
    <w:p w14:paraId="47939073" w14:textId="1191A6FA" w:rsidR="00381E5D" w:rsidRPr="00A132AD" w:rsidRDefault="00A950DF" w:rsidP="00F053B1">
      <w:pPr>
        <w:pStyle w:val="4-SubsectionHeading"/>
      </w:pPr>
      <w:bookmarkStart w:id="16" w:name="_Hlk76375935"/>
      <w:bookmarkStart w:id="17" w:name="_Toc103774337"/>
      <w:r>
        <w:t>Sponsor</w:t>
      </w:r>
      <w:r w:rsidR="004626D3" w:rsidRPr="00A132AD">
        <w:t xml:space="preserve"> hearing</w:t>
      </w:r>
      <w:bookmarkStart w:id="18" w:name="_Hlk76382586"/>
      <w:r w:rsidR="004626D3" w:rsidRPr="00A132AD">
        <w:rPr>
          <w:bCs/>
          <w:snapToGrid w:val="0"/>
        </w:rPr>
        <w:t xml:space="preserve"> </w:t>
      </w:r>
      <w:bookmarkEnd w:id="18"/>
    </w:p>
    <w:p w14:paraId="031968D8" w14:textId="10B519FA" w:rsidR="004626D3" w:rsidRPr="00A132AD" w:rsidRDefault="004626D3" w:rsidP="004626D3">
      <w:pPr>
        <w:widowControl w:val="0"/>
        <w:numPr>
          <w:ilvl w:val="1"/>
          <w:numId w:val="1"/>
        </w:numPr>
        <w:spacing w:after="120"/>
        <w:rPr>
          <w:rFonts w:cs="Calibri"/>
          <w:bCs/>
          <w:snapToGrid w:val="0"/>
        </w:rPr>
      </w:pPr>
      <w:r w:rsidRPr="00A132AD">
        <w:rPr>
          <w:rFonts w:cs="Calibri"/>
          <w:bCs/>
          <w:snapToGrid w:val="0"/>
        </w:rPr>
        <w:t>There was no hearing for this item.</w:t>
      </w:r>
    </w:p>
    <w:p w14:paraId="7180C53A" w14:textId="77777777" w:rsidR="004626D3" w:rsidRPr="006E1229" w:rsidRDefault="004626D3" w:rsidP="00F053B1">
      <w:pPr>
        <w:pStyle w:val="4-SubsectionHeading"/>
      </w:pPr>
      <w:r w:rsidRPr="006E1229">
        <w:t>Consumer comments</w:t>
      </w:r>
    </w:p>
    <w:p w14:paraId="741B3766" w14:textId="702A82DC" w:rsidR="004626D3" w:rsidRPr="00836F75" w:rsidRDefault="004626D3" w:rsidP="004626D3">
      <w:pPr>
        <w:widowControl w:val="0"/>
        <w:numPr>
          <w:ilvl w:val="1"/>
          <w:numId w:val="1"/>
        </w:numPr>
        <w:spacing w:after="120"/>
        <w:rPr>
          <w:rFonts w:asciiTheme="minorHAnsi" w:hAnsiTheme="minorHAnsi"/>
          <w:bCs/>
          <w:snapToGrid w:val="0"/>
        </w:rPr>
      </w:pPr>
      <w:bookmarkStart w:id="19" w:name="_Hlk76382618"/>
      <w:r w:rsidRPr="00836F75">
        <w:rPr>
          <w:rFonts w:asciiTheme="minorHAnsi" w:hAnsiTheme="minorHAnsi"/>
          <w:bCs/>
          <w:snapToGrid w:val="0"/>
        </w:rPr>
        <w:t xml:space="preserve">The PBAC noted and welcomed the input from </w:t>
      </w:r>
      <w:r w:rsidR="00541B6F">
        <w:rPr>
          <w:rFonts w:asciiTheme="minorHAnsi" w:hAnsiTheme="minorHAnsi"/>
          <w:bCs/>
          <w:snapToGrid w:val="0"/>
        </w:rPr>
        <w:t xml:space="preserve">one </w:t>
      </w:r>
      <w:r w:rsidRPr="00836F75">
        <w:rPr>
          <w:rFonts w:asciiTheme="minorHAnsi" w:hAnsiTheme="minorHAnsi"/>
          <w:bCs/>
          <w:snapToGrid w:val="0"/>
        </w:rPr>
        <w:t>organisation via the Consumer Comments facility on the PBS website.</w:t>
      </w:r>
      <w:r w:rsidR="00381E5D">
        <w:rPr>
          <w:rFonts w:asciiTheme="minorHAnsi" w:hAnsiTheme="minorHAnsi"/>
          <w:bCs/>
          <w:snapToGrid w:val="0"/>
        </w:rPr>
        <w:t xml:space="preserve"> The comments from consumer organisation Crohn’s and Colitis Australia described the additional flexibility for patients an oral treatment for MSUC offers for patients, particularly those in rural and remote areas who may otherwise need to travel substantial distances for infusible therapies.</w:t>
      </w:r>
      <w:r w:rsidRPr="00836F75">
        <w:rPr>
          <w:rFonts w:asciiTheme="minorHAnsi" w:hAnsiTheme="minorHAnsi"/>
          <w:bCs/>
          <w:snapToGrid w:val="0"/>
        </w:rPr>
        <w:t xml:space="preserve">  </w:t>
      </w:r>
    </w:p>
    <w:bookmarkEnd w:id="16"/>
    <w:bookmarkEnd w:id="19"/>
    <w:p w14:paraId="57032B1C" w14:textId="77777777" w:rsidR="009424B8" w:rsidRPr="00C9624D" w:rsidRDefault="009424B8" w:rsidP="009424B8">
      <w:pPr>
        <w:pStyle w:val="4-SubsectionHeading"/>
      </w:pPr>
      <w:r w:rsidRPr="00C9624D">
        <w:t>Clinical trials</w:t>
      </w:r>
      <w:bookmarkEnd w:id="15"/>
      <w:bookmarkEnd w:id="17"/>
    </w:p>
    <w:p w14:paraId="271AE076" w14:textId="228259A1" w:rsidR="00D61AB2" w:rsidRPr="00910686" w:rsidRDefault="009424B8" w:rsidP="009424B8">
      <w:pPr>
        <w:pStyle w:val="3-BodyText"/>
        <w:rPr>
          <w:rFonts w:eastAsiaTheme="minorEastAsia"/>
          <w:szCs w:val="22"/>
          <w:lang w:eastAsia="en-US"/>
        </w:rPr>
      </w:pPr>
      <w:r w:rsidRPr="00887AD0">
        <w:rPr>
          <w:rFonts w:eastAsiaTheme="minorEastAsia"/>
          <w:szCs w:val="22"/>
          <w:lang w:eastAsia="en-US"/>
        </w:rPr>
        <w:t xml:space="preserve">The submission conducted a literature search to identify all randomised </w:t>
      </w:r>
      <w:r>
        <w:rPr>
          <w:rFonts w:eastAsiaTheme="minorEastAsia"/>
          <w:szCs w:val="22"/>
          <w:lang w:eastAsia="en-US"/>
        </w:rPr>
        <w:t xml:space="preserve">controlled </w:t>
      </w:r>
      <w:r w:rsidRPr="00887AD0">
        <w:rPr>
          <w:rFonts w:eastAsiaTheme="minorEastAsia"/>
          <w:szCs w:val="22"/>
          <w:lang w:eastAsia="en-US"/>
        </w:rPr>
        <w:t>trials</w:t>
      </w:r>
      <w:r>
        <w:rPr>
          <w:rFonts w:eastAsiaTheme="minorEastAsia"/>
          <w:szCs w:val="22"/>
          <w:lang w:eastAsia="en-US"/>
        </w:rPr>
        <w:t xml:space="preserve"> (RCTs)</w:t>
      </w:r>
      <w:r w:rsidRPr="00887AD0">
        <w:rPr>
          <w:rFonts w:eastAsiaTheme="minorEastAsia"/>
          <w:szCs w:val="22"/>
          <w:lang w:eastAsia="en-US"/>
        </w:rPr>
        <w:t xml:space="preserve"> that would permit a comparison between UPA and the nominated main comparator TOF. For comparisons between UPA and other supplementary comparators (IFX, VDZ, GOL and ADA), the submission included </w:t>
      </w:r>
      <w:r>
        <w:rPr>
          <w:rFonts w:eastAsiaTheme="minorEastAsia"/>
          <w:szCs w:val="22"/>
          <w:lang w:eastAsia="en-US"/>
        </w:rPr>
        <w:t xml:space="preserve">results from </w:t>
      </w:r>
      <w:r w:rsidRPr="00887AD0">
        <w:rPr>
          <w:rFonts w:eastAsiaTheme="minorEastAsia"/>
          <w:szCs w:val="22"/>
          <w:lang w:eastAsia="en-US"/>
        </w:rPr>
        <w:t>all comparator trials identified in the TOF PSD November 2020.</w:t>
      </w:r>
      <w:r w:rsidR="002E6B88">
        <w:rPr>
          <w:rFonts w:eastAsiaTheme="minorEastAsia"/>
          <w:szCs w:val="22"/>
          <w:lang w:eastAsia="en-US"/>
        </w:rPr>
        <w:t xml:space="preserve"> </w:t>
      </w:r>
      <w:r w:rsidR="00B47B5A" w:rsidRPr="00910686">
        <w:t>T</w:t>
      </w:r>
      <w:r w:rsidR="002E6B88" w:rsidRPr="00910686">
        <w:rPr>
          <w:kern w:val="16"/>
        </w:rPr>
        <w:t>he methodology of relying on a list of trials from a previous PBAC PSD is a departure from standard practice for literature searches for PBAC submissions</w:t>
      </w:r>
      <w:r w:rsidR="002E6B88" w:rsidRPr="00910686">
        <w:t>. Ideally, the submission would have conducted an updated literature search versus the supplementary comparators, but an independent search located no other relevant trials.</w:t>
      </w:r>
    </w:p>
    <w:p w14:paraId="4D8E8E6B" w14:textId="7DB53998" w:rsidR="00CF3A1C" w:rsidRDefault="009424B8" w:rsidP="00D61AB2">
      <w:pPr>
        <w:pStyle w:val="3-BodyText"/>
      </w:pPr>
      <w:r>
        <w:t xml:space="preserve">The submission focused on </w:t>
      </w:r>
      <w:r w:rsidRPr="002125C9">
        <w:t>the clinical trial evidence for UPA and TOF</w:t>
      </w:r>
      <w:r>
        <w:t xml:space="preserve"> , based on assumption that TOF was sufficiently comparable to the supplementary comparator trials. The submission argued that the comparator trials were comparable enough to inform decision making given that the PBAC had made a positive recommendation for TOF in November 2020 despite noting several ‘exchangeability’ concerns with the trials.</w:t>
      </w:r>
    </w:p>
    <w:p w14:paraId="1FA11034" w14:textId="668F4682" w:rsidR="009424B8" w:rsidRPr="00CF3A1C" w:rsidRDefault="009424B8" w:rsidP="00CF3A1C">
      <w:pPr>
        <w:pStyle w:val="3-BodyText"/>
        <w:rPr>
          <w:rFonts w:eastAsiaTheme="minorEastAsia"/>
          <w:szCs w:val="22"/>
          <w:lang w:eastAsia="en-US"/>
        </w:rPr>
      </w:pPr>
      <w:r w:rsidRPr="00910686">
        <w:t xml:space="preserve">This argument was poorly justified, given a range of factors are taken into consideration when drawing conclusions about the expected outcomes of different treatments from indirect treatment comparisons, namely the risk of bias and exchangeability of trials included. Given the submission’s approach, the </w:t>
      </w:r>
      <w:r w:rsidR="007362EF">
        <w:t>evaluation</w:t>
      </w:r>
      <w:r w:rsidR="007362EF" w:rsidRPr="00910686">
        <w:t xml:space="preserve"> </w:t>
      </w:r>
      <w:r w:rsidRPr="00910686">
        <w:t>focuse</w:t>
      </w:r>
      <w:r w:rsidR="00541B6F">
        <w:t>d</w:t>
      </w:r>
      <w:r w:rsidRPr="00910686">
        <w:t xml:space="preserve"> on the comparison between the UPA and TOF trials but also summarises key differences between the UPA and supplementary comparator trials</w:t>
      </w:r>
      <w:r w:rsidRPr="00CF3A1C">
        <w:rPr>
          <w:i/>
          <w:iCs/>
        </w:rPr>
        <w:t>.</w:t>
      </w:r>
    </w:p>
    <w:p w14:paraId="00F753FD" w14:textId="77777777" w:rsidR="009424B8" w:rsidRDefault="009424B8" w:rsidP="009424B8">
      <w:pPr>
        <w:pStyle w:val="3-BodyText"/>
        <w:rPr>
          <w:rFonts w:eastAsiaTheme="minorEastAsia"/>
          <w:szCs w:val="22"/>
          <w:lang w:eastAsia="en-US"/>
        </w:rPr>
      </w:pPr>
      <w:r w:rsidRPr="008913AD">
        <w:rPr>
          <w:rFonts w:eastAsiaTheme="minorEastAsia"/>
          <w:lang w:eastAsia="en-US"/>
        </w:rPr>
        <w:t>There were no head-to-head trials of UPA vs. TOF or any of the supplementary comparators for the treatment of MSUC.</w:t>
      </w:r>
      <w:r>
        <w:rPr>
          <w:rFonts w:eastAsiaTheme="minorEastAsia"/>
          <w:lang w:eastAsia="en-US"/>
        </w:rPr>
        <w:t xml:space="preserve"> </w:t>
      </w:r>
      <w:r w:rsidRPr="008913AD">
        <w:rPr>
          <w:rFonts w:eastAsiaTheme="minorEastAsia"/>
          <w:lang w:eastAsia="en-US"/>
        </w:rPr>
        <w:t xml:space="preserve">The submission presented a series of indirect comparisons </w:t>
      </w:r>
      <w:r w:rsidRPr="00F31B50">
        <w:rPr>
          <w:rFonts w:eastAsiaTheme="minorEastAsia"/>
          <w:szCs w:val="22"/>
          <w:lang w:eastAsia="en-US"/>
        </w:rPr>
        <w:t xml:space="preserve">from </w:t>
      </w:r>
      <w:r w:rsidRPr="00F100F3">
        <w:rPr>
          <w:rFonts w:eastAsiaTheme="minorEastAsia"/>
          <w:szCs w:val="22"/>
          <w:lang w:eastAsia="en-US"/>
        </w:rPr>
        <w:t xml:space="preserve">21 </w:t>
      </w:r>
      <w:r>
        <w:rPr>
          <w:rFonts w:eastAsiaTheme="minorEastAsia"/>
          <w:szCs w:val="22"/>
          <w:lang w:eastAsia="en-US"/>
        </w:rPr>
        <w:t>placebo (</w:t>
      </w:r>
      <w:r w:rsidRPr="00F100F3">
        <w:rPr>
          <w:rFonts w:eastAsiaTheme="minorEastAsia"/>
          <w:szCs w:val="22"/>
          <w:lang w:eastAsia="en-US"/>
        </w:rPr>
        <w:t>PBO</w:t>
      </w:r>
      <w:r>
        <w:rPr>
          <w:rFonts w:eastAsiaTheme="minorEastAsia"/>
          <w:szCs w:val="22"/>
          <w:lang w:eastAsia="en-US"/>
        </w:rPr>
        <w:t xml:space="preserve">) </w:t>
      </w:r>
      <w:r w:rsidRPr="00F100F3">
        <w:rPr>
          <w:rFonts w:eastAsiaTheme="minorEastAsia"/>
          <w:szCs w:val="22"/>
          <w:lang w:eastAsia="en-US"/>
        </w:rPr>
        <w:t>controlled RCTs, consisting of</w:t>
      </w:r>
      <w:r>
        <w:rPr>
          <w:rFonts w:eastAsiaTheme="minorEastAsia"/>
          <w:szCs w:val="22"/>
          <w:lang w:eastAsia="en-US"/>
        </w:rPr>
        <w:t>:</w:t>
      </w:r>
    </w:p>
    <w:p w14:paraId="2B5DD41F" w14:textId="77777777" w:rsidR="009424B8" w:rsidRPr="00F31B50" w:rsidRDefault="009424B8" w:rsidP="009424B8">
      <w:pPr>
        <w:pStyle w:val="3-BodyText"/>
        <w:numPr>
          <w:ilvl w:val="0"/>
          <w:numId w:val="0"/>
        </w:numPr>
        <w:ind w:left="720"/>
        <w:rPr>
          <w:rFonts w:eastAsiaTheme="minorEastAsia"/>
          <w:szCs w:val="22"/>
          <w:lang w:eastAsia="en-US"/>
        </w:rPr>
      </w:pPr>
      <w:r w:rsidRPr="00F100F3">
        <w:rPr>
          <w:rFonts w:eastAsiaTheme="minorEastAsia"/>
          <w:lang w:eastAsia="en-US"/>
        </w:rPr>
        <w:t>16 RCTs</w:t>
      </w:r>
      <w:r w:rsidRPr="00373BB1">
        <w:rPr>
          <w:rFonts w:eastAsiaTheme="minorEastAsia"/>
          <w:lang w:eastAsia="en-US"/>
        </w:rPr>
        <w:t xml:space="preserve"> providing</w:t>
      </w:r>
      <w:r w:rsidRPr="00F31B50">
        <w:rPr>
          <w:rFonts w:eastAsiaTheme="minorEastAsia"/>
          <w:lang w:eastAsia="en-US"/>
        </w:rPr>
        <w:t xml:space="preserve"> evidence for induction therapy:</w:t>
      </w:r>
    </w:p>
    <w:p w14:paraId="499F807B" w14:textId="278D34A3" w:rsidR="009424B8" w:rsidRPr="00910686" w:rsidRDefault="009424B8" w:rsidP="004626D3">
      <w:pPr>
        <w:pStyle w:val="3-BodyText"/>
        <w:numPr>
          <w:ilvl w:val="0"/>
          <w:numId w:val="7"/>
        </w:numPr>
        <w:rPr>
          <w:rFonts w:eastAsiaTheme="minorEastAsia"/>
          <w:lang w:eastAsia="en-US"/>
        </w:rPr>
      </w:pPr>
      <w:r>
        <w:rPr>
          <w:rFonts w:eastAsiaTheme="minorEastAsia"/>
          <w:lang w:eastAsia="en-US"/>
        </w:rPr>
        <w:t>UPA</w:t>
      </w:r>
      <w:r w:rsidRPr="005D1DC5">
        <w:rPr>
          <w:rFonts w:eastAsiaTheme="minorEastAsia"/>
          <w:lang w:eastAsia="en-US"/>
        </w:rPr>
        <w:t xml:space="preserve"> vs PBO (</w:t>
      </w:r>
      <w:r w:rsidRPr="00142687">
        <w:rPr>
          <w:rFonts w:eastAsiaTheme="minorEastAsia"/>
          <w:lang w:eastAsia="en-US"/>
        </w:rPr>
        <w:t>three</w:t>
      </w:r>
      <w:r w:rsidRPr="005D1DC5">
        <w:rPr>
          <w:rFonts w:eastAsiaTheme="minorEastAsia"/>
          <w:lang w:eastAsia="en-US"/>
        </w:rPr>
        <w:t xml:space="preserve"> RCT</w:t>
      </w:r>
      <w:r>
        <w:rPr>
          <w:rFonts w:eastAsiaTheme="minorEastAsia"/>
          <w:lang w:eastAsia="en-US"/>
        </w:rPr>
        <w:t>s</w:t>
      </w:r>
      <w:r w:rsidRPr="005D1DC5">
        <w:rPr>
          <w:rFonts w:eastAsiaTheme="minorEastAsia"/>
          <w:lang w:eastAsia="en-US"/>
        </w:rPr>
        <w:t xml:space="preserve">): </w:t>
      </w:r>
      <w:r>
        <w:rPr>
          <w:rFonts w:eastAsiaTheme="minorEastAsia"/>
          <w:lang w:eastAsia="en-US"/>
        </w:rPr>
        <w:t>U-ACHIEVE 1, U-ACHIEVE 2 and U-ACCOMPLISH</w:t>
      </w:r>
      <w:r w:rsidRPr="005D1DC5">
        <w:rPr>
          <w:rFonts w:eastAsiaTheme="minorEastAsia"/>
          <w:lang w:eastAsia="en-US"/>
        </w:rPr>
        <w:t>;</w:t>
      </w:r>
      <w:r>
        <w:rPr>
          <w:rFonts w:eastAsiaTheme="minorEastAsia"/>
          <w:lang w:eastAsia="en-US"/>
        </w:rPr>
        <w:t xml:space="preserve"> </w:t>
      </w:r>
      <w:r w:rsidRPr="00910686">
        <w:rPr>
          <w:rFonts w:eastAsiaTheme="minorEastAsia"/>
          <w:lang w:eastAsia="en-US"/>
        </w:rPr>
        <w:t xml:space="preserve">each U-ACHIEVE sub-study </w:t>
      </w:r>
      <w:r w:rsidR="007362EF">
        <w:rPr>
          <w:rFonts w:eastAsiaTheme="minorEastAsia"/>
          <w:lang w:eastAsia="en-US"/>
        </w:rPr>
        <w:t>was</w:t>
      </w:r>
      <w:r w:rsidRPr="00910686">
        <w:rPr>
          <w:rFonts w:eastAsiaTheme="minorEastAsia"/>
          <w:lang w:eastAsia="en-US"/>
        </w:rPr>
        <w:t xml:space="preserve"> counted separately in</w:t>
      </w:r>
      <w:r w:rsidR="007362EF">
        <w:rPr>
          <w:rFonts w:eastAsiaTheme="minorEastAsia"/>
          <w:lang w:eastAsia="en-US"/>
        </w:rPr>
        <w:t xml:space="preserve"> the evaluation</w:t>
      </w:r>
      <w:r w:rsidRPr="00910686">
        <w:rPr>
          <w:rFonts w:eastAsiaTheme="minorEastAsia"/>
          <w:lang w:eastAsia="en-US"/>
        </w:rPr>
        <w:t>.</w:t>
      </w:r>
    </w:p>
    <w:p w14:paraId="0710BE26" w14:textId="77777777" w:rsidR="009424B8" w:rsidRDefault="009424B8" w:rsidP="004626D3">
      <w:pPr>
        <w:pStyle w:val="3-BodyText"/>
        <w:numPr>
          <w:ilvl w:val="0"/>
          <w:numId w:val="7"/>
        </w:numPr>
        <w:rPr>
          <w:rFonts w:eastAsiaTheme="minorEastAsia"/>
          <w:lang w:eastAsia="en-US"/>
        </w:rPr>
      </w:pPr>
      <w:r>
        <w:rPr>
          <w:rFonts w:eastAsiaTheme="minorEastAsia"/>
          <w:lang w:eastAsia="en-US"/>
        </w:rPr>
        <w:t>TOF</w:t>
      </w:r>
      <w:r w:rsidRPr="005D1DC5">
        <w:rPr>
          <w:rFonts w:eastAsiaTheme="minorEastAsia"/>
          <w:lang w:eastAsia="en-US"/>
        </w:rPr>
        <w:t xml:space="preserve"> vs PBO (</w:t>
      </w:r>
      <w:r>
        <w:rPr>
          <w:rFonts w:eastAsiaTheme="minorEastAsia"/>
          <w:lang w:eastAsia="en-US"/>
        </w:rPr>
        <w:t>two</w:t>
      </w:r>
      <w:r w:rsidRPr="005D1DC5">
        <w:rPr>
          <w:rFonts w:eastAsiaTheme="minorEastAsia"/>
          <w:lang w:eastAsia="en-US"/>
        </w:rPr>
        <w:t xml:space="preserve"> RCTs): </w:t>
      </w:r>
      <w:r>
        <w:rPr>
          <w:rFonts w:eastAsiaTheme="minorEastAsia"/>
          <w:lang w:eastAsia="en-US"/>
        </w:rPr>
        <w:t>OCTAVE 1 and OCTAVE 2</w:t>
      </w:r>
      <w:r w:rsidRPr="005D1DC5">
        <w:rPr>
          <w:rFonts w:eastAsiaTheme="minorEastAsia"/>
          <w:lang w:eastAsia="en-US"/>
        </w:rPr>
        <w:t>;</w:t>
      </w:r>
    </w:p>
    <w:p w14:paraId="285B704D" w14:textId="77777777" w:rsidR="009424B8" w:rsidRDefault="009424B8" w:rsidP="004626D3">
      <w:pPr>
        <w:pStyle w:val="3-BodyText"/>
        <w:numPr>
          <w:ilvl w:val="0"/>
          <w:numId w:val="7"/>
        </w:numPr>
        <w:rPr>
          <w:rFonts w:eastAsiaTheme="minorEastAsia"/>
          <w:lang w:eastAsia="en-US"/>
        </w:rPr>
      </w:pPr>
      <w:r>
        <w:rPr>
          <w:rFonts w:eastAsiaTheme="minorEastAsia"/>
          <w:lang w:eastAsia="en-US"/>
        </w:rPr>
        <w:t>IFX vs PBO (five RCTs): ACT 1, ACT 2, Jiang 2015, REMICADE, Kobayashi 2016;</w:t>
      </w:r>
    </w:p>
    <w:p w14:paraId="56F0122A" w14:textId="77777777" w:rsidR="009424B8" w:rsidRDefault="009424B8" w:rsidP="004626D3">
      <w:pPr>
        <w:pStyle w:val="3-BodyText"/>
        <w:numPr>
          <w:ilvl w:val="0"/>
          <w:numId w:val="7"/>
        </w:numPr>
        <w:rPr>
          <w:rFonts w:eastAsiaTheme="minorEastAsia"/>
          <w:lang w:eastAsia="en-US"/>
        </w:rPr>
      </w:pPr>
      <w:r>
        <w:rPr>
          <w:rFonts w:eastAsiaTheme="minorEastAsia"/>
          <w:lang w:eastAsia="en-US"/>
        </w:rPr>
        <w:t>ADA vs PBO (three RCTs): ULTRA 1, ULTRA 2, Suzuki;</w:t>
      </w:r>
    </w:p>
    <w:p w14:paraId="52F5A714" w14:textId="77777777" w:rsidR="009424B8" w:rsidRDefault="009424B8" w:rsidP="004626D3">
      <w:pPr>
        <w:pStyle w:val="3-BodyText"/>
        <w:numPr>
          <w:ilvl w:val="0"/>
          <w:numId w:val="7"/>
        </w:numPr>
        <w:rPr>
          <w:rFonts w:eastAsiaTheme="minorEastAsia"/>
          <w:lang w:eastAsia="en-US"/>
        </w:rPr>
      </w:pPr>
      <w:r>
        <w:rPr>
          <w:rFonts w:eastAsiaTheme="minorEastAsia"/>
          <w:lang w:eastAsia="en-US"/>
        </w:rPr>
        <w:t>GOL vs PBO (one RCT): PURSUIT SC;</w:t>
      </w:r>
    </w:p>
    <w:p w14:paraId="35179198" w14:textId="77777777" w:rsidR="009424B8" w:rsidRDefault="009424B8" w:rsidP="004626D3">
      <w:pPr>
        <w:pStyle w:val="3-BodyText"/>
        <w:numPr>
          <w:ilvl w:val="0"/>
          <w:numId w:val="7"/>
        </w:numPr>
        <w:rPr>
          <w:rFonts w:eastAsiaTheme="minorEastAsia"/>
          <w:lang w:eastAsia="en-US"/>
        </w:rPr>
      </w:pPr>
      <w:r>
        <w:rPr>
          <w:rFonts w:eastAsiaTheme="minorEastAsia"/>
          <w:lang w:eastAsia="en-US"/>
        </w:rPr>
        <w:t>VDZ vs PBO (two RCTs): GEMINI 1 (induction phase), Motoya 2019 (induction phase)</w:t>
      </w:r>
    </w:p>
    <w:p w14:paraId="64393A33" w14:textId="77777777" w:rsidR="009424B8" w:rsidRDefault="009424B8" w:rsidP="009424B8">
      <w:pPr>
        <w:pStyle w:val="3-BodyText"/>
        <w:numPr>
          <w:ilvl w:val="0"/>
          <w:numId w:val="0"/>
        </w:numPr>
        <w:ind w:left="720"/>
        <w:rPr>
          <w:rFonts w:eastAsiaTheme="minorEastAsia"/>
          <w:lang w:eastAsia="en-US"/>
        </w:rPr>
      </w:pPr>
      <w:r>
        <w:rPr>
          <w:rFonts w:eastAsiaTheme="minorEastAsia"/>
          <w:lang w:eastAsia="en-US"/>
        </w:rPr>
        <w:t>Six</w:t>
      </w:r>
      <w:r w:rsidRPr="00B032FD">
        <w:rPr>
          <w:rFonts w:eastAsiaTheme="minorEastAsia"/>
          <w:lang w:eastAsia="en-US"/>
        </w:rPr>
        <w:t xml:space="preserve"> </w:t>
      </w:r>
      <w:r>
        <w:rPr>
          <w:rFonts w:eastAsiaTheme="minorEastAsia"/>
          <w:lang w:eastAsia="en-US"/>
        </w:rPr>
        <w:t xml:space="preserve">RCTs </w:t>
      </w:r>
      <w:r w:rsidRPr="00B032FD">
        <w:rPr>
          <w:rFonts w:eastAsiaTheme="minorEastAsia"/>
          <w:lang w:eastAsia="en-US"/>
        </w:rPr>
        <w:t>providing evidence for maintenance therapy</w:t>
      </w:r>
      <w:r>
        <w:rPr>
          <w:rFonts w:eastAsiaTheme="minorEastAsia"/>
          <w:lang w:eastAsia="en-US"/>
        </w:rPr>
        <w:t>:</w:t>
      </w:r>
    </w:p>
    <w:p w14:paraId="027AA966" w14:textId="77777777" w:rsidR="009424B8" w:rsidRDefault="009424B8" w:rsidP="004626D3">
      <w:pPr>
        <w:pStyle w:val="3-BodyText"/>
        <w:numPr>
          <w:ilvl w:val="0"/>
          <w:numId w:val="8"/>
        </w:numPr>
        <w:rPr>
          <w:rFonts w:eastAsiaTheme="minorEastAsia"/>
          <w:lang w:eastAsia="en-US"/>
        </w:rPr>
      </w:pPr>
      <w:r>
        <w:rPr>
          <w:rFonts w:eastAsiaTheme="minorEastAsia"/>
          <w:lang w:eastAsia="en-US"/>
        </w:rPr>
        <w:t>UPA vs PBO (one RCT): U-ACHIEVE 3</w:t>
      </w:r>
    </w:p>
    <w:p w14:paraId="36C14CA0" w14:textId="77777777" w:rsidR="009424B8" w:rsidRPr="00644A72" w:rsidRDefault="009424B8" w:rsidP="004626D3">
      <w:pPr>
        <w:pStyle w:val="3-BodyText"/>
        <w:numPr>
          <w:ilvl w:val="0"/>
          <w:numId w:val="8"/>
        </w:numPr>
        <w:rPr>
          <w:rFonts w:eastAsiaTheme="minorEastAsia"/>
          <w:snapToGrid/>
          <w:lang w:eastAsia="en-US"/>
        </w:rPr>
      </w:pPr>
      <w:r>
        <w:rPr>
          <w:rFonts w:eastAsiaTheme="minorEastAsia"/>
          <w:lang w:eastAsia="en-US"/>
        </w:rPr>
        <w:t>TOF</w:t>
      </w:r>
      <w:r w:rsidRPr="005D1DC5">
        <w:rPr>
          <w:rFonts w:eastAsiaTheme="minorEastAsia"/>
          <w:lang w:eastAsia="en-US"/>
        </w:rPr>
        <w:t xml:space="preserve"> vs PBO (</w:t>
      </w:r>
      <w:r>
        <w:rPr>
          <w:rFonts w:eastAsiaTheme="minorEastAsia"/>
          <w:lang w:eastAsia="en-US"/>
        </w:rPr>
        <w:t>one</w:t>
      </w:r>
      <w:r w:rsidRPr="005D1DC5">
        <w:rPr>
          <w:rFonts w:eastAsiaTheme="minorEastAsia"/>
          <w:lang w:eastAsia="en-US"/>
        </w:rPr>
        <w:t xml:space="preserve"> RCTs):</w:t>
      </w:r>
      <w:r>
        <w:rPr>
          <w:rFonts w:eastAsiaTheme="minorEastAsia"/>
          <w:lang w:eastAsia="en-US"/>
        </w:rPr>
        <w:t xml:space="preserve"> OCTAVE SUSTAIN</w:t>
      </w:r>
    </w:p>
    <w:p w14:paraId="30A5742A" w14:textId="77777777" w:rsidR="009424B8" w:rsidRDefault="009424B8" w:rsidP="004626D3">
      <w:pPr>
        <w:pStyle w:val="3-BodyText"/>
        <w:numPr>
          <w:ilvl w:val="0"/>
          <w:numId w:val="8"/>
        </w:numPr>
        <w:rPr>
          <w:rFonts w:eastAsiaTheme="minorEastAsia"/>
          <w:lang w:eastAsia="en-US"/>
        </w:rPr>
      </w:pPr>
      <w:r>
        <w:rPr>
          <w:rFonts w:eastAsiaTheme="minorEastAsia"/>
          <w:lang w:eastAsia="en-US"/>
        </w:rPr>
        <w:t>GOL vs PBO (one RCT): PURSUIT-M, PURSUIT-J</w:t>
      </w:r>
    </w:p>
    <w:p w14:paraId="56663829" w14:textId="77777777" w:rsidR="009424B8" w:rsidRPr="00373BB1" w:rsidRDefault="009424B8" w:rsidP="004626D3">
      <w:pPr>
        <w:pStyle w:val="3-BodyText"/>
        <w:numPr>
          <w:ilvl w:val="0"/>
          <w:numId w:val="8"/>
        </w:numPr>
        <w:rPr>
          <w:rFonts w:eastAsiaTheme="minorEastAsia"/>
          <w:lang w:eastAsia="en-US"/>
        </w:rPr>
      </w:pPr>
      <w:r w:rsidRPr="00373BB1">
        <w:rPr>
          <w:rFonts w:eastAsiaTheme="minorEastAsia"/>
          <w:lang w:eastAsia="en-US"/>
        </w:rPr>
        <w:t>VDZ vs PBO (three RCTs): GEMINI 1 (maintenance phase), Motoya 2019 (maintenance phase), VISIBLE</w:t>
      </w:r>
    </w:p>
    <w:p w14:paraId="2A8572FC" w14:textId="39863BEF" w:rsidR="009424B8" w:rsidRPr="00EA2521" w:rsidRDefault="009424B8" w:rsidP="009424B8">
      <w:pPr>
        <w:pStyle w:val="3-BodyText"/>
        <w:rPr>
          <w:i/>
          <w:iCs/>
        </w:rPr>
      </w:pPr>
      <w:r w:rsidRPr="00EA2521">
        <w:rPr>
          <w:rFonts w:cstheme="minorHAnsi"/>
          <w:snapToGrid/>
          <w:lang w:val="en-US"/>
        </w:rPr>
        <w:t>Details of the UPA and TOF trials presented in the submission are provided</w:t>
      </w:r>
      <w:r w:rsidR="00786F93" w:rsidRPr="00EA2521">
        <w:rPr>
          <w:rFonts w:cstheme="minorHAnsi"/>
          <w:snapToGrid/>
          <w:lang w:val="en-US"/>
        </w:rPr>
        <w:t xml:space="preserve"> in</w:t>
      </w:r>
      <w:r w:rsidRPr="00EA2521">
        <w:rPr>
          <w:rFonts w:cstheme="minorHAnsi"/>
          <w:snapToGrid/>
          <w:lang w:val="en-US"/>
        </w:rPr>
        <w:t xml:space="preserve"> </w:t>
      </w:r>
      <w:r w:rsidR="00786F93" w:rsidRPr="00EA2521">
        <w:rPr>
          <w:rFonts w:cstheme="minorHAnsi"/>
          <w:b/>
          <w:bCs/>
          <w:snapToGrid/>
          <w:lang w:val="en-US"/>
        </w:rPr>
        <w:fldChar w:fldCharType="begin" w:fldLock="1"/>
      </w:r>
      <w:r w:rsidR="00786F93" w:rsidRPr="00EA2521">
        <w:rPr>
          <w:rFonts w:cstheme="minorHAnsi"/>
          <w:snapToGrid/>
          <w:lang w:val="en-US"/>
        </w:rPr>
        <w:instrText xml:space="preserve"> REF _Ref103176185 \h </w:instrText>
      </w:r>
      <w:r w:rsidR="00786F93" w:rsidRPr="00EA2521">
        <w:rPr>
          <w:rFonts w:cstheme="minorHAnsi"/>
          <w:b/>
          <w:bCs/>
          <w:snapToGrid/>
          <w:lang w:val="en-US"/>
        </w:rPr>
        <w:instrText xml:space="preserve"> \* MERGEFORMAT </w:instrText>
      </w:r>
      <w:r w:rsidR="00786F93" w:rsidRPr="00EA2521">
        <w:rPr>
          <w:rFonts w:cstheme="minorHAnsi"/>
          <w:b/>
          <w:bCs/>
          <w:snapToGrid/>
          <w:lang w:val="en-US"/>
        </w:rPr>
      </w:r>
      <w:r w:rsidR="00786F93" w:rsidRPr="00EA2521">
        <w:rPr>
          <w:rFonts w:cstheme="minorHAnsi"/>
          <w:b/>
          <w:bCs/>
          <w:snapToGrid/>
          <w:lang w:val="en-US"/>
        </w:rPr>
        <w:fldChar w:fldCharType="separate"/>
      </w:r>
      <w:r w:rsidR="008664BD" w:rsidRPr="008664BD">
        <w:rPr>
          <w:rFonts w:cstheme="minorHAnsi"/>
        </w:rPr>
        <w:t xml:space="preserve">Table </w:t>
      </w:r>
      <w:r w:rsidR="008664BD" w:rsidRPr="008664BD">
        <w:rPr>
          <w:rFonts w:cstheme="minorHAnsi"/>
          <w:noProof/>
        </w:rPr>
        <w:t>2</w:t>
      </w:r>
      <w:r w:rsidR="00786F93" w:rsidRPr="00EA2521">
        <w:rPr>
          <w:rFonts w:cstheme="minorHAnsi"/>
          <w:b/>
          <w:bCs/>
          <w:snapToGrid/>
          <w:lang w:val="en-US"/>
        </w:rPr>
        <w:fldChar w:fldCharType="end"/>
      </w:r>
      <w:r w:rsidRPr="00EA2521">
        <w:rPr>
          <w:rFonts w:cstheme="minorHAnsi"/>
          <w:snapToGrid/>
          <w:lang w:val="en-US"/>
        </w:rPr>
        <w:t xml:space="preserve">; details of the other comparator trials are provided in </w:t>
      </w:r>
      <w:r w:rsidRPr="00EA2521">
        <w:rPr>
          <w:snapToGrid/>
          <w:lang w:val="en-US"/>
        </w:rPr>
        <w:t>Table 3 of TOF PSD, Nov</w:t>
      </w:r>
      <w:r w:rsidR="00CF3A1C">
        <w:rPr>
          <w:snapToGrid/>
          <w:lang w:val="en-US"/>
        </w:rPr>
        <w:t>ember</w:t>
      </w:r>
      <w:r w:rsidRPr="00EA2521">
        <w:rPr>
          <w:snapToGrid/>
          <w:lang w:val="en-US"/>
        </w:rPr>
        <w:t xml:space="preserve"> 2020</w:t>
      </w:r>
      <w:r w:rsidRPr="00EA2521">
        <w:rPr>
          <w:i/>
          <w:iCs/>
          <w:snapToGrid/>
          <w:lang w:val="en-US"/>
        </w:rPr>
        <w:t xml:space="preserve">. </w:t>
      </w:r>
      <w:r w:rsidRPr="00910686">
        <w:rPr>
          <w:rFonts w:eastAsiaTheme="minorEastAsia"/>
          <w:lang w:eastAsia="en-US"/>
        </w:rPr>
        <w:t>The PBAC has considered evidence from all of the comparator trials in past decisions for MSUC.</w:t>
      </w:r>
    </w:p>
    <w:p w14:paraId="5C98EB36" w14:textId="62C15498" w:rsidR="009424B8" w:rsidRPr="00373BB1" w:rsidRDefault="009424B8" w:rsidP="00C64D0B">
      <w:pPr>
        <w:pStyle w:val="Caption"/>
        <w:keepNext/>
        <w:keepLines/>
        <w:spacing w:after="60"/>
        <w:rPr>
          <w:rFonts w:ascii="Arial Narrow" w:eastAsiaTheme="minorEastAsia" w:hAnsi="Arial Narrow"/>
          <w:b w:val="0"/>
          <w:color w:val="auto"/>
          <w:sz w:val="20"/>
          <w:szCs w:val="20"/>
          <w:lang w:eastAsia="en-US"/>
        </w:rPr>
      </w:pPr>
      <w:bookmarkStart w:id="20" w:name="_Ref103176185"/>
      <w:r w:rsidRPr="00373BB1">
        <w:rPr>
          <w:rFonts w:ascii="Arial Narrow" w:hAnsi="Arial Narrow"/>
          <w:color w:val="auto"/>
          <w:sz w:val="20"/>
          <w:szCs w:val="20"/>
        </w:rPr>
        <w:t xml:space="preserve">Table </w:t>
      </w:r>
      <w:r w:rsidRPr="00373BB1">
        <w:rPr>
          <w:rFonts w:ascii="Arial Narrow" w:hAnsi="Arial Narrow"/>
          <w:color w:val="auto"/>
          <w:sz w:val="20"/>
          <w:szCs w:val="20"/>
        </w:rPr>
        <w:fldChar w:fldCharType="begin" w:fldLock="1"/>
      </w:r>
      <w:r w:rsidRPr="00373BB1">
        <w:rPr>
          <w:rFonts w:ascii="Arial Narrow" w:hAnsi="Arial Narrow"/>
          <w:color w:val="auto"/>
          <w:sz w:val="20"/>
          <w:szCs w:val="20"/>
        </w:rPr>
        <w:instrText xml:space="preserve"> SEQ Table \* ARABIC </w:instrText>
      </w:r>
      <w:r w:rsidRPr="00373BB1">
        <w:rPr>
          <w:rFonts w:ascii="Arial Narrow" w:hAnsi="Arial Narrow"/>
          <w:color w:val="auto"/>
          <w:sz w:val="20"/>
          <w:szCs w:val="20"/>
        </w:rPr>
        <w:fldChar w:fldCharType="separate"/>
      </w:r>
      <w:r w:rsidR="008664BD">
        <w:rPr>
          <w:rFonts w:ascii="Arial Narrow" w:hAnsi="Arial Narrow"/>
          <w:noProof/>
          <w:color w:val="auto"/>
          <w:sz w:val="20"/>
          <w:szCs w:val="20"/>
        </w:rPr>
        <w:t>2</w:t>
      </w:r>
      <w:r w:rsidRPr="00373BB1">
        <w:rPr>
          <w:rFonts w:ascii="Arial Narrow" w:hAnsi="Arial Narrow"/>
          <w:color w:val="auto"/>
          <w:sz w:val="20"/>
          <w:szCs w:val="20"/>
        </w:rPr>
        <w:fldChar w:fldCharType="end"/>
      </w:r>
      <w:bookmarkEnd w:id="20"/>
      <w:r w:rsidRPr="00373BB1">
        <w:rPr>
          <w:rFonts w:ascii="Arial Narrow" w:eastAsiaTheme="minorEastAsia" w:hAnsi="Arial Narrow"/>
          <w:color w:val="auto"/>
          <w:sz w:val="20"/>
          <w:szCs w:val="20"/>
          <w:lang w:eastAsia="en-US"/>
        </w:rPr>
        <w:t>: Trials and associated reports presented in the submission</w:t>
      </w:r>
    </w:p>
    <w:tbl>
      <w:tblPr>
        <w:tblStyle w:val="TableGridbeth3"/>
        <w:tblW w:w="5000" w:type="pct"/>
        <w:tblLook w:val="01E0" w:firstRow="1" w:lastRow="1" w:firstColumn="1" w:lastColumn="1" w:noHBand="0" w:noVBand="0"/>
      </w:tblPr>
      <w:tblGrid>
        <w:gridCol w:w="1387"/>
        <w:gridCol w:w="5412"/>
        <w:gridCol w:w="2218"/>
      </w:tblGrid>
      <w:tr w:rsidR="009424B8" w:rsidRPr="00C64D0B" w14:paraId="74E2B8B9" w14:textId="77777777" w:rsidTr="00313F8C">
        <w:tc>
          <w:tcPr>
            <w:tcW w:w="769" w:type="pct"/>
            <w:vAlign w:val="center"/>
          </w:tcPr>
          <w:p w14:paraId="71846343" w14:textId="77777777" w:rsidR="009424B8" w:rsidRPr="00C64D0B" w:rsidRDefault="009424B8" w:rsidP="00C64D0B">
            <w:pPr>
              <w:keepNext/>
              <w:keepLines/>
              <w:jc w:val="left"/>
              <w:rPr>
                <w:rFonts w:ascii="Arial Narrow" w:hAnsi="Arial Narrow" w:cs="Times New Roman"/>
                <w:b/>
                <w:bCs/>
                <w:sz w:val="20"/>
                <w:szCs w:val="20"/>
                <w:lang w:eastAsia="en-US"/>
              </w:rPr>
            </w:pPr>
            <w:r w:rsidRPr="00C64D0B">
              <w:rPr>
                <w:rFonts w:ascii="Arial Narrow" w:hAnsi="Arial Narrow" w:cs="Times New Roman"/>
                <w:b/>
                <w:bCs/>
                <w:sz w:val="20"/>
                <w:szCs w:val="20"/>
                <w:lang w:eastAsia="en-US"/>
              </w:rPr>
              <w:t>Trial ID</w:t>
            </w:r>
          </w:p>
        </w:tc>
        <w:tc>
          <w:tcPr>
            <w:tcW w:w="3001" w:type="pct"/>
            <w:vAlign w:val="center"/>
          </w:tcPr>
          <w:p w14:paraId="7EE0E9B6" w14:textId="77777777" w:rsidR="009424B8" w:rsidRPr="00C64D0B" w:rsidRDefault="009424B8" w:rsidP="00C64D0B">
            <w:pPr>
              <w:keepNext/>
              <w:keepLines/>
              <w:jc w:val="left"/>
              <w:rPr>
                <w:rFonts w:ascii="Arial Narrow" w:hAnsi="Arial Narrow" w:cs="Times New Roman"/>
                <w:b/>
                <w:bCs/>
                <w:sz w:val="20"/>
                <w:szCs w:val="20"/>
                <w:lang w:eastAsia="en-US"/>
              </w:rPr>
            </w:pPr>
            <w:r w:rsidRPr="00C64D0B">
              <w:rPr>
                <w:rFonts w:ascii="Arial Narrow" w:hAnsi="Arial Narrow" w:cs="Times New Roman"/>
                <w:b/>
                <w:bCs/>
                <w:sz w:val="20"/>
                <w:szCs w:val="20"/>
                <w:lang w:eastAsia="en-US"/>
              </w:rPr>
              <w:t>Protocol title/ Publication title</w:t>
            </w:r>
          </w:p>
        </w:tc>
        <w:tc>
          <w:tcPr>
            <w:tcW w:w="1230" w:type="pct"/>
            <w:vAlign w:val="center"/>
          </w:tcPr>
          <w:p w14:paraId="1572EC5F" w14:textId="77777777" w:rsidR="009424B8" w:rsidRPr="00C64D0B" w:rsidRDefault="009424B8" w:rsidP="00C64D0B">
            <w:pPr>
              <w:keepNext/>
              <w:keepLines/>
              <w:jc w:val="left"/>
              <w:rPr>
                <w:rFonts w:ascii="Arial Narrow" w:hAnsi="Arial Narrow" w:cs="Times New Roman"/>
                <w:b/>
                <w:bCs/>
                <w:sz w:val="20"/>
                <w:szCs w:val="20"/>
                <w:lang w:eastAsia="en-US"/>
              </w:rPr>
            </w:pPr>
            <w:r w:rsidRPr="00C64D0B">
              <w:rPr>
                <w:rFonts w:ascii="Arial Narrow" w:hAnsi="Arial Narrow" w:cs="Times New Roman"/>
                <w:b/>
                <w:bCs/>
                <w:sz w:val="20"/>
                <w:szCs w:val="20"/>
                <w:lang w:eastAsia="en-US"/>
              </w:rPr>
              <w:t>Publication citation</w:t>
            </w:r>
          </w:p>
        </w:tc>
      </w:tr>
      <w:tr w:rsidR="009424B8" w:rsidRPr="00C64D0B" w14:paraId="724CB0EE" w14:textId="77777777" w:rsidTr="00313F8C">
        <w:tc>
          <w:tcPr>
            <w:tcW w:w="5000" w:type="pct"/>
            <w:gridSpan w:val="3"/>
            <w:tcBorders>
              <w:bottom w:val="single" w:sz="4" w:space="0" w:color="auto"/>
            </w:tcBorders>
            <w:vAlign w:val="center"/>
          </w:tcPr>
          <w:p w14:paraId="38D58499" w14:textId="77777777" w:rsidR="009424B8" w:rsidRPr="00C64D0B" w:rsidRDefault="009424B8" w:rsidP="00C64D0B">
            <w:pPr>
              <w:keepNext/>
              <w:keepLines/>
              <w:jc w:val="left"/>
              <w:rPr>
                <w:rFonts w:ascii="Arial Narrow" w:hAnsi="Arial Narrow" w:cs="Times New Roman"/>
                <w:b/>
                <w:bCs/>
                <w:sz w:val="20"/>
                <w:szCs w:val="20"/>
                <w:lang w:eastAsia="en-US"/>
              </w:rPr>
            </w:pPr>
            <w:r w:rsidRPr="00C64D0B">
              <w:rPr>
                <w:rFonts w:ascii="Arial Narrow" w:hAnsi="Arial Narrow" w:cs="Times New Roman"/>
                <w:b/>
                <w:bCs/>
                <w:sz w:val="20"/>
                <w:szCs w:val="20"/>
                <w:lang w:eastAsia="en-US"/>
              </w:rPr>
              <w:t>Upadacitinib trials</w:t>
            </w:r>
          </w:p>
        </w:tc>
      </w:tr>
      <w:tr w:rsidR="009424B8" w:rsidRPr="00C64D0B" w14:paraId="5078E8FE" w14:textId="77777777" w:rsidTr="00313F8C">
        <w:trPr>
          <w:trHeight w:val="519"/>
        </w:trPr>
        <w:tc>
          <w:tcPr>
            <w:tcW w:w="769" w:type="pct"/>
            <w:tcBorders>
              <w:top w:val="single" w:sz="4" w:space="0" w:color="auto"/>
              <w:left w:val="single" w:sz="4" w:space="0" w:color="auto"/>
              <w:bottom w:val="nil"/>
              <w:right w:val="single" w:sz="4" w:space="0" w:color="auto"/>
            </w:tcBorders>
            <w:vAlign w:val="center"/>
          </w:tcPr>
          <w:p w14:paraId="032C8204"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sz w:val="20"/>
                <w:szCs w:val="20"/>
                <w:lang w:eastAsia="en-US"/>
              </w:rPr>
              <w:t>U-ACHIEVE 1</w:t>
            </w:r>
          </w:p>
        </w:tc>
        <w:tc>
          <w:tcPr>
            <w:tcW w:w="3001" w:type="pct"/>
            <w:tcBorders>
              <w:top w:val="single" w:sz="4" w:space="0" w:color="auto"/>
              <w:left w:val="single" w:sz="4" w:space="0" w:color="auto"/>
              <w:bottom w:val="nil"/>
              <w:right w:val="single" w:sz="4" w:space="0" w:color="auto"/>
            </w:tcBorders>
            <w:vAlign w:val="center"/>
          </w:tcPr>
          <w:p w14:paraId="5D848820" w14:textId="77777777" w:rsidR="009424B8" w:rsidRPr="00C64D0B" w:rsidRDefault="009424B8" w:rsidP="00C64D0B">
            <w:pPr>
              <w:keepNext/>
              <w:keepLines/>
              <w:jc w:val="left"/>
              <w:rPr>
                <w:rFonts w:ascii="Arial Narrow" w:hAnsi="Arial Narrow" w:cs="Times New Roman"/>
                <w:sz w:val="20"/>
                <w:szCs w:val="20"/>
                <w:highlight w:val="yellow"/>
                <w:lang w:eastAsia="en-US"/>
              </w:rPr>
            </w:pPr>
            <w:r w:rsidRPr="00C64D0B">
              <w:rPr>
                <w:rFonts w:ascii="Arial Narrow" w:hAnsi="Arial Narrow" w:cs="Times New Roman"/>
                <w:sz w:val="20"/>
                <w:szCs w:val="20"/>
                <w:lang w:eastAsia="en-US"/>
              </w:rPr>
              <w:t>AbbVie Inc. A multicenter, randomized, double-blind, placebo-controlled study to evaluate the safety and efficacy of upadacitinib (ABT-494) for induction and maintenance therapy in subjects with moderately to severely active ulcerative colitis.</w:t>
            </w:r>
          </w:p>
        </w:tc>
        <w:tc>
          <w:tcPr>
            <w:tcW w:w="1230" w:type="pct"/>
            <w:tcBorders>
              <w:top w:val="single" w:sz="4" w:space="0" w:color="auto"/>
              <w:left w:val="single" w:sz="4" w:space="0" w:color="auto"/>
              <w:bottom w:val="nil"/>
              <w:right w:val="single" w:sz="4" w:space="0" w:color="auto"/>
            </w:tcBorders>
            <w:vAlign w:val="center"/>
          </w:tcPr>
          <w:p w14:paraId="40672811" w14:textId="77777777" w:rsidR="009424B8" w:rsidRPr="00C64D0B" w:rsidRDefault="009424B8" w:rsidP="00C64D0B">
            <w:pPr>
              <w:keepNext/>
              <w:keepLines/>
              <w:jc w:val="left"/>
              <w:rPr>
                <w:rFonts w:ascii="Arial Narrow" w:hAnsi="Arial Narrow" w:cs="Times New Roman"/>
                <w:sz w:val="20"/>
                <w:szCs w:val="20"/>
                <w:highlight w:val="yellow"/>
                <w:lang w:eastAsia="en-US"/>
              </w:rPr>
            </w:pPr>
            <w:r w:rsidRPr="00C64D0B">
              <w:rPr>
                <w:rFonts w:ascii="Arial Narrow" w:hAnsi="Arial Narrow" w:cs="Times New Roman"/>
                <w:sz w:val="20"/>
                <w:szCs w:val="20"/>
                <w:lang w:eastAsia="en-US"/>
              </w:rPr>
              <w:t>Clinical study report: Phase 2b and 3 Induction – report date: 10 August 2021</w:t>
            </w:r>
          </w:p>
        </w:tc>
      </w:tr>
      <w:tr w:rsidR="009424B8" w:rsidRPr="00C64D0B" w14:paraId="6139DE3D" w14:textId="77777777" w:rsidTr="00313F8C">
        <w:trPr>
          <w:trHeight w:val="63"/>
        </w:trPr>
        <w:tc>
          <w:tcPr>
            <w:tcW w:w="769" w:type="pct"/>
            <w:tcBorders>
              <w:top w:val="nil"/>
              <w:left w:val="single" w:sz="4" w:space="0" w:color="auto"/>
              <w:bottom w:val="single" w:sz="4" w:space="0" w:color="auto"/>
              <w:right w:val="single" w:sz="4" w:space="0" w:color="auto"/>
            </w:tcBorders>
            <w:vAlign w:val="center"/>
          </w:tcPr>
          <w:p w14:paraId="498F49CA" w14:textId="77777777" w:rsidR="009424B8" w:rsidRPr="00C64D0B" w:rsidRDefault="009424B8" w:rsidP="00C64D0B">
            <w:pPr>
              <w:keepNext/>
              <w:keepLines/>
              <w:jc w:val="left"/>
              <w:rPr>
                <w:rFonts w:ascii="Arial Narrow" w:hAnsi="Arial Narrow" w:cs="Times New Roman"/>
                <w:sz w:val="20"/>
                <w:szCs w:val="20"/>
                <w:lang w:eastAsia="en-US"/>
              </w:rPr>
            </w:pPr>
          </w:p>
        </w:tc>
        <w:tc>
          <w:tcPr>
            <w:tcW w:w="3001" w:type="pct"/>
            <w:tcBorders>
              <w:top w:val="nil"/>
              <w:left w:val="single" w:sz="4" w:space="0" w:color="auto"/>
              <w:bottom w:val="single" w:sz="4" w:space="0" w:color="auto"/>
              <w:right w:val="single" w:sz="4" w:space="0" w:color="auto"/>
            </w:tcBorders>
            <w:vAlign w:val="center"/>
          </w:tcPr>
          <w:p w14:paraId="190EAB58"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sz w:val="20"/>
                <w:szCs w:val="20"/>
                <w:lang w:eastAsia="en-US"/>
              </w:rPr>
              <w:t>Sandborn WJ, Ghosh S, Panes J, et al. Efficacy of upadacitinib in a randomized trial of patients with active ulcerative colitis.</w:t>
            </w:r>
          </w:p>
        </w:tc>
        <w:tc>
          <w:tcPr>
            <w:tcW w:w="1230" w:type="pct"/>
            <w:tcBorders>
              <w:top w:val="nil"/>
              <w:left w:val="single" w:sz="4" w:space="0" w:color="auto"/>
              <w:bottom w:val="single" w:sz="4" w:space="0" w:color="auto"/>
              <w:right w:val="single" w:sz="4" w:space="0" w:color="auto"/>
            </w:tcBorders>
            <w:vAlign w:val="center"/>
          </w:tcPr>
          <w:p w14:paraId="62D00417"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i/>
                <w:iCs/>
                <w:sz w:val="20"/>
                <w:szCs w:val="20"/>
                <w:lang w:eastAsia="en-US"/>
              </w:rPr>
              <w:t>Gastroenterology</w:t>
            </w:r>
            <w:r w:rsidRPr="00C64D0B">
              <w:rPr>
                <w:rFonts w:ascii="Arial Narrow" w:hAnsi="Arial Narrow" w:cs="Times New Roman"/>
                <w:sz w:val="20"/>
                <w:szCs w:val="20"/>
                <w:lang w:eastAsia="en-US"/>
              </w:rPr>
              <w:t xml:space="preserve"> 2020; 158 (8): 2139-2149.</w:t>
            </w:r>
          </w:p>
        </w:tc>
      </w:tr>
      <w:tr w:rsidR="009424B8" w:rsidRPr="00C64D0B" w14:paraId="6DFFB07C" w14:textId="77777777" w:rsidTr="00313F8C">
        <w:trPr>
          <w:trHeight w:val="598"/>
        </w:trPr>
        <w:tc>
          <w:tcPr>
            <w:tcW w:w="769" w:type="pct"/>
            <w:tcBorders>
              <w:top w:val="single" w:sz="4" w:space="0" w:color="auto"/>
              <w:left w:val="single" w:sz="4" w:space="0" w:color="auto"/>
              <w:bottom w:val="single" w:sz="4" w:space="0" w:color="auto"/>
              <w:right w:val="single" w:sz="4" w:space="0" w:color="auto"/>
            </w:tcBorders>
            <w:vAlign w:val="center"/>
          </w:tcPr>
          <w:p w14:paraId="040FBBFB"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sz w:val="20"/>
                <w:szCs w:val="20"/>
                <w:lang w:eastAsia="en-US"/>
              </w:rPr>
              <w:t>U-ACHIEVE 2</w:t>
            </w:r>
          </w:p>
        </w:tc>
        <w:tc>
          <w:tcPr>
            <w:tcW w:w="3001" w:type="pct"/>
            <w:tcBorders>
              <w:top w:val="single" w:sz="4" w:space="0" w:color="auto"/>
              <w:left w:val="single" w:sz="4" w:space="0" w:color="auto"/>
              <w:bottom w:val="single" w:sz="4" w:space="0" w:color="auto"/>
              <w:right w:val="single" w:sz="4" w:space="0" w:color="auto"/>
            </w:tcBorders>
            <w:vAlign w:val="center"/>
          </w:tcPr>
          <w:p w14:paraId="6AAB3C49"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sz w:val="20"/>
                <w:szCs w:val="20"/>
                <w:lang w:eastAsia="en-US"/>
              </w:rPr>
              <w:t>AbbVie Inc. A multicenter, randomized, double-blind, placebo-controlled study to evaluate the safety and efficacy of upadacitinib (ABT-494) for induction and maintenance therapy in subjects with moderately to severely active ulcerative colitis.</w:t>
            </w:r>
          </w:p>
        </w:tc>
        <w:tc>
          <w:tcPr>
            <w:tcW w:w="1230" w:type="pct"/>
            <w:tcBorders>
              <w:top w:val="single" w:sz="4" w:space="0" w:color="auto"/>
              <w:left w:val="single" w:sz="4" w:space="0" w:color="auto"/>
              <w:bottom w:val="single" w:sz="4" w:space="0" w:color="auto"/>
              <w:right w:val="single" w:sz="4" w:space="0" w:color="auto"/>
            </w:tcBorders>
            <w:vAlign w:val="center"/>
          </w:tcPr>
          <w:p w14:paraId="4634ADE3"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sz w:val="20"/>
                <w:szCs w:val="20"/>
                <w:lang w:eastAsia="en-US"/>
              </w:rPr>
              <w:t>Clinical study report: Phase 2b and 3 Induction – report date: 10 August 2021</w:t>
            </w:r>
          </w:p>
        </w:tc>
      </w:tr>
      <w:tr w:rsidR="009424B8" w:rsidRPr="00C64D0B" w14:paraId="44B332B1" w14:textId="77777777" w:rsidTr="00313F8C">
        <w:trPr>
          <w:trHeight w:val="598"/>
        </w:trPr>
        <w:tc>
          <w:tcPr>
            <w:tcW w:w="769" w:type="pct"/>
            <w:tcBorders>
              <w:top w:val="nil"/>
              <w:left w:val="single" w:sz="4" w:space="0" w:color="auto"/>
              <w:bottom w:val="single" w:sz="4" w:space="0" w:color="auto"/>
              <w:right w:val="single" w:sz="4" w:space="0" w:color="auto"/>
            </w:tcBorders>
            <w:vAlign w:val="center"/>
          </w:tcPr>
          <w:p w14:paraId="052268C8"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sz w:val="20"/>
                <w:szCs w:val="20"/>
                <w:lang w:eastAsia="en-US"/>
              </w:rPr>
              <w:t>U-ACHIEVE 3</w:t>
            </w:r>
          </w:p>
        </w:tc>
        <w:tc>
          <w:tcPr>
            <w:tcW w:w="3001" w:type="pct"/>
            <w:tcBorders>
              <w:top w:val="nil"/>
              <w:left w:val="single" w:sz="4" w:space="0" w:color="auto"/>
              <w:bottom w:val="single" w:sz="4" w:space="0" w:color="auto"/>
              <w:right w:val="single" w:sz="4" w:space="0" w:color="auto"/>
            </w:tcBorders>
            <w:vAlign w:val="center"/>
          </w:tcPr>
          <w:p w14:paraId="141A6B25"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sz w:val="20"/>
                <w:szCs w:val="20"/>
                <w:lang w:eastAsia="en-US"/>
              </w:rPr>
              <w:t>AbbVie Inc. A multicenter, randomized, double-blind, placebo-controlled study to evaluate the safety and efficacy of upadacitinib (ABT-494) for induction and maintenance therapy in subjects with moderately to severely active ulcerative colitis.</w:t>
            </w:r>
          </w:p>
        </w:tc>
        <w:tc>
          <w:tcPr>
            <w:tcW w:w="1230" w:type="pct"/>
            <w:tcBorders>
              <w:top w:val="nil"/>
              <w:left w:val="single" w:sz="4" w:space="0" w:color="auto"/>
              <w:bottom w:val="single" w:sz="4" w:space="0" w:color="auto"/>
              <w:right w:val="single" w:sz="4" w:space="0" w:color="auto"/>
            </w:tcBorders>
            <w:vAlign w:val="center"/>
          </w:tcPr>
          <w:p w14:paraId="548D1D8B"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sz w:val="20"/>
                <w:szCs w:val="20"/>
                <w:lang w:eastAsia="en-US"/>
              </w:rPr>
              <w:t>Clinical study report: Phase 3 maintenance – report date: 3 August 2021.</w:t>
            </w:r>
          </w:p>
        </w:tc>
      </w:tr>
      <w:tr w:rsidR="009424B8" w:rsidRPr="00C64D0B" w14:paraId="5CB3ED08" w14:textId="77777777" w:rsidTr="00313F8C">
        <w:trPr>
          <w:trHeight w:val="53"/>
        </w:trPr>
        <w:tc>
          <w:tcPr>
            <w:tcW w:w="769" w:type="pct"/>
            <w:tcBorders>
              <w:top w:val="nil"/>
              <w:left w:val="single" w:sz="4" w:space="0" w:color="auto"/>
              <w:bottom w:val="single" w:sz="4" w:space="0" w:color="auto"/>
              <w:right w:val="single" w:sz="4" w:space="0" w:color="auto"/>
            </w:tcBorders>
            <w:vAlign w:val="center"/>
          </w:tcPr>
          <w:p w14:paraId="29AC77EF"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sz w:val="20"/>
                <w:szCs w:val="20"/>
                <w:lang w:eastAsia="en-US"/>
              </w:rPr>
              <w:t>U-ACCOMPLISH</w:t>
            </w:r>
          </w:p>
        </w:tc>
        <w:tc>
          <w:tcPr>
            <w:tcW w:w="3001" w:type="pct"/>
            <w:tcBorders>
              <w:top w:val="nil"/>
              <w:left w:val="single" w:sz="4" w:space="0" w:color="auto"/>
              <w:bottom w:val="single" w:sz="4" w:space="0" w:color="auto"/>
              <w:right w:val="single" w:sz="4" w:space="0" w:color="auto"/>
            </w:tcBorders>
            <w:vAlign w:val="center"/>
          </w:tcPr>
          <w:p w14:paraId="5881D82D" w14:textId="77777777" w:rsidR="009424B8" w:rsidRPr="00C64D0B" w:rsidRDefault="009424B8" w:rsidP="00C64D0B">
            <w:pPr>
              <w:keepNext/>
              <w:keepLines/>
              <w:jc w:val="left"/>
              <w:rPr>
                <w:rFonts w:ascii="Arial Narrow" w:hAnsi="Arial Narrow" w:cs="Times New Roman"/>
                <w:sz w:val="20"/>
                <w:szCs w:val="20"/>
                <w:highlight w:val="yellow"/>
                <w:lang w:eastAsia="en-US"/>
              </w:rPr>
            </w:pPr>
            <w:r w:rsidRPr="00C64D0B">
              <w:rPr>
                <w:rFonts w:ascii="Arial Narrow" w:hAnsi="Arial Narrow" w:cs="Times New Roman"/>
                <w:sz w:val="20"/>
                <w:szCs w:val="20"/>
                <w:lang w:eastAsia="en-US"/>
              </w:rPr>
              <w:t>AbbVie Inc. A multicenter, randomized, double-blind, placebo-controlled induction study to evaluate the efficacy and safety of upadacitinib (ABT-494) in subjects with moderately to severely active ulcerative colitis.</w:t>
            </w:r>
          </w:p>
        </w:tc>
        <w:tc>
          <w:tcPr>
            <w:tcW w:w="1230" w:type="pct"/>
            <w:tcBorders>
              <w:top w:val="nil"/>
              <w:left w:val="single" w:sz="4" w:space="0" w:color="auto"/>
              <w:bottom w:val="single" w:sz="4" w:space="0" w:color="auto"/>
              <w:right w:val="single" w:sz="4" w:space="0" w:color="auto"/>
            </w:tcBorders>
            <w:vAlign w:val="center"/>
          </w:tcPr>
          <w:p w14:paraId="084F13B6" w14:textId="77777777" w:rsidR="009424B8" w:rsidRPr="00C64D0B" w:rsidRDefault="009424B8" w:rsidP="00C64D0B">
            <w:pPr>
              <w:keepNext/>
              <w:keepLines/>
              <w:jc w:val="left"/>
              <w:rPr>
                <w:rFonts w:ascii="Arial Narrow" w:hAnsi="Arial Narrow" w:cs="Times New Roman"/>
                <w:i/>
                <w:iCs/>
                <w:sz w:val="20"/>
                <w:szCs w:val="20"/>
                <w:highlight w:val="yellow"/>
                <w:lang w:eastAsia="en-US"/>
              </w:rPr>
            </w:pPr>
            <w:r w:rsidRPr="00C64D0B">
              <w:rPr>
                <w:rFonts w:ascii="Arial Narrow" w:hAnsi="Arial Narrow" w:cs="Times New Roman"/>
                <w:sz w:val="20"/>
                <w:szCs w:val="20"/>
                <w:lang w:eastAsia="en-US"/>
              </w:rPr>
              <w:t>Clinical study report – report date: 29 June 2021.</w:t>
            </w:r>
          </w:p>
        </w:tc>
      </w:tr>
      <w:tr w:rsidR="009424B8" w:rsidRPr="00C64D0B" w14:paraId="76F0C611" w14:textId="77777777" w:rsidTr="00313F8C">
        <w:trPr>
          <w:trHeight w:val="53"/>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center"/>
          </w:tcPr>
          <w:p w14:paraId="7D99236B"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b/>
                <w:bCs/>
                <w:sz w:val="20"/>
                <w:szCs w:val="20"/>
                <w:lang w:eastAsia="en-US"/>
              </w:rPr>
              <w:t>Tofacitinib trials</w:t>
            </w:r>
          </w:p>
        </w:tc>
      </w:tr>
      <w:tr w:rsidR="009424B8" w:rsidRPr="00C64D0B" w14:paraId="6FDECAD2" w14:textId="77777777" w:rsidTr="00313F8C">
        <w:trPr>
          <w:trHeight w:val="598"/>
        </w:trPr>
        <w:tc>
          <w:tcPr>
            <w:tcW w:w="769"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0DEB604E"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iCs/>
                <w:sz w:val="20"/>
                <w:szCs w:val="20"/>
                <w:lang w:eastAsia="en-US"/>
              </w:rPr>
              <w:t xml:space="preserve">OCTAVE trials (OCTAVE 1, OCTAVE 2, </w:t>
            </w:r>
            <w:r w:rsidRPr="00C64D0B">
              <w:rPr>
                <w:rFonts w:ascii="Arial Narrow" w:hAnsi="Arial Narrow" w:cs="Times New Roman"/>
                <w:i/>
                <w:sz w:val="20"/>
                <w:szCs w:val="20"/>
                <w:lang w:eastAsia="en-US"/>
              </w:rPr>
              <w:t>OCTAVE sustain</w:t>
            </w:r>
            <w:r w:rsidRPr="00C64D0B">
              <w:rPr>
                <w:rFonts w:ascii="Arial Narrow" w:hAnsi="Arial Narrow" w:cs="Times New Roman"/>
                <w:iCs/>
                <w:sz w:val="20"/>
                <w:szCs w:val="20"/>
                <w:lang w:eastAsia="en-US"/>
              </w:rPr>
              <w:t>)</w:t>
            </w:r>
          </w:p>
        </w:tc>
        <w:tc>
          <w:tcPr>
            <w:tcW w:w="300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19DA59FE"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iCs/>
                <w:sz w:val="20"/>
                <w:szCs w:val="20"/>
                <w:lang w:val="en-US" w:eastAsia="en-US"/>
              </w:rPr>
              <w:t>Sandborn WJ, Chinyu S, Sands BE, et al. Tofacitinib as Induction and Maintenance Therapy for Ulcerative Colitis</w:t>
            </w:r>
          </w:p>
        </w:tc>
        <w:tc>
          <w:tcPr>
            <w:tcW w:w="123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8BB2DF4" w14:textId="77777777" w:rsidR="009424B8" w:rsidRPr="00C64D0B" w:rsidRDefault="009424B8" w:rsidP="00C64D0B">
            <w:pPr>
              <w:keepNext/>
              <w:keepLines/>
              <w:jc w:val="left"/>
              <w:rPr>
                <w:rFonts w:ascii="Arial Narrow" w:hAnsi="Arial Narrow" w:cs="Times New Roman"/>
                <w:sz w:val="20"/>
                <w:szCs w:val="20"/>
                <w:lang w:eastAsia="en-US"/>
              </w:rPr>
            </w:pPr>
            <w:r w:rsidRPr="00C64D0B">
              <w:rPr>
                <w:rFonts w:ascii="Arial Narrow" w:hAnsi="Arial Narrow" w:cs="Times New Roman"/>
                <w:i/>
                <w:iCs/>
                <w:sz w:val="20"/>
                <w:szCs w:val="20"/>
                <w:lang w:eastAsia="en-US"/>
              </w:rPr>
              <w:t>N Engl J Med.</w:t>
            </w:r>
            <w:r w:rsidRPr="00C64D0B">
              <w:rPr>
                <w:rFonts w:ascii="Arial Narrow" w:hAnsi="Arial Narrow" w:cs="Times New Roman"/>
                <w:sz w:val="20"/>
                <w:szCs w:val="20"/>
                <w:lang w:eastAsia="en-US"/>
              </w:rPr>
              <w:t xml:space="preserve"> </w:t>
            </w:r>
            <w:r w:rsidRPr="00C64D0B">
              <w:rPr>
                <w:rFonts w:ascii="Arial Narrow" w:hAnsi="Arial Narrow"/>
                <w:sz w:val="20"/>
                <w:szCs w:val="20"/>
                <w:lang w:val="en-US" w:eastAsia="en-US"/>
              </w:rPr>
              <w:t>2017; 376 (18): 1723-1736</w:t>
            </w:r>
          </w:p>
        </w:tc>
      </w:tr>
    </w:tbl>
    <w:p w14:paraId="5117CAAE" w14:textId="77777777" w:rsidR="009424B8" w:rsidRDefault="009424B8" w:rsidP="009424B8">
      <w:pPr>
        <w:pStyle w:val="TableFigureFooter"/>
        <w:rPr>
          <w:lang w:eastAsia="en-US"/>
        </w:rPr>
      </w:pPr>
      <w:r w:rsidRPr="008A654C">
        <w:rPr>
          <w:rFonts w:eastAsiaTheme="minorEastAsia"/>
          <w:lang w:eastAsia="en-US"/>
        </w:rPr>
        <w:t>Source: Table 2</w:t>
      </w:r>
      <w:r>
        <w:rPr>
          <w:rFonts w:eastAsiaTheme="minorEastAsia"/>
          <w:lang w:eastAsia="en-US"/>
        </w:rPr>
        <w:t xml:space="preserve">-5, p83 of the submission. </w:t>
      </w:r>
      <w:bookmarkStart w:id="21" w:name="_Hlk100730813"/>
      <w:r w:rsidRPr="00DE5584">
        <w:rPr>
          <w:shd w:val="clear" w:color="auto" w:fill="DBE5F1" w:themeFill="accent1" w:themeFillTint="33"/>
          <w:lang w:eastAsia="en-US"/>
        </w:rPr>
        <w:t>Shaded</w:t>
      </w:r>
      <w:r w:rsidRPr="001C3697">
        <w:rPr>
          <w:lang w:eastAsia="en-US"/>
        </w:rPr>
        <w:t xml:space="preserve"> areas indicate d</w:t>
      </w:r>
      <w:r>
        <w:rPr>
          <w:lang w:eastAsia="en-US"/>
        </w:rPr>
        <w:t>ata previously seen by the PBAC.</w:t>
      </w:r>
    </w:p>
    <w:bookmarkEnd w:id="21"/>
    <w:p w14:paraId="33D6D8E0" w14:textId="3B150BD5" w:rsidR="009424B8" w:rsidRPr="002D6C9F" w:rsidRDefault="009424B8" w:rsidP="008664BD">
      <w:pPr>
        <w:pStyle w:val="3-BodyText"/>
        <w:keepNext/>
        <w:keepLines/>
        <w:rPr>
          <w:rFonts w:ascii="Arial Narrow" w:eastAsiaTheme="minorEastAsia" w:hAnsi="Arial Narrow"/>
          <w:b/>
          <w:sz w:val="20"/>
          <w:szCs w:val="16"/>
          <w:lang w:eastAsia="en-US"/>
        </w:rPr>
      </w:pPr>
      <w:r w:rsidRPr="00B50DB8">
        <w:t>Th</w:t>
      </w:r>
      <w:r>
        <w:t>e key features of the UPA and TOF</w:t>
      </w:r>
      <w:r w:rsidRPr="00B50DB8">
        <w:t xml:space="preserve"> trials ar</w:t>
      </w:r>
      <w:r>
        <w:t xml:space="preserve">e summarised </w:t>
      </w:r>
      <w:r w:rsidRPr="00786F93">
        <w:rPr>
          <w:rFonts w:ascii="Calibri" w:hAnsi="Calibri" w:cs="Calibri"/>
        </w:rPr>
        <w:t xml:space="preserve">in </w:t>
      </w:r>
      <w:r w:rsidR="00786F93" w:rsidRPr="00786F93">
        <w:rPr>
          <w:rFonts w:ascii="Calibri" w:hAnsi="Calibri" w:cs="Calibri"/>
        </w:rPr>
        <w:fldChar w:fldCharType="begin" w:fldLock="1"/>
      </w:r>
      <w:r w:rsidR="00786F93" w:rsidRPr="00786F93">
        <w:rPr>
          <w:rFonts w:ascii="Calibri" w:hAnsi="Calibri" w:cs="Calibri"/>
        </w:rPr>
        <w:instrText xml:space="preserve"> REF _Ref103176251 \h  \* MERGEFORMAT </w:instrText>
      </w:r>
      <w:r w:rsidR="00786F93" w:rsidRPr="00786F93">
        <w:rPr>
          <w:rFonts w:ascii="Calibri" w:hAnsi="Calibri" w:cs="Calibri"/>
        </w:rPr>
      </w:r>
      <w:r w:rsidR="00786F93" w:rsidRPr="00786F93">
        <w:rPr>
          <w:rFonts w:ascii="Calibri" w:hAnsi="Calibri" w:cs="Calibri"/>
        </w:rPr>
        <w:fldChar w:fldCharType="separate"/>
      </w:r>
      <w:r w:rsidR="008664BD" w:rsidRPr="008664BD">
        <w:rPr>
          <w:rFonts w:ascii="Calibri" w:hAnsi="Calibri" w:cs="Calibri"/>
        </w:rPr>
        <w:t xml:space="preserve">Table </w:t>
      </w:r>
      <w:r w:rsidR="008664BD" w:rsidRPr="008664BD">
        <w:rPr>
          <w:rFonts w:ascii="Calibri" w:hAnsi="Calibri" w:cs="Calibri"/>
          <w:noProof/>
        </w:rPr>
        <w:t>3</w:t>
      </w:r>
      <w:r w:rsidR="00786F93" w:rsidRPr="00786F93">
        <w:rPr>
          <w:rFonts w:ascii="Calibri" w:hAnsi="Calibri" w:cs="Calibri"/>
        </w:rPr>
        <w:fldChar w:fldCharType="end"/>
      </w:r>
      <w:r>
        <w:t xml:space="preserve">. </w:t>
      </w:r>
      <w:r w:rsidRPr="00910686">
        <w:rPr>
          <w:rFonts w:eastAsiaTheme="minorEastAsia"/>
          <w:szCs w:val="22"/>
          <w:lang w:eastAsia="en-US"/>
        </w:rPr>
        <w:t>T</w:t>
      </w:r>
      <w:r w:rsidRPr="00910686">
        <w:t>he UPA trials (2016 to 2021) were conducted approximately 4 years after the TOF trials (2012 to 2016), just after the development of the adapted Mayo score in 2016 and three (of the four) UPA trials included the start of the COVID-19 pandemic. The trials impacted by COVID-19 used non-responder-imputation with multiple imputation for missing data due to COVID-19</w:t>
      </w:r>
      <w:r w:rsidR="00D85729" w:rsidRPr="00910686">
        <w:t xml:space="preserve"> for their primary analysis but results were very similar using standard non-responder imputation. </w:t>
      </w:r>
      <w:r w:rsidR="00F40D6C" w:rsidRPr="00910686">
        <w:t>I</w:t>
      </w:r>
      <w:r w:rsidR="00D85729" w:rsidRPr="00910686">
        <w:t>t was unknown</w:t>
      </w:r>
      <w:r w:rsidR="00F40D6C" w:rsidRPr="00910686">
        <w:t>, however,</w:t>
      </w:r>
      <w:r w:rsidR="00D85729" w:rsidRPr="00910686">
        <w:t xml:space="preserve"> whether </w:t>
      </w:r>
      <w:r w:rsidR="00F40D6C" w:rsidRPr="00910686">
        <w:t xml:space="preserve">trials conducted during the COVID-19 pandemic </w:t>
      </w:r>
      <w:r w:rsidR="00F57246" w:rsidRPr="00910686">
        <w:t>would systematically differ to trials</w:t>
      </w:r>
      <w:r w:rsidR="00F57246">
        <w:rPr>
          <w:i/>
          <w:iCs/>
        </w:rPr>
        <w:t xml:space="preserve"> </w:t>
      </w:r>
      <w:r w:rsidR="00F57246" w:rsidRPr="00910686">
        <w:t xml:space="preserve">conducted prior to COVID-19 (i.e. potential differences in access to background care, rates </w:t>
      </w:r>
      <w:r w:rsidR="00541B6F">
        <w:t xml:space="preserve">of </w:t>
      </w:r>
      <w:r w:rsidR="00F57246" w:rsidRPr="00910686">
        <w:t>UC symptom flare-ups, etc.).</w:t>
      </w:r>
    </w:p>
    <w:p w14:paraId="544AD547" w14:textId="2D3D8364" w:rsidR="009424B8" w:rsidRPr="00AB486F" w:rsidRDefault="009424B8" w:rsidP="009424B8">
      <w:pPr>
        <w:pStyle w:val="Caption"/>
        <w:keepNext/>
        <w:spacing w:after="60"/>
        <w:jc w:val="left"/>
        <w:rPr>
          <w:rStyle w:val="CommentReference"/>
          <w:b/>
          <w:color w:val="auto"/>
          <w:szCs w:val="20"/>
        </w:rPr>
      </w:pPr>
      <w:bookmarkStart w:id="22" w:name="_Ref103176251"/>
      <w:r w:rsidRPr="00AB486F">
        <w:rPr>
          <w:rFonts w:ascii="Arial Narrow" w:hAnsi="Arial Narrow"/>
          <w:color w:val="auto"/>
          <w:sz w:val="20"/>
          <w:szCs w:val="20"/>
        </w:rPr>
        <w:t xml:space="preserve">Table </w:t>
      </w:r>
      <w:r w:rsidRPr="00AB486F">
        <w:rPr>
          <w:rFonts w:ascii="Arial Narrow" w:hAnsi="Arial Narrow"/>
          <w:color w:val="auto"/>
          <w:sz w:val="20"/>
          <w:szCs w:val="20"/>
        </w:rPr>
        <w:fldChar w:fldCharType="begin" w:fldLock="1"/>
      </w:r>
      <w:r w:rsidRPr="00AB486F">
        <w:rPr>
          <w:rFonts w:ascii="Arial Narrow" w:hAnsi="Arial Narrow"/>
          <w:color w:val="auto"/>
          <w:sz w:val="20"/>
          <w:szCs w:val="20"/>
        </w:rPr>
        <w:instrText xml:space="preserve"> SEQ Table \* ARABIC </w:instrText>
      </w:r>
      <w:r w:rsidRPr="00AB486F">
        <w:rPr>
          <w:rFonts w:ascii="Arial Narrow" w:hAnsi="Arial Narrow"/>
          <w:color w:val="auto"/>
          <w:sz w:val="20"/>
          <w:szCs w:val="20"/>
        </w:rPr>
        <w:fldChar w:fldCharType="separate"/>
      </w:r>
      <w:r w:rsidR="008664BD">
        <w:rPr>
          <w:rFonts w:ascii="Arial Narrow" w:hAnsi="Arial Narrow"/>
          <w:noProof/>
          <w:color w:val="auto"/>
          <w:sz w:val="20"/>
          <w:szCs w:val="20"/>
        </w:rPr>
        <w:t>3</w:t>
      </w:r>
      <w:r w:rsidRPr="00AB486F">
        <w:rPr>
          <w:rFonts w:ascii="Arial Narrow" w:hAnsi="Arial Narrow"/>
          <w:color w:val="auto"/>
          <w:sz w:val="20"/>
          <w:szCs w:val="20"/>
        </w:rPr>
        <w:fldChar w:fldCharType="end"/>
      </w:r>
      <w:bookmarkEnd w:id="22"/>
      <w:r w:rsidRPr="00AB486F">
        <w:rPr>
          <w:rStyle w:val="CommentReference"/>
          <w:b/>
          <w:color w:val="auto"/>
          <w:szCs w:val="20"/>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7"/>
        <w:gridCol w:w="709"/>
        <w:gridCol w:w="1749"/>
        <w:gridCol w:w="662"/>
        <w:gridCol w:w="1560"/>
        <w:gridCol w:w="2269"/>
        <w:gridCol w:w="941"/>
      </w:tblGrid>
      <w:tr w:rsidR="009424B8" w:rsidRPr="00C64D0B" w14:paraId="060CD5B7" w14:textId="77777777" w:rsidTr="00313F8C">
        <w:trPr>
          <w:tblHeader/>
        </w:trPr>
        <w:tc>
          <w:tcPr>
            <w:tcW w:w="625" w:type="pct"/>
            <w:shd w:val="clear" w:color="auto" w:fill="auto"/>
            <w:vAlign w:val="center"/>
          </w:tcPr>
          <w:p w14:paraId="55E4DEB5" w14:textId="77777777" w:rsidR="009424B8" w:rsidRPr="00C64D0B" w:rsidRDefault="009424B8" w:rsidP="00313F8C">
            <w:pPr>
              <w:pStyle w:val="In-tableHeading"/>
              <w:rPr>
                <w:szCs w:val="20"/>
              </w:rPr>
            </w:pPr>
            <w:r w:rsidRPr="00C64D0B">
              <w:rPr>
                <w:szCs w:val="20"/>
              </w:rPr>
              <w:t>Trial</w:t>
            </w:r>
          </w:p>
        </w:tc>
        <w:tc>
          <w:tcPr>
            <w:tcW w:w="393" w:type="pct"/>
            <w:shd w:val="clear" w:color="auto" w:fill="auto"/>
            <w:vAlign w:val="center"/>
          </w:tcPr>
          <w:p w14:paraId="48409E65" w14:textId="77777777" w:rsidR="009424B8" w:rsidRPr="00C64D0B" w:rsidRDefault="009424B8" w:rsidP="00313F8C">
            <w:pPr>
              <w:pStyle w:val="In-tableHeading"/>
              <w:jc w:val="center"/>
              <w:rPr>
                <w:szCs w:val="20"/>
              </w:rPr>
            </w:pPr>
            <w:r w:rsidRPr="00C64D0B">
              <w:rPr>
                <w:szCs w:val="20"/>
              </w:rPr>
              <w:t>N</w:t>
            </w:r>
          </w:p>
        </w:tc>
        <w:tc>
          <w:tcPr>
            <w:tcW w:w="970" w:type="pct"/>
            <w:shd w:val="clear" w:color="auto" w:fill="auto"/>
            <w:vAlign w:val="center"/>
          </w:tcPr>
          <w:p w14:paraId="72095DF5" w14:textId="77777777" w:rsidR="009424B8" w:rsidRPr="00C64D0B" w:rsidRDefault="009424B8" w:rsidP="00313F8C">
            <w:pPr>
              <w:pStyle w:val="In-tableHeading"/>
              <w:jc w:val="center"/>
              <w:rPr>
                <w:szCs w:val="20"/>
              </w:rPr>
            </w:pPr>
            <w:r w:rsidRPr="00C64D0B">
              <w:rPr>
                <w:szCs w:val="20"/>
              </w:rPr>
              <w:t>Design/ duration</w:t>
            </w:r>
          </w:p>
        </w:tc>
        <w:tc>
          <w:tcPr>
            <w:tcW w:w="367" w:type="pct"/>
            <w:shd w:val="clear" w:color="auto" w:fill="auto"/>
            <w:vAlign w:val="center"/>
          </w:tcPr>
          <w:p w14:paraId="6C6674F7" w14:textId="77777777" w:rsidR="009424B8" w:rsidRPr="00C64D0B" w:rsidRDefault="009424B8" w:rsidP="00313F8C">
            <w:pPr>
              <w:pStyle w:val="In-tableHeading"/>
              <w:jc w:val="center"/>
              <w:rPr>
                <w:szCs w:val="20"/>
              </w:rPr>
            </w:pPr>
            <w:r w:rsidRPr="00C64D0B">
              <w:rPr>
                <w:szCs w:val="20"/>
              </w:rPr>
              <w:t>Risk of bias</w:t>
            </w:r>
          </w:p>
        </w:tc>
        <w:tc>
          <w:tcPr>
            <w:tcW w:w="865" w:type="pct"/>
            <w:shd w:val="clear" w:color="auto" w:fill="auto"/>
            <w:vAlign w:val="center"/>
          </w:tcPr>
          <w:p w14:paraId="31A21667" w14:textId="77777777" w:rsidR="009424B8" w:rsidRPr="00C64D0B" w:rsidRDefault="009424B8" w:rsidP="00313F8C">
            <w:pPr>
              <w:pStyle w:val="In-tableHeading"/>
              <w:jc w:val="center"/>
              <w:rPr>
                <w:szCs w:val="20"/>
              </w:rPr>
            </w:pPr>
            <w:r w:rsidRPr="00C64D0B">
              <w:rPr>
                <w:szCs w:val="20"/>
              </w:rPr>
              <w:t>Patient population</w:t>
            </w:r>
          </w:p>
        </w:tc>
        <w:tc>
          <w:tcPr>
            <w:tcW w:w="1258" w:type="pct"/>
            <w:shd w:val="clear" w:color="auto" w:fill="auto"/>
            <w:vAlign w:val="center"/>
          </w:tcPr>
          <w:p w14:paraId="32422BD6" w14:textId="77777777" w:rsidR="009424B8" w:rsidRPr="00C64D0B" w:rsidRDefault="009424B8" w:rsidP="00313F8C">
            <w:pPr>
              <w:pStyle w:val="In-tableHeading"/>
              <w:jc w:val="center"/>
              <w:rPr>
                <w:szCs w:val="20"/>
              </w:rPr>
            </w:pPr>
            <w:r w:rsidRPr="00C64D0B">
              <w:rPr>
                <w:szCs w:val="20"/>
              </w:rPr>
              <w:t>Outcome(s)</w:t>
            </w:r>
          </w:p>
        </w:tc>
        <w:tc>
          <w:tcPr>
            <w:tcW w:w="522" w:type="pct"/>
            <w:shd w:val="clear" w:color="auto" w:fill="auto"/>
            <w:vAlign w:val="center"/>
          </w:tcPr>
          <w:p w14:paraId="2F986FFC" w14:textId="77777777" w:rsidR="009424B8" w:rsidRPr="00C64D0B" w:rsidRDefault="009424B8" w:rsidP="00313F8C">
            <w:pPr>
              <w:pStyle w:val="In-tableHeading"/>
              <w:jc w:val="center"/>
              <w:rPr>
                <w:szCs w:val="20"/>
              </w:rPr>
            </w:pPr>
            <w:r w:rsidRPr="00C64D0B">
              <w:rPr>
                <w:szCs w:val="20"/>
              </w:rPr>
              <w:t>Use in modelled evaluation</w:t>
            </w:r>
          </w:p>
        </w:tc>
      </w:tr>
      <w:tr w:rsidR="009424B8" w:rsidRPr="00C64D0B" w14:paraId="12682088" w14:textId="77777777" w:rsidTr="00313F8C">
        <w:tc>
          <w:tcPr>
            <w:tcW w:w="5000" w:type="pct"/>
            <w:gridSpan w:val="7"/>
            <w:shd w:val="clear" w:color="auto" w:fill="auto"/>
            <w:vAlign w:val="center"/>
          </w:tcPr>
          <w:p w14:paraId="356F85AD" w14:textId="77777777" w:rsidR="009424B8" w:rsidRPr="00C64D0B" w:rsidRDefault="009424B8" w:rsidP="00313F8C">
            <w:pPr>
              <w:pStyle w:val="In-tableHeading"/>
              <w:rPr>
                <w:szCs w:val="20"/>
              </w:rPr>
            </w:pPr>
            <w:r w:rsidRPr="00C64D0B">
              <w:rPr>
                <w:szCs w:val="20"/>
              </w:rPr>
              <w:t>UPA vs. PBO</w:t>
            </w:r>
          </w:p>
        </w:tc>
      </w:tr>
      <w:tr w:rsidR="009424B8" w:rsidRPr="00C64D0B" w14:paraId="686D152E" w14:textId="77777777" w:rsidTr="00313F8C">
        <w:tc>
          <w:tcPr>
            <w:tcW w:w="625" w:type="pct"/>
            <w:shd w:val="clear" w:color="auto" w:fill="auto"/>
            <w:vAlign w:val="center"/>
          </w:tcPr>
          <w:p w14:paraId="3FB4BD59" w14:textId="77777777"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U-ACHIEVE 1</w:t>
            </w:r>
          </w:p>
          <w:p w14:paraId="13D0E52A" w14:textId="77777777" w:rsidR="009424B8" w:rsidRPr="00C64D0B" w:rsidRDefault="009424B8" w:rsidP="00313F8C">
            <w:pPr>
              <w:pStyle w:val="TableText0"/>
              <w:rPr>
                <w:szCs w:val="20"/>
                <w:lang w:val="en-US"/>
              </w:rPr>
            </w:pPr>
            <w:r w:rsidRPr="00C64D0B">
              <w:rPr>
                <w:rFonts w:eastAsiaTheme="minorEastAsia" w:cs="Times New Roman"/>
                <w:szCs w:val="20"/>
                <w:lang w:eastAsia="en-US"/>
              </w:rPr>
              <w:t>[induction]</w:t>
            </w:r>
          </w:p>
        </w:tc>
        <w:tc>
          <w:tcPr>
            <w:tcW w:w="393" w:type="pct"/>
            <w:shd w:val="clear" w:color="auto" w:fill="auto"/>
            <w:vAlign w:val="center"/>
          </w:tcPr>
          <w:p w14:paraId="4FF429F7"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250</w:t>
            </w:r>
          </w:p>
        </w:tc>
        <w:tc>
          <w:tcPr>
            <w:tcW w:w="970" w:type="pct"/>
            <w:shd w:val="clear" w:color="auto" w:fill="auto"/>
            <w:vAlign w:val="center"/>
          </w:tcPr>
          <w:p w14:paraId="64FABAED"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P2b/3 MC, R, PC, DB (8wk), 5-arm (dose ranging).</w:t>
            </w:r>
          </w:p>
        </w:tc>
        <w:tc>
          <w:tcPr>
            <w:tcW w:w="367" w:type="pct"/>
            <w:shd w:val="clear" w:color="auto" w:fill="auto"/>
            <w:vAlign w:val="center"/>
          </w:tcPr>
          <w:p w14:paraId="01E1F9E8" w14:textId="77777777" w:rsidR="009424B8" w:rsidRPr="00736657" w:rsidRDefault="009424B8" w:rsidP="00313F8C">
            <w:pPr>
              <w:pStyle w:val="TableText0"/>
              <w:jc w:val="center"/>
              <w:rPr>
                <w:szCs w:val="20"/>
                <w:lang w:val="en-US"/>
              </w:rPr>
            </w:pPr>
            <w:r w:rsidRPr="00736657">
              <w:rPr>
                <w:rFonts w:eastAsiaTheme="minorEastAsia" w:cs="Times New Roman"/>
                <w:szCs w:val="20"/>
                <w:lang w:eastAsia="en-US"/>
              </w:rPr>
              <w:t>Low</w:t>
            </w:r>
          </w:p>
        </w:tc>
        <w:tc>
          <w:tcPr>
            <w:tcW w:w="865" w:type="pct"/>
            <w:shd w:val="clear" w:color="auto" w:fill="auto"/>
            <w:vAlign w:val="center"/>
          </w:tcPr>
          <w:p w14:paraId="553CEAA8" w14:textId="77777777" w:rsidR="009424B8" w:rsidRPr="00C64D0B" w:rsidRDefault="009424B8" w:rsidP="00313F8C">
            <w:pPr>
              <w:pStyle w:val="TableText0"/>
              <w:jc w:val="center"/>
              <w:rPr>
                <w:szCs w:val="20"/>
                <w:lang w:val="en-US"/>
              </w:rPr>
            </w:pPr>
            <w:r w:rsidRPr="00C64D0B">
              <w:rPr>
                <w:rFonts w:eastAsiaTheme="minorEastAsia" w:cs="Times New Roman"/>
                <w:iCs/>
                <w:szCs w:val="20"/>
                <w:lang w:eastAsia="en-US"/>
              </w:rPr>
              <w:t>VDZ/TNFi-n &amp; VDZ/TNFi-e</w:t>
            </w:r>
          </w:p>
        </w:tc>
        <w:tc>
          <w:tcPr>
            <w:tcW w:w="1258" w:type="pct"/>
            <w:vMerge w:val="restart"/>
            <w:shd w:val="clear" w:color="auto" w:fill="auto"/>
            <w:vAlign w:val="center"/>
          </w:tcPr>
          <w:p w14:paraId="1D0323C6" w14:textId="7D584BE3"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w:t>
            </w:r>
            <w:r w:rsidRPr="00C64D0B">
              <w:rPr>
                <w:rFonts w:ascii="Arial Narrow" w:eastAsiaTheme="minorEastAsia" w:hAnsi="Arial Narrow" w:cs="Times New Roman"/>
                <w:sz w:val="20"/>
                <w:szCs w:val="20"/>
                <w:vertAlign w:val="superscript"/>
                <w:lang w:eastAsia="en-US"/>
              </w:rPr>
              <w:t>ary</w:t>
            </w:r>
            <w:r w:rsidRPr="00C64D0B">
              <w:rPr>
                <w:rFonts w:ascii="Arial Narrow" w:eastAsiaTheme="minorEastAsia" w:hAnsi="Arial Narrow" w:cs="Times New Roman"/>
                <w:sz w:val="20"/>
                <w:szCs w:val="20"/>
                <w:lang w:eastAsia="en-US"/>
              </w:rPr>
              <w:t>: clinical remission (</w:t>
            </w:r>
            <w:r w:rsidR="009F295C" w:rsidRPr="00C64D0B">
              <w:rPr>
                <w:rFonts w:ascii="Arial Narrow" w:eastAsiaTheme="minorEastAsia" w:hAnsi="Arial Narrow" w:cs="Times New Roman"/>
                <w:sz w:val="20"/>
                <w:szCs w:val="20"/>
                <w:lang w:eastAsia="en-US"/>
              </w:rPr>
              <w:t>A</w:t>
            </w:r>
            <w:r w:rsidRPr="00C64D0B">
              <w:rPr>
                <w:rFonts w:ascii="Arial Narrow" w:eastAsiaTheme="minorEastAsia" w:hAnsi="Arial Narrow" w:cs="Times New Roman"/>
                <w:sz w:val="20"/>
                <w:szCs w:val="20"/>
                <w:lang w:eastAsia="en-US"/>
              </w:rPr>
              <w:t xml:space="preserve">MS) </w:t>
            </w:r>
          </w:p>
          <w:p w14:paraId="1C802D43" w14:textId="063F74F5" w:rsidR="009424B8" w:rsidRPr="00C64D0B" w:rsidRDefault="009424B8" w:rsidP="00313F8C">
            <w:pPr>
              <w:pStyle w:val="TableText0"/>
              <w:rPr>
                <w:szCs w:val="20"/>
                <w:lang w:val="en-US"/>
              </w:rPr>
            </w:pPr>
            <w:r w:rsidRPr="00C64D0B">
              <w:rPr>
                <w:rFonts w:eastAsiaTheme="minorEastAsia" w:cs="Times New Roman"/>
                <w:szCs w:val="20"/>
                <w:lang w:eastAsia="en-US"/>
              </w:rPr>
              <w:t>2</w:t>
            </w:r>
            <w:r w:rsidRPr="00C64D0B">
              <w:rPr>
                <w:rFonts w:eastAsiaTheme="minorEastAsia" w:cs="Times New Roman"/>
                <w:szCs w:val="20"/>
                <w:vertAlign w:val="superscript"/>
                <w:lang w:eastAsia="en-US"/>
              </w:rPr>
              <w:t>ary</w:t>
            </w:r>
            <w:r w:rsidRPr="00C64D0B">
              <w:rPr>
                <w:rFonts w:eastAsiaTheme="minorEastAsia" w:cs="Times New Roman"/>
                <w:szCs w:val="20"/>
                <w:lang w:eastAsia="en-US"/>
              </w:rPr>
              <w:t>: clinical remission (</w:t>
            </w:r>
            <w:r w:rsidR="009F295C" w:rsidRPr="00C64D0B">
              <w:rPr>
                <w:rFonts w:eastAsiaTheme="minorEastAsia" w:cs="Times New Roman"/>
                <w:szCs w:val="20"/>
                <w:lang w:eastAsia="en-US"/>
              </w:rPr>
              <w:t>F</w:t>
            </w:r>
            <w:r w:rsidRPr="00C64D0B">
              <w:rPr>
                <w:rFonts w:eastAsiaTheme="minorEastAsia" w:cs="Times New Roman"/>
                <w:szCs w:val="20"/>
                <w:lang w:eastAsia="en-US"/>
              </w:rPr>
              <w:t>MS), clinical response (</w:t>
            </w:r>
            <w:r w:rsidR="009F295C" w:rsidRPr="00C64D0B">
              <w:rPr>
                <w:rFonts w:eastAsiaTheme="minorEastAsia" w:cs="Times New Roman"/>
                <w:szCs w:val="20"/>
                <w:lang w:eastAsia="en-US"/>
              </w:rPr>
              <w:t>A</w:t>
            </w:r>
            <w:r w:rsidRPr="00C64D0B">
              <w:rPr>
                <w:rFonts w:eastAsiaTheme="minorEastAsia" w:cs="Times New Roman"/>
                <w:szCs w:val="20"/>
                <w:lang w:eastAsia="en-US"/>
              </w:rPr>
              <w:t>MS), endoscopic improvement</w:t>
            </w:r>
            <w:r w:rsidRPr="00C64D0B">
              <w:rPr>
                <w:rFonts w:eastAsiaTheme="minorEastAsia" w:cs="Times New Roman"/>
                <w:szCs w:val="20"/>
                <w:vertAlign w:val="superscript"/>
                <w:lang w:eastAsia="en-US"/>
              </w:rPr>
              <w:t xml:space="preserve">b </w:t>
            </w:r>
          </w:p>
        </w:tc>
        <w:tc>
          <w:tcPr>
            <w:tcW w:w="522" w:type="pct"/>
            <w:vMerge w:val="restart"/>
            <w:shd w:val="clear" w:color="auto" w:fill="auto"/>
            <w:vAlign w:val="center"/>
          </w:tcPr>
          <w:p w14:paraId="7C551E01" w14:textId="4B76802B" w:rsidR="009424B8" w:rsidRPr="00C64D0B" w:rsidRDefault="009424B8" w:rsidP="00313F8C">
            <w:pPr>
              <w:pStyle w:val="TableText0"/>
              <w:jc w:val="center"/>
              <w:rPr>
                <w:szCs w:val="20"/>
                <w:lang w:val="en-US"/>
              </w:rPr>
            </w:pPr>
            <w:r w:rsidRPr="00C64D0B">
              <w:rPr>
                <w:rFonts w:eastAsiaTheme="minorEastAsia" w:cs="Times New Roman"/>
                <w:szCs w:val="20"/>
                <w:lang w:eastAsia="en-US"/>
              </w:rPr>
              <w:t>clinical remission (</w:t>
            </w:r>
            <w:r w:rsidR="009F295C" w:rsidRPr="00C64D0B">
              <w:rPr>
                <w:rFonts w:eastAsiaTheme="minorEastAsia" w:cs="Times New Roman"/>
                <w:szCs w:val="20"/>
                <w:lang w:eastAsia="en-US"/>
              </w:rPr>
              <w:t>F</w:t>
            </w:r>
            <w:r w:rsidRPr="00C64D0B">
              <w:rPr>
                <w:rFonts w:eastAsiaTheme="minorEastAsia" w:cs="Times New Roman"/>
                <w:szCs w:val="20"/>
                <w:lang w:eastAsia="en-US"/>
              </w:rPr>
              <w:t>MS)</w:t>
            </w:r>
          </w:p>
        </w:tc>
      </w:tr>
      <w:tr w:rsidR="009424B8" w:rsidRPr="00C64D0B" w14:paraId="774535BE" w14:textId="77777777" w:rsidTr="00313F8C">
        <w:tc>
          <w:tcPr>
            <w:tcW w:w="625" w:type="pct"/>
            <w:shd w:val="clear" w:color="auto" w:fill="auto"/>
            <w:vAlign w:val="center"/>
          </w:tcPr>
          <w:p w14:paraId="3BD279A0" w14:textId="77777777"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U-ACHIEVE 2</w:t>
            </w:r>
          </w:p>
          <w:p w14:paraId="1490C8E4" w14:textId="77777777" w:rsidR="009424B8" w:rsidRPr="00C64D0B" w:rsidRDefault="009424B8" w:rsidP="00313F8C">
            <w:pPr>
              <w:pStyle w:val="TableText0"/>
              <w:rPr>
                <w:szCs w:val="20"/>
                <w:lang w:val="en-US"/>
              </w:rPr>
            </w:pPr>
            <w:r w:rsidRPr="00C64D0B">
              <w:rPr>
                <w:rFonts w:eastAsiaTheme="minorEastAsia" w:cs="Times New Roman"/>
                <w:szCs w:val="20"/>
                <w:lang w:eastAsia="en-US"/>
              </w:rPr>
              <w:t>[induction]</w:t>
            </w:r>
          </w:p>
        </w:tc>
        <w:tc>
          <w:tcPr>
            <w:tcW w:w="393" w:type="pct"/>
            <w:shd w:val="clear" w:color="auto" w:fill="auto"/>
            <w:vAlign w:val="center"/>
          </w:tcPr>
          <w:p w14:paraId="11779D89"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474</w:t>
            </w:r>
          </w:p>
        </w:tc>
        <w:tc>
          <w:tcPr>
            <w:tcW w:w="970" w:type="pct"/>
            <w:shd w:val="clear" w:color="auto" w:fill="auto"/>
            <w:vAlign w:val="center"/>
          </w:tcPr>
          <w:p w14:paraId="34E347EB"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P3 MC, R, PC, DB (8wk</w:t>
            </w:r>
            <w:r w:rsidRPr="00C64D0B">
              <w:rPr>
                <w:rFonts w:eastAsiaTheme="minorEastAsia" w:cs="Times New Roman"/>
                <w:szCs w:val="20"/>
                <w:vertAlign w:val="superscript"/>
                <w:lang w:eastAsia="en-US"/>
              </w:rPr>
              <w:t>a</w:t>
            </w:r>
            <w:r w:rsidRPr="00C64D0B">
              <w:rPr>
                <w:rFonts w:eastAsiaTheme="minorEastAsia" w:cs="Times New Roman"/>
                <w:szCs w:val="20"/>
                <w:lang w:eastAsia="en-US"/>
              </w:rPr>
              <w:t>).</w:t>
            </w:r>
          </w:p>
        </w:tc>
        <w:tc>
          <w:tcPr>
            <w:tcW w:w="367" w:type="pct"/>
            <w:shd w:val="clear" w:color="auto" w:fill="auto"/>
            <w:vAlign w:val="center"/>
          </w:tcPr>
          <w:p w14:paraId="0E4AD03A" w14:textId="77777777" w:rsidR="009424B8" w:rsidRPr="00736657" w:rsidRDefault="009424B8" w:rsidP="00313F8C">
            <w:pPr>
              <w:pStyle w:val="TableText0"/>
              <w:jc w:val="center"/>
              <w:rPr>
                <w:szCs w:val="20"/>
                <w:lang w:val="en-US"/>
              </w:rPr>
            </w:pPr>
            <w:r w:rsidRPr="00736657">
              <w:rPr>
                <w:rFonts w:eastAsiaTheme="minorEastAsia" w:cs="Times New Roman"/>
                <w:szCs w:val="20"/>
                <w:lang w:eastAsia="en-US"/>
              </w:rPr>
              <w:t>Low</w:t>
            </w:r>
          </w:p>
        </w:tc>
        <w:tc>
          <w:tcPr>
            <w:tcW w:w="865" w:type="pct"/>
            <w:shd w:val="clear" w:color="auto" w:fill="auto"/>
            <w:vAlign w:val="center"/>
          </w:tcPr>
          <w:p w14:paraId="6722E9FB" w14:textId="77777777" w:rsidR="009424B8" w:rsidRPr="00C64D0B" w:rsidRDefault="009424B8" w:rsidP="00313F8C">
            <w:pPr>
              <w:pStyle w:val="TableText0"/>
              <w:jc w:val="center"/>
              <w:rPr>
                <w:szCs w:val="20"/>
                <w:lang w:val="en-US"/>
              </w:rPr>
            </w:pPr>
            <w:r w:rsidRPr="00C64D0B">
              <w:rPr>
                <w:rFonts w:eastAsiaTheme="minorEastAsia" w:cs="Times New Roman"/>
                <w:iCs/>
                <w:szCs w:val="20"/>
                <w:lang w:eastAsia="en-US"/>
              </w:rPr>
              <w:t>VDZ/TNFi-n &amp; VDZ/TNFi-e</w:t>
            </w:r>
          </w:p>
        </w:tc>
        <w:tc>
          <w:tcPr>
            <w:tcW w:w="1258" w:type="pct"/>
            <w:vMerge/>
            <w:shd w:val="clear" w:color="auto" w:fill="auto"/>
            <w:vAlign w:val="center"/>
          </w:tcPr>
          <w:p w14:paraId="417722C4" w14:textId="77777777" w:rsidR="009424B8" w:rsidRPr="00C64D0B" w:rsidRDefault="009424B8" w:rsidP="00313F8C">
            <w:pPr>
              <w:pStyle w:val="TableText0"/>
              <w:rPr>
                <w:szCs w:val="20"/>
                <w:lang w:val="en-US"/>
              </w:rPr>
            </w:pPr>
          </w:p>
        </w:tc>
        <w:tc>
          <w:tcPr>
            <w:tcW w:w="522" w:type="pct"/>
            <w:vMerge/>
            <w:shd w:val="clear" w:color="auto" w:fill="auto"/>
            <w:vAlign w:val="center"/>
          </w:tcPr>
          <w:p w14:paraId="127D9837" w14:textId="77777777" w:rsidR="009424B8" w:rsidRPr="00C64D0B" w:rsidRDefault="009424B8" w:rsidP="00313F8C">
            <w:pPr>
              <w:pStyle w:val="TableText0"/>
              <w:jc w:val="center"/>
              <w:rPr>
                <w:szCs w:val="20"/>
                <w:lang w:val="en-US"/>
              </w:rPr>
            </w:pPr>
          </w:p>
        </w:tc>
      </w:tr>
      <w:tr w:rsidR="009424B8" w:rsidRPr="00C64D0B" w14:paraId="44D86E69" w14:textId="77777777" w:rsidTr="00313F8C">
        <w:tc>
          <w:tcPr>
            <w:tcW w:w="625" w:type="pct"/>
            <w:shd w:val="clear" w:color="auto" w:fill="auto"/>
            <w:vAlign w:val="center"/>
          </w:tcPr>
          <w:p w14:paraId="352BA9F8" w14:textId="77777777"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U-ACCOMPLISH</w:t>
            </w:r>
          </w:p>
          <w:p w14:paraId="672450F4" w14:textId="77777777" w:rsidR="009424B8" w:rsidRPr="00C64D0B" w:rsidRDefault="009424B8" w:rsidP="00313F8C">
            <w:pPr>
              <w:pStyle w:val="TableText0"/>
              <w:rPr>
                <w:szCs w:val="20"/>
                <w:lang w:val="en-US"/>
              </w:rPr>
            </w:pPr>
            <w:r w:rsidRPr="00C64D0B">
              <w:rPr>
                <w:rFonts w:eastAsiaTheme="minorEastAsia" w:cs="Times New Roman"/>
                <w:szCs w:val="20"/>
                <w:lang w:eastAsia="en-US"/>
              </w:rPr>
              <w:t>[induction]</w:t>
            </w:r>
          </w:p>
        </w:tc>
        <w:tc>
          <w:tcPr>
            <w:tcW w:w="393" w:type="pct"/>
            <w:shd w:val="clear" w:color="auto" w:fill="auto"/>
            <w:vAlign w:val="center"/>
          </w:tcPr>
          <w:p w14:paraId="774293E1"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522</w:t>
            </w:r>
          </w:p>
        </w:tc>
        <w:tc>
          <w:tcPr>
            <w:tcW w:w="970" w:type="pct"/>
            <w:shd w:val="clear" w:color="auto" w:fill="auto"/>
            <w:vAlign w:val="center"/>
          </w:tcPr>
          <w:p w14:paraId="50300683"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P3 MC, R, PC, DB (8wk</w:t>
            </w:r>
            <w:r w:rsidRPr="00C64D0B">
              <w:rPr>
                <w:rFonts w:eastAsiaTheme="minorEastAsia" w:cs="Times New Roman"/>
                <w:szCs w:val="20"/>
                <w:vertAlign w:val="superscript"/>
                <w:lang w:eastAsia="en-US"/>
              </w:rPr>
              <w:t>a</w:t>
            </w:r>
            <w:r w:rsidRPr="00C64D0B">
              <w:rPr>
                <w:rFonts w:eastAsiaTheme="minorEastAsia" w:cs="Times New Roman"/>
                <w:szCs w:val="20"/>
                <w:lang w:eastAsia="en-US"/>
              </w:rPr>
              <w:t>).</w:t>
            </w:r>
          </w:p>
        </w:tc>
        <w:tc>
          <w:tcPr>
            <w:tcW w:w="367" w:type="pct"/>
            <w:shd w:val="clear" w:color="auto" w:fill="auto"/>
            <w:vAlign w:val="center"/>
          </w:tcPr>
          <w:p w14:paraId="5D76BF75" w14:textId="77777777" w:rsidR="009424B8" w:rsidRPr="00736657" w:rsidRDefault="009424B8" w:rsidP="00313F8C">
            <w:pPr>
              <w:pStyle w:val="TableText0"/>
              <w:jc w:val="center"/>
              <w:rPr>
                <w:szCs w:val="20"/>
                <w:lang w:val="en-US"/>
              </w:rPr>
            </w:pPr>
            <w:r w:rsidRPr="00736657">
              <w:rPr>
                <w:rFonts w:eastAsiaTheme="minorEastAsia" w:cs="Times New Roman"/>
                <w:szCs w:val="20"/>
                <w:lang w:eastAsia="en-US"/>
              </w:rPr>
              <w:t>Low</w:t>
            </w:r>
          </w:p>
        </w:tc>
        <w:tc>
          <w:tcPr>
            <w:tcW w:w="865" w:type="pct"/>
            <w:shd w:val="clear" w:color="auto" w:fill="auto"/>
            <w:vAlign w:val="center"/>
          </w:tcPr>
          <w:p w14:paraId="2F9BCC9D" w14:textId="77777777" w:rsidR="009424B8" w:rsidRPr="00C64D0B" w:rsidRDefault="009424B8" w:rsidP="00313F8C">
            <w:pPr>
              <w:pStyle w:val="TableText0"/>
              <w:jc w:val="center"/>
              <w:rPr>
                <w:szCs w:val="20"/>
                <w:lang w:val="en-US"/>
              </w:rPr>
            </w:pPr>
            <w:r w:rsidRPr="00C64D0B">
              <w:rPr>
                <w:rFonts w:eastAsiaTheme="minorEastAsia" w:cs="Times New Roman"/>
                <w:iCs/>
                <w:szCs w:val="20"/>
                <w:lang w:eastAsia="en-US"/>
              </w:rPr>
              <w:t>VDZ/TNFi-n &amp; VDZ/TNFi-e</w:t>
            </w:r>
          </w:p>
        </w:tc>
        <w:tc>
          <w:tcPr>
            <w:tcW w:w="1258" w:type="pct"/>
            <w:shd w:val="clear" w:color="auto" w:fill="auto"/>
            <w:vAlign w:val="center"/>
          </w:tcPr>
          <w:p w14:paraId="0705661A" w14:textId="1C1FCF0F"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w:t>
            </w:r>
            <w:r w:rsidRPr="00C64D0B">
              <w:rPr>
                <w:rFonts w:ascii="Arial Narrow" w:eastAsiaTheme="minorEastAsia" w:hAnsi="Arial Narrow" w:cs="Times New Roman"/>
                <w:sz w:val="20"/>
                <w:szCs w:val="20"/>
                <w:vertAlign w:val="superscript"/>
                <w:lang w:eastAsia="en-US"/>
              </w:rPr>
              <w:t>ary</w:t>
            </w:r>
            <w:r w:rsidRPr="00C64D0B">
              <w:rPr>
                <w:rFonts w:ascii="Arial Narrow" w:eastAsiaTheme="minorEastAsia" w:hAnsi="Arial Narrow" w:cs="Times New Roman"/>
                <w:sz w:val="20"/>
                <w:szCs w:val="20"/>
                <w:lang w:eastAsia="en-US"/>
              </w:rPr>
              <w:t>: clinical remission (</w:t>
            </w:r>
            <w:r w:rsidR="009F295C" w:rsidRPr="00C64D0B">
              <w:rPr>
                <w:rFonts w:ascii="Arial Narrow" w:eastAsiaTheme="minorEastAsia" w:hAnsi="Arial Narrow" w:cs="Times New Roman"/>
                <w:sz w:val="20"/>
                <w:szCs w:val="20"/>
                <w:lang w:eastAsia="en-US"/>
              </w:rPr>
              <w:t>A</w:t>
            </w:r>
            <w:r w:rsidRPr="00C64D0B">
              <w:rPr>
                <w:rFonts w:ascii="Arial Narrow" w:eastAsiaTheme="minorEastAsia" w:hAnsi="Arial Narrow" w:cs="Times New Roman"/>
                <w:sz w:val="20"/>
                <w:szCs w:val="20"/>
                <w:lang w:eastAsia="en-US"/>
              </w:rPr>
              <w:t xml:space="preserve">MS) </w:t>
            </w:r>
          </w:p>
          <w:p w14:paraId="752A965C" w14:textId="2C3F4547" w:rsidR="009424B8" w:rsidRPr="00C64D0B" w:rsidRDefault="009424B8" w:rsidP="00313F8C">
            <w:pPr>
              <w:pStyle w:val="TableText0"/>
              <w:rPr>
                <w:szCs w:val="20"/>
                <w:lang w:val="en-US"/>
              </w:rPr>
            </w:pPr>
            <w:r w:rsidRPr="00C64D0B">
              <w:rPr>
                <w:rFonts w:eastAsiaTheme="minorEastAsia" w:cs="Times New Roman"/>
                <w:szCs w:val="20"/>
                <w:lang w:eastAsia="en-US"/>
              </w:rPr>
              <w:t>2</w:t>
            </w:r>
            <w:r w:rsidRPr="00C64D0B">
              <w:rPr>
                <w:rFonts w:eastAsiaTheme="minorEastAsia" w:cs="Times New Roman"/>
                <w:szCs w:val="20"/>
                <w:vertAlign w:val="superscript"/>
                <w:lang w:eastAsia="en-US"/>
              </w:rPr>
              <w:t>ary</w:t>
            </w:r>
            <w:r w:rsidRPr="00C64D0B">
              <w:rPr>
                <w:rFonts w:eastAsiaTheme="minorEastAsia" w:cs="Times New Roman"/>
                <w:szCs w:val="20"/>
                <w:lang w:eastAsia="en-US"/>
              </w:rPr>
              <w:t>: clinical remission (</w:t>
            </w:r>
            <w:r w:rsidR="009F295C" w:rsidRPr="00C64D0B">
              <w:rPr>
                <w:rFonts w:eastAsiaTheme="minorEastAsia" w:cs="Times New Roman"/>
                <w:szCs w:val="20"/>
                <w:lang w:eastAsia="en-US"/>
              </w:rPr>
              <w:t>F</w:t>
            </w:r>
            <w:r w:rsidRPr="00C64D0B">
              <w:rPr>
                <w:rFonts w:eastAsiaTheme="minorEastAsia" w:cs="Times New Roman"/>
                <w:szCs w:val="20"/>
                <w:lang w:eastAsia="en-US"/>
              </w:rPr>
              <w:t>MS), clinical response (</w:t>
            </w:r>
            <w:r w:rsidR="009F295C" w:rsidRPr="00C64D0B">
              <w:rPr>
                <w:rFonts w:eastAsiaTheme="minorEastAsia" w:cs="Times New Roman"/>
                <w:szCs w:val="20"/>
                <w:lang w:eastAsia="en-US"/>
              </w:rPr>
              <w:t>A</w:t>
            </w:r>
            <w:r w:rsidRPr="00C64D0B">
              <w:rPr>
                <w:rFonts w:eastAsiaTheme="minorEastAsia" w:cs="Times New Roman"/>
                <w:szCs w:val="20"/>
                <w:lang w:eastAsia="en-US"/>
              </w:rPr>
              <w:t>MS), endoscopic improvement</w:t>
            </w:r>
            <w:r w:rsidRPr="00C64D0B">
              <w:rPr>
                <w:rFonts w:eastAsiaTheme="minorEastAsia" w:cs="Times New Roman"/>
                <w:szCs w:val="20"/>
                <w:vertAlign w:val="superscript"/>
                <w:lang w:eastAsia="en-US"/>
              </w:rPr>
              <w:t>b</w:t>
            </w:r>
          </w:p>
        </w:tc>
        <w:tc>
          <w:tcPr>
            <w:tcW w:w="522" w:type="pct"/>
            <w:shd w:val="clear" w:color="auto" w:fill="auto"/>
            <w:vAlign w:val="center"/>
          </w:tcPr>
          <w:p w14:paraId="7DD739FC" w14:textId="12516EA4" w:rsidR="009424B8" w:rsidRPr="00C64D0B" w:rsidRDefault="009424B8" w:rsidP="00313F8C">
            <w:pPr>
              <w:pStyle w:val="TableText0"/>
              <w:jc w:val="center"/>
              <w:rPr>
                <w:szCs w:val="20"/>
                <w:lang w:val="en-US"/>
              </w:rPr>
            </w:pPr>
            <w:r w:rsidRPr="00C64D0B">
              <w:rPr>
                <w:rFonts w:eastAsiaTheme="minorEastAsia" w:cs="Times New Roman"/>
                <w:szCs w:val="20"/>
                <w:lang w:eastAsia="en-US"/>
              </w:rPr>
              <w:t>clinical remission (</w:t>
            </w:r>
            <w:r w:rsidR="009F295C" w:rsidRPr="00C64D0B">
              <w:rPr>
                <w:rFonts w:eastAsiaTheme="minorEastAsia" w:cs="Times New Roman"/>
                <w:szCs w:val="20"/>
                <w:lang w:eastAsia="en-US"/>
              </w:rPr>
              <w:t>F</w:t>
            </w:r>
            <w:r w:rsidRPr="00C64D0B">
              <w:rPr>
                <w:rFonts w:eastAsiaTheme="minorEastAsia" w:cs="Times New Roman"/>
                <w:szCs w:val="20"/>
                <w:lang w:eastAsia="en-US"/>
              </w:rPr>
              <w:t>MS)</w:t>
            </w:r>
          </w:p>
        </w:tc>
      </w:tr>
      <w:tr w:rsidR="009424B8" w:rsidRPr="00C64D0B" w14:paraId="02E75AD7" w14:textId="77777777" w:rsidTr="00313F8C">
        <w:tc>
          <w:tcPr>
            <w:tcW w:w="625" w:type="pct"/>
            <w:shd w:val="clear" w:color="auto" w:fill="auto"/>
            <w:vAlign w:val="center"/>
          </w:tcPr>
          <w:p w14:paraId="3E108158" w14:textId="77777777"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U-ACHIEVE 3</w:t>
            </w:r>
          </w:p>
          <w:p w14:paraId="1A3EE696" w14:textId="77777777"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[maintenance]</w:t>
            </w:r>
          </w:p>
        </w:tc>
        <w:tc>
          <w:tcPr>
            <w:tcW w:w="393" w:type="pct"/>
            <w:shd w:val="clear" w:color="auto" w:fill="auto"/>
            <w:vAlign w:val="center"/>
          </w:tcPr>
          <w:p w14:paraId="7A20C541" w14:textId="77777777" w:rsidR="009424B8" w:rsidRPr="00C64D0B" w:rsidRDefault="009424B8" w:rsidP="00313F8C">
            <w:pPr>
              <w:keepNext/>
              <w:jc w:val="center"/>
              <w:rPr>
                <w:rFonts w:ascii="Arial Narrow" w:eastAsiaTheme="minorEastAsia" w:hAnsi="Arial Narrow" w:cs="Times New Roman"/>
                <w:sz w:val="20"/>
                <w:szCs w:val="20"/>
                <w:vertAlign w:val="superscript"/>
                <w:lang w:eastAsia="en-US"/>
              </w:rPr>
            </w:pPr>
            <w:r w:rsidRPr="00C64D0B">
              <w:rPr>
                <w:rFonts w:ascii="Arial Narrow" w:eastAsiaTheme="minorEastAsia" w:hAnsi="Arial Narrow" w:cs="Times New Roman"/>
                <w:sz w:val="20"/>
                <w:szCs w:val="20"/>
                <w:lang w:eastAsia="en-US"/>
              </w:rPr>
              <w:t>451</w:t>
            </w:r>
            <w:r w:rsidRPr="00C64D0B">
              <w:rPr>
                <w:rFonts w:ascii="Arial Narrow" w:eastAsiaTheme="minorEastAsia" w:hAnsi="Arial Narrow" w:cs="Times New Roman"/>
                <w:sz w:val="20"/>
                <w:szCs w:val="20"/>
                <w:vertAlign w:val="superscript"/>
                <w:lang w:eastAsia="en-US"/>
              </w:rPr>
              <w:t>c</w:t>
            </w:r>
          </w:p>
          <w:p w14:paraId="563C5ABA" w14:textId="77777777" w:rsidR="009424B8" w:rsidRPr="00C64D0B" w:rsidRDefault="009424B8" w:rsidP="00313F8C">
            <w:pPr>
              <w:pStyle w:val="TableText0"/>
              <w:jc w:val="center"/>
              <w:rPr>
                <w:rFonts w:eastAsiaTheme="minorEastAsia" w:cs="Times New Roman"/>
                <w:szCs w:val="20"/>
                <w:lang w:eastAsia="en-US"/>
              </w:rPr>
            </w:pPr>
            <w:r w:rsidRPr="00C64D0B">
              <w:rPr>
                <w:rFonts w:eastAsiaTheme="minorEastAsia" w:cs="Times New Roman"/>
                <w:szCs w:val="20"/>
                <w:lang w:eastAsia="en-US"/>
              </w:rPr>
              <w:t>(1046)</w:t>
            </w:r>
          </w:p>
        </w:tc>
        <w:tc>
          <w:tcPr>
            <w:tcW w:w="970" w:type="pct"/>
            <w:shd w:val="clear" w:color="auto" w:fill="auto"/>
            <w:vAlign w:val="center"/>
          </w:tcPr>
          <w:p w14:paraId="6471852F" w14:textId="77777777" w:rsidR="009424B8" w:rsidRPr="00C64D0B" w:rsidRDefault="009424B8" w:rsidP="00313F8C">
            <w:pPr>
              <w:pStyle w:val="TableText0"/>
              <w:jc w:val="center"/>
              <w:rPr>
                <w:rFonts w:eastAsiaTheme="minorEastAsia" w:cs="Times New Roman"/>
                <w:szCs w:val="20"/>
                <w:lang w:eastAsia="en-US"/>
              </w:rPr>
            </w:pPr>
            <w:r w:rsidRPr="00C64D0B">
              <w:rPr>
                <w:rFonts w:eastAsiaTheme="minorEastAsia" w:cs="Times New Roman"/>
                <w:szCs w:val="20"/>
                <w:lang w:eastAsia="en-US"/>
              </w:rPr>
              <w:t>P3 MC, R, PC, DB (52wk), RWD, 3-arm.</w:t>
            </w:r>
          </w:p>
        </w:tc>
        <w:tc>
          <w:tcPr>
            <w:tcW w:w="367" w:type="pct"/>
            <w:shd w:val="clear" w:color="auto" w:fill="auto"/>
            <w:vAlign w:val="center"/>
          </w:tcPr>
          <w:p w14:paraId="720F4053" w14:textId="77777777" w:rsidR="009424B8" w:rsidRPr="00736657" w:rsidRDefault="009424B8" w:rsidP="00313F8C">
            <w:pPr>
              <w:pStyle w:val="TableText0"/>
              <w:jc w:val="center"/>
              <w:rPr>
                <w:rFonts w:eastAsiaTheme="minorEastAsia" w:cs="Times New Roman"/>
                <w:szCs w:val="20"/>
                <w:lang w:eastAsia="en-US"/>
              </w:rPr>
            </w:pPr>
            <w:r w:rsidRPr="00736657">
              <w:rPr>
                <w:rFonts w:eastAsiaTheme="minorEastAsia" w:cs="Times New Roman"/>
                <w:szCs w:val="20"/>
                <w:lang w:eastAsia="en-US"/>
              </w:rPr>
              <w:t>High</w:t>
            </w:r>
          </w:p>
        </w:tc>
        <w:tc>
          <w:tcPr>
            <w:tcW w:w="865" w:type="pct"/>
            <w:shd w:val="clear" w:color="auto" w:fill="auto"/>
            <w:vAlign w:val="center"/>
          </w:tcPr>
          <w:p w14:paraId="4E23B1B4" w14:textId="590E45BF" w:rsidR="009424B8" w:rsidRPr="00C64D0B" w:rsidRDefault="009424B8" w:rsidP="00313F8C">
            <w:pPr>
              <w:pStyle w:val="TableText0"/>
              <w:jc w:val="center"/>
              <w:rPr>
                <w:rFonts w:eastAsiaTheme="minorEastAsia" w:cs="Times New Roman"/>
                <w:iCs/>
                <w:szCs w:val="20"/>
                <w:lang w:eastAsia="en-US"/>
              </w:rPr>
            </w:pPr>
            <w:r w:rsidRPr="00C64D0B">
              <w:rPr>
                <w:rFonts w:eastAsiaTheme="minorEastAsia" w:cs="Times New Roman"/>
                <w:iCs/>
                <w:szCs w:val="20"/>
                <w:lang w:eastAsia="en-US"/>
              </w:rPr>
              <w:t>Wk8 clinical responders (</w:t>
            </w:r>
            <w:r w:rsidR="009F295C" w:rsidRPr="00C64D0B">
              <w:rPr>
                <w:rFonts w:eastAsiaTheme="minorEastAsia" w:cs="Times New Roman"/>
                <w:iCs/>
                <w:szCs w:val="20"/>
                <w:lang w:eastAsia="en-US"/>
              </w:rPr>
              <w:t>A</w:t>
            </w:r>
            <w:r w:rsidRPr="00C64D0B">
              <w:rPr>
                <w:rFonts w:eastAsiaTheme="minorEastAsia" w:cs="Times New Roman"/>
                <w:iCs/>
                <w:szCs w:val="20"/>
                <w:lang w:eastAsia="en-US"/>
              </w:rPr>
              <w:t>MS) in U-ACHIEVE 1,2, U-ACCOMPLISH</w:t>
            </w:r>
          </w:p>
        </w:tc>
        <w:tc>
          <w:tcPr>
            <w:tcW w:w="1258" w:type="pct"/>
            <w:shd w:val="clear" w:color="auto" w:fill="auto"/>
            <w:vAlign w:val="center"/>
          </w:tcPr>
          <w:p w14:paraId="4A65227A" w14:textId="139684C2"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w:t>
            </w:r>
            <w:r w:rsidRPr="00C64D0B">
              <w:rPr>
                <w:rFonts w:ascii="Arial Narrow" w:eastAsiaTheme="minorEastAsia" w:hAnsi="Arial Narrow" w:cs="Times New Roman"/>
                <w:sz w:val="20"/>
                <w:szCs w:val="20"/>
                <w:vertAlign w:val="superscript"/>
                <w:lang w:eastAsia="en-US"/>
              </w:rPr>
              <w:t>ary</w:t>
            </w:r>
            <w:r w:rsidRPr="00C64D0B">
              <w:rPr>
                <w:rFonts w:ascii="Arial Narrow" w:eastAsiaTheme="minorEastAsia" w:hAnsi="Arial Narrow" w:cs="Times New Roman"/>
                <w:sz w:val="20"/>
                <w:szCs w:val="20"/>
                <w:lang w:eastAsia="en-US"/>
              </w:rPr>
              <w:t>: clinical remission (</w:t>
            </w:r>
            <w:r w:rsidR="009F295C" w:rsidRPr="00C64D0B">
              <w:rPr>
                <w:rFonts w:ascii="Arial Narrow" w:eastAsiaTheme="minorEastAsia" w:hAnsi="Arial Narrow" w:cs="Times New Roman"/>
                <w:sz w:val="20"/>
                <w:szCs w:val="20"/>
                <w:lang w:eastAsia="en-US"/>
              </w:rPr>
              <w:t>A</w:t>
            </w:r>
            <w:r w:rsidRPr="00C64D0B">
              <w:rPr>
                <w:rFonts w:ascii="Arial Narrow" w:eastAsiaTheme="minorEastAsia" w:hAnsi="Arial Narrow" w:cs="Times New Roman"/>
                <w:sz w:val="20"/>
                <w:szCs w:val="20"/>
                <w:lang w:eastAsia="en-US"/>
              </w:rPr>
              <w:t xml:space="preserve">MS) </w:t>
            </w:r>
          </w:p>
          <w:p w14:paraId="24E8853A" w14:textId="2C45B465"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2</w:t>
            </w:r>
            <w:r w:rsidRPr="00C64D0B">
              <w:rPr>
                <w:rFonts w:ascii="Arial Narrow" w:eastAsiaTheme="minorEastAsia" w:hAnsi="Arial Narrow" w:cs="Times New Roman"/>
                <w:sz w:val="20"/>
                <w:szCs w:val="20"/>
                <w:vertAlign w:val="superscript"/>
                <w:lang w:eastAsia="en-US"/>
              </w:rPr>
              <w:t>ary</w:t>
            </w:r>
            <w:r w:rsidRPr="00C64D0B">
              <w:rPr>
                <w:rFonts w:ascii="Arial Narrow" w:eastAsiaTheme="minorEastAsia" w:hAnsi="Arial Narrow" w:cs="Times New Roman"/>
                <w:sz w:val="20"/>
                <w:szCs w:val="20"/>
                <w:lang w:eastAsia="en-US"/>
              </w:rPr>
              <w:t>: clinical remission (</w:t>
            </w:r>
            <w:r w:rsidR="009F295C" w:rsidRPr="00C64D0B">
              <w:rPr>
                <w:rFonts w:ascii="Arial Narrow" w:eastAsiaTheme="minorEastAsia" w:hAnsi="Arial Narrow" w:cs="Times New Roman"/>
                <w:sz w:val="20"/>
                <w:szCs w:val="20"/>
                <w:lang w:eastAsia="en-US"/>
              </w:rPr>
              <w:t>F</w:t>
            </w:r>
            <w:r w:rsidRPr="00C64D0B">
              <w:rPr>
                <w:rFonts w:ascii="Arial Narrow" w:eastAsiaTheme="minorEastAsia" w:hAnsi="Arial Narrow" w:cs="Times New Roman"/>
                <w:sz w:val="20"/>
                <w:szCs w:val="20"/>
                <w:lang w:eastAsia="en-US"/>
              </w:rPr>
              <w:t>MS), clinical response (</w:t>
            </w:r>
            <w:r w:rsidR="009F295C" w:rsidRPr="00C64D0B">
              <w:rPr>
                <w:rFonts w:ascii="Arial Narrow" w:eastAsiaTheme="minorEastAsia" w:hAnsi="Arial Narrow" w:cs="Times New Roman"/>
                <w:sz w:val="20"/>
                <w:szCs w:val="20"/>
                <w:lang w:eastAsia="en-US"/>
              </w:rPr>
              <w:t>A</w:t>
            </w:r>
            <w:r w:rsidRPr="00C64D0B">
              <w:rPr>
                <w:rFonts w:ascii="Arial Narrow" w:eastAsiaTheme="minorEastAsia" w:hAnsi="Arial Narrow" w:cs="Times New Roman"/>
                <w:sz w:val="20"/>
                <w:szCs w:val="20"/>
                <w:lang w:eastAsia="en-US"/>
              </w:rPr>
              <w:t>MS), endoscopic improvement</w:t>
            </w:r>
            <w:r w:rsidRPr="00C64D0B">
              <w:rPr>
                <w:rFonts w:ascii="Arial Narrow" w:eastAsiaTheme="minorEastAsia" w:hAnsi="Arial Narrow" w:cs="Times New Roman"/>
                <w:sz w:val="20"/>
                <w:szCs w:val="20"/>
                <w:vertAlign w:val="superscript"/>
                <w:lang w:eastAsia="en-US"/>
              </w:rPr>
              <w:t>b</w:t>
            </w:r>
          </w:p>
        </w:tc>
        <w:tc>
          <w:tcPr>
            <w:tcW w:w="522" w:type="pct"/>
            <w:shd w:val="clear" w:color="auto" w:fill="auto"/>
            <w:vAlign w:val="center"/>
          </w:tcPr>
          <w:p w14:paraId="074BD2EC" w14:textId="77777777" w:rsidR="009424B8" w:rsidRPr="00C64D0B" w:rsidRDefault="009424B8" w:rsidP="00313F8C">
            <w:pPr>
              <w:pStyle w:val="TableText0"/>
              <w:jc w:val="center"/>
              <w:rPr>
                <w:rFonts w:eastAsiaTheme="minorEastAsia" w:cs="Times New Roman"/>
                <w:szCs w:val="20"/>
                <w:lang w:eastAsia="en-US"/>
              </w:rPr>
            </w:pPr>
            <w:r w:rsidRPr="00C64D0B">
              <w:rPr>
                <w:rFonts w:eastAsiaTheme="minorEastAsia" w:cs="Times New Roman"/>
                <w:szCs w:val="20"/>
                <w:lang w:eastAsia="en-US"/>
              </w:rPr>
              <w:t>Not used</w:t>
            </w:r>
          </w:p>
        </w:tc>
      </w:tr>
      <w:tr w:rsidR="009424B8" w:rsidRPr="00C64D0B" w14:paraId="5FBBF6D2" w14:textId="77777777" w:rsidTr="00313F8C">
        <w:tc>
          <w:tcPr>
            <w:tcW w:w="5000" w:type="pct"/>
            <w:gridSpan w:val="7"/>
            <w:shd w:val="clear" w:color="auto" w:fill="auto"/>
            <w:vAlign w:val="center"/>
          </w:tcPr>
          <w:p w14:paraId="009498F1" w14:textId="77777777" w:rsidR="009424B8" w:rsidRPr="00C64D0B" w:rsidRDefault="009424B8" w:rsidP="00313F8C">
            <w:pPr>
              <w:pStyle w:val="In-tableHeading"/>
              <w:rPr>
                <w:szCs w:val="20"/>
              </w:rPr>
            </w:pPr>
            <w:r w:rsidRPr="00C64D0B">
              <w:rPr>
                <w:szCs w:val="20"/>
              </w:rPr>
              <w:t>TOF vs. PBO</w:t>
            </w:r>
          </w:p>
        </w:tc>
      </w:tr>
      <w:tr w:rsidR="009424B8" w:rsidRPr="00C64D0B" w14:paraId="3B850CA2" w14:textId="77777777" w:rsidTr="00412CFF">
        <w:tc>
          <w:tcPr>
            <w:tcW w:w="625" w:type="pct"/>
            <w:shd w:val="clear" w:color="auto" w:fill="DBE5F1" w:themeFill="accent1" w:themeFillTint="33"/>
            <w:vAlign w:val="center"/>
          </w:tcPr>
          <w:p w14:paraId="48F8B9A3" w14:textId="77777777"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OCTAVE 1</w:t>
            </w:r>
          </w:p>
          <w:p w14:paraId="08F689C5" w14:textId="77777777" w:rsidR="009424B8" w:rsidRPr="00C64D0B" w:rsidRDefault="009424B8" w:rsidP="00313F8C">
            <w:pPr>
              <w:pStyle w:val="TableText0"/>
              <w:rPr>
                <w:szCs w:val="20"/>
                <w:lang w:val="en-US"/>
              </w:rPr>
            </w:pPr>
            <w:r w:rsidRPr="00C64D0B">
              <w:rPr>
                <w:rFonts w:eastAsiaTheme="minorEastAsia" w:cs="Times New Roman"/>
                <w:szCs w:val="20"/>
                <w:lang w:eastAsia="en-US"/>
              </w:rPr>
              <w:t>[Induction]</w:t>
            </w:r>
          </w:p>
        </w:tc>
        <w:tc>
          <w:tcPr>
            <w:tcW w:w="393" w:type="pct"/>
            <w:shd w:val="clear" w:color="auto" w:fill="DBE5F1" w:themeFill="accent1" w:themeFillTint="33"/>
            <w:vAlign w:val="center"/>
          </w:tcPr>
          <w:p w14:paraId="750FFF17"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598</w:t>
            </w:r>
          </w:p>
        </w:tc>
        <w:tc>
          <w:tcPr>
            <w:tcW w:w="970" w:type="pct"/>
            <w:vMerge w:val="restart"/>
            <w:shd w:val="clear" w:color="auto" w:fill="DBE5F1" w:themeFill="accent1" w:themeFillTint="33"/>
            <w:vAlign w:val="center"/>
          </w:tcPr>
          <w:p w14:paraId="01B9FBDD" w14:textId="77777777" w:rsidR="009424B8" w:rsidRPr="00C64D0B" w:rsidRDefault="009424B8" w:rsidP="00313F8C">
            <w:pPr>
              <w:pStyle w:val="TableText0"/>
              <w:rPr>
                <w:szCs w:val="20"/>
                <w:lang w:val="en-US"/>
              </w:rPr>
            </w:pPr>
            <w:r w:rsidRPr="00C64D0B">
              <w:rPr>
                <w:rFonts w:eastAsiaTheme="minorEastAsia" w:cs="Times New Roman"/>
                <w:szCs w:val="20"/>
                <w:lang w:eastAsia="en-US"/>
              </w:rPr>
              <w:t>P3 MC, R, PC, DB (8wk).</w:t>
            </w:r>
          </w:p>
        </w:tc>
        <w:tc>
          <w:tcPr>
            <w:tcW w:w="367" w:type="pct"/>
            <w:shd w:val="clear" w:color="auto" w:fill="DBE5F1" w:themeFill="accent1" w:themeFillTint="33"/>
            <w:vAlign w:val="center"/>
          </w:tcPr>
          <w:p w14:paraId="56FFECFB"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Low</w:t>
            </w:r>
          </w:p>
        </w:tc>
        <w:tc>
          <w:tcPr>
            <w:tcW w:w="865" w:type="pct"/>
            <w:shd w:val="clear" w:color="auto" w:fill="DBE5F1" w:themeFill="accent1" w:themeFillTint="33"/>
            <w:vAlign w:val="center"/>
          </w:tcPr>
          <w:p w14:paraId="33332CA8" w14:textId="77777777" w:rsidR="009424B8" w:rsidRPr="00C64D0B" w:rsidRDefault="009424B8" w:rsidP="00313F8C">
            <w:pPr>
              <w:pStyle w:val="TableText0"/>
              <w:rPr>
                <w:szCs w:val="20"/>
                <w:lang w:val="en-US"/>
              </w:rPr>
            </w:pPr>
            <w:r w:rsidRPr="00C64D0B">
              <w:rPr>
                <w:rFonts w:eastAsiaTheme="minorEastAsia" w:cs="Times New Roman"/>
                <w:iCs/>
                <w:szCs w:val="20"/>
                <w:lang w:eastAsia="en-US"/>
              </w:rPr>
              <w:t>TNFi-n &amp; TNFi-e</w:t>
            </w:r>
          </w:p>
        </w:tc>
        <w:tc>
          <w:tcPr>
            <w:tcW w:w="1258" w:type="pct"/>
            <w:vMerge w:val="restart"/>
            <w:shd w:val="clear" w:color="auto" w:fill="DBE5F1" w:themeFill="accent1" w:themeFillTint="33"/>
            <w:vAlign w:val="center"/>
          </w:tcPr>
          <w:p w14:paraId="4D4500D9" w14:textId="09265FEF"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w:t>
            </w:r>
            <w:r w:rsidRPr="00C64D0B">
              <w:rPr>
                <w:rFonts w:ascii="Arial Narrow" w:eastAsiaTheme="minorEastAsia" w:hAnsi="Arial Narrow" w:cs="Times New Roman"/>
                <w:sz w:val="20"/>
                <w:szCs w:val="20"/>
                <w:vertAlign w:val="superscript"/>
                <w:lang w:eastAsia="en-US"/>
              </w:rPr>
              <w:t>ary</w:t>
            </w:r>
            <w:r w:rsidRPr="00C64D0B">
              <w:rPr>
                <w:rFonts w:ascii="Arial Narrow" w:eastAsiaTheme="minorEastAsia" w:hAnsi="Arial Narrow" w:cs="Times New Roman"/>
                <w:sz w:val="20"/>
                <w:szCs w:val="20"/>
                <w:lang w:eastAsia="en-US"/>
              </w:rPr>
              <w:t>: remission (</w:t>
            </w:r>
            <w:r w:rsidR="009F295C" w:rsidRPr="00C64D0B">
              <w:rPr>
                <w:rFonts w:ascii="Arial Narrow" w:eastAsiaTheme="minorEastAsia" w:hAnsi="Arial Narrow" w:cs="Times New Roman"/>
                <w:sz w:val="20"/>
                <w:szCs w:val="20"/>
                <w:lang w:eastAsia="en-US"/>
              </w:rPr>
              <w:t>F</w:t>
            </w:r>
            <w:r w:rsidRPr="00C64D0B">
              <w:rPr>
                <w:rFonts w:ascii="Arial Narrow" w:eastAsiaTheme="minorEastAsia" w:hAnsi="Arial Narrow" w:cs="Times New Roman"/>
                <w:sz w:val="20"/>
                <w:szCs w:val="20"/>
                <w:lang w:eastAsia="en-US"/>
              </w:rPr>
              <w:t xml:space="preserve">MS) </w:t>
            </w:r>
          </w:p>
          <w:p w14:paraId="6B3E5A2C" w14:textId="157F7088" w:rsidR="009424B8" w:rsidRPr="00C64D0B" w:rsidRDefault="009424B8" w:rsidP="00313F8C">
            <w:pPr>
              <w:pStyle w:val="TableText0"/>
              <w:rPr>
                <w:szCs w:val="20"/>
                <w:lang w:val="en-US"/>
              </w:rPr>
            </w:pPr>
            <w:r w:rsidRPr="00C64D0B">
              <w:rPr>
                <w:rFonts w:eastAsiaTheme="minorEastAsia" w:cs="Times New Roman"/>
                <w:szCs w:val="20"/>
                <w:lang w:eastAsia="en-US"/>
              </w:rPr>
              <w:t>2</w:t>
            </w:r>
            <w:r w:rsidRPr="00C64D0B">
              <w:rPr>
                <w:rFonts w:eastAsiaTheme="minorEastAsia" w:cs="Times New Roman"/>
                <w:szCs w:val="20"/>
                <w:vertAlign w:val="superscript"/>
                <w:lang w:eastAsia="en-US"/>
              </w:rPr>
              <w:t>ary</w:t>
            </w:r>
            <w:r w:rsidRPr="00C64D0B">
              <w:rPr>
                <w:rFonts w:eastAsiaTheme="minorEastAsia" w:cs="Times New Roman"/>
                <w:szCs w:val="20"/>
                <w:lang w:eastAsia="en-US"/>
              </w:rPr>
              <w:t>: clinical remission (</w:t>
            </w:r>
            <w:r w:rsidR="009F295C" w:rsidRPr="00C64D0B">
              <w:rPr>
                <w:rFonts w:eastAsiaTheme="minorEastAsia" w:cs="Times New Roman"/>
                <w:szCs w:val="20"/>
                <w:lang w:eastAsia="en-US"/>
              </w:rPr>
              <w:t>F</w:t>
            </w:r>
            <w:r w:rsidRPr="00C64D0B">
              <w:rPr>
                <w:rFonts w:eastAsiaTheme="minorEastAsia" w:cs="Times New Roman"/>
                <w:szCs w:val="20"/>
                <w:lang w:eastAsia="en-US"/>
              </w:rPr>
              <w:t>MS), clinical response (</w:t>
            </w:r>
            <w:r w:rsidR="009F295C" w:rsidRPr="00C64D0B">
              <w:rPr>
                <w:rFonts w:eastAsiaTheme="minorEastAsia" w:cs="Times New Roman"/>
                <w:szCs w:val="20"/>
                <w:lang w:eastAsia="en-US"/>
              </w:rPr>
              <w:t>F</w:t>
            </w:r>
            <w:r w:rsidRPr="00C64D0B">
              <w:rPr>
                <w:rFonts w:eastAsiaTheme="minorEastAsia" w:cs="Times New Roman"/>
                <w:szCs w:val="20"/>
                <w:lang w:eastAsia="en-US"/>
              </w:rPr>
              <w:t xml:space="preserve">MS), mucosal healing </w:t>
            </w:r>
          </w:p>
        </w:tc>
        <w:tc>
          <w:tcPr>
            <w:tcW w:w="522" w:type="pct"/>
            <w:vMerge w:val="restart"/>
            <w:shd w:val="clear" w:color="auto" w:fill="DBE5F1" w:themeFill="accent1" w:themeFillTint="33"/>
            <w:vAlign w:val="center"/>
          </w:tcPr>
          <w:p w14:paraId="521645EA" w14:textId="550CDCA2" w:rsidR="009424B8" w:rsidRPr="00C64D0B" w:rsidRDefault="009424B8" w:rsidP="00313F8C">
            <w:pPr>
              <w:pStyle w:val="TableText0"/>
              <w:jc w:val="center"/>
              <w:rPr>
                <w:szCs w:val="20"/>
                <w:lang w:val="en-US"/>
              </w:rPr>
            </w:pPr>
            <w:r w:rsidRPr="00C64D0B">
              <w:rPr>
                <w:rFonts w:eastAsiaTheme="minorEastAsia" w:cs="Times New Roman"/>
                <w:szCs w:val="20"/>
                <w:lang w:eastAsia="en-US"/>
              </w:rPr>
              <w:t>clinical remission (</w:t>
            </w:r>
            <w:r w:rsidR="009F295C" w:rsidRPr="00C64D0B">
              <w:rPr>
                <w:rFonts w:eastAsiaTheme="minorEastAsia" w:cs="Times New Roman"/>
                <w:szCs w:val="20"/>
                <w:lang w:eastAsia="en-US"/>
              </w:rPr>
              <w:t>F</w:t>
            </w:r>
            <w:r w:rsidRPr="00C64D0B">
              <w:rPr>
                <w:rFonts w:eastAsiaTheme="minorEastAsia" w:cs="Times New Roman"/>
                <w:szCs w:val="20"/>
                <w:lang w:eastAsia="en-US"/>
              </w:rPr>
              <w:t>MS)</w:t>
            </w:r>
          </w:p>
        </w:tc>
      </w:tr>
      <w:tr w:rsidR="009424B8" w:rsidRPr="00C64D0B" w14:paraId="1510DBC9" w14:textId="77777777" w:rsidTr="00412CFF">
        <w:tc>
          <w:tcPr>
            <w:tcW w:w="625" w:type="pct"/>
            <w:shd w:val="clear" w:color="auto" w:fill="DBE5F1" w:themeFill="accent1" w:themeFillTint="33"/>
            <w:vAlign w:val="center"/>
          </w:tcPr>
          <w:p w14:paraId="7A426888" w14:textId="77777777"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OCTAVE 2</w:t>
            </w:r>
          </w:p>
          <w:p w14:paraId="60B126C2" w14:textId="77777777" w:rsidR="009424B8" w:rsidRPr="00C64D0B" w:rsidRDefault="009424B8" w:rsidP="00313F8C">
            <w:pPr>
              <w:pStyle w:val="TableText0"/>
              <w:rPr>
                <w:szCs w:val="20"/>
                <w:lang w:val="en-US"/>
              </w:rPr>
            </w:pPr>
            <w:r w:rsidRPr="00C64D0B">
              <w:rPr>
                <w:rFonts w:eastAsiaTheme="minorEastAsia" w:cs="Times New Roman"/>
                <w:szCs w:val="20"/>
                <w:lang w:eastAsia="en-US"/>
              </w:rPr>
              <w:t>[Induction]</w:t>
            </w:r>
          </w:p>
        </w:tc>
        <w:tc>
          <w:tcPr>
            <w:tcW w:w="393" w:type="pct"/>
            <w:shd w:val="clear" w:color="auto" w:fill="DBE5F1" w:themeFill="accent1" w:themeFillTint="33"/>
            <w:vAlign w:val="center"/>
          </w:tcPr>
          <w:p w14:paraId="0728DC56"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541</w:t>
            </w:r>
          </w:p>
        </w:tc>
        <w:tc>
          <w:tcPr>
            <w:tcW w:w="970" w:type="pct"/>
            <w:vMerge/>
            <w:shd w:val="clear" w:color="auto" w:fill="DBE5F1" w:themeFill="accent1" w:themeFillTint="33"/>
            <w:vAlign w:val="center"/>
          </w:tcPr>
          <w:p w14:paraId="45998C62" w14:textId="77777777" w:rsidR="009424B8" w:rsidRPr="00C64D0B" w:rsidRDefault="009424B8" w:rsidP="00313F8C">
            <w:pPr>
              <w:pStyle w:val="TableText0"/>
              <w:rPr>
                <w:szCs w:val="20"/>
                <w:lang w:val="en-US"/>
              </w:rPr>
            </w:pPr>
          </w:p>
        </w:tc>
        <w:tc>
          <w:tcPr>
            <w:tcW w:w="367" w:type="pct"/>
            <w:shd w:val="clear" w:color="auto" w:fill="DBE5F1" w:themeFill="accent1" w:themeFillTint="33"/>
            <w:vAlign w:val="center"/>
          </w:tcPr>
          <w:p w14:paraId="2EAB6DD5"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Low</w:t>
            </w:r>
          </w:p>
        </w:tc>
        <w:tc>
          <w:tcPr>
            <w:tcW w:w="865" w:type="pct"/>
            <w:shd w:val="clear" w:color="auto" w:fill="DBE5F1" w:themeFill="accent1" w:themeFillTint="33"/>
            <w:vAlign w:val="center"/>
          </w:tcPr>
          <w:p w14:paraId="01A1633E" w14:textId="77777777" w:rsidR="009424B8" w:rsidRPr="00C64D0B" w:rsidRDefault="009424B8" w:rsidP="00313F8C">
            <w:pPr>
              <w:pStyle w:val="TableText0"/>
              <w:rPr>
                <w:szCs w:val="20"/>
                <w:lang w:val="en-US"/>
              </w:rPr>
            </w:pPr>
            <w:r w:rsidRPr="00C64D0B">
              <w:rPr>
                <w:rFonts w:eastAsiaTheme="minorEastAsia" w:cs="Times New Roman"/>
                <w:iCs/>
                <w:szCs w:val="20"/>
                <w:lang w:eastAsia="en-US"/>
              </w:rPr>
              <w:t>TNFi-n &amp; TNFi-e</w:t>
            </w:r>
          </w:p>
        </w:tc>
        <w:tc>
          <w:tcPr>
            <w:tcW w:w="1258" w:type="pct"/>
            <w:vMerge/>
            <w:shd w:val="clear" w:color="auto" w:fill="DBE5F1" w:themeFill="accent1" w:themeFillTint="33"/>
            <w:vAlign w:val="center"/>
          </w:tcPr>
          <w:p w14:paraId="2768F35A" w14:textId="77777777" w:rsidR="009424B8" w:rsidRPr="00C64D0B" w:rsidRDefault="009424B8" w:rsidP="00313F8C">
            <w:pPr>
              <w:pStyle w:val="TableText0"/>
              <w:rPr>
                <w:szCs w:val="20"/>
                <w:lang w:val="en-US"/>
              </w:rPr>
            </w:pPr>
          </w:p>
        </w:tc>
        <w:tc>
          <w:tcPr>
            <w:tcW w:w="522" w:type="pct"/>
            <w:vMerge/>
            <w:shd w:val="clear" w:color="auto" w:fill="DBE5F1" w:themeFill="accent1" w:themeFillTint="33"/>
            <w:vAlign w:val="center"/>
          </w:tcPr>
          <w:p w14:paraId="004C9586" w14:textId="77777777" w:rsidR="009424B8" w:rsidRPr="00C64D0B" w:rsidRDefault="009424B8" w:rsidP="00313F8C">
            <w:pPr>
              <w:pStyle w:val="TableText0"/>
              <w:rPr>
                <w:szCs w:val="20"/>
                <w:lang w:val="en-US"/>
              </w:rPr>
            </w:pPr>
          </w:p>
        </w:tc>
      </w:tr>
      <w:tr w:rsidR="009424B8" w:rsidRPr="00C64D0B" w14:paraId="158DCC0F" w14:textId="77777777" w:rsidTr="00412CFF">
        <w:tc>
          <w:tcPr>
            <w:tcW w:w="625" w:type="pct"/>
            <w:shd w:val="clear" w:color="auto" w:fill="DBE5F1" w:themeFill="accent1" w:themeFillTint="33"/>
            <w:vAlign w:val="center"/>
          </w:tcPr>
          <w:p w14:paraId="42CC5C4A" w14:textId="77777777"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OCTAVE SUSTAIN</w:t>
            </w:r>
          </w:p>
          <w:p w14:paraId="34FD5E2A" w14:textId="77777777" w:rsidR="009424B8" w:rsidRPr="00C64D0B" w:rsidRDefault="009424B8" w:rsidP="00313F8C">
            <w:pPr>
              <w:pStyle w:val="TableText0"/>
              <w:rPr>
                <w:szCs w:val="20"/>
                <w:lang w:val="en-US"/>
              </w:rPr>
            </w:pPr>
            <w:r w:rsidRPr="00C64D0B">
              <w:rPr>
                <w:rFonts w:eastAsiaTheme="minorEastAsia" w:cs="Times New Roman"/>
                <w:szCs w:val="20"/>
                <w:lang w:eastAsia="en-US"/>
              </w:rPr>
              <w:t>[maintenance]</w:t>
            </w:r>
          </w:p>
        </w:tc>
        <w:tc>
          <w:tcPr>
            <w:tcW w:w="393" w:type="pct"/>
            <w:shd w:val="clear" w:color="auto" w:fill="DBE5F1" w:themeFill="accent1" w:themeFillTint="33"/>
            <w:vAlign w:val="center"/>
          </w:tcPr>
          <w:p w14:paraId="77124C5E" w14:textId="77777777" w:rsidR="009424B8" w:rsidRPr="00C64D0B" w:rsidRDefault="009424B8" w:rsidP="00313F8C">
            <w:pPr>
              <w:pStyle w:val="TableText0"/>
              <w:jc w:val="center"/>
              <w:rPr>
                <w:szCs w:val="20"/>
                <w:lang w:val="en-US"/>
              </w:rPr>
            </w:pPr>
            <w:r w:rsidRPr="00C64D0B">
              <w:rPr>
                <w:rFonts w:eastAsiaTheme="minorEastAsia" w:cs="Times New Roman"/>
                <w:szCs w:val="20"/>
                <w:lang w:eastAsia="en-US"/>
              </w:rPr>
              <w:t>593</w:t>
            </w:r>
          </w:p>
        </w:tc>
        <w:tc>
          <w:tcPr>
            <w:tcW w:w="970" w:type="pct"/>
            <w:shd w:val="clear" w:color="auto" w:fill="DBE5F1" w:themeFill="accent1" w:themeFillTint="33"/>
            <w:vAlign w:val="center"/>
          </w:tcPr>
          <w:p w14:paraId="1408AD8F" w14:textId="77777777" w:rsidR="009424B8" w:rsidRPr="00C64D0B" w:rsidRDefault="009424B8" w:rsidP="00313F8C">
            <w:pPr>
              <w:pStyle w:val="TableText0"/>
              <w:rPr>
                <w:szCs w:val="20"/>
                <w:lang w:val="en-US"/>
              </w:rPr>
            </w:pPr>
            <w:r w:rsidRPr="00C64D0B">
              <w:rPr>
                <w:rFonts w:eastAsiaTheme="minorEastAsia" w:cs="Times New Roman"/>
                <w:szCs w:val="20"/>
                <w:lang w:eastAsia="en-US"/>
              </w:rPr>
              <w:t>P3, MC, R, PC, DB (52wk), RWD, 3-arm.</w:t>
            </w:r>
          </w:p>
        </w:tc>
        <w:tc>
          <w:tcPr>
            <w:tcW w:w="367" w:type="pct"/>
            <w:shd w:val="clear" w:color="auto" w:fill="DBE5F1" w:themeFill="accent1" w:themeFillTint="33"/>
            <w:vAlign w:val="center"/>
          </w:tcPr>
          <w:p w14:paraId="2BF700B8" w14:textId="77777777" w:rsidR="009424B8" w:rsidRPr="00C64D0B" w:rsidRDefault="009424B8" w:rsidP="00313F8C">
            <w:pPr>
              <w:pStyle w:val="TableText0"/>
              <w:rPr>
                <w:szCs w:val="20"/>
                <w:lang w:val="en-US"/>
              </w:rPr>
            </w:pPr>
            <w:r w:rsidRPr="00C64D0B">
              <w:rPr>
                <w:rFonts w:eastAsiaTheme="minorEastAsia" w:cs="Times New Roman"/>
                <w:szCs w:val="20"/>
                <w:lang w:eastAsia="en-US"/>
              </w:rPr>
              <w:t>High</w:t>
            </w:r>
          </w:p>
        </w:tc>
        <w:tc>
          <w:tcPr>
            <w:tcW w:w="865" w:type="pct"/>
            <w:shd w:val="clear" w:color="auto" w:fill="DBE5F1" w:themeFill="accent1" w:themeFillTint="33"/>
            <w:vAlign w:val="center"/>
          </w:tcPr>
          <w:p w14:paraId="3DE36E68" w14:textId="69791AC6" w:rsidR="009424B8" w:rsidRPr="00C64D0B" w:rsidRDefault="009424B8" w:rsidP="00313F8C">
            <w:pPr>
              <w:pStyle w:val="TableText0"/>
              <w:rPr>
                <w:szCs w:val="20"/>
                <w:lang w:val="en-US"/>
              </w:rPr>
            </w:pPr>
            <w:r w:rsidRPr="00C64D0B">
              <w:rPr>
                <w:rFonts w:eastAsiaTheme="minorEastAsia" w:cs="Times New Roman"/>
                <w:szCs w:val="20"/>
                <w:lang w:eastAsia="en-US"/>
              </w:rPr>
              <w:t>Wk8 clinical responders (</w:t>
            </w:r>
            <w:r w:rsidR="009F295C" w:rsidRPr="00C64D0B">
              <w:rPr>
                <w:rFonts w:eastAsiaTheme="minorEastAsia" w:cs="Times New Roman"/>
                <w:szCs w:val="20"/>
                <w:lang w:eastAsia="en-US"/>
              </w:rPr>
              <w:t>F</w:t>
            </w:r>
            <w:r w:rsidRPr="00C64D0B">
              <w:rPr>
                <w:rFonts w:eastAsiaTheme="minorEastAsia" w:cs="Times New Roman"/>
                <w:szCs w:val="20"/>
                <w:lang w:eastAsia="en-US"/>
              </w:rPr>
              <w:t xml:space="preserve">MS) in OCTAVE 1,2 </w:t>
            </w:r>
          </w:p>
        </w:tc>
        <w:tc>
          <w:tcPr>
            <w:tcW w:w="1258" w:type="pct"/>
            <w:shd w:val="clear" w:color="auto" w:fill="DBE5F1" w:themeFill="accent1" w:themeFillTint="33"/>
            <w:vAlign w:val="center"/>
          </w:tcPr>
          <w:p w14:paraId="590F6445" w14:textId="66051BA8" w:rsidR="009424B8" w:rsidRPr="00C64D0B" w:rsidRDefault="009424B8" w:rsidP="00313F8C">
            <w:pPr>
              <w:keepNext/>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w:t>
            </w:r>
            <w:r w:rsidRPr="00C64D0B">
              <w:rPr>
                <w:rFonts w:ascii="Arial Narrow" w:eastAsiaTheme="minorEastAsia" w:hAnsi="Arial Narrow" w:cs="Times New Roman"/>
                <w:sz w:val="20"/>
                <w:szCs w:val="20"/>
                <w:vertAlign w:val="superscript"/>
                <w:lang w:eastAsia="en-US"/>
              </w:rPr>
              <w:t>ary</w:t>
            </w:r>
            <w:r w:rsidRPr="00C64D0B">
              <w:rPr>
                <w:rFonts w:ascii="Arial Narrow" w:eastAsiaTheme="minorEastAsia" w:hAnsi="Arial Narrow" w:cs="Times New Roman"/>
                <w:sz w:val="20"/>
                <w:szCs w:val="20"/>
                <w:lang w:eastAsia="en-US"/>
              </w:rPr>
              <w:t>: remission (</w:t>
            </w:r>
            <w:r w:rsidR="009F295C" w:rsidRPr="00C64D0B">
              <w:rPr>
                <w:rFonts w:ascii="Arial Narrow" w:eastAsiaTheme="minorEastAsia" w:hAnsi="Arial Narrow" w:cs="Times New Roman"/>
                <w:sz w:val="20"/>
                <w:szCs w:val="20"/>
                <w:lang w:eastAsia="en-US"/>
              </w:rPr>
              <w:t>F</w:t>
            </w:r>
            <w:r w:rsidRPr="00C64D0B">
              <w:rPr>
                <w:rFonts w:ascii="Arial Narrow" w:eastAsiaTheme="minorEastAsia" w:hAnsi="Arial Narrow" w:cs="Times New Roman"/>
                <w:sz w:val="20"/>
                <w:szCs w:val="20"/>
                <w:lang w:eastAsia="en-US"/>
              </w:rPr>
              <w:t>MS)</w:t>
            </w:r>
          </w:p>
          <w:p w14:paraId="3E8698C3" w14:textId="2562A92E" w:rsidR="009424B8" w:rsidRPr="00C64D0B" w:rsidRDefault="009424B8" w:rsidP="00313F8C">
            <w:pPr>
              <w:pStyle w:val="TableText0"/>
              <w:rPr>
                <w:szCs w:val="20"/>
                <w:lang w:val="en-US"/>
              </w:rPr>
            </w:pPr>
            <w:r w:rsidRPr="00C64D0B">
              <w:rPr>
                <w:rFonts w:eastAsiaTheme="minorEastAsia" w:cs="Times New Roman"/>
                <w:szCs w:val="20"/>
                <w:lang w:eastAsia="en-US"/>
              </w:rPr>
              <w:t>2</w:t>
            </w:r>
            <w:r w:rsidRPr="00C64D0B">
              <w:rPr>
                <w:rFonts w:eastAsiaTheme="minorEastAsia" w:cs="Times New Roman"/>
                <w:szCs w:val="20"/>
                <w:vertAlign w:val="superscript"/>
                <w:lang w:eastAsia="en-US"/>
              </w:rPr>
              <w:t>ary</w:t>
            </w:r>
            <w:r w:rsidRPr="00C64D0B">
              <w:rPr>
                <w:rFonts w:eastAsiaTheme="minorEastAsia" w:cs="Times New Roman"/>
                <w:szCs w:val="20"/>
                <w:lang w:eastAsia="en-US"/>
              </w:rPr>
              <w:t>: clinical remission (</w:t>
            </w:r>
            <w:r w:rsidR="009F295C" w:rsidRPr="00C64D0B">
              <w:rPr>
                <w:rFonts w:eastAsiaTheme="minorEastAsia" w:cs="Times New Roman"/>
                <w:szCs w:val="20"/>
                <w:lang w:eastAsia="en-US"/>
              </w:rPr>
              <w:t>F</w:t>
            </w:r>
            <w:r w:rsidRPr="00C64D0B">
              <w:rPr>
                <w:rFonts w:eastAsiaTheme="minorEastAsia" w:cs="Times New Roman"/>
                <w:szCs w:val="20"/>
                <w:lang w:eastAsia="en-US"/>
              </w:rPr>
              <w:t>MS), clinical response (</w:t>
            </w:r>
            <w:r w:rsidR="009F295C" w:rsidRPr="00C64D0B">
              <w:rPr>
                <w:rFonts w:eastAsiaTheme="minorEastAsia" w:cs="Times New Roman"/>
                <w:szCs w:val="20"/>
                <w:lang w:eastAsia="en-US"/>
              </w:rPr>
              <w:t>F</w:t>
            </w:r>
            <w:r w:rsidRPr="00C64D0B">
              <w:rPr>
                <w:rFonts w:eastAsiaTheme="minorEastAsia" w:cs="Times New Roman"/>
                <w:szCs w:val="20"/>
                <w:lang w:eastAsia="en-US"/>
              </w:rPr>
              <w:t xml:space="preserve">MS), mucosal healing </w:t>
            </w:r>
          </w:p>
        </w:tc>
        <w:tc>
          <w:tcPr>
            <w:tcW w:w="522" w:type="pct"/>
            <w:shd w:val="clear" w:color="auto" w:fill="DBE5F1" w:themeFill="accent1" w:themeFillTint="33"/>
            <w:vAlign w:val="center"/>
          </w:tcPr>
          <w:p w14:paraId="4C9F47AE" w14:textId="77777777" w:rsidR="009424B8" w:rsidRPr="00C64D0B" w:rsidRDefault="009424B8" w:rsidP="00313F8C">
            <w:pPr>
              <w:pStyle w:val="TableText0"/>
              <w:jc w:val="center"/>
              <w:rPr>
                <w:szCs w:val="20"/>
                <w:lang w:val="en-US"/>
              </w:rPr>
            </w:pPr>
            <w:r w:rsidRPr="00C64D0B">
              <w:rPr>
                <w:szCs w:val="20"/>
                <w:lang w:val="en-US"/>
              </w:rPr>
              <w:t>Not used</w:t>
            </w:r>
          </w:p>
        </w:tc>
      </w:tr>
    </w:tbl>
    <w:p w14:paraId="7BDA19DC" w14:textId="77777777" w:rsidR="009424B8" w:rsidRPr="00E61BB6" w:rsidRDefault="009424B8" w:rsidP="009424B8">
      <w:pPr>
        <w:rPr>
          <w:rFonts w:ascii="Arial Narrow" w:hAnsi="Arial Narrow"/>
          <w:sz w:val="18"/>
          <w:szCs w:val="18"/>
          <w:lang w:eastAsia="en-US"/>
        </w:rPr>
      </w:pPr>
      <w:r w:rsidRPr="00736657">
        <w:rPr>
          <w:rFonts w:ascii="Arial Narrow" w:eastAsiaTheme="minorEastAsia" w:hAnsi="Arial Narrow"/>
          <w:iCs/>
          <w:snapToGrid w:val="0"/>
          <w:sz w:val="18"/>
          <w:szCs w:val="18"/>
          <w:lang w:eastAsia="en-US"/>
        </w:rPr>
        <w:t>Source: Compiled during the evaluation based on source reports and publications</w:t>
      </w:r>
      <w:r w:rsidRPr="00E61BB6">
        <w:rPr>
          <w:rFonts w:ascii="Arial Narrow" w:eastAsiaTheme="minorEastAsia" w:hAnsi="Arial Narrow"/>
          <w:i/>
          <w:snapToGrid w:val="0"/>
          <w:sz w:val="18"/>
          <w:szCs w:val="18"/>
          <w:lang w:eastAsia="en-US"/>
        </w:rPr>
        <w:t xml:space="preserve">. </w:t>
      </w:r>
      <w:r w:rsidRPr="00E61BB6">
        <w:rPr>
          <w:rFonts w:ascii="Arial Narrow" w:hAnsi="Arial Narrow"/>
          <w:sz w:val="18"/>
          <w:szCs w:val="18"/>
          <w:shd w:val="clear" w:color="auto" w:fill="DBE5F1" w:themeFill="accent1" w:themeFillTint="33"/>
          <w:lang w:eastAsia="en-US"/>
        </w:rPr>
        <w:t>Shaded</w:t>
      </w:r>
      <w:r w:rsidRPr="00E61BB6">
        <w:rPr>
          <w:rFonts w:ascii="Arial Narrow" w:hAnsi="Arial Narrow"/>
          <w:sz w:val="18"/>
          <w:szCs w:val="18"/>
          <w:lang w:eastAsia="en-US"/>
        </w:rPr>
        <w:t xml:space="preserve"> areas indicate data previously seen by the PBAC.</w:t>
      </w:r>
    </w:p>
    <w:p w14:paraId="791F18E2" w14:textId="2425D348" w:rsidR="009424B8" w:rsidRPr="00961A3A" w:rsidRDefault="009B5CAC" w:rsidP="009424B8">
      <w:pPr>
        <w:pStyle w:val="TableFigureFooter"/>
        <w:spacing w:after="0"/>
        <w:rPr>
          <w:lang w:eastAsia="en-US"/>
        </w:rPr>
      </w:pPr>
      <w:r>
        <w:rPr>
          <w:rFonts w:eastAsiaTheme="minorEastAsia"/>
          <w:lang w:eastAsia="en-US"/>
        </w:rPr>
        <w:t>A</w:t>
      </w:r>
      <w:r w:rsidR="009424B8">
        <w:rPr>
          <w:rFonts w:eastAsiaTheme="minorEastAsia"/>
          <w:lang w:eastAsia="en-US"/>
        </w:rPr>
        <w:t xml:space="preserve">MS = adapted Mayo score; </w:t>
      </w:r>
      <w:r w:rsidR="009424B8" w:rsidRPr="00CB5851">
        <w:rPr>
          <w:rFonts w:eastAsiaTheme="minorEastAsia"/>
          <w:lang w:eastAsia="en-US"/>
        </w:rPr>
        <w:t xml:space="preserve">DB=double blind; </w:t>
      </w:r>
      <w:r>
        <w:rPr>
          <w:rFonts w:eastAsiaTheme="minorEastAsia"/>
          <w:lang w:eastAsia="en-US"/>
        </w:rPr>
        <w:t>F</w:t>
      </w:r>
      <w:r w:rsidR="009424B8">
        <w:rPr>
          <w:rFonts w:eastAsiaTheme="minorEastAsia"/>
          <w:lang w:eastAsia="en-US"/>
        </w:rPr>
        <w:t xml:space="preserve">MS = full Mayo score; </w:t>
      </w:r>
      <w:r w:rsidR="009424B8" w:rsidRPr="00CB5851">
        <w:rPr>
          <w:rFonts w:eastAsiaTheme="minorEastAsia"/>
          <w:lang w:eastAsia="en-US"/>
        </w:rPr>
        <w:t>IFX=</w:t>
      </w:r>
      <w:r w:rsidR="009424B8">
        <w:rPr>
          <w:rFonts w:eastAsiaTheme="minorEastAsia"/>
          <w:lang w:eastAsia="en-US"/>
        </w:rPr>
        <w:t xml:space="preserve">infliximab, MC=multi-centre; </w:t>
      </w:r>
      <w:r w:rsidR="009424B8" w:rsidRPr="00CB5851">
        <w:rPr>
          <w:rFonts w:eastAsiaTheme="minorEastAsia"/>
          <w:lang w:eastAsia="en-US"/>
        </w:rPr>
        <w:t>R=randomised, RWD=randomised withdrawal design; TOF=tofacitinib, TNFi-e=tumour necrosis factor inhibitor experience,</w:t>
      </w:r>
      <w:r w:rsidR="009424B8">
        <w:rPr>
          <w:rFonts w:eastAsiaTheme="minorEastAsia"/>
          <w:lang w:eastAsia="en-US"/>
        </w:rPr>
        <w:t xml:space="preserve"> </w:t>
      </w:r>
      <w:r w:rsidR="009424B8" w:rsidRPr="00CB5851">
        <w:rPr>
          <w:rFonts w:eastAsiaTheme="minorEastAsia"/>
          <w:lang w:eastAsia="en-US"/>
        </w:rPr>
        <w:t xml:space="preserve">TNFi-n= tumour necrosis factor inhibitor naïve, </w:t>
      </w:r>
      <w:r w:rsidR="009424B8">
        <w:rPr>
          <w:rFonts w:eastAsiaTheme="minorEastAsia"/>
          <w:lang w:eastAsia="en-US"/>
        </w:rPr>
        <w:t xml:space="preserve">UPA=upadacitinib, </w:t>
      </w:r>
      <w:r w:rsidR="009424B8" w:rsidRPr="00CB5851">
        <w:rPr>
          <w:rFonts w:eastAsiaTheme="minorEastAsia"/>
          <w:lang w:eastAsia="en-US"/>
        </w:rPr>
        <w:t>VDZ=vedolizumab</w:t>
      </w:r>
      <w:r w:rsidR="009424B8">
        <w:rPr>
          <w:rFonts w:eastAsiaTheme="minorEastAsia"/>
          <w:lang w:eastAsia="en-US"/>
        </w:rPr>
        <w:t>.</w:t>
      </w:r>
      <w:r w:rsidR="009424B8" w:rsidRPr="00CB5851">
        <w:rPr>
          <w:rFonts w:eastAsiaTheme="minorEastAsia"/>
          <w:lang w:eastAsia="en-US"/>
        </w:rPr>
        <w:t xml:space="preserve"> </w:t>
      </w:r>
    </w:p>
    <w:p w14:paraId="390AA1FE" w14:textId="77777777" w:rsidR="009424B8" w:rsidRPr="00F7546C" w:rsidRDefault="009424B8" w:rsidP="009424B8">
      <w:pPr>
        <w:tabs>
          <w:tab w:val="left" w:pos="142"/>
        </w:tabs>
        <w:rPr>
          <w:rFonts w:ascii="Arial Narrow" w:eastAsiaTheme="minorEastAsia" w:hAnsi="Arial Narrow"/>
          <w:iCs/>
          <w:snapToGrid w:val="0"/>
          <w:sz w:val="18"/>
          <w:szCs w:val="22"/>
          <w:lang w:eastAsia="en-US"/>
        </w:rPr>
      </w:pPr>
      <w:r>
        <w:rPr>
          <w:rFonts w:ascii="Arial Narrow" w:eastAsiaTheme="minorEastAsia" w:hAnsi="Arial Narrow"/>
          <w:iCs/>
          <w:snapToGrid w:val="0"/>
          <w:sz w:val="18"/>
          <w:szCs w:val="18"/>
          <w:vertAlign w:val="superscript"/>
          <w:lang w:eastAsia="en-US"/>
        </w:rPr>
        <w:t>a</w:t>
      </w:r>
      <w:r w:rsidRPr="00F7546C">
        <w:rPr>
          <w:rFonts w:ascii="Arial Narrow" w:eastAsiaTheme="minorEastAsia" w:hAnsi="Arial Narrow"/>
          <w:iCs/>
          <w:snapToGrid w:val="0"/>
          <w:sz w:val="18"/>
          <w:szCs w:val="18"/>
          <w:lang w:eastAsia="en-US"/>
        </w:rPr>
        <w:tab/>
        <w:t>There was an 8-week, open-label, Extended Treatment Period for clinical non-responders after the initial 8-week induction period.</w:t>
      </w:r>
    </w:p>
    <w:p w14:paraId="67F56BE8" w14:textId="77777777" w:rsidR="009424B8" w:rsidRPr="00F7546C" w:rsidRDefault="009424B8" w:rsidP="009424B8">
      <w:pPr>
        <w:tabs>
          <w:tab w:val="left" w:pos="142"/>
        </w:tabs>
        <w:ind w:left="135" w:hanging="135"/>
        <w:rPr>
          <w:rFonts w:ascii="Arial Narrow" w:eastAsiaTheme="minorEastAsia" w:hAnsi="Arial Narrow"/>
          <w:iCs/>
          <w:snapToGrid w:val="0"/>
          <w:sz w:val="18"/>
          <w:szCs w:val="18"/>
          <w:lang w:eastAsia="en-US"/>
        </w:rPr>
      </w:pPr>
      <w:r w:rsidRPr="00F7546C">
        <w:rPr>
          <w:rFonts w:ascii="Arial Narrow" w:eastAsiaTheme="minorEastAsia" w:hAnsi="Arial Narrow"/>
          <w:iCs/>
          <w:snapToGrid w:val="0"/>
          <w:sz w:val="18"/>
          <w:szCs w:val="18"/>
          <w:vertAlign w:val="superscript"/>
          <w:lang w:eastAsia="en-US"/>
        </w:rPr>
        <w:t>b</w:t>
      </w:r>
      <w:r w:rsidRPr="00F7546C">
        <w:rPr>
          <w:rFonts w:ascii="Arial Narrow" w:eastAsiaTheme="minorEastAsia" w:hAnsi="Arial Narrow"/>
          <w:iCs/>
          <w:snapToGrid w:val="0"/>
          <w:sz w:val="18"/>
          <w:szCs w:val="18"/>
          <w:lang w:eastAsia="en-US"/>
        </w:rPr>
        <w:tab/>
        <w:t>The definition of the endoscopic improvement outcome (endoscopic sub-score of 0 or 1) in the UPA trials matched the definition of the ‘mucosal healing’ outcome in the TOF trials and was used for the indirect comparison. The ‘mucosal healing’ outcome reported in the UPA trials referred to a different outcome.</w:t>
      </w:r>
    </w:p>
    <w:p w14:paraId="4D398CEE" w14:textId="77777777" w:rsidR="009424B8" w:rsidRPr="00F7546C" w:rsidRDefault="009424B8" w:rsidP="00761A56">
      <w:pPr>
        <w:tabs>
          <w:tab w:val="left" w:pos="142"/>
        </w:tabs>
        <w:spacing w:after="120"/>
        <w:ind w:left="136" w:hanging="136"/>
        <w:rPr>
          <w:rFonts w:ascii="Arial Narrow" w:eastAsiaTheme="minorEastAsia" w:hAnsi="Arial Narrow"/>
          <w:iCs/>
          <w:snapToGrid w:val="0"/>
          <w:sz w:val="18"/>
          <w:szCs w:val="18"/>
          <w:lang w:eastAsia="en-US"/>
        </w:rPr>
      </w:pPr>
      <w:r w:rsidRPr="00F7546C">
        <w:rPr>
          <w:rFonts w:ascii="Arial Narrow" w:eastAsiaTheme="minorEastAsia" w:hAnsi="Arial Narrow"/>
          <w:iCs/>
          <w:snapToGrid w:val="0"/>
          <w:sz w:val="18"/>
          <w:szCs w:val="18"/>
          <w:vertAlign w:val="superscript"/>
          <w:lang w:eastAsia="en-US"/>
        </w:rPr>
        <w:t>c</w:t>
      </w:r>
      <w:r w:rsidRPr="00F7546C">
        <w:rPr>
          <w:rFonts w:ascii="Arial Narrow" w:eastAsiaTheme="minorEastAsia" w:hAnsi="Arial Narrow"/>
          <w:iCs/>
          <w:snapToGrid w:val="0"/>
          <w:sz w:val="18"/>
          <w:szCs w:val="18"/>
          <w:vertAlign w:val="superscript"/>
          <w:lang w:eastAsia="en-US"/>
        </w:rPr>
        <w:tab/>
      </w:r>
      <w:r w:rsidRPr="00F7546C">
        <w:rPr>
          <w:rFonts w:ascii="Arial Narrow" w:eastAsiaTheme="minorEastAsia" w:hAnsi="Arial Narrow"/>
          <w:iCs/>
          <w:snapToGrid w:val="0"/>
          <w:sz w:val="18"/>
          <w:szCs w:val="18"/>
          <w:lang w:eastAsia="en-US"/>
        </w:rPr>
        <w:t xml:space="preserve">The ITT_A population consisted of the first 451 patients with clinical response at Week 8 following UPA 45 mg induction treatment and who were enrolled under the protocol amendment for 52-week maintenance treatment period. A total of 1046 patients received a blinded treatment in U-ACHIEVE 3 but this depended on prior treatment received for induction therapy. </w:t>
      </w:r>
    </w:p>
    <w:p w14:paraId="26EB9560" w14:textId="77777777" w:rsidR="00274A85" w:rsidRPr="00910686" w:rsidRDefault="00262A90" w:rsidP="00274A85">
      <w:pPr>
        <w:pStyle w:val="3-BodyText"/>
        <w:rPr>
          <w:rFonts w:ascii="Arial Narrow" w:hAnsi="Arial Narrow"/>
          <w:b/>
          <w:sz w:val="20"/>
        </w:rPr>
      </w:pPr>
      <w:r w:rsidRPr="00910686">
        <w:rPr>
          <w:rFonts w:eastAsiaTheme="minorEastAsia"/>
          <w:szCs w:val="22"/>
          <w:lang w:eastAsia="en-US"/>
        </w:rPr>
        <w:t>The UPA induction trials (U-ACHIEVE 1, U-ACHIEVE 2 and U-ACCOMPLISH) were similar to the TOF induction trials (OCTAVE 1 and OCTAVE 2) in terms of trial design. All trials were relatively large Phase 3 (with the exception of the U-ACHIEVE 1 dose ranging trial) multi-centre trials, in which patients with MSUC were randomised to active treatment or PBO with response to treatment assessed at Week 8. The UPA maintenance trial (U-ACHIEVE 3) was also generally similar to the TOF maintenance trial (OCTAVE SUSTAIN) in terms of trial design. Both trials enrolled patients with clinical response at Week 8 following active induction treatment (at the end of the induction trials), randomised patients to continue active treatment or PBO (i.e. randomised withdrawal design), and measured outcomes at Week 52 (from the start of induction).</w:t>
      </w:r>
    </w:p>
    <w:p w14:paraId="1CF8BCB1" w14:textId="23B46FE6" w:rsidR="008F4276" w:rsidRPr="0064550B" w:rsidRDefault="009424B8" w:rsidP="008F4276">
      <w:pPr>
        <w:pStyle w:val="3-BodyText"/>
        <w:rPr>
          <w:rFonts w:ascii="Arial Narrow" w:hAnsi="Arial Narrow"/>
          <w:b/>
          <w:sz w:val="20"/>
        </w:rPr>
      </w:pPr>
      <w:r w:rsidRPr="0064550B">
        <w:rPr>
          <w:rFonts w:eastAsiaTheme="minorEastAsia"/>
          <w:szCs w:val="22"/>
          <w:lang w:eastAsia="en-US"/>
        </w:rPr>
        <w:t xml:space="preserve">The main difference between the trials was that the UPA trials used the adapted Mayo score whereas the TOF trials used the full Mayo score, to define eligibility criteria and key clinical outcomes; </w:t>
      </w:r>
      <w:r w:rsidR="007362EF">
        <w:rPr>
          <w:rFonts w:eastAsiaTheme="minorEastAsia"/>
          <w:szCs w:val="22"/>
          <w:lang w:eastAsia="en-US"/>
        </w:rPr>
        <w:t xml:space="preserve">however, </w:t>
      </w:r>
      <w:r w:rsidRPr="0064550B">
        <w:rPr>
          <w:rFonts w:eastAsiaTheme="minorEastAsia"/>
          <w:szCs w:val="22"/>
          <w:lang w:eastAsia="en-US"/>
        </w:rPr>
        <w:t>the importance of this difference was unclear</w:t>
      </w:r>
      <w:r w:rsidR="00274A85" w:rsidRPr="0064550B">
        <w:rPr>
          <w:rFonts w:eastAsiaTheme="minorEastAsia"/>
          <w:lang w:eastAsia="en-US"/>
        </w:rPr>
        <w:t xml:space="preserve">. </w:t>
      </w:r>
      <w:r w:rsidRPr="0064550B">
        <w:rPr>
          <w:rFonts w:eastAsiaTheme="minorEastAsia"/>
          <w:lang w:eastAsia="en-US"/>
        </w:rPr>
        <w:t>Overall, the UPA and TOF induction trials were considered to have low risk of bias, while the UPA and TOF maintenance trials were considered to have a high risk of bias due to high attrition bias (20.8% to 66% discontinued treatment in U-ACHIEVE 3 and 35.7% to 73.2% discontinued treatment in OCTAVE SUSTAIN).</w:t>
      </w:r>
    </w:p>
    <w:p w14:paraId="134ED0DE" w14:textId="5C83CABA" w:rsidR="009424B8" w:rsidRPr="0064550B" w:rsidRDefault="009424B8" w:rsidP="008F4276">
      <w:pPr>
        <w:pStyle w:val="3-BodyText"/>
        <w:rPr>
          <w:rFonts w:ascii="Arial Narrow" w:hAnsi="Arial Narrow"/>
          <w:b/>
          <w:sz w:val="20"/>
        </w:rPr>
      </w:pPr>
      <w:r w:rsidRPr="0064550B">
        <w:t>Unlike the UPA trials, all of the supplementary comparator trials used the full Mayo score to define eligibility criteria and key clinical outcomes; and there were</w:t>
      </w:r>
      <w:r w:rsidR="00724302">
        <w:t xml:space="preserve"> also</w:t>
      </w:r>
      <w:r w:rsidRPr="0064550B">
        <w:t xml:space="preserve"> other differences in some eligibility criteria </w:t>
      </w:r>
      <w:r w:rsidR="00274A85" w:rsidRPr="0064550B">
        <w:t xml:space="preserve">. </w:t>
      </w:r>
      <w:r w:rsidRPr="0064550B">
        <w:t>The PBAC had previously noted that these trials used heterogeneous trial designs, including induction only designs, induction/maintenance ‘treat-through’ designs, and induction/maintenance ‘randomised withdrawal’ designs (paragraph 6.7, TOF PSD, March 2019). Despite this, all induction trials/phases were fairly similar as patients with MSUC were randomised to active treatment or PBO with response assessed after 6 to 10 weeks. The main difference across the maintenance trials/phases was that the ADA and IFX trials used treat-through designs (patients remain on active or PBO for both induction and maintenance treatment), whereas the VDZ and GOL trials used randomised withdrawal designs (responders to active induction treatment are randomised to active treatment or PBO for maintenance treatment). The submission appropriately excluded evidence for ADA and IFX maintenance treatment from the indirect treatment comparisons due to the differences in trial design.</w:t>
      </w:r>
    </w:p>
    <w:p w14:paraId="51AF88B9" w14:textId="06CFDFDC" w:rsidR="009424B8" w:rsidRPr="0064550B" w:rsidRDefault="009424B8" w:rsidP="00725F2A">
      <w:pPr>
        <w:pStyle w:val="3-BodyText"/>
        <w:rPr>
          <w:rFonts w:ascii="Arial Narrow" w:hAnsi="Arial Narrow"/>
          <w:b/>
          <w:sz w:val="20"/>
        </w:rPr>
      </w:pPr>
      <w:bookmarkStart w:id="23" w:name="_Ref109812761"/>
      <w:r w:rsidRPr="0064550B">
        <w:rPr>
          <w:rFonts w:eastAsiaTheme="minorEastAsia"/>
          <w:szCs w:val="22"/>
          <w:lang w:eastAsia="en-US"/>
        </w:rPr>
        <w:t>There were key differences in terms</w:t>
      </w:r>
      <w:r w:rsidR="00887F0F" w:rsidRPr="0064550B">
        <w:rPr>
          <w:rFonts w:eastAsiaTheme="minorEastAsia"/>
          <w:szCs w:val="22"/>
          <w:lang w:eastAsia="en-US"/>
        </w:rPr>
        <w:t xml:space="preserve"> of</w:t>
      </w:r>
      <w:r w:rsidRPr="0064550B">
        <w:rPr>
          <w:rFonts w:eastAsiaTheme="minorEastAsia"/>
          <w:szCs w:val="22"/>
          <w:lang w:eastAsia="en-US"/>
        </w:rPr>
        <w:t xml:space="preserve"> baseline characteristics and concomitant medications across the UPA and comparator trials</w:t>
      </w:r>
      <w:r w:rsidR="005B1CE9" w:rsidRPr="0064550B">
        <w:rPr>
          <w:rFonts w:eastAsiaTheme="minorEastAsia"/>
          <w:szCs w:val="22"/>
          <w:lang w:eastAsia="en-US"/>
        </w:rPr>
        <w:t>, that may potentially influence results, but any overall impact was uncertain</w:t>
      </w:r>
      <w:r w:rsidRPr="0064550B">
        <w:rPr>
          <w:rFonts w:eastAsiaTheme="minorEastAsia"/>
          <w:szCs w:val="22"/>
          <w:lang w:eastAsia="en-US"/>
        </w:rPr>
        <w:t>.</w:t>
      </w:r>
      <w:bookmarkEnd w:id="23"/>
    </w:p>
    <w:p w14:paraId="561D0443" w14:textId="77777777" w:rsidR="009424B8" w:rsidRPr="0064550B" w:rsidRDefault="009424B8" w:rsidP="009424B8">
      <w:pPr>
        <w:pStyle w:val="3-BodyText"/>
        <w:numPr>
          <w:ilvl w:val="0"/>
          <w:numId w:val="0"/>
        </w:numPr>
        <w:ind w:left="720"/>
        <w:rPr>
          <w:rFonts w:ascii="Arial Narrow" w:hAnsi="Arial Narrow"/>
          <w:b/>
          <w:sz w:val="20"/>
        </w:rPr>
      </w:pPr>
      <w:r w:rsidRPr="0064550B">
        <w:rPr>
          <w:rFonts w:eastAsiaTheme="minorEastAsia"/>
          <w:szCs w:val="22"/>
          <w:lang w:eastAsia="en-US"/>
        </w:rPr>
        <w:t>Compared to the TOF trials:</w:t>
      </w:r>
      <w:r w:rsidRPr="0064550B">
        <w:rPr>
          <w:rFonts w:eastAsiaTheme="minorEastAsia"/>
          <w:lang w:eastAsia="en-US"/>
        </w:rPr>
        <w:t xml:space="preserve"> </w:t>
      </w:r>
    </w:p>
    <w:p w14:paraId="32395D20" w14:textId="77777777" w:rsidR="009424B8" w:rsidRPr="0064550B" w:rsidRDefault="009424B8" w:rsidP="004626D3">
      <w:pPr>
        <w:pStyle w:val="3-BodyText"/>
        <w:numPr>
          <w:ilvl w:val="1"/>
          <w:numId w:val="9"/>
        </w:numPr>
        <w:ind w:left="993" w:hanging="284"/>
        <w:rPr>
          <w:rFonts w:ascii="Arial Narrow" w:hAnsi="Arial Narrow"/>
          <w:b/>
          <w:sz w:val="20"/>
        </w:rPr>
      </w:pPr>
      <w:r w:rsidRPr="0064550B">
        <w:rPr>
          <w:rFonts w:eastAsiaTheme="minorEastAsia"/>
          <w:lang w:eastAsia="en-US"/>
        </w:rPr>
        <w:t>Patients in the UPA induction trials had a slightly higher average (full) Mayo score compared to the TOF induction trials;</w:t>
      </w:r>
    </w:p>
    <w:p w14:paraId="5DB665D9" w14:textId="77777777" w:rsidR="009424B8" w:rsidRPr="0064550B" w:rsidRDefault="009424B8" w:rsidP="004626D3">
      <w:pPr>
        <w:pStyle w:val="3-BodyText"/>
        <w:numPr>
          <w:ilvl w:val="1"/>
          <w:numId w:val="9"/>
        </w:numPr>
        <w:ind w:left="993" w:hanging="284"/>
        <w:rPr>
          <w:rFonts w:ascii="Arial Narrow" w:hAnsi="Arial Narrow"/>
          <w:b/>
          <w:sz w:val="20"/>
        </w:rPr>
      </w:pPr>
      <w:r w:rsidRPr="0064550B">
        <w:rPr>
          <w:rFonts w:eastAsiaTheme="minorEastAsia"/>
          <w:lang w:eastAsia="en-US"/>
        </w:rPr>
        <w:t>Patients in the UPA induction trials were slightly older than the TOF induction trials;</w:t>
      </w:r>
    </w:p>
    <w:p w14:paraId="396E0BC7" w14:textId="77777777" w:rsidR="009424B8" w:rsidRPr="0064550B" w:rsidRDefault="009424B8" w:rsidP="004626D3">
      <w:pPr>
        <w:pStyle w:val="3-BodyText"/>
        <w:numPr>
          <w:ilvl w:val="1"/>
          <w:numId w:val="9"/>
        </w:numPr>
        <w:ind w:left="993" w:hanging="284"/>
        <w:rPr>
          <w:rFonts w:eastAsiaTheme="minorEastAsia"/>
          <w:lang w:eastAsia="en-US"/>
        </w:rPr>
      </w:pPr>
      <w:r w:rsidRPr="0064550B">
        <w:rPr>
          <w:rFonts w:eastAsiaTheme="minorEastAsia"/>
          <w:lang w:eastAsia="en-US"/>
        </w:rPr>
        <w:t xml:space="preserve">A smaller proportion of patients in the UPA trials were using concomitant corticosteroids at baseline compared to the TOF trials; </w:t>
      </w:r>
    </w:p>
    <w:p w14:paraId="4DC691E1" w14:textId="77777777" w:rsidR="009424B8" w:rsidRPr="0064550B" w:rsidRDefault="009424B8" w:rsidP="009424B8">
      <w:pPr>
        <w:pStyle w:val="3-BodyText"/>
        <w:numPr>
          <w:ilvl w:val="0"/>
          <w:numId w:val="0"/>
        </w:numPr>
        <w:ind w:left="720"/>
        <w:rPr>
          <w:rFonts w:eastAsiaTheme="minorEastAsia"/>
          <w:szCs w:val="22"/>
          <w:lang w:eastAsia="en-US"/>
        </w:rPr>
      </w:pPr>
      <w:r w:rsidRPr="0064550B">
        <w:rPr>
          <w:rFonts w:eastAsiaTheme="minorEastAsia"/>
          <w:szCs w:val="22"/>
          <w:lang w:eastAsia="en-US"/>
        </w:rPr>
        <w:t>Compared to the supplementary comparator trials:</w:t>
      </w:r>
    </w:p>
    <w:p w14:paraId="55D7549B" w14:textId="77777777" w:rsidR="009424B8" w:rsidRPr="0064550B" w:rsidRDefault="009424B8" w:rsidP="004626D3">
      <w:pPr>
        <w:pStyle w:val="3-BodyText"/>
        <w:numPr>
          <w:ilvl w:val="1"/>
          <w:numId w:val="9"/>
        </w:numPr>
        <w:ind w:left="993" w:hanging="284"/>
        <w:rPr>
          <w:rFonts w:eastAsiaTheme="minorEastAsia"/>
          <w:lang w:eastAsia="en-US"/>
        </w:rPr>
      </w:pPr>
      <w:r w:rsidRPr="0064550B">
        <w:rPr>
          <w:rFonts w:eastAsiaTheme="minorEastAsia"/>
          <w:lang w:eastAsia="en-US"/>
        </w:rPr>
        <w:t>Patients in the UPA induction trials had a slightly higher average (full) Mayo score compared to the supplementary trials;</w:t>
      </w:r>
    </w:p>
    <w:p w14:paraId="40D59F6A" w14:textId="77777777" w:rsidR="009424B8" w:rsidRPr="0064550B" w:rsidRDefault="009424B8" w:rsidP="004626D3">
      <w:pPr>
        <w:pStyle w:val="3-BodyText"/>
        <w:numPr>
          <w:ilvl w:val="1"/>
          <w:numId w:val="9"/>
        </w:numPr>
        <w:ind w:left="993" w:hanging="284"/>
        <w:rPr>
          <w:rFonts w:eastAsiaTheme="minorEastAsia"/>
          <w:lang w:eastAsia="en-US"/>
        </w:rPr>
      </w:pPr>
      <w:r w:rsidRPr="0064550B">
        <w:rPr>
          <w:rFonts w:eastAsiaTheme="minorEastAsia"/>
          <w:lang w:eastAsia="en-US"/>
        </w:rPr>
        <w:t>Patients in the UPA trials were slightly older and had longer duration of disease than most of the supplementary trials;</w:t>
      </w:r>
    </w:p>
    <w:p w14:paraId="5E518EEE" w14:textId="77777777" w:rsidR="009424B8" w:rsidRPr="0064550B" w:rsidRDefault="009424B8" w:rsidP="004626D3">
      <w:pPr>
        <w:pStyle w:val="3-BodyText"/>
        <w:numPr>
          <w:ilvl w:val="1"/>
          <w:numId w:val="9"/>
        </w:numPr>
        <w:ind w:left="993" w:hanging="284"/>
        <w:rPr>
          <w:rFonts w:eastAsiaTheme="minorEastAsia"/>
          <w:szCs w:val="22"/>
          <w:lang w:eastAsia="en-US"/>
        </w:rPr>
      </w:pPr>
      <w:r w:rsidRPr="0064550B">
        <w:rPr>
          <w:rFonts w:eastAsiaTheme="minorEastAsia"/>
          <w:szCs w:val="22"/>
          <w:lang w:eastAsia="en-US"/>
        </w:rPr>
        <w:t>A higher proportion of patients in the UPA trials had used a prior biologic at baseline compared to most supplementary trials (and a similar proportion to the VDZ trials);</w:t>
      </w:r>
    </w:p>
    <w:p w14:paraId="79E5301A" w14:textId="77777777" w:rsidR="009424B8" w:rsidRPr="0064550B" w:rsidRDefault="009424B8" w:rsidP="004626D3">
      <w:pPr>
        <w:pStyle w:val="3-BodyText"/>
        <w:numPr>
          <w:ilvl w:val="1"/>
          <w:numId w:val="9"/>
        </w:numPr>
        <w:ind w:left="993" w:hanging="284"/>
        <w:rPr>
          <w:rFonts w:ascii="Arial Narrow" w:hAnsi="Arial Narrow"/>
          <w:b/>
          <w:sz w:val="20"/>
        </w:rPr>
      </w:pPr>
      <w:r w:rsidRPr="0064550B">
        <w:rPr>
          <w:rFonts w:eastAsiaTheme="minorEastAsia"/>
          <w:lang w:eastAsia="en-US"/>
        </w:rPr>
        <w:t>There was a wide variation in the proportion of patients using concomitant corticosteroids at baseline across the supplementary trials (some trials with more patients and some less compared to the UPA trials).</w:t>
      </w:r>
    </w:p>
    <w:p w14:paraId="68734802" w14:textId="29F95CD1" w:rsidR="009424B8" w:rsidRPr="0064550B" w:rsidRDefault="009424B8" w:rsidP="007C5956">
      <w:pPr>
        <w:pStyle w:val="3-BodyText"/>
        <w:rPr>
          <w:rFonts w:eastAsiaTheme="minorEastAsia"/>
          <w:szCs w:val="22"/>
          <w:lang w:eastAsia="en-US"/>
        </w:rPr>
      </w:pPr>
      <w:r w:rsidRPr="0064550B">
        <w:rPr>
          <w:rFonts w:eastAsiaTheme="minorEastAsia"/>
          <w:szCs w:val="22"/>
          <w:lang w:eastAsia="en-US"/>
        </w:rPr>
        <w:t>There was insufficient data reported across the trials to assess the extent of prior exposure to previous biologic treatments beyond a simple binary (yes, no) statistic. For example, the proportion with any prior exposure to a biologic treatment was similar across the UPA and TOF trials, but it was unclear how many biologic treatments had been used.</w:t>
      </w:r>
    </w:p>
    <w:p w14:paraId="299E6A97" w14:textId="77777777" w:rsidR="009424B8" w:rsidRPr="00C9624D" w:rsidRDefault="009424B8" w:rsidP="009424B8">
      <w:pPr>
        <w:pStyle w:val="4-SubsectionHeading"/>
      </w:pPr>
      <w:bookmarkStart w:id="24" w:name="_Toc22897641"/>
      <w:bookmarkStart w:id="25" w:name="_Toc103774338"/>
      <w:r w:rsidRPr="00C9624D">
        <w:t>Comparative effectiveness</w:t>
      </w:r>
      <w:bookmarkEnd w:id="24"/>
      <w:bookmarkEnd w:id="25"/>
    </w:p>
    <w:p w14:paraId="3D6BF1FB" w14:textId="77777777" w:rsidR="009424B8" w:rsidRDefault="009424B8" w:rsidP="009424B8">
      <w:pPr>
        <w:pStyle w:val="3-BodyText"/>
      </w:pPr>
      <w:r>
        <w:t xml:space="preserve">The clinically relevant outcomes for MSUC are </w:t>
      </w:r>
      <w:r w:rsidRPr="004116E3">
        <w:rPr>
          <w:u w:val="single"/>
        </w:rPr>
        <w:t>clinical remission</w:t>
      </w:r>
      <w:r>
        <w:t xml:space="preserve"> (absence of symptoms outcome) and </w:t>
      </w:r>
      <w:r w:rsidRPr="004116E3">
        <w:rPr>
          <w:u w:val="single"/>
        </w:rPr>
        <w:t>clinical response</w:t>
      </w:r>
      <w:r w:rsidRPr="00DA5500">
        <w:t xml:space="preserve"> (</w:t>
      </w:r>
      <w:r>
        <w:t>relative improvement in symptoms outcome</w:t>
      </w:r>
      <w:r w:rsidRPr="00DA5500">
        <w:t>)</w:t>
      </w:r>
      <w:r>
        <w:t xml:space="preserve">, as assessed using the Mayo score. The PBS continuation criteria requires that patients demonstrate clinical remission (defined as a partial Mayo score </w:t>
      </w:r>
      <w:r>
        <w:rPr>
          <w:rFonts w:cs="Calibri"/>
        </w:rPr>
        <w:t>≤</w:t>
      </w:r>
      <w:r>
        <w:t>2 with no sub-scores &gt;1, see Requested listing), but the PBAC had previously accepted both clinical remission and clinical response (defined using the full Mayo score) as the clinically relevant trial outcomes to assess the re</w:t>
      </w:r>
      <w:r w:rsidRPr="005E2289">
        <w:t xml:space="preserve">lative effectiveness and non-inferiority of treatments (page 3, </w:t>
      </w:r>
      <w:r w:rsidRPr="005E2289">
        <w:rPr>
          <w:rFonts w:eastAsiaTheme="minorEastAsia"/>
          <w:szCs w:val="22"/>
          <w:lang w:eastAsia="en-US"/>
        </w:rPr>
        <w:t>IFX PSD, March 2014; paragraph 7.2, ADA PSD July 2014; paragraph 6.12, VDZ PSD, July 2014; paragraph 6.12, TOF PSD,</w:t>
      </w:r>
      <w:r>
        <w:rPr>
          <w:rFonts w:eastAsiaTheme="minorEastAsia"/>
          <w:szCs w:val="22"/>
          <w:lang w:eastAsia="en-US"/>
        </w:rPr>
        <w:t xml:space="preserve"> March 2019</w:t>
      </w:r>
      <w:r>
        <w:t>).</w:t>
      </w:r>
    </w:p>
    <w:p w14:paraId="712EFCD4" w14:textId="2C1833E8" w:rsidR="009424B8" w:rsidRPr="00431805" w:rsidRDefault="009424B8" w:rsidP="009424B8">
      <w:pPr>
        <w:pStyle w:val="3-BodyText"/>
      </w:pPr>
      <w:r>
        <w:t xml:space="preserve">All of the comparator trials reported clinical remission and clinical response using the full Mayo score whereas the UPA trials reported outcomes using both the adapted Mayo score and full Mayo score. The submission noted that the results of the UPA trials were similar irrespective of </w:t>
      </w:r>
      <w:r w:rsidR="00FF4E30">
        <w:t>which scoring method was used</w:t>
      </w:r>
      <w:r w:rsidRPr="00431805">
        <w:t>.</w:t>
      </w:r>
    </w:p>
    <w:p w14:paraId="32A63845" w14:textId="5779E2F6" w:rsidR="009424B8" w:rsidRPr="00415EFB" w:rsidRDefault="009424B8" w:rsidP="009424B8">
      <w:pPr>
        <w:pStyle w:val="3-BodyText"/>
      </w:pPr>
      <w:r>
        <w:t xml:space="preserve">To compare the effectiveness of UPA versus the PBS-listed comparators for induction and maintenance treatment, the submission conducted a series of standard (unadjusted) anchored indirect comparisons for clinical remission and clinical response using the full Mayo score in the ITT populations. The submission excluded comparisons between UPA, ADA and IFX for maintenance treatment due to differences in trial design, and comparisons between UPA, VDZ and GOL in terms of clinical response following maintenance treatment due to lack of comparable data. </w:t>
      </w:r>
      <w:r w:rsidRPr="0064550B">
        <w:t xml:space="preserve">It </w:t>
      </w:r>
      <w:r w:rsidR="00887F0F" w:rsidRPr="0064550B">
        <w:t>wa</w:t>
      </w:r>
      <w:r w:rsidRPr="0064550B">
        <w:t>s noted that the VDZ trials did report a comparable clinical response outcome for maintenance treatment, referred to as ‘durable’ clinical response at Week 52 or 60 in the trial publications.</w:t>
      </w:r>
    </w:p>
    <w:p w14:paraId="0A81E7CC" w14:textId="60F0CFE3" w:rsidR="00CF3A1C" w:rsidRPr="00B76057" w:rsidRDefault="009424B8" w:rsidP="009424B8">
      <w:pPr>
        <w:pStyle w:val="3-BodyText"/>
      </w:pPr>
      <w:r>
        <w:t xml:space="preserve">The submission only presented indirect comparisons for the ITT population of the included trials because the PBAC had considered that the ITT population was the most relevant population because treatment can be used in biologic-naïve and biologic-experienced </w:t>
      </w:r>
      <w:r w:rsidRPr="00AA089D">
        <w:t>patients (paragraph 6.13, TOF PSD</w:t>
      </w:r>
      <w:r>
        <w:t>,</w:t>
      </w:r>
      <w:r w:rsidRPr="00AA089D">
        <w:t xml:space="preserve"> Nov</w:t>
      </w:r>
      <w:r>
        <w:t>ember</w:t>
      </w:r>
      <w:r w:rsidRPr="00AA089D">
        <w:t xml:space="preserve"> 2020).</w:t>
      </w:r>
      <w:r>
        <w:t xml:space="preserve"> The PBAC considered that subgroup analysis by prior TNF exposure were problematic due to reduced statistical power and because the comparisons in patients with prior exposure may not be a fair representation of comparative efficacy when comparing a TNF </w:t>
      </w:r>
      <w:r w:rsidRPr="00B76057">
        <w:t>inhibitor versus a drug of another class (paragraph 7.2, TOF PSD, November 2020).</w:t>
      </w:r>
    </w:p>
    <w:p w14:paraId="2396ABFF" w14:textId="77777777" w:rsidR="009424B8" w:rsidRPr="0064550B" w:rsidRDefault="009424B8" w:rsidP="00CF3A1C">
      <w:pPr>
        <w:pStyle w:val="3-BodyText"/>
      </w:pPr>
      <w:r w:rsidRPr="0064550B">
        <w:t>Although the ITT results may be more relevant to practice than individual subgroups by prior biologic exposure in this setting (i.e. a line-agnostic listing), and acknowledging the issues with subgroup data, it is still important to consider the potential impact of differences across the trials (i.e. prognostic factors and treatment effect modifiers) on absolute and relative treatment effects estimated using standard (unadjusted) anchored indirect comparison methods.</w:t>
      </w:r>
    </w:p>
    <w:p w14:paraId="665111F4" w14:textId="71A1DF50" w:rsidR="009424B8" w:rsidRPr="0064550B" w:rsidRDefault="00786F93" w:rsidP="009424B8">
      <w:pPr>
        <w:pStyle w:val="3-BodyText"/>
      </w:pPr>
      <w:r w:rsidRPr="00786F93">
        <w:rPr>
          <w:rFonts w:ascii="Calibri" w:hAnsi="Calibri" w:cs="Calibri"/>
        </w:rPr>
        <w:fldChar w:fldCharType="begin" w:fldLock="1"/>
      </w:r>
      <w:r w:rsidRPr="00786F93">
        <w:rPr>
          <w:rFonts w:ascii="Calibri" w:hAnsi="Calibri" w:cs="Calibri"/>
        </w:rPr>
        <w:instrText xml:space="preserve"> REF _Ref103176289 \h  \* MERGEFORMAT </w:instrText>
      </w:r>
      <w:r w:rsidRPr="00786F93">
        <w:rPr>
          <w:rFonts w:ascii="Calibri" w:hAnsi="Calibri" w:cs="Calibri"/>
        </w:rPr>
      </w:r>
      <w:r w:rsidRPr="00786F93">
        <w:rPr>
          <w:rFonts w:ascii="Calibri" w:hAnsi="Calibri" w:cs="Calibri"/>
        </w:rPr>
        <w:fldChar w:fldCharType="separate"/>
      </w:r>
      <w:r w:rsidR="008664BD" w:rsidRPr="008664BD">
        <w:rPr>
          <w:rFonts w:ascii="Calibri" w:hAnsi="Calibri" w:cs="Calibri"/>
        </w:rPr>
        <w:t xml:space="preserve">Table </w:t>
      </w:r>
      <w:r w:rsidR="008664BD" w:rsidRPr="008664BD">
        <w:rPr>
          <w:rFonts w:ascii="Calibri" w:hAnsi="Calibri" w:cs="Calibri"/>
          <w:noProof/>
        </w:rPr>
        <w:t>4</w:t>
      </w:r>
      <w:r w:rsidRPr="00786F93">
        <w:rPr>
          <w:rFonts w:ascii="Calibri" w:hAnsi="Calibri" w:cs="Calibri"/>
        </w:rPr>
        <w:fldChar w:fldCharType="end"/>
      </w:r>
      <w:r w:rsidR="009424B8" w:rsidRPr="00786F93">
        <w:rPr>
          <w:rFonts w:ascii="Calibri" w:hAnsi="Calibri" w:cs="Calibri"/>
        </w:rPr>
        <w:t xml:space="preserve"> and </w:t>
      </w:r>
      <w:r w:rsidRPr="00786F93">
        <w:rPr>
          <w:rFonts w:ascii="Calibri" w:hAnsi="Calibri" w:cs="Calibri"/>
        </w:rPr>
        <w:fldChar w:fldCharType="begin" w:fldLock="1"/>
      </w:r>
      <w:r w:rsidRPr="00786F93">
        <w:rPr>
          <w:rFonts w:ascii="Calibri" w:hAnsi="Calibri" w:cs="Calibri"/>
        </w:rPr>
        <w:instrText xml:space="preserve"> REF _Ref103176303 \h  \* MERGEFORMAT </w:instrText>
      </w:r>
      <w:r w:rsidRPr="00786F93">
        <w:rPr>
          <w:rFonts w:ascii="Calibri" w:hAnsi="Calibri" w:cs="Calibri"/>
        </w:rPr>
      </w:r>
      <w:r w:rsidRPr="00786F93">
        <w:rPr>
          <w:rFonts w:ascii="Calibri" w:hAnsi="Calibri" w:cs="Calibri"/>
        </w:rPr>
        <w:fldChar w:fldCharType="separate"/>
      </w:r>
      <w:r w:rsidR="008664BD" w:rsidRPr="008664BD">
        <w:rPr>
          <w:rFonts w:ascii="Calibri" w:hAnsi="Calibri" w:cs="Calibri"/>
        </w:rPr>
        <w:t xml:space="preserve">Table </w:t>
      </w:r>
      <w:r w:rsidR="008664BD" w:rsidRPr="008664BD">
        <w:rPr>
          <w:rFonts w:ascii="Calibri" w:hAnsi="Calibri" w:cs="Calibri"/>
          <w:noProof/>
        </w:rPr>
        <w:t>5</w:t>
      </w:r>
      <w:r w:rsidRPr="00786F93">
        <w:rPr>
          <w:rFonts w:ascii="Calibri" w:hAnsi="Calibri" w:cs="Calibri"/>
        </w:rPr>
        <w:fldChar w:fldCharType="end"/>
      </w:r>
      <w:r w:rsidR="009424B8" w:rsidRPr="00786F93">
        <w:rPr>
          <w:rFonts w:ascii="Calibri" w:hAnsi="Calibri" w:cs="Calibri"/>
        </w:rPr>
        <w:t xml:space="preserve"> p</w:t>
      </w:r>
      <w:r w:rsidR="009424B8" w:rsidRPr="00786F93">
        <w:t xml:space="preserve">resent the results of the indirect comparisons for clinical remission and clinical response outcomes in induction trials (at Week 6, 8 or 10) and maintenance trials (at Week 52, 54 or 60), respectively. </w:t>
      </w:r>
      <w:r w:rsidR="009424B8" w:rsidRPr="0064550B">
        <w:t>For maintenance treatment, the submission appeared to compare the results of ‘remission’ in OCTAVE SUSTAIN with ‘clinical remission’ in U-ACHIEVE-S3, but the definition of remission is slightly stricter than clinical remission. The results presented below were updated during the evaluation based on the clinical remission outcome in OCTAVE SUSTAIN</w:t>
      </w:r>
      <w:r w:rsidR="00E30330" w:rsidRPr="0064550B">
        <w:t>, but this did not impact on the conclusions of the analysis</w:t>
      </w:r>
      <w:r w:rsidR="009424B8" w:rsidRPr="0064550B">
        <w:t>.</w:t>
      </w:r>
    </w:p>
    <w:p w14:paraId="4F2A9FF2" w14:textId="77777777" w:rsidR="009424B8" w:rsidRDefault="009424B8" w:rsidP="009424B8">
      <w:pPr>
        <w:pStyle w:val="Caption"/>
        <w:keepNext/>
        <w:spacing w:after="60"/>
        <w:jc w:val="left"/>
        <w:rPr>
          <w:rFonts w:ascii="Arial Narrow" w:hAnsi="Arial Narrow"/>
          <w:color w:val="auto"/>
          <w:sz w:val="20"/>
          <w:szCs w:val="20"/>
        </w:rPr>
      </w:pPr>
      <w:r>
        <w:rPr>
          <w:rFonts w:ascii="Arial Narrow" w:hAnsi="Arial Narrow"/>
          <w:color w:val="auto"/>
          <w:sz w:val="20"/>
          <w:szCs w:val="20"/>
        </w:rPr>
        <w:br w:type="page"/>
      </w:r>
    </w:p>
    <w:p w14:paraId="3146ECBE" w14:textId="6BE9D15B" w:rsidR="009424B8" w:rsidRPr="00556CF5" w:rsidRDefault="009424B8" w:rsidP="009424B8">
      <w:pPr>
        <w:pStyle w:val="Caption"/>
        <w:keepNext/>
        <w:spacing w:after="60"/>
        <w:jc w:val="left"/>
        <w:rPr>
          <w:rStyle w:val="CommentReference"/>
          <w:b/>
          <w:color w:val="auto"/>
          <w:szCs w:val="20"/>
        </w:rPr>
      </w:pPr>
      <w:bookmarkStart w:id="26" w:name="_Ref103176289"/>
      <w:r w:rsidRPr="00556CF5">
        <w:rPr>
          <w:rFonts w:ascii="Arial Narrow" w:hAnsi="Arial Narrow"/>
          <w:color w:val="auto"/>
          <w:sz w:val="20"/>
          <w:szCs w:val="20"/>
        </w:rPr>
        <w:t xml:space="preserve">Table </w:t>
      </w:r>
      <w:r w:rsidRPr="00556CF5">
        <w:rPr>
          <w:rFonts w:ascii="Arial Narrow" w:hAnsi="Arial Narrow"/>
          <w:color w:val="auto"/>
          <w:sz w:val="20"/>
          <w:szCs w:val="20"/>
        </w:rPr>
        <w:fldChar w:fldCharType="begin" w:fldLock="1"/>
      </w:r>
      <w:r w:rsidRPr="00556CF5">
        <w:rPr>
          <w:rFonts w:ascii="Arial Narrow" w:hAnsi="Arial Narrow"/>
          <w:color w:val="auto"/>
          <w:sz w:val="20"/>
          <w:szCs w:val="20"/>
        </w:rPr>
        <w:instrText xml:space="preserve"> SEQ Table \* ARABIC </w:instrText>
      </w:r>
      <w:r w:rsidRPr="00556CF5">
        <w:rPr>
          <w:rFonts w:ascii="Arial Narrow" w:hAnsi="Arial Narrow"/>
          <w:color w:val="auto"/>
          <w:sz w:val="20"/>
          <w:szCs w:val="20"/>
        </w:rPr>
        <w:fldChar w:fldCharType="separate"/>
      </w:r>
      <w:r w:rsidR="008664BD">
        <w:rPr>
          <w:rFonts w:ascii="Arial Narrow" w:hAnsi="Arial Narrow"/>
          <w:noProof/>
          <w:color w:val="auto"/>
          <w:sz w:val="20"/>
          <w:szCs w:val="20"/>
        </w:rPr>
        <w:t>4</w:t>
      </w:r>
      <w:r w:rsidRPr="00556CF5">
        <w:rPr>
          <w:rFonts w:ascii="Arial Narrow" w:hAnsi="Arial Narrow"/>
          <w:color w:val="auto"/>
          <w:sz w:val="20"/>
          <w:szCs w:val="20"/>
        </w:rPr>
        <w:fldChar w:fldCharType="end"/>
      </w:r>
      <w:bookmarkEnd w:id="26"/>
      <w:r w:rsidRPr="00556CF5">
        <w:rPr>
          <w:rFonts w:ascii="Arial Narrow" w:hAnsi="Arial Narrow"/>
          <w:color w:val="auto"/>
          <w:sz w:val="20"/>
          <w:szCs w:val="20"/>
        </w:rPr>
        <w:t xml:space="preserve">: </w:t>
      </w:r>
      <w:r w:rsidRPr="00556CF5">
        <w:rPr>
          <w:rStyle w:val="CommentReference"/>
          <w:b/>
          <w:color w:val="auto"/>
          <w:szCs w:val="20"/>
        </w:rPr>
        <w:t>Indirect comparisons comparing UPA versus PBS-listed comparators (TOF, IFX, ADA, GOL and VDZ) for clinical remission and clinical response at Week 6/8/10,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28" w:type="dxa"/>
          <w:right w:w="28" w:type="dxa"/>
        </w:tblCellMar>
        <w:tblLook w:val="00A0" w:firstRow="1" w:lastRow="0" w:firstColumn="1" w:lastColumn="0" w:noHBand="0" w:noVBand="0"/>
      </w:tblPr>
      <w:tblGrid>
        <w:gridCol w:w="2544"/>
        <w:gridCol w:w="1064"/>
        <w:gridCol w:w="1066"/>
        <w:gridCol w:w="1701"/>
        <w:gridCol w:w="1701"/>
        <w:gridCol w:w="941"/>
      </w:tblGrid>
      <w:tr w:rsidR="009424B8" w:rsidRPr="00C64D0B" w14:paraId="10AD74D4" w14:textId="77777777" w:rsidTr="008664BD">
        <w:trPr>
          <w:trHeight w:val="112"/>
        </w:trPr>
        <w:tc>
          <w:tcPr>
            <w:tcW w:w="1411" w:type="pct"/>
            <w:tcBorders>
              <w:bottom w:val="single" w:sz="4" w:space="0" w:color="auto"/>
              <w:right w:val="single" w:sz="4" w:space="0" w:color="auto"/>
            </w:tcBorders>
            <w:shd w:val="clear" w:color="auto" w:fill="auto"/>
            <w:vAlign w:val="center"/>
          </w:tcPr>
          <w:p w14:paraId="08F50919" w14:textId="77777777" w:rsidR="009424B8" w:rsidRPr="00C64D0B" w:rsidRDefault="009424B8" w:rsidP="00313F8C">
            <w:pPr>
              <w:jc w:val="left"/>
              <w:rPr>
                <w:rFonts w:ascii="Arial Narrow" w:hAnsi="Arial Narrow"/>
                <w:b/>
                <w:sz w:val="20"/>
                <w:szCs w:val="20"/>
              </w:rPr>
            </w:pPr>
            <w:r w:rsidRPr="00C64D0B">
              <w:rPr>
                <w:rFonts w:ascii="Arial Narrow" w:hAnsi="Arial Narrow"/>
                <w:b/>
                <w:bCs/>
                <w:iCs/>
                <w:sz w:val="20"/>
                <w:szCs w:val="20"/>
              </w:rPr>
              <w:t>Trial</w:t>
            </w:r>
          </w:p>
        </w:tc>
        <w:tc>
          <w:tcPr>
            <w:tcW w:w="590" w:type="pct"/>
            <w:tcBorders>
              <w:bottom w:val="single" w:sz="4" w:space="0" w:color="auto"/>
              <w:right w:val="single" w:sz="4" w:space="0" w:color="auto"/>
            </w:tcBorders>
            <w:shd w:val="clear" w:color="auto" w:fill="auto"/>
            <w:vAlign w:val="center"/>
          </w:tcPr>
          <w:p w14:paraId="3B6AAFEA"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Drug</w:t>
            </w:r>
          </w:p>
          <w:p w14:paraId="06EB87D1" w14:textId="77777777" w:rsidR="009424B8" w:rsidRPr="00C64D0B" w:rsidRDefault="009424B8" w:rsidP="00313F8C">
            <w:pPr>
              <w:jc w:val="center"/>
              <w:rPr>
                <w:rFonts w:ascii="Arial Narrow" w:hAnsi="Arial Narrow"/>
                <w:b/>
                <w:sz w:val="20"/>
                <w:szCs w:val="20"/>
              </w:rPr>
            </w:pPr>
            <w:r w:rsidRPr="00C64D0B">
              <w:rPr>
                <w:rFonts w:ascii="Arial Narrow" w:hAnsi="Arial Narrow"/>
                <w:b/>
                <w:bCs/>
                <w:iCs/>
                <w:sz w:val="20"/>
                <w:szCs w:val="20"/>
              </w:rPr>
              <w:t>n/N (%)</w:t>
            </w:r>
          </w:p>
        </w:tc>
        <w:tc>
          <w:tcPr>
            <w:tcW w:w="591" w:type="pct"/>
            <w:tcBorders>
              <w:bottom w:val="single" w:sz="4" w:space="0" w:color="auto"/>
              <w:right w:val="single" w:sz="4" w:space="0" w:color="auto"/>
            </w:tcBorders>
            <w:shd w:val="clear" w:color="auto" w:fill="auto"/>
            <w:vAlign w:val="center"/>
          </w:tcPr>
          <w:p w14:paraId="14C60E4E"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Control</w:t>
            </w:r>
          </w:p>
          <w:p w14:paraId="0D1F94B7" w14:textId="77777777" w:rsidR="009424B8" w:rsidRPr="00C64D0B" w:rsidRDefault="009424B8" w:rsidP="00313F8C">
            <w:pPr>
              <w:jc w:val="center"/>
              <w:rPr>
                <w:rFonts w:ascii="Arial Narrow" w:hAnsi="Arial Narrow"/>
                <w:b/>
                <w:sz w:val="20"/>
                <w:szCs w:val="20"/>
              </w:rPr>
            </w:pPr>
            <w:r w:rsidRPr="00C64D0B">
              <w:rPr>
                <w:rFonts w:ascii="Arial Narrow" w:hAnsi="Arial Narrow"/>
                <w:b/>
                <w:bCs/>
                <w:iCs/>
                <w:sz w:val="20"/>
                <w:szCs w:val="20"/>
              </w:rPr>
              <w:t>n/N (%)</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F98E3CF" w14:textId="77777777" w:rsidR="009424B8" w:rsidRPr="00C64D0B" w:rsidRDefault="009424B8" w:rsidP="00313F8C">
            <w:pPr>
              <w:jc w:val="center"/>
              <w:rPr>
                <w:rFonts w:ascii="Arial Narrow" w:hAnsi="Arial Narrow"/>
                <w:b/>
                <w:bCs/>
                <w:iCs/>
                <w:noProof/>
                <w:sz w:val="20"/>
                <w:szCs w:val="20"/>
              </w:rPr>
            </w:pPr>
            <w:r w:rsidRPr="00C64D0B">
              <w:rPr>
                <w:rFonts w:ascii="Arial Narrow" w:hAnsi="Arial Narrow"/>
                <w:b/>
                <w:bCs/>
                <w:iCs/>
                <w:noProof/>
                <w:sz w:val="20"/>
                <w:szCs w:val="20"/>
              </w:rPr>
              <w:t>RR</w:t>
            </w:r>
          </w:p>
          <w:p w14:paraId="77683FEE" w14:textId="77777777" w:rsidR="009424B8" w:rsidRPr="00C64D0B" w:rsidRDefault="009424B8" w:rsidP="00313F8C">
            <w:pPr>
              <w:jc w:val="center"/>
              <w:rPr>
                <w:rFonts w:ascii="Arial Narrow" w:hAnsi="Arial Narrow"/>
                <w:i/>
                <w:iCs/>
                <w:sz w:val="20"/>
                <w:szCs w:val="20"/>
              </w:rPr>
            </w:pPr>
            <w:r w:rsidRPr="00C64D0B">
              <w:rPr>
                <w:rFonts w:ascii="Arial Narrow" w:hAnsi="Arial Narrow"/>
                <w:b/>
                <w:bCs/>
                <w:iCs/>
                <w:noProof/>
                <w:sz w:val="20"/>
                <w:szCs w:val="20"/>
              </w:rPr>
              <w:t>(95% CI)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75699574" w14:textId="77777777" w:rsidR="009424B8" w:rsidRPr="00C64D0B" w:rsidRDefault="009424B8" w:rsidP="00313F8C">
            <w:pPr>
              <w:jc w:val="center"/>
              <w:rPr>
                <w:rFonts w:ascii="Arial Narrow" w:hAnsi="Arial Narrow"/>
                <w:b/>
                <w:bCs/>
                <w:iCs/>
                <w:noProof/>
                <w:sz w:val="20"/>
                <w:szCs w:val="20"/>
              </w:rPr>
            </w:pPr>
            <w:r w:rsidRPr="00C64D0B">
              <w:rPr>
                <w:rFonts w:ascii="Arial Narrow" w:hAnsi="Arial Narrow"/>
                <w:b/>
                <w:bCs/>
                <w:iCs/>
                <w:noProof/>
                <w:sz w:val="20"/>
                <w:szCs w:val="20"/>
              </w:rPr>
              <w:t>RD</w:t>
            </w:r>
          </w:p>
          <w:p w14:paraId="6E97770D"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noProof/>
                <w:sz w:val="20"/>
                <w:szCs w:val="20"/>
              </w:rPr>
              <w:t>(95% CI)</w:t>
            </w:r>
          </w:p>
        </w:tc>
        <w:tc>
          <w:tcPr>
            <w:tcW w:w="522" w:type="pct"/>
            <w:tcBorders>
              <w:left w:val="single" w:sz="4" w:space="0" w:color="auto"/>
              <w:bottom w:val="single" w:sz="4" w:space="0" w:color="auto"/>
            </w:tcBorders>
            <w:shd w:val="clear" w:color="auto" w:fill="auto"/>
            <w:vAlign w:val="center"/>
          </w:tcPr>
          <w:p w14:paraId="43BF2DED"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NNT</w:t>
            </w:r>
          </w:p>
          <w:p w14:paraId="1851AED9" w14:textId="77777777" w:rsidR="009424B8" w:rsidRPr="00C64D0B" w:rsidRDefault="009424B8" w:rsidP="00313F8C">
            <w:pPr>
              <w:jc w:val="center"/>
              <w:rPr>
                <w:rFonts w:ascii="Arial Narrow" w:hAnsi="Arial Narrow"/>
                <w:i/>
                <w:iCs/>
                <w:sz w:val="20"/>
                <w:szCs w:val="20"/>
              </w:rPr>
            </w:pPr>
            <w:r w:rsidRPr="00C64D0B">
              <w:rPr>
                <w:rFonts w:ascii="Arial Narrow" w:hAnsi="Arial Narrow"/>
                <w:b/>
                <w:bCs/>
                <w:iCs/>
                <w:sz w:val="20"/>
                <w:szCs w:val="20"/>
              </w:rPr>
              <w:t>(95%CI)</w:t>
            </w:r>
          </w:p>
        </w:tc>
      </w:tr>
      <w:tr w:rsidR="009424B8" w:rsidRPr="00C64D0B" w14:paraId="4E5FD500" w14:textId="77777777" w:rsidTr="008664BD">
        <w:trPr>
          <w:trHeight w:val="170"/>
        </w:trPr>
        <w:tc>
          <w:tcPr>
            <w:tcW w:w="2592" w:type="pct"/>
            <w:gridSpan w:val="3"/>
            <w:tcBorders>
              <w:right w:val="single" w:sz="4" w:space="0" w:color="auto"/>
            </w:tcBorders>
            <w:shd w:val="clear" w:color="auto" w:fill="auto"/>
            <w:vAlign w:val="center"/>
          </w:tcPr>
          <w:p w14:paraId="6967B31E" w14:textId="03B238A2" w:rsidR="009424B8" w:rsidRPr="00C64D0B" w:rsidRDefault="009424B8" w:rsidP="00313F8C">
            <w:pPr>
              <w:rPr>
                <w:rFonts w:ascii="Arial Narrow" w:hAnsi="Arial Narrow"/>
                <w:b/>
                <w:bCs/>
                <w:iCs/>
                <w:sz w:val="20"/>
                <w:szCs w:val="20"/>
              </w:rPr>
            </w:pPr>
            <w:r w:rsidRPr="00C64D0B">
              <w:rPr>
                <w:rFonts w:ascii="Arial Narrow" w:hAnsi="Arial Narrow"/>
                <w:b/>
                <w:bCs/>
                <w:iCs/>
                <w:sz w:val="20"/>
                <w:szCs w:val="20"/>
              </w:rPr>
              <w:t>Clinical remission, FMS Wk6/8/10 (ITT)</w:t>
            </w:r>
          </w:p>
        </w:tc>
        <w:tc>
          <w:tcPr>
            <w:tcW w:w="943" w:type="pct"/>
            <w:tcBorders>
              <w:top w:val="nil"/>
              <w:left w:val="single" w:sz="4" w:space="0" w:color="auto"/>
              <w:bottom w:val="nil"/>
              <w:right w:val="single" w:sz="4" w:space="0" w:color="auto"/>
            </w:tcBorders>
            <w:shd w:val="clear" w:color="auto" w:fill="auto"/>
            <w:vAlign w:val="center"/>
          </w:tcPr>
          <w:p w14:paraId="4A4F7863" w14:textId="77777777" w:rsidR="009424B8" w:rsidRPr="00C64D0B" w:rsidRDefault="009424B8" w:rsidP="00313F8C">
            <w:pPr>
              <w:jc w:val="center"/>
              <w:rPr>
                <w:rFonts w:ascii="Arial Narrow" w:hAnsi="Arial Narrow"/>
                <w:iCs/>
                <w:sz w:val="20"/>
                <w:szCs w:val="20"/>
              </w:rPr>
            </w:pPr>
          </w:p>
        </w:tc>
        <w:tc>
          <w:tcPr>
            <w:tcW w:w="943" w:type="pct"/>
            <w:tcBorders>
              <w:top w:val="nil"/>
              <w:left w:val="single" w:sz="4" w:space="0" w:color="auto"/>
              <w:bottom w:val="nil"/>
              <w:right w:val="single" w:sz="4" w:space="0" w:color="auto"/>
            </w:tcBorders>
            <w:shd w:val="clear" w:color="auto" w:fill="auto"/>
            <w:vAlign w:val="center"/>
          </w:tcPr>
          <w:p w14:paraId="65CA5CC8" w14:textId="77777777" w:rsidR="009424B8" w:rsidRPr="00C64D0B" w:rsidRDefault="009424B8" w:rsidP="00313F8C">
            <w:pPr>
              <w:jc w:val="center"/>
              <w:rPr>
                <w:rFonts w:ascii="Arial Narrow" w:hAnsi="Arial Narrow"/>
                <w:i/>
                <w:sz w:val="20"/>
                <w:szCs w:val="20"/>
              </w:rPr>
            </w:pPr>
          </w:p>
        </w:tc>
        <w:tc>
          <w:tcPr>
            <w:tcW w:w="522" w:type="pct"/>
            <w:tcBorders>
              <w:top w:val="nil"/>
              <w:left w:val="single" w:sz="4" w:space="0" w:color="auto"/>
              <w:bottom w:val="nil"/>
              <w:right w:val="single" w:sz="4" w:space="0" w:color="auto"/>
            </w:tcBorders>
            <w:shd w:val="clear" w:color="auto" w:fill="auto"/>
            <w:vAlign w:val="center"/>
          </w:tcPr>
          <w:p w14:paraId="1F56574D" w14:textId="77777777" w:rsidR="009424B8" w:rsidRPr="00C64D0B" w:rsidRDefault="009424B8" w:rsidP="00313F8C">
            <w:pPr>
              <w:jc w:val="center"/>
              <w:rPr>
                <w:rFonts w:ascii="Arial Narrow" w:hAnsi="Arial Narrow"/>
                <w:i/>
                <w:sz w:val="20"/>
                <w:szCs w:val="20"/>
              </w:rPr>
            </w:pPr>
          </w:p>
        </w:tc>
      </w:tr>
      <w:tr w:rsidR="009424B8" w:rsidRPr="00C64D0B" w14:paraId="718DC344" w14:textId="77777777" w:rsidTr="008664BD">
        <w:trPr>
          <w:trHeight w:val="170"/>
        </w:trPr>
        <w:tc>
          <w:tcPr>
            <w:tcW w:w="1411" w:type="pct"/>
            <w:shd w:val="clear" w:color="auto" w:fill="auto"/>
          </w:tcPr>
          <w:p w14:paraId="4D7B4B66" w14:textId="77777777" w:rsidR="009424B8" w:rsidRPr="00C64D0B" w:rsidRDefault="009424B8" w:rsidP="00313F8C">
            <w:pPr>
              <w:jc w:val="left"/>
              <w:rPr>
                <w:rFonts w:ascii="Arial Narrow" w:hAnsi="Arial Narrow"/>
                <w:iCs/>
                <w:sz w:val="20"/>
                <w:szCs w:val="20"/>
              </w:rPr>
            </w:pPr>
            <w:r w:rsidRPr="00C64D0B">
              <w:rPr>
                <w:rFonts w:ascii="Arial Narrow" w:hAnsi="Arial Narrow"/>
                <w:iCs/>
                <w:sz w:val="20"/>
                <w:szCs w:val="20"/>
              </w:rPr>
              <w:t>UPA 45mg v PBO (MA: U-ACHIEVE-S1/S2, U-ACCOMPLISH)</w:t>
            </w:r>
          </w:p>
        </w:tc>
        <w:tc>
          <w:tcPr>
            <w:tcW w:w="590" w:type="pct"/>
            <w:shd w:val="clear" w:color="auto" w:fill="auto"/>
            <w:vAlign w:val="center"/>
          </w:tcPr>
          <w:p w14:paraId="0E085F33"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177/716 (24.7)</w:t>
            </w:r>
          </w:p>
        </w:tc>
        <w:tc>
          <w:tcPr>
            <w:tcW w:w="591" w:type="pct"/>
            <w:tcBorders>
              <w:right w:val="single" w:sz="4" w:space="0" w:color="auto"/>
            </w:tcBorders>
            <w:shd w:val="clear" w:color="auto" w:fill="auto"/>
            <w:vAlign w:val="center"/>
          </w:tcPr>
          <w:p w14:paraId="7238E484"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8/374 (2.1)</w:t>
            </w:r>
          </w:p>
        </w:tc>
        <w:tc>
          <w:tcPr>
            <w:tcW w:w="943" w:type="pct"/>
            <w:tcBorders>
              <w:top w:val="nil"/>
              <w:left w:val="single" w:sz="4" w:space="0" w:color="auto"/>
              <w:bottom w:val="nil"/>
              <w:right w:val="single" w:sz="4" w:space="0" w:color="auto"/>
            </w:tcBorders>
            <w:shd w:val="clear" w:color="auto" w:fill="auto"/>
            <w:vAlign w:val="center"/>
          </w:tcPr>
          <w:p w14:paraId="0BA3969D"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10.60 (5.39, 20.86)</w:t>
            </w:r>
          </w:p>
        </w:tc>
        <w:tc>
          <w:tcPr>
            <w:tcW w:w="943" w:type="pct"/>
            <w:tcBorders>
              <w:top w:val="nil"/>
              <w:left w:val="single" w:sz="4" w:space="0" w:color="auto"/>
              <w:bottom w:val="nil"/>
              <w:right w:val="single" w:sz="4" w:space="0" w:color="auto"/>
            </w:tcBorders>
            <w:shd w:val="clear" w:color="auto" w:fill="auto"/>
            <w:vAlign w:val="center"/>
          </w:tcPr>
          <w:p w14:paraId="1DD5C5DA"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0.22 (0.19, 0.26)</w:t>
            </w:r>
          </w:p>
        </w:tc>
        <w:tc>
          <w:tcPr>
            <w:tcW w:w="522" w:type="pct"/>
            <w:tcBorders>
              <w:top w:val="nil"/>
              <w:left w:val="single" w:sz="4" w:space="0" w:color="auto"/>
              <w:bottom w:val="nil"/>
              <w:right w:val="single" w:sz="4" w:space="0" w:color="auto"/>
            </w:tcBorders>
            <w:shd w:val="clear" w:color="auto" w:fill="auto"/>
            <w:vAlign w:val="center"/>
          </w:tcPr>
          <w:p w14:paraId="2D13F43E"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5 (4,5)</w:t>
            </w:r>
          </w:p>
        </w:tc>
      </w:tr>
      <w:tr w:rsidR="009424B8" w:rsidRPr="00C64D0B" w14:paraId="0DD230D7" w14:textId="77777777" w:rsidTr="008664BD">
        <w:trPr>
          <w:trHeight w:val="170"/>
        </w:trPr>
        <w:tc>
          <w:tcPr>
            <w:tcW w:w="1411" w:type="pct"/>
            <w:shd w:val="clear" w:color="auto" w:fill="auto"/>
          </w:tcPr>
          <w:p w14:paraId="6688F240" w14:textId="77777777" w:rsidR="009424B8" w:rsidRPr="00C64D0B" w:rsidRDefault="009424B8" w:rsidP="00313F8C">
            <w:pPr>
              <w:jc w:val="left"/>
              <w:rPr>
                <w:rFonts w:ascii="Arial Narrow" w:hAnsi="Arial Narrow"/>
                <w:iCs/>
                <w:sz w:val="20"/>
                <w:szCs w:val="20"/>
                <w:lang w:val="it-IT"/>
              </w:rPr>
            </w:pPr>
            <w:r w:rsidRPr="00C64D0B">
              <w:rPr>
                <w:rFonts w:ascii="Arial Narrow" w:hAnsi="Arial Narrow"/>
                <w:iCs/>
                <w:sz w:val="20"/>
                <w:szCs w:val="20"/>
                <w:lang w:val="it-IT"/>
              </w:rPr>
              <w:t>TOF 10mg v PBO (MA: OCTAVE-1, OCTAVE-2)</w:t>
            </w:r>
          </w:p>
        </w:tc>
        <w:tc>
          <w:tcPr>
            <w:tcW w:w="590" w:type="pct"/>
            <w:shd w:val="clear" w:color="auto" w:fill="auto"/>
            <w:vAlign w:val="center"/>
          </w:tcPr>
          <w:p w14:paraId="2EC2667B"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160/905 (17.7)</w:t>
            </w:r>
          </w:p>
        </w:tc>
        <w:tc>
          <w:tcPr>
            <w:tcW w:w="591" w:type="pct"/>
            <w:tcBorders>
              <w:right w:val="single" w:sz="4" w:space="0" w:color="auto"/>
            </w:tcBorders>
            <w:shd w:val="clear" w:color="auto" w:fill="auto"/>
            <w:vAlign w:val="center"/>
          </w:tcPr>
          <w:p w14:paraId="72E23F5E"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14/234 (6.0)</w:t>
            </w:r>
          </w:p>
        </w:tc>
        <w:tc>
          <w:tcPr>
            <w:tcW w:w="943" w:type="pct"/>
            <w:tcBorders>
              <w:top w:val="nil"/>
              <w:left w:val="single" w:sz="4" w:space="0" w:color="auto"/>
              <w:bottom w:val="nil"/>
              <w:right w:val="single" w:sz="4" w:space="0" w:color="auto"/>
            </w:tcBorders>
            <w:shd w:val="clear" w:color="auto" w:fill="auto"/>
            <w:vAlign w:val="center"/>
          </w:tcPr>
          <w:p w14:paraId="6CA5EC50"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2.95 (1.46, 5.95)</w:t>
            </w:r>
          </w:p>
        </w:tc>
        <w:tc>
          <w:tcPr>
            <w:tcW w:w="943" w:type="pct"/>
            <w:tcBorders>
              <w:top w:val="nil"/>
              <w:left w:val="single" w:sz="4" w:space="0" w:color="auto"/>
              <w:bottom w:val="nil"/>
              <w:right w:val="single" w:sz="4" w:space="0" w:color="auto"/>
            </w:tcBorders>
            <w:shd w:val="clear" w:color="auto" w:fill="auto"/>
            <w:vAlign w:val="center"/>
          </w:tcPr>
          <w:p w14:paraId="346799F2"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0.12 (0.08, 0.16)</w:t>
            </w:r>
          </w:p>
        </w:tc>
        <w:tc>
          <w:tcPr>
            <w:tcW w:w="522" w:type="pct"/>
            <w:tcBorders>
              <w:top w:val="nil"/>
              <w:left w:val="single" w:sz="4" w:space="0" w:color="auto"/>
              <w:bottom w:val="nil"/>
              <w:right w:val="single" w:sz="4" w:space="0" w:color="auto"/>
            </w:tcBorders>
            <w:shd w:val="clear" w:color="auto" w:fill="auto"/>
            <w:vAlign w:val="center"/>
          </w:tcPr>
          <w:p w14:paraId="0589AD83"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8 (6,13)</w:t>
            </w:r>
          </w:p>
        </w:tc>
      </w:tr>
      <w:tr w:rsidR="009424B8" w:rsidRPr="00C64D0B" w14:paraId="76758228" w14:textId="77777777" w:rsidTr="008664BD">
        <w:trPr>
          <w:trHeight w:val="170"/>
        </w:trPr>
        <w:tc>
          <w:tcPr>
            <w:tcW w:w="1411" w:type="pct"/>
            <w:shd w:val="clear" w:color="auto" w:fill="auto"/>
          </w:tcPr>
          <w:p w14:paraId="53A86F10" w14:textId="77777777" w:rsidR="009424B8" w:rsidRPr="00C64D0B" w:rsidRDefault="009424B8" w:rsidP="00313F8C">
            <w:pPr>
              <w:jc w:val="left"/>
              <w:rPr>
                <w:rFonts w:ascii="Arial Narrow" w:hAnsi="Arial Narrow"/>
                <w:iCs/>
                <w:sz w:val="20"/>
                <w:szCs w:val="20"/>
                <w:lang w:val="fr-FR"/>
              </w:rPr>
            </w:pPr>
            <w:r w:rsidRPr="00C64D0B">
              <w:rPr>
                <w:rFonts w:ascii="Arial Narrow" w:hAnsi="Arial Narrow"/>
                <w:iCs/>
                <w:sz w:val="20"/>
                <w:szCs w:val="20"/>
                <w:lang w:val="fr-FR"/>
              </w:rPr>
              <w:t>IFX 5mg/kg v PBO (MA: ACT 1/2, Jiang, REMICADE, Kobayashi)</w:t>
            </w:r>
          </w:p>
        </w:tc>
        <w:tc>
          <w:tcPr>
            <w:tcW w:w="590" w:type="pct"/>
            <w:shd w:val="clear" w:color="auto" w:fill="auto"/>
            <w:vAlign w:val="center"/>
          </w:tcPr>
          <w:p w14:paraId="7FB9932C"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142/437 (32.5)</w:t>
            </w:r>
          </w:p>
        </w:tc>
        <w:tc>
          <w:tcPr>
            <w:tcW w:w="591" w:type="pct"/>
            <w:tcBorders>
              <w:right w:val="single" w:sz="4" w:space="0" w:color="auto"/>
            </w:tcBorders>
            <w:shd w:val="clear" w:color="auto" w:fill="auto"/>
            <w:vAlign w:val="center"/>
          </w:tcPr>
          <w:p w14:paraId="0D500170"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50/438 (11.4)</w:t>
            </w:r>
          </w:p>
        </w:tc>
        <w:tc>
          <w:tcPr>
            <w:tcW w:w="943" w:type="pct"/>
            <w:tcBorders>
              <w:top w:val="nil"/>
              <w:left w:val="single" w:sz="4" w:space="0" w:color="auto"/>
              <w:bottom w:val="nil"/>
              <w:right w:val="single" w:sz="4" w:space="0" w:color="auto"/>
            </w:tcBorders>
            <w:shd w:val="clear" w:color="auto" w:fill="auto"/>
            <w:vAlign w:val="center"/>
          </w:tcPr>
          <w:p w14:paraId="5153E24E"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2.72 (1.90, 3.88)</w:t>
            </w:r>
          </w:p>
        </w:tc>
        <w:tc>
          <w:tcPr>
            <w:tcW w:w="943" w:type="pct"/>
            <w:tcBorders>
              <w:top w:val="nil"/>
              <w:left w:val="single" w:sz="4" w:space="0" w:color="auto"/>
              <w:bottom w:val="nil"/>
              <w:right w:val="single" w:sz="4" w:space="0" w:color="auto"/>
            </w:tcBorders>
            <w:shd w:val="clear" w:color="auto" w:fill="auto"/>
            <w:vAlign w:val="center"/>
          </w:tcPr>
          <w:p w14:paraId="1A1DA228"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0.20 (0.12, 0.29)</w:t>
            </w:r>
          </w:p>
        </w:tc>
        <w:tc>
          <w:tcPr>
            <w:tcW w:w="522" w:type="pct"/>
            <w:tcBorders>
              <w:top w:val="nil"/>
              <w:left w:val="single" w:sz="4" w:space="0" w:color="auto"/>
              <w:bottom w:val="nil"/>
              <w:right w:val="single" w:sz="4" w:space="0" w:color="auto"/>
            </w:tcBorders>
            <w:shd w:val="clear" w:color="auto" w:fill="auto"/>
            <w:vAlign w:val="center"/>
          </w:tcPr>
          <w:p w14:paraId="7DE28782"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5 (3,8)</w:t>
            </w:r>
          </w:p>
        </w:tc>
      </w:tr>
      <w:tr w:rsidR="009424B8" w:rsidRPr="00C64D0B" w14:paraId="525C572E" w14:textId="77777777" w:rsidTr="008664BD">
        <w:trPr>
          <w:trHeight w:val="170"/>
        </w:trPr>
        <w:tc>
          <w:tcPr>
            <w:tcW w:w="1411" w:type="pct"/>
            <w:shd w:val="clear" w:color="auto" w:fill="auto"/>
          </w:tcPr>
          <w:p w14:paraId="150F2328" w14:textId="77777777" w:rsidR="009424B8" w:rsidRPr="00C64D0B" w:rsidRDefault="009424B8" w:rsidP="00313F8C">
            <w:pPr>
              <w:jc w:val="left"/>
              <w:rPr>
                <w:rFonts w:ascii="Arial Narrow" w:hAnsi="Arial Narrow"/>
                <w:iCs/>
                <w:sz w:val="20"/>
                <w:szCs w:val="20"/>
                <w:lang w:val="fr-FR"/>
              </w:rPr>
            </w:pPr>
            <w:r w:rsidRPr="00C64D0B">
              <w:rPr>
                <w:rFonts w:ascii="Arial Narrow" w:hAnsi="Arial Narrow"/>
                <w:iCs/>
                <w:sz w:val="20"/>
                <w:szCs w:val="20"/>
                <w:lang w:val="fr-FR"/>
              </w:rPr>
              <w:t>GOL 200-&gt;100mg v PBO (PURSUIT-SC)</w:t>
            </w:r>
          </w:p>
        </w:tc>
        <w:tc>
          <w:tcPr>
            <w:tcW w:w="590" w:type="pct"/>
            <w:shd w:val="clear" w:color="auto" w:fill="auto"/>
            <w:vAlign w:val="center"/>
          </w:tcPr>
          <w:p w14:paraId="00C47B4B"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45/253 (17.8)</w:t>
            </w:r>
          </w:p>
        </w:tc>
        <w:tc>
          <w:tcPr>
            <w:tcW w:w="591" w:type="pct"/>
            <w:tcBorders>
              <w:right w:val="single" w:sz="4" w:space="0" w:color="auto"/>
            </w:tcBorders>
            <w:shd w:val="clear" w:color="auto" w:fill="auto"/>
            <w:vAlign w:val="center"/>
          </w:tcPr>
          <w:p w14:paraId="0CBAA3D9"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16/251 (6.4)</w:t>
            </w:r>
          </w:p>
        </w:tc>
        <w:tc>
          <w:tcPr>
            <w:tcW w:w="943" w:type="pct"/>
            <w:tcBorders>
              <w:top w:val="nil"/>
              <w:left w:val="single" w:sz="4" w:space="0" w:color="auto"/>
              <w:bottom w:val="nil"/>
              <w:right w:val="single" w:sz="4" w:space="0" w:color="auto"/>
            </w:tcBorders>
            <w:shd w:val="clear" w:color="auto" w:fill="auto"/>
            <w:vAlign w:val="center"/>
          </w:tcPr>
          <w:p w14:paraId="6F2C66C4"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2.79 (1.62, 4.8)</w:t>
            </w:r>
          </w:p>
        </w:tc>
        <w:tc>
          <w:tcPr>
            <w:tcW w:w="943" w:type="pct"/>
            <w:tcBorders>
              <w:top w:val="nil"/>
              <w:left w:val="single" w:sz="4" w:space="0" w:color="auto"/>
              <w:bottom w:val="nil"/>
              <w:right w:val="single" w:sz="4" w:space="0" w:color="auto"/>
            </w:tcBorders>
            <w:shd w:val="clear" w:color="auto" w:fill="auto"/>
            <w:vAlign w:val="center"/>
          </w:tcPr>
          <w:p w14:paraId="156F559E"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0.11 (0.06, 0.17)</w:t>
            </w:r>
          </w:p>
        </w:tc>
        <w:tc>
          <w:tcPr>
            <w:tcW w:w="522" w:type="pct"/>
            <w:tcBorders>
              <w:top w:val="nil"/>
              <w:left w:val="single" w:sz="4" w:space="0" w:color="auto"/>
              <w:bottom w:val="nil"/>
              <w:right w:val="single" w:sz="4" w:space="0" w:color="auto"/>
            </w:tcBorders>
            <w:shd w:val="clear" w:color="auto" w:fill="auto"/>
            <w:vAlign w:val="center"/>
          </w:tcPr>
          <w:p w14:paraId="6B34598D"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9 (6,17)</w:t>
            </w:r>
          </w:p>
        </w:tc>
      </w:tr>
      <w:tr w:rsidR="009424B8" w:rsidRPr="00C64D0B" w14:paraId="01325ABA" w14:textId="77777777" w:rsidTr="008664BD">
        <w:trPr>
          <w:trHeight w:val="170"/>
        </w:trPr>
        <w:tc>
          <w:tcPr>
            <w:tcW w:w="1411" w:type="pct"/>
            <w:shd w:val="clear" w:color="auto" w:fill="auto"/>
          </w:tcPr>
          <w:p w14:paraId="3B895B59" w14:textId="77777777" w:rsidR="009424B8" w:rsidRPr="00C64D0B" w:rsidRDefault="009424B8" w:rsidP="00313F8C">
            <w:pPr>
              <w:jc w:val="left"/>
              <w:rPr>
                <w:rFonts w:ascii="Arial Narrow" w:hAnsi="Arial Narrow"/>
                <w:iCs/>
                <w:sz w:val="20"/>
                <w:szCs w:val="20"/>
                <w:lang w:val="it-IT"/>
              </w:rPr>
            </w:pPr>
            <w:r w:rsidRPr="00C64D0B">
              <w:rPr>
                <w:rFonts w:ascii="Arial Narrow" w:hAnsi="Arial Narrow"/>
                <w:iCs/>
                <w:sz w:val="20"/>
                <w:szCs w:val="20"/>
                <w:lang w:val="it-IT"/>
              </w:rPr>
              <w:t>ADA 160-&gt;80mg v PBO (MA: ULTRA-1, ULTRA-2, Suzuki)</w:t>
            </w:r>
          </w:p>
        </w:tc>
        <w:tc>
          <w:tcPr>
            <w:tcW w:w="590" w:type="pct"/>
            <w:shd w:val="clear" w:color="auto" w:fill="auto"/>
            <w:vAlign w:val="center"/>
          </w:tcPr>
          <w:p w14:paraId="1F8244CB"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74/468 (15.8)</w:t>
            </w:r>
          </w:p>
        </w:tc>
        <w:tc>
          <w:tcPr>
            <w:tcW w:w="591" w:type="pct"/>
            <w:tcBorders>
              <w:right w:val="single" w:sz="4" w:space="0" w:color="auto"/>
            </w:tcBorders>
            <w:shd w:val="clear" w:color="auto" w:fill="auto"/>
            <w:vAlign w:val="center"/>
          </w:tcPr>
          <w:p w14:paraId="6395E2F4"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46/472 (9.7)</w:t>
            </w:r>
          </w:p>
        </w:tc>
        <w:tc>
          <w:tcPr>
            <w:tcW w:w="943" w:type="pct"/>
            <w:tcBorders>
              <w:top w:val="nil"/>
              <w:left w:val="single" w:sz="4" w:space="0" w:color="auto"/>
              <w:bottom w:val="nil"/>
              <w:right w:val="single" w:sz="4" w:space="0" w:color="auto"/>
            </w:tcBorders>
            <w:shd w:val="clear" w:color="auto" w:fill="auto"/>
            <w:vAlign w:val="center"/>
          </w:tcPr>
          <w:p w14:paraId="0830A839"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1.58 (1.05, 2.4)</w:t>
            </w:r>
          </w:p>
        </w:tc>
        <w:tc>
          <w:tcPr>
            <w:tcW w:w="943" w:type="pct"/>
            <w:tcBorders>
              <w:top w:val="nil"/>
              <w:left w:val="single" w:sz="4" w:space="0" w:color="auto"/>
              <w:bottom w:val="nil"/>
              <w:right w:val="single" w:sz="4" w:space="0" w:color="auto"/>
            </w:tcBorders>
            <w:shd w:val="clear" w:color="auto" w:fill="auto"/>
            <w:vAlign w:val="center"/>
          </w:tcPr>
          <w:p w14:paraId="4DB256AB" w14:textId="77777777" w:rsidR="009424B8" w:rsidRPr="00C64D0B" w:rsidRDefault="009424B8" w:rsidP="00313F8C">
            <w:pPr>
              <w:jc w:val="center"/>
              <w:rPr>
                <w:rFonts w:ascii="Arial Narrow" w:hAnsi="Arial Narrow"/>
                <w:i/>
                <w:sz w:val="20"/>
                <w:szCs w:val="20"/>
              </w:rPr>
            </w:pPr>
            <w:r w:rsidRPr="00C64D0B">
              <w:rPr>
                <w:rFonts w:ascii="Arial Narrow" w:hAnsi="Arial Narrow"/>
                <w:iCs/>
                <w:sz w:val="20"/>
                <w:szCs w:val="20"/>
              </w:rPr>
              <w:t>0.05 (-0.00, 0.11)</w:t>
            </w:r>
          </w:p>
        </w:tc>
        <w:tc>
          <w:tcPr>
            <w:tcW w:w="522" w:type="pct"/>
            <w:tcBorders>
              <w:top w:val="nil"/>
              <w:left w:val="single" w:sz="4" w:space="0" w:color="auto"/>
              <w:bottom w:val="nil"/>
              <w:right w:val="single" w:sz="4" w:space="0" w:color="auto"/>
            </w:tcBorders>
            <w:shd w:val="clear" w:color="auto" w:fill="auto"/>
            <w:vAlign w:val="center"/>
          </w:tcPr>
          <w:p w14:paraId="4DB3AE4B"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NS</w:t>
            </w:r>
          </w:p>
        </w:tc>
      </w:tr>
      <w:tr w:rsidR="009424B8" w:rsidRPr="00C64D0B" w14:paraId="390E2909" w14:textId="77777777" w:rsidTr="008664BD">
        <w:trPr>
          <w:trHeight w:val="170"/>
        </w:trPr>
        <w:tc>
          <w:tcPr>
            <w:tcW w:w="1411" w:type="pct"/>
            <w:shd w:val="clear" w:color="auto" w:fill="auto"/>
          </w:tcPr>
          <w:p w14:paraId="03CF3F21" w14:textId="77777777" w:rsidR="009424B8" w:rsidRPr="00C64D0B" w:rsidRDefault="009424B8" w:rsidP="00313F8C">
            <w:pPr>
              <w:jc w:val="left"/>
              <w:rPr>
                <w:rFonts w:ascii="Arial Narrow" w:hAnsi="Arial Narrow"/>
                <w:iCs/>
                <w:sz w:val="20"/>
                <w:szCs w:val="20"/>
                <w:lang w:val="it-IT"/>
              </w:rPr>
            </w:pPr>
            <w:r w:rsidRPr="00C64D0B">
              <w:rPr>
                <w:rFonts w:ascii="Arial Narrow" w:hAnsi="Arial Narrow"/>
                <w:iCs/>
                <w:sz w:val="20"/>
                <w:szCs w:val="20"/>
                <w:lang w:val="it-IT"/>
              </w:rPr>
              <w:t>VDZ 300mg v PBO (MA: GEMINI-1, Motoya)</w:t>
            </w:r>
          </w:p>
        </w:tc>
        <w:tc>
          <w:tcPr>
            <w:tcW w:w="590" w:type="pct"/>
            <w:shd w:val="clear" w:color="auto" w:fill="auto"/>
            <w:vAlign w:val="center"/>
          </w:tcPr>
          <w:p w14:paraId="40B59940"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68/389 (17.5)</w:t>
            </w:r>
          </w:p>
        </w:tc>
        <w:tc>
          <w:tcPr>
            <w:tcW w:w="591" w:type="pct"/>
            <w:tcBorders>
              <w:right w:val="single" w:sz="4" w:space="0" w:color="auto"/>
            </w:tcBorders>
            <w:shd w:val="clear" w:color="auto" w:fill="auto"/>
            <w:vAlign w:val="center"/>
          </w:tcPr>
          <w:p w14:paraId="11C4FD6F"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18/231 (7.8)</w:t>
            </w:r>
          </w:p>
        </w:tc>
        <w:tc>
          <w:tcPr>
            <w:tcW w:w="943" w:type="pct"/>
            <w:tcBorders>
              <w:top w:val="nil"/>
              <w:left w:val="single" w:sz="4" w:space="0" w:color="auto"/>
              <w:bottom w:val="nil"/>
              <w:right w:val="single" w:sz="4" w:space="0" w:color="auto"/>
            </w:tcBorders>
            <w:shd w:val="clear" w:color="auto" w:fill="auto"/>
            <w:vAlign w:val="center"/>
          </w:tcPr>
          <w:p w14:paraId="4D3B42FF"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2.14 (1.03, 4.43)</w:t>
            </w:r>
          </w:p>
        </w:tc>
        <w:tc>
          <w:tcPr>
            <w:tcW w:w="943" w:type="pct"/>
            <w:tcBorders>
              <w:top w:val="nil"/>
              <w:left w:val="single" w:sz="4" w:space="0" w:color="auto"/>
              <w:bottom w:val="nil"/>
              <w:right w:val="single" w:sz="4" w:space="0" w:color="auto"/>
            </w:tcBorders>
            <w:shd w:val="clear" w:color="auto" w:fill="auto"/>
            <w:vAlign w:val="center"/>
          </w:tcPr>
          <w:p w14:paraId="758608E6"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0.10 (0.05, 0.15)</w:t>
            </w:r>
          </w:p>
        </w:tc>
        <w:tc>
          <w:tcPr>
            <w:tcW w:w="522" w:type="pct"/>
            <w:tcBorders>
              <w:top w:val="nil"/>
              <w:left w:val="single" w:sz="4" w:space="0" w:color="auto"/>
              <w:bottom w:val="nil"/>
              <w:right w:val="single" w:sz="4" w:space="0" w:color="auto"/>
            </w:tcBorders>
            <w:shd w:val="clear" w:color="auto" w:fill="auto"/>
            <w:vAlign w:val="center"/>
          </w:tcPr>
          <w:p w14:paraId="32105EB6"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10 (7.20)</w:t>
            </w:r>
          </w:p>
        </w:tc>
      </w:tr>
      <w:tr w:rsidR="009424B8" w:rsidRPr="00C64D0B" w14:paraId="308E2CD4" w14:textId="77777777" w:rsidTr="008664BD">
        <w:trPr>
          <w:trHeight w:val="170"/>
        </w:trPr>
        <w:tc>
          <w:tcPr>
            <w:tcW w:w="2592" w:type="pct"/>
            <w:gridSpan w:val="3"/>
            <w:tcBorders>
              <w:right w:val="single" w:sz="4" w:space="0" w:color="auto"/>
            </w:tcBorders>
            <w:shd w:val="clear" w:color="auto" w:fill="auto"/>
          </w:tcPr>
          <w:p w14:paraId="6F490B98" w14:textId="37462E0D" w:rsidR="009424B8" w:rsidRPr="00C64D0B" w:rsidRDefault="009424B8" w:rsidP="00313F8C">
            <w:pPr>
              <w:rPr>
                <w:rFonts w:ascii="Arial Narrow" w:hAnsi="Arial Narrow"/>
                <w:b/>
                <w:bCs/>
                <w:iCs/>
                <w:sz w:val="20"/>
                <w:szCs w:val="20"/>
              </w:rPr>
            </w:pPr>
            <w:r w:rsidRPr="00C64D0B">
              <w:rPr>
                <w:rFonts w:ascii="Arial Narrow" w:hAnsi="Arial Narrow"/>
                <w:b/>
                <w:bCs/>
                <w:iCs/>
                <w:sz w:val="20"/>
                <w:szCs w:val="20"/>
              </w:rPr>
              <w:t>Clinical response, FMS Wk6/8/10 (ITT)</w:t>
            </w:r>
          </w:p>
        </w:tc>
        <w:tc>
          <w:tcPr>
            <w:tcW w:w="943" w:type="pct"/>
            <w:tcBorders>
              <w:top w:val="nil"/>
              <w:left w:val="single" w:sz="4" w:space="0" w:color="auto"/>
              <w:bottom w:val="nil"/>
              <w:right w:val="single" w:sz="4" w:space="0" w:color="auto"/>
            </w:tcBorders>
            <w:shd w:val="clear" w:color="auto" w:fill="auto"/>
            <w:vAlign w:val="center"/>
          </w:tcPr>
          <w:p w14:paraId="604EB171" w14:textId="77777777" w:rsidR="009424B8" w:rsidRPr="00C64D0B" w:rsidRDefault="009424B8" w:rsidP="00313F8C">
            <w:pPr>
              <w:jc w:val="center"/>
              <w:rPr>
                <w:rFonts w:ascii="Arial Narrow" w:hAnsi="Arial Narrow"/>
                <w:b/>
                <w:bCs/>
                <w:iCs/>
                <w:sz w:val="20"/>
                <w:szCs w:val="20"/>
              </w:rPr>
            </w:pPr>
          </w:p>
        </w:tc>
        <w:tc>
          <w:tcPr>
            <w:tcW w:w="943" w:type="pct"/>
            <w:tcBorders>
              <w:top w:val="nil"/>
              <w:left w:val="single" w:sz="4" w:space="0" w:color="auto"/>
              <w:bottom w:val="nil"/>
              <w:right w:val="single" w:sz="4" w:space="0" w:color="auto"/>
            </w:tcBorders>
            <w:shd w:val="clear" w:color="auto" w:fill="auto"/>
            <w:vAlign w:val="center"/>
          </w:tcPr>
          <w:p w14:paraId="45FA1331" w14:textId="77777777" w:rsidR="009424B8" w:rsidRPr="00C64D0B" w:rsidRDefault="009424B8" w:rsidP="00313F8C">
            <w:pPr>
              <w:jc w:val="center"/>
              <w:rPr>
                <w:rFonts w:ascii="Arial Narrow" w:hAnsi="Arial Narrow"/>
                <w:i/>
                <w:sz w:val="20"/>
                <w:szCs w:val="20"/>
              </w:rPr>
            </w:pPr>
          </w:p>
        </w:tc>
        <w:tc>
          <w:tcPr>
            <w:tcW w:w="522" w:type="pct"/>
            <w:tcBorders>
              <w:top w:val="nil"/>
              <w:left w:val="single" w:sz="4" w:space="0" w:color="auto"/>
              <w:bottom w:val="nil"/>
              <w:right w:val="single" w:sz="4" w:space="0" w:color="auto"/>
            </w:tcBorders>
            <w:shd w:val="clear" w:color="auto" w:fill="auto"/>
            <w:vAlign w:val="center"/>
          </w:tcPr>
          <w:p w14:paraId="25BF2228" w14:textId="77777777" w:rsidR="009424B8" w:rsidRPr="00736657" w:rsidRDefault="009424B8" w:rsidP="00313F8C">
            <w:pPr>
              <w:jc w:val="center"/>
              <w:rPr>
                <w:rFonts w:ascii="Arial Narrow" w:hAnsi="Arial Narrow"/>
                <w:b/>
                <w:bCs/>
                <w:iCs/>
                <w:sz w:val="20"/>
                <w:szCs w:val="20"/>
              </w:rPr>
            </w:pPr>
          </w:p>
        </w:tc>
      </w:tr>
      <w:tr w:rsidR="009424B8" w:rsidRPr="00C64D0B" w14:paraId="1FED0EE6" w14:textId="77777777" w:rsidTr="008664BD">
        <w:trPr>
          <w:trHeight w:val="170"/>
        </w:trPr>
        <w:tc>
          <w:tcPr>
            <w:tcW w:w="1411" w:type="pct"/>
            <w:shd w:val="clear" w:color="auto" w:fill="auto"/>
          </w:tcPr>
          <w:p w14:paraId="595A81C1" w14:textId="77777777" w:rsidR="009424B8" w:rsidRPr="00C64D0B" w:rsidRDefault="009424B8" w:rsidP="00313F8C">
            <w:pPr>
              <w:jc w:val="left"/>
              <w:rPr>
                <w:rFonts w:ascii="Arial Narrow" w:hAnsi="Arial Narrow"/>
                <w:iCs/>
                <w:sz w:val="20"/>
                <w:szCs w:val="20"/>
              </w:rPr>
            </w:pPr>
            <w:r w:rsidRPr="00C64D0B">
              <w:rPr>
                <w:rFonts w:ascii="Arial Narrow" w:hAnsi="Arial Narrow"/>
                <w:iCs/>
                <w:sz w:val="20"/>
                <w:szCs w:val="20"/>
              </w:rPr>
              <w:t>UPA 45mg v PBO (MA: U-ACHIEVE-S1/S2, U-ACCOMPLISH)</w:t>
            </w:r>
          </w:p>
        </w:tc>
        <w:tc>
          <w:tcPr>
            <w:tcW w:w="590" w:type="pct"/>
            <w:shd w:val="clear" w:color="auto" w:fill="auto"/>
            <w:vAlign w:val="center"/>
          </w:tcPr>
          <w:p w14:paraId="0030A08F"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516/716 (72.1)</w:t>
            </w:r>
          </w:p>
        </w:tc>
        <w:tc>
          <w:tcPr>
            <w:tcW w:w="591" w:type="pct"/>
            <w:tcBorders>
              <w:right w:val="single" w:sz="4" w:space="0" w:color="auto"/>
            </w:tcBorders>
            <w:shd w:val="clear" w:color="auto" w:fill="auto"/>
            <w:vAlign w:val="center"/>
          </w:tcPr>
          <w:p w14:paraId="648C4073"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86/374 (23.0)</w:t>
            </w:r>
          </w:p>
        </w:tc>
        <w:tc>
          <w:tcPr>
            <w:tcW w:w="943" w:type="pct"/>
            <w:tcBorders>
              <w:top w:val="nil"/>
              <w:left w:val="single" w:sz="4" w:space="0" w:color="auto"/>
              <w:bottom w:val="nil"/>
              <w:right w:val="single" w:sz="4" w:space="0" w:color="auto"/>
            </w:tcBorders>
            <w:shd w:val="clear" w:color="auto" w:fill="auto"/>
            <w:vAlign w:val="center"/>
          </w:tcPr>
          <w:p w14:paraId="739165F3"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3.10 (2.56, 3.75)</w:t>
            </w:r>
          </w:p>
        </w:tc>
        <w:tc>
          <w:tcPr>
            <w:tcW w:w="943" w:type="pct"/>
            <w:tcBorders>
              <w:top w:val="nil"/>
              <w:left w:val="single" w:sz="4" w:space="0" w:color="auto"/>
              <w:bottom w:val="nil"/>
              <w:right w:val="single" w:sz="4" w:space="0" w:color="auto"/>
            </w:tcBorders>
            <w:shd w:val="clear" w:color="auto" w:fill="auto"/>
            <w:vAlign w:val="center"/>
          </w:tcPr>
          <w:p w14:paraId="2C011244"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0.49 (0.43, 0.54)</w:t>
            </w:r>
          </w:p>
        </w:tc>
        <w:tc>
          <w:tcPr>
            <w:tcW w:w="522" w:type="pct"/>
            <w:tcBorders>
              <w:top w:val="nil"/>
              <w:left w:val="single" w:sz="4" w:space="0" w:color="auto"/>
              <w:bottom w:val="nil"/>
              <w:right w:val="single" w:sz="4" w:space="0" w:color="auto"/>
            </w:tcBorders>
            <w:shd w:val="clear" w:color="auto" w:fill="auto"/>
            <w:vAlign w:val="center"/>
          </w:tcPr>
          <w:p w14:paraId="40267F43"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2 (2,2)</w:t>
            </w:r>
          </w:p>
        </w:tc>
      </w:tr>
      <w:tr w:rsidR="009424B8" w:rsidRPr="00C64D0B" w14:paraId="45E78942" w14:textId="77777777" w:rsidTr="008664BD">
        <w:trPr>
          <w:trHeight w:val="170"/>
        </w:trPr>
        <w:tc>
          <w:tcPr>
            <w:tcW w:w="1411" w:type="pct"/>
            <w:shd w:val="clear" w:color="auto" w:fill="auto"/>
          </w:tcPr>
          <w:p w14:paraId="6461540F" w14:textId="77777777" w:rsidR="009424B8" w:rsidRPr="00C64D0B" w:rsidRDefault="009424B8" w:rsidP="00313F8C">
            <w:pPr>
              <w:jc w:val="left"/>
              <w:rPr>
                <w:rFonts w:ascii="Arial Narrow" w:hAnsi="Arial Narrow"/>
                <w:iCs/>
                <w:sz w:val="20"/>
                <w:szCs w:val="20"/>
                <w:lang w:val="it-IT"/>
              </w:rPr>
            </w:pPr>
            <w:r w:rsidRPr="00C64D0B">
              <w:rPr>
                <w:rFonts w:ascii="Arial Narrow" w:hAnsi="Arial Narrow"/>
                <w:iCs/>
                <w:sz w:val="20"/>
                <w:szCs w:val="20"/>
                <w:lang w:val="it-IT"/>
              </w:rPr>
              <w:t>TOF 10mg v PBO (MA: OCTAVE-1, OCTAVE-2)</w:t>
            </w:r>
          </w:p>
        </w:tc>
        <w:tc>
          <w:tcPr>
            <w:tcW w:w="590" w:type="pct"/>
            <w:shd w:val="clear" w:color="auto" w:fill="auto"/>
            <w:vAlign w:val="center"/>
          </w:tcPr>
          <w:p w14:paraId="04E2C0BC"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521/905 (57.5)</w:t>
            </w:r>
          </w:p>
        </w:tc>
        <w:tc>
          <w:tcPr>
            <w:tcW w:w="591" w:type="pct"/>
            <w:tcBorders>
              <w:right w:val="single" w:sz="4" w:space="0" w:color="auto"/>
            </w:tcBorders>
            <w:shd w:val="clear" w:color="auto" w:fill="auto"/>
            <w:vAlign w:val="center"/>
          </w:tcPr>
          <w:p w14:paraId="0A089463"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72/234 (30.7)</w:t>
            </w:r>
          </w:p>
        </w:tc>
        <w:tc>
          <w:tcPr>
            <w:tcW w:w="943" w:type="pct"/>
            <w:tcBorders>
              <w:top w:val="nil"/>
              <w:left w:val="single" w:sz="4" w:space="0" w:color="auto"/>
              <w:bottom w:val="nil"/>
              <w:right w:val="single" w:sz="4" w:space="0" w:color="auto"/>
            </w:tcBorders>
            <w:shd w:val="clear" w:color="auto" w:fill="auto"/>
            <w:vAlign w:val="center"/>
          </w:tcPr>
          <w:p w14:paraId="06315443"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1.87 (1.53, 2.28)</w:t>
            </w:r>
          </w:p>
        </w:tc>
        <w:tc>
          <w:tcPr>
            <w:tcW w:w="943" w:type="pct"/>
            <w:tcBorders>
              <w:top w:val="nil"/>
              <w:left w:val="single" w:sz="4" w:space="0" w:color="auto"/>
              <w:bottom w:val="nil"/>
              <w:right w:val="single" w:sz="4" w:space="0" w:color="auto"/>
            </w:tcBorders>
            <w:shd w:val="clear" w:color="auto" w:fill="auto"/>
            <w:vAlign w:val="center"/>
          </w:tcPr>
          <w:p w14:paraId="2D7A4DF5"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0.27 (0.20, 0.33)</w:t>
            </w:r>
          </w:p>
        </w:tc>
        <w:tc>
          <w:tcPr>
            <w:tcW w:w="522" w:type="pct"/>
            <w:tcBorders>
              <w:top w:val="nil"/>
              <w:left w:val="single" w:sz="4" w:space="0" w:color="auto"/>
              <w:bottom w:val="nil"/>
              <w:right w:val="single" w:sz="4" w:space="0" w:color="auto"/>
            </w:tcBorders>
            <w:shd w:val="clear" w:color="auto" w:fill="auto"/>
            <w:vAlign w:val="center"/>
          </w:tcPr>
          <w:p w14:paraId="480D6BA6"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4(3,5)</w:t>
            </w:r>
          </w:p>
        </w:tc>
      </w:tr>
      <w:tr w:rsidR="009424B8" w:rsidRPr="00C64D0B" w14:paraId="64B6F4BE" w14:textId="77777777" w:rsidTr="008664BD">
        <w:trPr>
          <w:trHeight w:val="170"/>
        </w:trPr>
        <w:tc>
          <w:tcPr>
            <w:tcW w:w="1411" w:type="pct"/>
            <w:shd w:val="clear" w:color="auto" w:fill="auto"/>
          </w:tcPr>
          <w:p w14:paraId="5E898D87" w14:textId="77777777" w:rsidR="009424B8" w:rsidRPr="00C64D0B" w:rsidRDefault="009424B8" w:rsidP="00313F8C">
            <w:pPr>
              <w:jc w:val="left"/>
              <w:rPr>
                <w:rFonts w:ascii="Arial Narrow" w:hAnsi="Arial Narrow"/>
                <w:iCs/>
                <w:sz w:val="20"/>
                <w:szCs w:val="20"/>
                <w:lang w:val="fr-FR"/>
              </w:rPr>
            </w:pPr>
            <w:r w:rsidRPr="00C64D0B">
              <w:rPr>
                <w:rFonts w:ascii="Arial Narrow" w:hAnsi="Arial Narrow"/>
                <w:iCs/>
                <w:sz w:val="20"/>
                <w:szCs w:val="20"/>
                <w:lang w:val="fr-FR"/>
              </w:rPr>
              <w:t>IFX 5mg/kg v PBO (MA: ACT 1/2, Jiang, REMICADE, Kobayashi)</w:t>
            </w:r>
          </w:p>
        </w:tc>
        <w:tc>
          <w:tcPr>
            <w:tcW w:w="590" w:type="pct"/>
            <w:shd w:val="clear" w:color="auto" w:fill="auto"/>
            <w:vAlign w:val="center"/>
          </w:tcPr>
          <w:p w14:paraId="5E076B1A"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283/437 (64.8)</w:t>
            </w:r>
          </w:p>
        </w:tc>
        <w:tc>
          <w:tcPr>
            <w:tcW w:w="591" w:type="pct"/>
            <w:tcBorders>
              <w:right w:val="single" w:sz="4" w:space="0" w:color="auto"/>
            </w:tcBorders>
            <w:shd w:val="clear" w:color="auto" w:fill="auto"/>
            <w:vAlign w:val="center"/>
          </w:tcPr>
          <w:p w14:paraId="5DA4B656"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152/438 (34.7)</w:t>
            </w:r>
          </w:p>
        </w:tc>
        <w:tc>
          <w:tcPr>
            <w:tcW w:w="943" w:type="pct"/>
            <w:tcBorders>
              <w:top w:val="nil"/>
              <w:left w:val="single" w:sz="4" w:space="0" w:color="auto"/>
              <w:bottom w:val="nil"/>
              <w:right w:val="single" w:sz="4" w:space="0" w:color="auto"/>
            </w:tcBorders>
            <w:shd w:val="clear" w:color="auto" w:fill="auto"/>
            <w:vAlign w:val="center"/>
          </w:tcPr>
          <w:p w14:paraId="12F3DEAE"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1.86 (1.61, 2.15)</w:t>
            </w:r>
          </w:p>
        </w:tc>
        <w:tc>
          <w:tcPr>
            <w:tcW w:w="943" w:type="pct"/>
            <w:tcBorders>
              <w:top w:val="nil"/>
              <w:left w:val="single" w:sz="4" w:space="0" w:color="auto"/>
              <w:bottom w:val="nil"/>
              <w:right w:val="single" w:sz="4" w:space="0" w:color="auto"/>
            </w:tcBorders>
            <w:shd w:val="clear" w:color="auto" w:fill="auto"/>
            <w:vAlign w:val="center"/>
          </w:tcPr>
          <w:p w14:paraId="30B28018"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0.3 (0.23, 0.37)</w:t>
            </w:r>
          </w:p>
        </w:tc>
        <w:tc>
          <w:tcPr>
            <w:tcW w:w="522" w:type="pct"/>
            <w:tcBorders>
              <w:top w:val="nil"/>
              <w:left w:val="single" w:sz="4" w:space="0" w:color="auto"/>
              <w:bottom w:val="nil"/>
              <w:right w:val="single" w:sz="4" w:space="0" w:color="auto"/>
            </w:tcBorders>
            <w:shd w:val="clear" w:color="auto" w:fill="auto"/>
            <w:vAlign w:val="center"/>
          </w:tcPr>
          <w:p w14:paraId="4AE8EC1D"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3(3,4)</w:t>
            </w:r>
          </w:p>
        </w:tc>
      </w:tr>
      <w:tr w:rsidR="009424B8" w:rsidRPr="00C64D0B" w14:paraId="0CB5C5C0" w14:textId="77777777" w:rsidTr="008664BD">
        <w:trPr>
          <w:trHeight w:val="170"/>
        </w:trPr>
        <w:tc>
          <w:tcPr>
            <w:tcW w:w="1411" w:type="pct"/>
            <w:shd w:val="clear" w:color="auto" w:fill="auto"/>
          </w:tcPr>
          <w:p w14:paraId="59D7FF8E" w14:textId="77777777" w:rsidR="009424B8" w:rsidRPr="00C64D0B" w:rsidRDefault="009424B8" w:rsidP="00313F8C">
            <w:pPr>
              <w:jc w:val="left"/>
              <w:rPr>
                <w:rFonts w:ascii="Arial Narrow" w:hAnsi="Arial Narrow"/>
                <w:iCs/>
                <w:sz w:val="20"/>
                <w:szCs w:val="20"/>
                <w:lang w:val="fr-FR"/>
              </w:rPr>
            </w:pPr>
            <w:r w:rsidRPr="00C64D0B">
              <w:rPr>
                <w:rFonts w:ascii="Arial Narrow" w:hAnsi="Arial Narrow"/>
                <w:iCs/>
                <w:sz w:val="20"/>
                <w:szCs w:val="20"/>
                <w:lang w:val="fr-FR"/>
              </w:rPr>
              <w:t>GOL 200-&gt;100mg v PBO (PURSUIT-SC)</w:t>
            </w:r>
          </w:p>
        </w:tc>
        <w:tc>
          <w:tcPr>
            <w:tcW w:w="590" w:type="pct"/>
            <w:shd w:val="clear" w:color="auto" w:fill="auto"/>
            <w:vAlign w:val="center"/>
          </w:tcPr>
          <w:p w14:paraId="4E73BEF4"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129/253 (51.0)</w:t>
            </w:r>
          </w:p>
        </w:tc>
        <w:tc>
          <w:tcPr>
            <w:tcW w:w="591" w:type="pct"/>
            <w:tcBorders>
              <w:right w:val="single" w:sz="4" w:space="0" w:color="auto"/>
            </w:tcBorders>
            <w:shd w:val="clear" w:color="auto" w:fill="auto"/>
            <w:vAlign w:val="center"/>
          </w:tcPr>
          <w:p w14:paraId="497184B6"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76/251 (30.3)</w:t>
            </w:r>
          </w:p>
        </w:tc>
        <w:tc>
          <w:tcPr>
            <w:tcW w:w="943" w:type="pct"/>
            <w:tcBorders>
              <w:top w:val="nil"/>
              <w:left w:val="single" w:sz="4" w:space="0" w:color="auto"/>
              <w:bottom w:val="nil"/>
              <w:right w:val="single" w:sz="4" w:space="0" w:color="auto"/>
            </w:tcBorders>
            <w:shd w:val="clear" w:color="auto" w:fill="auto"/>
            <w:vAlign w:val="center"/>
          </w:tcPr>
          <w:p w14:paraId="22FD0D71"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1.68 (1.35, 2.11)</w:t>
            </w:r>
          </w:p>
        </w:tc>
        <w:tc>
          <w:tcPr>
            <w:tcW w:w="943" w:type="pct"/>
            <w:tcBorders>
              <w:top w:val="nil"/>
              <w:left w:val="single" w:sz="4" w:space="0" w:color="auto"/>
              <w:bottom w:val="nil"/>
              <w:right w:val="single" w:sz="4" w:space="0" w:color="auto"/>
            </w:tcBorders>
            <w:shd w:val="clear" w:color="auto" w:fill="auto"/>
            <w:vAlign w:val="center"/>
          </w:tcPr>
          <w:p w14:paraId="60F95AED"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0.21 (0.12, 0.29)</w:t>
            </w:r>
          </w:p>
        </w:tc>
        <w:tc>
          <w:tcPr>
            <w:tcW w:w="522" w:type="pct"/>
            <w:tcBorders>
              <w:top w:val="nil"/>
              <w:left w:val="single" w:sz="4" w:space="0" w:color="auto"/>
              <w:bottom w:val="nil"/>
              <w:right w:val="single" w:sz="4" w:space="0" w:color="auto"/>
            </w:tcBorders>
            <w:shd w:val="clear" w:color="auto" w:fill="auto"/>
            <w:vAlign w:val="center"/>
          </w:tcPr>
          <w:p w14:paraId="59221CC0"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5(3,8)</w:t>
            </w:r>
          </w:p>
        </w:tc>
      </w:tr>
      <w:tr w:rsidR="009424B8" w:rsidRPr="00C64D0B" w14:paraId="08AD33AF" w14:textId="77777777" w:rsidTr="008664BD">
        <w:trPr>
          <w:trHeight w:val="170"/>
        </w:trPr>
        <w:tc>
          <w:tcPr>
            <w:tcW w:w="1411" w:type="pct"/>
            <w:shd w:val="clear" w:color="auto" w:fill="auto"/>
          </w:tcPr>
          <w:p w14:paraId="346FFB9E" w14:textId="77777777" w:rsidR="009424B8" w:rsidRPr="00C64D0B" w:rsidRDefault="009424B8" w:rsidP="00313F8C">
            <w:pPr>
              <w:jc w:val="left"/>
              <w:rPr>
                <w:rFonts w:ascii="Arial Narrow" w:hAnsi="Arial Narrow"/>
                <w:iCs/>
                <w:sz w:val="20"/>
                <w:szCs w:val="20"/>
                <w:lang w:val="it-IT"/>
              </w:rPr>
            </w:pPr>
            <w:r w:rsidRPr="00C64D0B">
              <w:rPr>
                <w:rFonts w:ascii="Arial Narrow" w:hAnsi="Arial Narrow"/>
                <w:iCs/>
                <w:sz w:val="20"/>
                <w:szCs w:val="20"/>
                <w:lang w:val="it-IT"/>
              </w:rPr>
              <w:t>ADA 160-&gt;80mg v PBO (MA: ULTRA-1, ULTRA-2, Suzuki)</w:t>
            </w:r>
          </w:p>
        </w:tc>
        <w:tc>
          <w:tcPr>
            <w:tcW w:w="590" w:type="pct"/>
            <w:shd w:val="clear" w:color="auto" w:fill="auto"/>
            <w:vAlign w:val="center"/>
          </w:tcPr>
          <w:p w14:paraId="47149DF6"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241/468 (51.4)</w:t>
            </w:r>
          </w:p>
        </w:tc>
        <w:tc>
          <w:tcPr>
            <w:tcW w:w="591" w:type="pct"/>
            <w:tcBorders>
              <w:right w:val="single" w:sz="4" w:space="0" w:color="auto"/>
            </w:tcBorders>
            <w:shd w:val="clear" w:color="auto" w:fill="auto"/>
            <w:vAlign w:val="center"/>
          </w:tcPr>
          <w:p w14:paraId="7CFCBDBB"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177/472 (37.5)</w:t>
            </w:r>
          </w:p>
        </w:tc>
        <w:tc>
          <w:tcPr>
            <w:tcW w:w="943" w:type="pct"/>
            <w:tcBorders>
              <w:top w:val="nil"/>
              <w:left w:val="single" w:sz="4" w:space="0" w:color="auto"/>
              <w:bottom w:val="nil"/>
              <w:right w:val="single" w:sz="4" w:space="0" w:color="auto"/>
            </w:tcBorders>
            <w:shd w:val="clear" w:color="auto" w:fill="auto"/>
            <w:vAlign w:val="center"/>
          </w:tcPr>
          <w:p w14:paraId="0707A733"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1.36 (1.18, 1.58)</w:t>
            </w:r>
          </w:p>
        </w:tc>
        <w:tc>
          <w:tcPr>
            <w:tcW w:w="943" w:type="pct"/>
            <w:tcBorders>
              <w:top w:val="nil"/>
              <w:left w:val="single" w:sz="4" w:space="0" w:color="auto"/>
              <w:bottom w:val="nil"/>
              <w:right w:val="single" w:sz="4" w:space="0" w:color="auto"/>
            </w:tcBorders>
            <w:shd w:val="clear" w:color="auto" w:fill="auto"/>
            <w:vAlign w:val="center"/>
          </w:tcPr>
          <w:p w14:paraId="4BA5F12B" w14:textId="77777777" w:rsidR="009424B8" w:rsidRPr="00C64D0B" w:rsidRDefault="009424B8" w:rsidP="00313F8C">
            <w:pPr>
              <w:jc w:val="center"/>
              <w:rPr>
                <w:rFonts w:ascii="Arial Narrow" w:hAnsi="Arial Narrow"/>
                <w:i/>
                <w:sz w:val="20"/>
                <w:szCs w:val="20"/>
              </w:rPr>
            </w:pPr>
            <w:r w:rsidRPr="00C64D0B">
              <w:rPr>
                <w:rFonts w:ascii="Arial Narrow" w:hAnsi="Arial Narrow"/>
                <w:b/>
                <w:bCs/>
                <w:iCs/>
                <w:sz w:val="20"/>
                <w:szCs w:val="20"/>
              </w:rPr>
              <w:t>0.14 (0.08, 0.20)</w:t>
            </w:r>
          </w:p>
        </w:tc>
        <w:tc>
          <w:tcPr>
            <w:tcW w:w="522" w:type="pct"/>
            <w:tcBorders>
              <w:top w:val="nil"/>
              <w:left w:val="single" w:sz="4" w:space="0" w:color="auto"/>
              <w:bottom w:val="nil"/>
              <w:right w:val="single" w:sz="4" w:space="0" w:color="auto"/>
            </w:tcBorders>
            <w:shd w:val="clear" w:color="auto" w:fill="auto"/>
            <w:vAlign w:val="center"/>
          </w:tcPr>
          <w:p w14:paraId="3821EDD1"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7(5,13)</w:t>
            </w:r>
          </w:p>
        </w:tc>
      </w:tr>
      <w:tr w:rsidR="009424B8" w:rsidRPr="00C64D0B" w14:paraId="7E567296" w14:textId="77777777" w:rsidTr="008664BD">
        <w:trPr>
          <w:trHeight w:val="170"/>
        </w:trPr>
        <w:tc>
          <w:tcPr>
            <w:tcW w:w="1411" w:type="pct"/>
            <w:shd w:val="clear" w:color="auto" w:fill="auto"/>
          </w:tcPr>
          <w:p w14:paraId="77A4825C" w14:textId="77777777" w:rsidR="009424B8" w:rsidRPr="00C64D0B" w:rsidRDefault="009424B8" w:rsidP="00313F8C">
            <w:pPr>
              <w:jc w:val="left"/>
              <w:rPr>
                <w:rFonts w:ascii="Arial Narrow" w:hAnsi="Arial Narrow"/>
                <w:iCs/>
                <w:sz w:val="20"/>
                <w:szCs w:val="20"/>
                <w:lang w:val="it-IT"/>
              </w:rPr>
            </w:pPr>
            <w:r w:rsidRPr="00C64D0B">
              <w:rPr>
                <w:rFonts w:ascii="Arial Narrow" w:hAnsi="Arial Narrow"/>
                <w:iCs/>
                <w:sz w:val="20"/>
                <w:szCs w:val="20"/>
                <w:lang w:val="it-IT"/>
              </w:rPr>
              <w:t>VDZ 300mg v PBO (MA: GEMINI-1, Motoya)</w:t>
            </w:r>
          </w:p>
        </w:tc>
        <w:tc>
          <w:tcPr>
            <w:tcW w:w="590" w:type="pct"/>
            <w:shd w:val="clear" w:color="auto" w:fill="auto"/>
            <w:vAlign w:val="center"/>
          </w:tcPr>
          <w:p w14:paraId="7D29EFB1"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171/389 (44.0)</w:t>
            </w:r>
          </w:p>
        </w:tc>
        <w:tc>
          <w:tcPr>
            <w:tcW w:w="591" w:type="pct"/>
            <w:tcBorders>
              <w:right w:val="single" w:sz="4" w:space="0" w:color="auto"/>
            </w:tcBorders>
            <w:shd w:val="clear" w:color="auto" w:fill="auto"/>
            <w:vAlign w:val="center"/>
          </w:tcPr>
          <w:p w14:paraId="4CDD4546"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65/231 (28.1)</w:t>
            </w:r>
          </w:p>
        </w:tc>
        <w:tc>
          <w:tcPr>
            <w:tcW w:w="943" w:type="pct"/>
            <w:tcBorders>
              <w:top w:val="nil"/>
              <w:left w:val="single" w:sz="4" w:space="0" w:color="auto"/>
              <w:bottom w:val="nil"/>
              <w:right w:val="single" w:sz="4" w:space="0" w:color="auto"/>
            </w:tcBorders>
            <w:shd w:val="clear" w:color="auto" w:fill="auto"/>
            <w:vAlign w:val="center"/>
          </w:tcPr>
          <w:p w14:paraId="5FB75E87"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1.51 (0.99, 2.29)</w:t>
            </w:r>
          </w:p>
        </w:tc>
        <w:tc>
          <w:tcPr>
            <w:tcW w:w="943" w:type="pct"/>
            <w:tcBorders>
              <w:top w:val="nil"/>
              <w:left w:val="single" w:sz="4" w:space="0" w:color="auto"/>
              <w:bottom w:val="nil"/>
              <w:right w:val="single" w:sz="4" w:space="0" w:color="auto"/>
            </w:tcBorders>
            <w:shd w:val="clear" w:color="auto" w:fill="auto"/>
            <w:vAlign w:val="center"/>
          </w:tcPr>
          <w:p w14:paraId="18B2418E" w14:textId="77777777" w:rsidR="009424B8" w:rsidRPr="00C64D0B" w:rsidRDefault="009424B8" w:rsidP="00313F8C">
            <w:pPr>
              <w:jc w:val="center"/>
              <w:rPr>
                <w:rFonts w:ascii="Arial Narrow" w:hAnsi="Arial Narrow"/>
                <w:b/>
                <w:bCs/>
                <w:i/>
                <w:sz w:val="20"/>
                <w:szCs w:val="20"/>
              </w:rPr>
            </w:pPr>
            <w:r w:rsidRPr="00C64D0B">
              <w:rPr>
                <w:rFonts w:ascii="Arial Narrow" w:hAnsi="Arial Narrow"/>
                <w:b/>
                <w:bCs/>
                <w:iCs/>
                <w:sz w:val="20"/>
                <w:szCs w:val="20"/>
              </w:rPr>
              <w:t>0.15 (0.002, 0.29)</w:t>
            </w:r>
          </w:p>
        </w:tc>
        <w:tc>
          <w:tcPr>
            <w:tcW w:w="522" w:type="pct"/>
            <w:tcBorders>
              <w:top w:val="nil"/>
              <w:left w:val="single" w:sz="4" w:space="0" w:color="auto"/>
              <w:bottom w:val="nil"/>
              <w:right w:val="single" w:sz="4" w:space="0" w:color="auto"/>
            </w:tcBorders>
            <w:shd w:val="clear" w:color="auto" w:fill="auto"/>
            <w:vAlign w:val="center"/>
          </w:tcPr>
          <w:p w14:paraId="09899644"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7(3,500)</w:t>
            </w:r>
          </w:p>
        </w:tc>
      </w:tr>
      <w:tr w:rsidR="009424B8" w:rsidRPr="00C64D0B" w14:paraId="1F7A2E4E" w14:textId="77777777" w:rsidTr="008664BD">
        <w:trPr>
          <w:trHeight w:val="170"/>
        </w:trPr>
        <w:tc>
          <w:tcPr>
            <w:tcW w:w="2592" w:type="pct"/>
            <w:gridSpan w:val="3"/>
            <w:tcBorders>
              <w:right w:val="single" w:sz="4" w:space="0" w:color="auto"/>
            </w:tcBorders>
            <w:shd w:val="clear" w:color="auto" w:fill="auto"/>
            <w:vAlign w:val="center"/>
          </w:tcPr>
          <w:p w14:paraId="5576D40F" w14:textId="77777777" w:rsidR="009424B8" w:rsidRPr="00C64D0B" w:rsidRDefault="009424B8" w:rsidP="00313F8C">
            <w:pPr>
              <w:jc w:val="right"/>
              <w:rPr>
                <w:rFonts w:ascii="Arial Narrow" w:hAnsi="Arial Narrow"/>
                <w:iCs/>
                <w:sz w:val="20"/>
                <w:szCs w:val="20"/>
              </w:rPr>
            </w:pPr>
            <w:r w:rsidRPr="00C64D0B">
              <w:rPr>
                <w:rFonts w:ascii="Arial Narrow" w:hAnsi="Arial Narrow"/>
                <w:b/>
                <w:bCs/>
                <w:iCs/>
                <w:sz w:val="20"/>
                <w:szCs w:val="20"/>
                <w:lang w:val="pt-PT"/>
              </w:rPr>
              <w:t>Indirect comparison, clinical remission, ITT</w:t>
            </w:r>
          </w:p>
        </w:tc>
        <w:tc>
          <w:tcPr>
            <w:tcW w:w="943" w:type="pct"/>
            <w:tcBorders>
              <w:top w:val="nil"/>
              <w:left w:val="single" w:sz="4" w:space="0" w:color="auto"/>
              <w:bottom w:val="nil"/>
              <w:right w:val="single" w:sz="4" w:space="0" w:color="auto"/>
            </w:tcBorders>
            <w:shd w:val="clear" w:color="auto" w:fill="auto"/>
            <w:vAlign w:val="center"/>
          </w:tcPr>
          <w:p w14:paraId="4AB22F1F" w14:textId="77777777" w:rsidR="009424B8" w:rsidRPr="00C64D0B" w:rsidRDefault="009424B8" w:rsidP="00313F8C">
            <w:pPr>
              <w:jc w:val="center"/>
              <w:rPr>
                <w:rFonts w:ascii="Arial Narrow" w:hAnsi="Arial Narrow"/>
                <w:b/>
                <w:bCs/>
                <w:i/>
                <w:sz w:val="20"/>
                <w:szCs w:val="20"/>
              </w:rPr>
            </w:pPr>
          </w:p>
        </w:tc>
        <w:tc>
          <w:tcPr>
            <w:tcW w:w="943" w:type="pct"/>
            <w:tcBorders>
              <w:top w:val="nil"/>
              <w:left w:val="single" w:sz="4" w:space="0" w:color="auto"/>
              <w:bottom w:val="nil"/>
              <w:right w:val="single" w:sz="4" w:space="0" w:color="auto"/>
            </w:tcBorders>
            <w:shd w:val="clear" w:color="auto" w:fill="auto"/>
            <w:vAlign w:val="center"/>
          </w:tcPr>
          <w:p w14:paraId="30C692C7" w14:textId="77777777" w:rsidR="009424B8" w:rsidRPr="00C64D0B" w:rsidRDefault="009424B8" w:rsidP="00313F8C">
            <w:pPr>
              <w:jc w:val="center"/>
              <w:rPr>
                <w:rFonts w:ascii="Arial Narrow" w:hAnsi="Arial Narrow"/>
                <w:i/>
                <w:noProof/>
                <w:sz w:val="20"/>
                <w:szCs w:val="20"/>
              </w:rPr>
            </w:pPr>
          </w:p>
        </w:tc>
        <w:tc>
          <w:tcPr>
            <w:tcW w:w="522" w:type="pct"/>
            <w:tcBorders>
              <w:top w:val="nil"/>
              <w:left w:val="single" w:sz="4" w:space="0" w:color="auto"/>
              <w:bottom w:val="nil"/>
              <w:right w:val="single" w:sz="4" w:space="0" w:color="auto"/>
            </w:tcBorders>
            <w:shd w:val="clear" w:color="auto" w:fill="auto"/>
            <w:vAlign w:val="center"/>
          </w:tcPr>
          <w:p w14:paraId="4CF99FF4" w14:textId="77777777" w:rsidR="009424B8" w:rsidRPr="00736657" w:rsidRDefault="009424B8" w:rsidP="00313F8C">
            <w:pPr>
              <w:jc w:val="center"/>
              <w:rPr>
                <w:rFonts w:ascii="Arial Narrow" w:hAnsi="Arial Narrow"/>
                <w:iCs/>
                <w:noProof/>
                <w:sz w:val="20"/>
                <w:szCs w:val="20"/>
              </w:rPr>
            </w:pPr>
          </w:p>
        </w:tc>
      </w:tr>
      <w:tr w:rsidR="009424B8" w:rsidRPr="00C64D0B" w14:paraId="7BDD43D8" w14:textId="77777777" w:rsidTr="008664BD">
        <w:trPr>
          <w:trHeight w:val="170"/>
        </w:trPr>
        <w:tc>
          <w:tcPr>
            <w:tcW w:w="2592" w:type="pct"/>
            <w:gridSpan w:val="3"/>
            <w:tcBorders>
              <w:right w:val="single" w:sz="4" w:space="0" w:color="auto"/>
            </w:tcBorders>
            <w:shd w:val="clear" w:color="auto" w:fill="auto"/>
            <w:vAlign w:val="center"/>
          </w:tcPr>
          <w:p w14:paraId="2D4F37EF" w14:textId="77777777" w:rsidR="009424B8" w:rsidRPr="00C64D0B" w:rsidRDefault="009424B8" w:rsidP="00313F8C">
            <w:pPr>
              <w:jc w:val="right"/>
              <w:rPr>
                <w:rFonts w:ascii="Arial Narrow" w:hAnsi="Arial Narrow"/>
                <w:iCs/>
                <w:sz w:val="20"/>
                <w:szCs w:val="20"/>
              </w:rPr>
            </w:pPr>
            <w:r w:rsidRPr="00C64D0B">
              <w:rPr>
                <w:rFonts w:ascii="Arial Narrow" w:hAnsi="Arial Narrow"/>
                <w:iCs/>
                <w:sz w:val="20"/>
                <w:szCs w:val="20"/>
              </w:rPr>
              <w:t>UPA 45mg v TOF 10mg</w:t>
            </w:r>
          </w:p>
        </w:tc>
        <w:tc>
          <w:tcPr>
            <w:tcW w:w="943" w:type="pct"/>
            <w:tcBorders>
              <w:top w:val="nil"/>
              <w:left w:val="single" w:sz="4" w:space="0" w:color="auto"/>
              <w:bottom w:val="nil"/>
              <w:right w:val="single" w:sz="4" w:space="0" w:color="auto"/>
            </w:tcBorders>
            <w:shd w:val="clear" w:color="auto" w:fill="auto"/>
            <w:vAlign w:val="center"/>
          </w:tcPr>
          <w:p w14:paraId="53219E3F"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3.59 (1.36, 9.53)</w:t>
            </w:r>
          </w:p>
        </w:tc>
        <w:tc>
          <w:tcPr>
            <w:tcW w:w="943" w:type="pct"/>
            <w:tcBorders>
              <w:top w:val="nil"/>
              <w:left w:val="single" w:sz="4" w:space="0" w:color="auto"/>
              <w:bottom w:val="nil"/>
              <w:right w:val="single" w:sz="4" w:space="0" w:color="auto"/>
            </w:tcBorders>
            <w:shd w:val="clear" w:color="auto" w:fill="auto"/>
            <w:vAlign w:val="center"/>
          </w:tcPr>
          <w:p w14:paraId="4BC0A93C" w14:textId="77777777" w:rsidR="009424B8" w:rsidRPr="00C64D0B" w:rsidRDefault="009424B8" w:rsidP="00313F8C">
            <w:pPr>
              <w:jc w:val="center"/>
              <w:rPr>
                <w:rFonts w:ascii="Arial Narrow" w:hAnsi="Arial Narrow"/>
                <w:iCs/>
                <w:sz w:val="20"/>
                <w:szCs w:val="20"/>
              </w:rPr>
            </w:pPr>
            <w:r w:rsidRPr="00C64D0B">
              <w:rPr>
                <w:rFonts w:ascii="Arial Narrow" w:hAnsi="Arial Narrow"/>
                <w:b/>
                <w:bCs/>
                <w:iCs/>
                <w:sz w:val="20"/>
                <w:szCs w:val="20"/>
              </w:rPr>
              <w:t>0.10 (0.05, 0.15)</w:t>
            </w:r>
          </w:p>
        </w:tc>
        <w:tc>
          <w:tcPr>
            <w:tcW w:w="522" w:type="pct"/>
            <w:tcBorders>
              <w:top w:val="nil"/>
              <w:left w:val="single" w:sz="4" w:space="0" w:color="auto"/>
              <w:bottom w:val="nil"/>
              <w:right w:val="single" w:sz="4" w:space="0" w:color="auto"/>
            </w:tcBorders>
            <w:shd w:val="clear" w:color="auto" w:fill="auto"/>
            <w:vAlign w:val="center"/>
          </w:tcPr>
          <w:p w14:paraId="39292E2D"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10 (6,20)</w:t>
            </w:r>
          </w:p>
        </w:tc>
      </w:tr>
      <w:tr w:rsidR="009424B8" w:rsidRPr="00C64D0B" w14:paraId="4A6EF03E" w14:textId="77777777" w:rsidTr="008664BD">
        <w:trPr>
          <w:trHeight w:val="170"/>
        </w:trPr>
        <w:tc>
          <w:tcPr>
            <w:tcW w:w="2592" w:type="pct"/>
            <w:gridSpan w:val="3"/>
            <w:tcBorders>
              <w:right w:val="single" w:sz="4" w:space="0" w:color="auto"/>
            </w:tcBorders>
            <w:shd w:val="clear" w:color="auto" w:fill="auto"/>
            <w:vAlign w:val="center"/>
          </w:tcPr>
          <w:p w14:paraId="7280AAF4" w14:textId="77777777" w:rsidR="009424B8" w:rsidRPr="00C64D0B" w:rsidRDefault="009424B8" w:rsidP="00313F8C">
            <w:pPr>
              <w:jc w:val="right"/>
              <w:rPr>
                <w:rFonts w:ascii="Arial Narrow" w:hAnsi="Arial Narrow"/>
                <w:iCs/>
                <w:sz w:val="20"/>
                <w:szCs w:val="20"/>
              </w:rPr>
            </w:pPr>
            <w:r w:rsidRPr="00C64D0B">
              <w:rPr>
                <w:rFonts w:ascii="Arial Narrow" w:hAnsi="Arial Narrow"/>
                <w:iCs/>
                <w:sz w:val="20"/>
                <w:szCs w:val="20"/>
              </w:rPr>
              <w:t>UPA 45mg v IFX 5mg/kg</w:t>
            </w:r>
          </w:p>
        </w:tc>
        <w:tc>
          <w:tcPr>
            <w:tcW w:w="943" w:type="pct"/>
            <w:tcBorders>
              <w:top w:val="nil"/>
              <w:left w:val="single" w:sz="4" w:space="0" w:color="auto"/>
              <w:bottom w:val="nil"/>
              <w:right w:val="single" w:sz="4" w:space="0" w:color="auto"/>
            </w:tcBorders>
            <w:shd w:val="clear" w:color="auto" w:fill="auto"/>
            <w:vAlign w:val="center"/>
          </w:tcPr>
          <w:p w14:paraId="4D2B4BA6"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3.90 (1.81, 8.38)</w:t>
            </w:r>
          </w:p>
        </w:tc>
        <w:tc>
          <w:tcPr>
            <w:tcW w:w="943" w:type="pct"/>
            <w:tcBorders>
              <w:top w:val="nil"/>
              <w:left w:val="single" w:sz="4" w:space="0" w:color="auto"/>
              <w:bottom w:val="nil"/>
              <w:right w:val="single" w:sz="4" w:space="0" w:color="auto"/>
            </w:tcBorders>
            <w:shd w:val="clear" w:color="auto" w:fill="auto"/>
            <w:vAlign w:val="center"/>
          </w:tcPr>
          <w:p w14:paraId="110206A2" w14:textId="77777777" w:rsidR="009424B8" w:rsidRPr="00C64D0B" w:rsidRDefault="009424B8" w:rsidP="00313F8C">
            <w:pPr>
              <w:jc w:val="center"/>
              <w:rPr>
                <w:rFonts w:ascii="Arial Narrow" w:hAnsi="Arial Narrow"/>
                <w:iCs/>
                <w:sz w:val="20"/>
                <w:szCs w:val="20"/>
              </w:rPr>
            </w:pPr>
            <w:r w:rsidRPr="00C64D0B">
              <w:rPr>
                <w:rFonts w:ascii="Arial Narrow" w:hAnsi="Arial Narrow"/>
                <w:iCs/>
                <w:sz w:val="20"/>
                <w:szCs w:val="20"/>
              </w:rPr>
              <w:t>0.02 (-0.07, 0.11)</w:t>
            </w:r>
          </w:p>
        </w:tc>
        <w:tc>
          <w:tcPr>
            <w:tcW w:w="522" w:type="pct"/>
            <w:tcBorders>
              <w:top w:val="nil"/>
              <w:left w:val="single" w:sz="4" w:space="0" w:color="auto"/>
              <w:bottom w:val="nil"/>
              <w:right w:val="single" w:sz="4" w:space="0" w:color="auto"/>
            </w:tcBorders>
            <w:shd w:val="clear" w:color="auto" w:fill="auto"/>
            <w:vAlign w:val="center"/>
          </w:tcPr>
          <w:p w14:paraId="15C53AD6"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C64D0B" w14:paraId="21819E9A" w14:textId="77777777" w:rsidTr="008664BD">
        <w:trPr>
          <w:trHeight w:val="170"/>
        </w:trPr>
        <w:tc>
          <w:tcPr>
            <w:tcW w:w="2592" w:type="pct"/>
            <w:gridSpan w:val="3"/>
            <w:tcBorders>
              <w:right w:val="single" w:sz="4" w:space="0" w:color="auto"/>
            </w:tcBorders>
            <w:shd w:val="clear" w:color="auto" w:fill="auto"/>
            <w:vAlign w:val="center"/>
          </w:tcPr>
          <w:p w14:paraId="1D0365D3" w14:textId="77777777" w:rsidR="009424B8" w:rsidRPr="00C64D0B" w:rsidRDefault="009424B8" w:rsidP="00313F8C">
            <w:pPr>
              <w:jc w:val="right"/>
              <w:rPr>
                <w:rFonts w:ascii="Arial Narrow" w:hAnsi="Arial Narrow"/>
                <w:iCs/>
                <w:sz w:val="20"/>
                <w:szCs w:val="20"/>
                <w:lang w:val="it-IT"/>
              </w:rPr>
            </w:pPr>
            <w:r w:rsidRPr="00C64D0B">
              <w:rPr>
                <w:rFonts w:ascii="Arial Narrow" w:hAnsi="Arial Narrow"/>
                <w:iCs/>
                <w:sz w:val="20"/>
                <w:szCs w:val="20"/>
                <w:lang w:val="it-IT"/>
              </w:rPr>
              <w:t>UPA 45mg v GOL 200-&gt;100mg</w:t>
            </w:r>
          </w:p>
        </w:tc>
        <w:tc>
          <w:tcPr>
            <w:tcW w:w="943" w:type="pct"/>
            <w:tcBorders>
              <w:top w:val="nil"/>
              <w:left w:val="single" w:sz="4" w:space="0" w:color="auto"/>
              <w:bottom w:val="nil"/>
              <w:right w:val="single" w:sz="4" w:space="0" w:color="auto"/>
            </w:tcBorders>
            <w:shd w:val="clear" w:color="auto" w:fill="auto"/>
            <w:vAlign w:val="center"/>
          </w:tcPr>
          <w:p w14:paraId="26660753"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3.80 (1.60, 9.05)</w:t>
            </w:r>
          </w:p>
        </w:tc>
        <w:tc>
          <w:tcPr>
            <w:tcW w:w="943" w:type="pct"/>
            <w:tcBorders>
              <w:top w:val="nil"/>
              <w:left w:val="single" w:sz="4" w:space="0" w:color="auto"/>
              <w:bottom w:val="nil"/>
              <w:right w:val="single" w:sz="4" w:space="0" w:color="auto"/>
            </w:tcBorders>
            <w:shd w:val="clear" w:color="auto" w:fill="auto"/>
            <w:vAlign w:val="center"/>
          </w:tcPr>
          <w:p w14:paraId="3333D36B" w14:textId="77777777" w:rsidR="009424B8" w:rsidRPr="00C64D0B" w:rsidRDefault="009424B8" w:rsidP="00313F8C">
            <w:pPr>
              <w:jc w:val="center"/>
              <w:rPr>
                <w:rFonts w:ascii="Arial Narrow" w:hAnsi="Arial Narrow"/>
                <w:iCs/>
                <w:sz w:val="20"/>
                <w:szCs w:val="20"/>
              </w:rPr>
            </w:pPr>
            <w:r w:rsidRPr="00C64D0B">
              <w:rPr>
                <w:rFonts w:ascii="Arial Narrow" w:hAnsi="Arial Narrow"/>
                <w:b/>
                <w:bCs/>
                <w:iCs/>
                <w:sz w:val="20"/>
                <w:szCs w:val="20"/>
              </w:rPr>
              <w:t>0.11 (0.04, 0.18)</w:t>
            </w:r>
          </w:p>
        </w:tc>
        <w:tc>
          <w:tcPr>
            <w:tcW w:w="522" w:type="pct"/>
            <w:tcBorders>
              <w:top w:val="nil"/>
              <w:left w:val="single" w:sz="4" w:space="0" w:color="auto"/>
              <w:bottom w:val="nil"/>
              <w:right w:val="single" w:sz="4" w:space="0" w:color="auto"/>
            </w:tcBorders>
            <w:shd w:val="clear" w:color="auto" w:fill="auto"/>
            <w:vAlign w:val="center"/>
          </w:tcPr>
          <w:p w14:paraId="664288A9"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9 (6,20)</w:t>
            </w:r>
          </w:p>
        </w:tc>
      </w:tr>
      <w:tr w:rsidR="009424B8" w:rsidRPr="00C64D0B" w14:paraId="10A1D8DC" w14:textId="77777777" w:rsidTr="008664BD">
        <w:trPr>
          <w:trHeight w:val="170"/>
        </w:trPr>
        <w:tc>
          <w:tcPr>
            <w:tcW w:w="2592" w:type="pct"/>
            <w:gridSpan w:val="3"/>
            <w:tcBorders>
              <w:right w:val="single" w:sz="4" w:space="0" w:color="auto"/>
            </w:tcBorders>
            <w:shd w:val="clear" w:color="auto" w:fill="auto"/>
            <w:vAlign w:val="center"/>
          </w:tcPr>
          <w:p w14:paraId="04AE404F" w14:textId="77777777" w:rsidR="009424B8" w:rsidRPr="00C64D0B" w:rsidRDefault="009424B8" w:rsidP="00313F8C">
            <w:pPr>
              <w:jc w:val="right"/>
              <w:rPr>
                <w:rFonts w:ascii="Arial Narrow" w:hAnsi="Arial Narrow"/>
                <w:iCs/>
                <w:sz w:val="20"/>
                <w:szCs w:val="20"/>
                <w:lang w:val="pt-PT"/>
              </w:rPr>
            </w:pPr>
            <w:r w:rsidRPr="00C64D0B">
              <w:rPr>
                <w:rFonts w:ascii="Arial Narrow" w:hAnsi="Arial Narrow"/>
                <w:iCs/>
                <w:sz w:val="20"/>
                <w:szCs w:val="20"/>
                <w:lang w:val="pt-PT"/>
              </w:rPr>
              <w:t>UPA 45mg v ADA 160-&gt;80mg</w:t>
            </w:r>
          </w:p>
        </w:tc>
        <w:tc>
          <w:tcPr>
            <w:tcW w:w="943" w:type="pct"/>
            <w:tcBorders>
              <w:top w:val="nil"/>
              <w:left w:val="single" w:sz="4" w:space="0" w:color="auto"/>
              <w:bottom w:val="nil"/>
              <w:right w:val="single" w:sz="4" w:space="0" w:color="auto"/>
            </w:tcBorders>
            <w:shd w:val="clear" w:color="auto" w:fill="auto"/>
            <w:vAlign w:val="center"/>
          </w:tcPr>
          <w:p w14:paraId="2BE5B951"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6.71 (3.04, 14.83)</w:t>
            </w:r>
          </w:p>
        </w:tc>
        <w:tc>
          <w:tcPr>
            <w:tcW w:w="943" w:type="pct"/>
            <w:tcBorders>
              <w:top w:val="nil"/>
              <w:left w:val="single" w:sz="4" w:space="0" w:color="auto"/>
              <w:bottom w:val="nil"/>
              <w:right w:val="single" w:sz="4" w:space="0" w:color="auto"/>
            </w:tcBorders>
            <w:shd w:val="clear" w:color="auto" w:fill="auto"/>
            <w:vAlign w:val="center"/>
          </w:tcPr>
          <w:p w14:paraId="27032F1F" w14:textId="77777777" w:rsidR="009424B8" w:rsidRPr="00C64D0B" w:rsidRDefault="009424B8" w:rsidP="00313F8C">
            <w:pPr>
              <w:jc w:val="center"/>
              <w:rPr>
                <w:rFonts w:ascii="Arial Narrow" w:hAnsi="Arial Narrow"/>
                <w:i/>
                <w:noProof/>
                <w:sz w:val="20"/>
                <w:szCs w:val="20"/>
              </w:rPr>
            </w:pPr>
            <w:r w:rsidRPr="00C64D0B">
              <w:rPr>
                <w:rFonts w:ascii="Arial Narrow" w:hAnsi="Arial Narrow"/>
                <w:b/>
                <w:bCs/>
                <w:iCs/>
                <w:sz w:val="20"/>
                <w:szCs w:val="20"/>
              </w:rPr>
              <w:t>0.17 (0.10, 0.24)</w:t>
            </w:r>
          </w:p>
        </w:tc>
        <w:tc>
          <w:tcPr>
            <w:tcW w:w="522" w:type="pct"/>
            <w:tcBorders>
              <w:top w:val="nil"/>
              <w:left w:val="single" w:sz="4" w:space="0" w:color="auto"/>
              <w:bottom w:val="nil"/>
              <w:right w:val="single" w:sz="4" w:space="0" w:color="auto"/>
            </w:tcBorders>
            <w:shd w:val="clear" w:color="auto" w:fill="auto"/>
            <w:vAlign w:val="center"/>
          </w:tcPr>
          <w:p w14:paraId="403371CF"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6 (4,9)</w:t>
            </w:r>
          </w:p>
        </w:tc>
      </w:tr>
      <w:tr w:rsidR="009424B8" w:rsidRPr="00C64D0B" w14:paraId="3F23EA37" w14:textId="77777777" w:rsidTr="008664BD">
        <w:trPr>
          <w:trHeight w:val="170"/>
        </w:trPr>
        <w:tc>
          <w:tcPr>
            <w:tcW w:w="2592" w:type="pct"/>
            <w:gridSpan w:val="3"/>
            <w:tcBorders>
              <w:right w:val="single" w:sz="4" w:space="0" w:color="auto"/>
            </w:tcBorders>
            <w:shd w:val="clear" w:color="auto" w:fill="auto"/>
            <w:vAlign w:val="center"/>
          </w:tcPr>
          <w:p w14:paraId="2C092E6A" w14:textId="77777777" w:rsidR="009424B8" w:rsidRPr="00C64D0B" w:rsidRDefault="009424B8" w:rsidP="00313F8C">
            <w:pPr>
              <w:jc w:val="right"/>
              <w:rPr>
                <w:rFonts w:ascii="Arial Narrow" w:hAnsi="Arial Narrow"/>
                <w:iCs/>
                <w:sz w:val="20"/>
                <w:szCs w:val="20"/>
                <w:lang w:val="pt-PT"/>
              </w:rPr>
            </w:pPr>
            <w:r w:rsidRPr="00C64D0B">
              <w:rPr>
                <w:rFonts w:ascii="Arial Narrow" w:hAnsi="Arial Narrow"/>
                <w:iCs/>
                <w:sz w:val="20"/>
                <w:szCs w:val="20"/>
                <w:lang w:val="pt-PT"/>
              </w:rPr>
              <w:t>UPA 45mg v VDZ 300mg</w:t>
            </w:r>
          </w:p>
        </w:tc>
        <w:tc>
          <w:tcPr>
            <w:tcW w:w="943" w:type="pct"/>
            <w:tcBorders>
              <w:top w:val="nil"/>
              <w:left w:val="single" w:sz="4" w:space="0" w:color="auto"/>
              <w:bottom w:val="nil"/>
              <w:right w:val="single" w:sz="4" w:space="0" w:color="auto"/>
            </w:tcBorders>
            <w:shd w:val="clear" w:color="auto" w:fill="auto"/>
            <w:vAlign w:val="center"/>
          </w:tcPr>
          <w:p w14:paraId="77465EB6"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4.95 (1.83, 13.40)</w:t>
            </w:r>
          </w:p>
        </w:tc>
        <w:tc>
          <w:tcPr>
            <w:tcW w:w="943" w:type="pct"/>
            <w:tcBorders>
              <w:top w:val="nil"/>
              <w:left w:val="single" w:sz="4" w:space="0" w:color="auto"/>
              <w:bottom w:val="nil"/>
              <w:right w:val="single" w:sz="4" w:space="0" w:color="auto"/>
            </w:tcBorders>
            <w:shd w:val="clear" w:color="auto" w:fill="auto"/>
            <w:vAlign w:val="center"/>
          </w:tcPr>
          <w:p w14:paraId="61AC73E3" w14:textId="77777777" w:rsidR="009424B8" w:rsidRPr="00C64D0B" w:rsidRDefault="009424B8" w:rsidP="00313F8C">
            <w:pPr>
              <w:jc w:val="center"/>
              <w:rPr>
                <w:rFonts w:ascii="Arial Narrow" w:hAnsi="Arial Narrow"/>
                <w:iCs/>
                <w:sz w:val="20"/>
                <w:szCs w:val="20"/>
              </w:rPr>
            </w:pPr>
            <w:r w:rsidRPr="00C64D0B">
              <w:rPr>
                <w:rFonts w:ascii="Arial Narrow" w:hAnsi="Arial Narrow"/>
                <w:b/>
                <w:bCs/>
                <w:iCs/>
                <w:sz w:val="20"/>
                <w:szCs w:val="20"/>
              </w:rPr>
              <w:t>0.12 (0.06, 0.18)</w:t>
            </w:r>
          </w:p>
        </w:tc>
        <w:tc>
          <w:tcPr>
            <w:tcW w:w="522" w:type="pct"/>
            <w:tcBorders>
              <w:top w:val="nil"/>
              <w:left w:val="single" w:sz="4" w:space="0" w:color="auto"/>
              <w:bottom w:val="nil"/>
              <w:right w:val="single" w:sz="4" w:space="0" w:color="auto"/>
            </w:tcBorders>
            <w:shd w:val="clear" w:color="auto" w:fill="auto"/>
            <w:vAlign w:val="center"/>
          </w:tcPr>
          <w:p w14:paraId="2FE6AA66"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8 (6,17)</w:t>
            </w:r>
          </w:p>
        </w:tc>
      </w:tr>
      <w:tr w:rsidR="009424B8" w:rsidRPr="00C64D0B" w14:paraId="7AB19783" w14:textId="77777777" w:rsidTr="008664BD">
        <w:trPr>
          <w:trHeight w:val="170"/>
        </w:trPr>
        <w:tc>
          <w:tcPr>
            <w:tcW w:w="2592" w:type="pct"/>
            <w:gridSpan w:val="3"/>
            <w:tcBorders>
              <w:right w:val="single" w:sz="4" w:space="0" w:color="auto"/>
            </w:tcBorders>
            <w:shd w:val="clear" w:color="auto" w:fill="auto"/>
            <w:vAlign w:val="center"/>
          </w:tcPr>
          <w:p w14:paraId="5FDD0DAE" w14:textId="77777777" w:rsidR="009424B8" w:rsidRPr="00C64D0B" w:rsidRDefault="009424B8" w:rsidP="00313F8C">
            <w:pPr>
              <w:jc w:val="right"/>
              <w:rPr>
                <w:rFonts w:ascii="Arial Narrow" w:hAnsi="Arial Narrow"/>
                <w:iCs/>
                <w:sz w:val="20"/>
                <w:szCs w:val="20"/>
                <w:lang w:val="it-IT"/>
              </w:rPr>
            </w:pPr>
            <w:r w:rsidRPr="00C64D0B">
              <w:rPr>
                <w:rFonts w:ascii="Arial Narrow" w:hAnsi="Arial Narrow"/>
                <w:b/>
                <w:bCs/>
                <w:iCs/>
                <w:sz w:val="20"/>
                <w:szCs w:val="20"/>
                <w:lang w:val="pt-PT"/>
              </w:rPr>
              <w:t>Indirect comparison, clinical response, ITT</w:t>
            </w:r>
          </w:p>
        </w:tc>
        <w:tc>
          <w:tcPr>
            <w:tcW w:w="943" w:type="pct"/>
            <w:tcBorders>
              <w:top w:val="nil"/>
              <w:left w:val="single" w:sz="4" w:space="0" w:color="auto"/>
              <w:bottom w:val="nil"/>
              <w:right w:val="single" w:sz="4" w:space="0" w:color="auto"/>
            </w:tcBorders>
            <w:shd w:val="clear" w:color="auto" w:fill="auto"/>
            <w:vAlign w:val="center"/>
          </w:tcPr>
          <w:p w14:paraId="3E62B3EA" w14:textId="77777777" w:rsidR="009424B8" w:rsidRPr="00C64D0B" w:rsidRDefault="009424B8" w:rsidP="00313F8C">
            <w:pPr>
              <w:jc w:val="center"/>
              <w:rPr>
                <w:rFonts w:ascii="Arial Narrow" w:hAnsi="Arial Narrow"/>
                <w:b/>
                <w:bCs/>
                <w:i/>
                <w:sz w:val="20"/>
                <w:szCs w:val="20"/>
              </w:rPr>
            </w:pPr>
          </w:p>
        </w:tc>
        <w:tc>
          <w:tcPr>
            <w:tcW w:w="943" w:type="pct"/>
            <w:tcBorders>
              <w:top w:val="nil"/>
              <w:left w:val="single" w:sz="4" w:space="0" w:color="auto"/>
              <w:bottom w:val="nil"/>
              <w:right w:val="single" w:sz="4" w:space="0" w:color="auto"/>
            </w:tcBorders>
            <w:shd w:val="clear" w:color="auto" w:fill="auto"/>
          </w:tcPr>
          <w:p w14:paraId="6B9CDA78" w14:textId="77777777" w:rsidR="009424B8" w:rsidRPr="00C64D0B" w:rsidRDefault="009424B8" w:rsidP="00313F8C">
            <w:pPr>
              <w:jc w:val="center"/>
              <w:rPr>
                <w:rFonts w:ascii="Arial Narrow" w:hAnsi="Arial Narrow"/>
                <w:iCs/>
                <w:sz w:val="20"/>
                <w:szCs w:val="20"/>
              </w:rPr>
            </w:pPr>
          </w:p>
        </w:tc>
        <w:tc>
          <w:tcPr>
            <w:tcW w:w="522" w:type="pct"/>
            <w:tcBorders>
              <w:top w:val="nil"/>
              <w:left w:val="single" w:sz="4" w:space="0" w:color="auto"/>
              <w:bottom w:val="nil"/>
              <w:right w:val="single" w:sz="4" w:space="0" w:color="auto"/>
            </w:tcBorders>
            <w:shd w:val="clear" w:color="auto" w:fill="auto"/>
            <w:vAlign w:val="center"/>
          </w:tcPr>
          <w:p w14:paraId="7B760BDA" w14:textId="77777777" w:rsidR="009424B8" w:rsidRPr="00736657" w:rsidRDefault="009424B8" w:rsidP="00313F8C">
            <w:pPr>
              <w:jc w:val="center"/>
              <w:rPr>
                <w:rFonts w:ascii="Arial Narrow" w:hAnsi="Arial Narrow"/>
                <w:iCs/>
                <w:noProof/>
                <w:sz w:val="20"/>
                <w:szCs w:val="20"/>
              </w:rPr>
            </w:pPr>
          </w:p>
        </w:tc>
      </w:tr>
      <w:tr w:rsidR="009424B8" w:rsidRPr="00C64D0B" w14:paraId="6990E8A8" w14:textId="77777777" w:rsidTr="008664BD">
        <w:trPr>
          <w:trHeight w:val="170"/>
        </w:trPr>
        <w:tc>
          <w:tcPr>
            <w:tcW w:w="2592" w:type="pct"/>
            <w:gridSpan w:val="3"/>
            <w:tcBorders>
              <w:right w:val="single" w:sz="4" w:space="0" w:color="auto"/>
            </w:tcBorders>
            <w:shd w:val="clear" w:color="auto" w:fill="auto"/>
            <w:vAlign w:val="center"/>
          </w:tcPr>
          <w:p w14:paraId="0A0E7D65" w14:textId="77777777" w:rsidR="009424B8" w:rsidRPr="00C64D0B" w:rsidRDefault="009424B8" w:rsidP="00313F8C">
            <w:pPr>
              <w:jc w:val="right"/>
              <w:rPr>
                <w:rFonts w:ascii="Arial Narrow" w:hAnsi="Arial Narrow"/>
                <w:iCs/>
                <w:sz w:val="20"/>
                <w:szCs w:val="20"/>
              </w:rPr>
            </w:pPr>
            <w:r w:rsidRPr="00C64D0B">
              <w:rPr>
                <w:rFonts w:ascii="Arial Narrow" w:hAnsi="Arial Narrow"/>
                <w:iCs/>
                <w:sz w:val="20"/>
                <w:szCs w:val="20"/>
              </w:rPr>
              <w:t>UPA 45mg v TOF 10mg</w:t>
            </w:r>
          </w:p>
        </w:tc>
        <w:tc>
          <w:tcPr>
            <w:tcW w:w="943" w:type="pct"/>
            <w:tcBorders>
              <w:top w:val="nil"/>
              <w:left w:val="single" w:sz="4" w:space="0" w:color="auto"/>
              <w:bottom w:val="nil"/>
              <w:right w:val="single" w:sz="4" w:space="0" w:color="auto"/>
            </w:tcBorders>
            <w:shd w:val="clear" w:color="auto" w:fill="auto"/>
            <w:vAlign w:val="center"/>
          </w:tcPr>
          <w:p w14:paraId="68ED4875"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1.66 (1.26, 2.19)</w:t>
            </w:r>
          </w:p>
        </w:tc>
        <w:tc>
          <w:tcPr>
            <w:tcW w:w="943" w:type="pct"/>
            <w:tcBorders>
              <w:top w:val="nil"/>
              <w:left w:val="single" w:sz="4" w:space="0" w:color="auto"/>
              <w:bottom w:val="nil"/>
              <w:right w:val="single" w:sz="4" w:space="0" w:color="auto"/>
            </w:tcBorders>
            <w:shd w:val="clear" w:color="auto" w:fill="auto"/>
            <w:vAlign w:val="center"/>
          </w:tcPr>
          <w:p w14:paraId="72019641" w14:textId="77777777" w:rsidR="009424B8" w:rsidRPr="00C64D0B" w:rsidRDefault="009424B8" w:rsidP="00313F8C">
            <w:pPr>
              <w:jc w:val="center"/>
              <w:rPr>
                <w:rFonts w:ascii="Arial Narrow" w:hAnsi="Arial Narrow"/>
                <w:iCs/>
                <w:sz w:val="20"/>
                <w:szCs w:val="20"/>
              </w:rPr>
            </w:pPr>
            <w:r w:rsidRPr="00C64D0B">
              <w:rPr>
                <w:rFonts w:ascii="Arial Narrow" w:hAnsi="Arial Narrow"/>
                <w:b/>
                <w:bCs/>
                <w:iCs/>
                <w:sz w:val="20"/>
                <w:szCs w:val="20"/>
              </w:rPr>
              <w:t>0.22 (0.13, 0.31)</w:t>
            </w:r>
          </w:p>
        </w:tc>
        <w:tc>
          <w:tcPr>
            <w:tcW w:w="522" w:type="pct"/>
            <w:tcBorders>
              <w:top w:val="nil"/>
              <w:left w:val="single" w:sz="4" w:space="0" w:color="auto"/>
              <w:bottom w:val="nil"/>
              <w:right w:val="single" w:sz="4" w:space="0" w:color="auto"/>
            </w:tcBorders>
            <w:shd w:val="clear" w:color="auto" w:fill="auto"/>
            <w:vAlign w:val="center"/>
          </w:tcPr>
          <w:p w14:paraId="41EE2F14"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5 (3,8)</w:t>
            </w:r>
          </w:p>
        </w:tc>
      </w:tr>
      <w:tr w:rsidR="009424B8" w:rsidRPr="00C64D0B" w14:paraId="472AC232" w14:textId="77777777" w:rsidTr="008664BD">
        <w:trPr>
          <w:trHeight w:val="170"/>
        </w:trPr>
        <w:tc>
          <w:tcPr>
            <w:tcW w:w="2592" w:type="pct"/>
            <w:gridSpan w:val="3"/>
            <w:tcBorders>
              <w:right w:val="single" w:sz="4" w:space="0" w:color="auto"/>
            </w:tcBorders>
            <w:shd w:val="clear" w:color="auto" w:fill="auto"/>
            <w:vAlign w:val="center"/>
          </w:tcPr>
          <w:p w14:paraId="773A5F6D" w14:textId="77777777" w:rsidR="009424B8" w:rsidRPr="00C64D0B" w:rsidRDefault="009424B8" w:rsidP="00313F8C">
            <w:pPr>
              <w:jc w:val="right"/>
              <w:rPr>
                <w:rFonts w:ascii="Arial Narrow" w:hAnsi="Arial Narrow"/>
                <w:iCs/>
                <w:sz w:val="20"/>
                <w:szCs w:val="20"/>
              </w:rPr>
            </w:pPr>
            <w:r w:rsidRPr="00C64D0B">
              <w:rPr>
                <w:rFonts w:ascii="Arial Narrow" w:hAnsi="Arial Narrow"/>
                <w:iCs/>
                <w:sz w:val="20"/>
                <w:szCs w:val="20"/>
              </w:rPr>
              <w:t>UPA 45mg v IFX 5mg/kg</w:t>
            </w:r>
          </w:p>
        </w:tc>
        <w:tc>
          <w:tcPr>
            <w:tcW w:w="943" w:type="pct"/>
            <w:tcBorders>
              <w:top w:val="nil"/>
              <w:left w:val="single" w:sz="4" w:space="0" w:color="auto"/>
              <w:bottom w:val="nil"/>
              <w:right w:val="single" w:sz="4" w:space="0" w:color="auto"/>
            </w:tcBorders>
            <w:shd w:val="clear" w:color="auto" w:fill="auto"/>
            <w:vAlign w:val="center"/>
          </w:tcPr>
          <w:p w14:paraId="156BD61B"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1.67 (1.31, 2.12)</w:t>
            </w:r>
          </w:p>
        </w:tc>
        <w:tc>
          <w:tcPr>
            <w:tcW w:w="943" w:type="pct"/>
            <w:tcBorders>
              <w:top w:val="nil"/>
              <w:left w:val="single" w:sz="4" w:space="0" w:color="auto"/>
              <w:bottom w:val="nil"/>
              <w:right w:val="single" w:sz="4" w:space="0" w:color="auto"/>
            </w:tcBorders>
            <w:shd w:val="clear" w:color="auto" w:fill="auto"/>
            <w:vAlign w:val="center"/>
          </w:tcPr>
          <w:p w14:paraId="650186E0" w14:textId="77777777" w:rsidR="009424B8" w:rsidRPr="00C64D0B" w:rsidRDefault="009424B8" w:rsidP="00313F8C">
            <w:pPr>
              <w:jc w:val="center"/>
              <w:rPr>
                <w:rFonts w:ascii="Arial Narrow" w:hAnsi="Arial Narrow"/>
                <w:i/>
                <w:noProof/>
                <w:sz w:val="20"/>
                <w:szCs w:val="20"/>
              </w:rPr>
            </w:pPr>
            <w:r w:rsidRPr="00C64D0B">
              <w:rPr>
                <w:rFonts w:ascii="Arial Narrow" w:hAnsi="Arial Narrow"/>
                <w:b/>
                <w:bCs/>
                <w:iCs/>
                <w:sz w:val="20"/>
                <w:szCs w:val="20"/>
              </w:rPr>
              <w:t>0.19 (0.10, 0.28)</w:t>
            </w:r>
          </w:p>
        </w:tc>
        <w:tc>
          <w:tcPr>
            <w:tcW w:w="522" w:type="pct"/>
            <w:tcBorders>
              <w:top w:val="nil"/>
              <w:left w:val="single" w:sz="4" w:space="0" w:color="auto"/>
              <w:bottom w:val="nil"/>
              <w:right w:val="single" w:sz="4" w:space="0" w:color="auto"/>
            </w:tcBorders>
            <w:shd w:val="clear" w:color="auto" w:fill="auto"/>
            <w:vAlign w:val="center"/>
          </w:tcPr>
          <w:p w14:paraId="06A01AA4"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5 (4,10)</w:t>
            </w:r>
          </w:p>
        </w:tc>
      </w:tr>
      <w:tr w:rsidR="009424B8" w:rsidRPr="00C64D0B" w14:paraId="760F718C" w14:textId="77777777" w:rsidTr="008664BD">
        <w:trPr>
          <w:trHeight w:val="170"/>
        </w:trPr>
        <w:tc>
          <w:tcPr>
            <w:tcW w:w="2592" w:type="pct"/>
            <w:gridSpan w:val="3"/>
            <w:tcBorders>
              <w:right w:val="single" w:sz="4" w:space="0" w:color="auto"/>
            </w:tcBorders>
            <w:shd w:val="clear" w:color="auto" w:fill="auto"/>
            <w:vAlign w:val="center"/>
          </w:tcPr>
          <w:p w14:paraId="4E68CFFB" w14:textId="77777777" w:rsidR="009424B8" w:rsidRPr="00C64D0B" w:rsidRDefault="009424B8" w:rsidP="00313F8C">
            <w:pPr>
              <w:jc w:val="right"/>
              <w:rPr>
                <w:rFonts w:ascii="Arial Narrow" w:hAnsi="Arial Narrow"/>
                <w:iCs/>
                <w:sz w:val="20"/>
                <w:szCs w:val="20"/>
              </w:rPr>
            </w:pPr>
            <w:r w:rsidRPr="00C64D0B">
              <w:rPr>
                <w:rFonts w:ascii="Arial Narrow" w:hAnsi="Arial Narrow"/>
                <w:iCs/>
                <w:sz w:val="20"/>
                <w:szCs w:val="20"/>
                <w:lang w:val="it-IT"/>
              </w:rPr>
              <w:t>UPA 45mg v GOL 200-&gt;100mg</w:t>
            </w:r>
          </w:p>
        </w:tc>
        <w:tc>
          <w:tcPr>
            <w:tcW w:w="943" w:type="pct"/>
            <w:tcBorders>
              <w:top w:val="nil"/>
              <w:left w:val="single" w:sz="4" w:space="0" w:color="auto"/>
              <w:bottom w:val="nil"/>
              <w:right w:val="single" w:sz="4" w:space="0" w:color="auto"/>
            </w:tcBorders>
            <w:shd w:val="clear" w:color="auto" w:fill="auto"/>
            <w:vAlign w:val="center"/>
          </w:tcPr>
          <w:p w14:paraId="25FFA587"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1.85 (1.38, 2.48)</w:t>
            </w:r>
          </w:p>
        </w:tc>
        <w:tc>
          <w:tcPr>
            <w:tcW w:w="943" w:type="pct"/>
            <w:tcBorders>
              <w:top w:val="nil"/>
              <w:left w:val="single" w:sz="4" w:space="0" w:color="auto"/>
              <w:bottom w:val="nil"/>
              <w:right w:val="single" w:sz="4" w:space="0" w:color="auto"/>
            </w:tcBorders>
            <w:shd w:val="clear" w:color="auto" w:fill="auto"/>
            <w:vAlign w:val="center"/>
          </w:tcPr>
          <w:p w14:paraId="5B7E019C" w14:textId="77777777" w:rsidR="009424B8" w:rsidRPr="00C64D0B" w:rsidRDefault="009424B8" w:rsidP="00313F8C">
            <w:pPr>
              <w:jc w:val="center"/>
              <w:rPr>
                <w:rFonts w:ascii="Arial Narrow" w:hAnsi="Arial Narrow"/>
                <w:iCs/>
                <w:sz w:val="20"/>
                <w:szCs w:val="20"/>
              </w:rPr>
            </w:pPr>
            <w:r w:rsidRPr="00C64D0B">
              <w:rPr>
                <w:rFonts w:ascii="Arial Narrow" w:hAnsi="Arial Narrow"/>
                <w:b/>
                <w:bCs/>
                <w:iCs/>
                <w:sz w:val="20"/>
                <w:szCs w:val="20"/>
              </w:rPr>
              <w:t>0.28 (0.18, 0.38)</w:t>
            </w:r>
          </w:p>
        </w:tc>
        <w:tc>
          <w:tcPr>
            <w:tcW w:w="522" w:type="pct"/>
            <w:tcBorders>
              <w:top w:val="nil"/>
              <w:left w:val="single" w:sz="4" w:space="0" w:color="auto"/>
              <w:bottom w:val="nil"/>
              <w:right w:val="single" w:sz="4" w:space="0" w:color="auto"/>
            </w:tcBorders>
            <w:shd w:val="clear" w:color="auto" w:fill="auto"/>
            <w:vAlign w:val="center"/>
          </w:tcPr>
          <w:p w14:paraId="0C10A826"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4 (3,6)</w:t>
            </w:r>
          </w:p>
        </w:tc>
      </w:tr>
      <w:tr w:rsidR="009424B8" w:rsidRPr="00C64D0B" w14:paraId="2EE63688" w14:textId="77777777" w:rsidTr="008664BD">
        <w:trPr>
          <w:trHeight w:val="170"/>
        </w:trPr>
        <w:tc>
          <w:tcPr>
            <w:tcW w:w="2592" w:type="pct"/>
            <w:gridSpan w:val="3"/>
            <w:tcBorders>
              <w:right w:val="single" w:sz="4" w:space="0" w:color="auto"/>
            </w:tcBorders>
            <w:shd w:val="clear" w:color="auto" w:fill="auto"/>
            <w:vAlign w:val="center"/>
          </w:tcPr>
          <w:p w14:paraId="49840D75" w14:textId="77777777" w:rsidR="009424B8" w:rsidRPr="00C64D0B" w:rsidRDefault="009424B8" w:rsidP="00313F8C">
            <w:pPr>
              <w:jc w:val="right"/>
              <w:rPr>
                <w:rFonts w:ascii="Arial Narrow" w:hAnsi="Arial Narrow"/>
                <w:iCs/>
                <w:sz w:val="20"/>
                <w:szCs w:val="20"/>
                <w:lang w:val="pt-PT"/>
              </w:rPr>
            </w:pPr>
            <w:r w:rsidRPr="00C64D0B">
              <w:rPr>
                <w:rFonts w:ascii="Arial Narrow" w:hAnsi="Arial Narrow"/>
                <w:iCs/>
                <w:sz w:val="20"/>
                <w:szCs w:val="20"/>
                <w:lang w:val="pt-PT"/>
              </w:rPr>
              <w:t>UPA 45mg v ADA 160-&gt;80mg</w:t>
            </w:r>
          </w:p>
        </w:tc>
        <w:tc>
          <w:tcPr>
            <w:tcW w:w="943" w:type="pct"/>
            <w:tcBorders>
              <w:top w:val="nil"/>
              <w:left w:val="single" w:sz="4" w:space="0" w:color="auto"/>
              <w:bottom w:val="nil"/>
              <w:right w:val="single" w:sz="4" w:space="0" w:color="auto"/>
            </w:tcBorders>
            <w:shd w:val="clear" w:color="auto" w:fill="auto"/>
            <w:vAlign w:val="center"/>
          </w:tcPr>
          <w:p w14:paraId="6A05163F"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2.28 (1.79, 2.90)</w:t>
            </w:r>
          </w:p>
        </w:tc>
        <w:tc>
          <w:tcPr>
            <w:tcW w:w="943" w:type="pct"/>
            <w:tcBorders>
              <w:top w:val="nil"/>
              <w:left w:val="single" w:sz="4" w:space="0" w:color="auto"/>
              <w:bottom w:val="nil"/>
              <w:right w:val="single" w:sz="4" w:space="0" w:color="auto"/>
            </w:tcBorders>
            <w:shd w:val="clear" w:color="auto" w:fill="auto"/>
            <w:vAlign w:val="center"/>
          </w:tcPr>
          <w:p w14:paraId="6033596F" w14:textId="77777777" w:rsidR="009424B8" w:rsidRPr="00C64D0B" w:rsidRDefault="009424B8" w:rsidP="00313F8C">
            <w:pPr>
              <w:jc w:val="center"/>
              <w:rPr>
                <w:rFonts w:ascii="Arial Narrow" w:hAnsi="Arial Narrow"/>
                <w:iCs/>
                <w:sz w:val="20"/>
                <w:szCs w:val="20"/>
              </w:rPr>
            </w:pPr>
            <w:r w:rsidRPr="00C64D0B">
              <w:rPr>
                <w:rFonts w:ascii="Arial Narrow" w:hAnsi="Arial Narrow"/>
                <w:b/>
                <w:bCs/>
                <w:iCs/>
                <w:sz w:val="20"/>
                <w:szCs w:val="20"/>
              </w:rPr>
              <w:t>0.35 (0.27, 0.43)</w:t>
            </w:r>
          </w:p>
        </w:tc>
        <w:tc>
          <w:tcPr>
            <w:tcW w:w="522" w:type="pct"/>
            <w:tcBorders>
              <w:top w:val="nil"/>
              <w:left w:val="single" w:sz="4" w:space="0" w:color="auto"/>
              <w:bottom w:val="nil"/>
              <w:right w:val="single" w:sz="4" w:space="0" w:color="auto"/>
            </w:tcBorders>
            <w:shd w:val="clear" w:color="auto" w:fill="auto"/>
            <w:vAlign w:val="center"/>
          </w:tcPr>
          <w:p w14:paraId="2CFADC67"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3 (2,4)</w:t>
            </w:r>
          </w:p>
        </w:tc>
      </w:tr>
      <w:tr w:rsidR="009424B8" w:rsidRPr="00C64D0B" w14:paraId="1B410C64" w14:textId="77777777" w:rsidTr="008664BD">
        <w:trPr>
          <w:trHeight w:val="170"/>
        </w:trPr>
        <w:tc>
          <w:tcPr>
            <w:tcW w:w="2592" w:type="pct"/>
            <w:gridSpan w:val="3"/>
            <w:tcBorders>
              <w:right w:val="single" w:sz="4" w:space="0" w:color="auto"/>
            </w:tcBorders>
            <w:shd w:val="clear" w:color="auto" w:fill="auto"/>
            <w:vAlign w:val="center"/>
          </w:tcPr>
          <w:p w14:paraId="50C6D473" w14:textId="77777777" w:rsidR="009424B8" w:rsidRPr="00C64D0B" w:rsidRDefault="009424B8" w:rsidP="00313F8C">
            <w:pPr>
              <w:jc w:val="right"/>
              <w:rPr>
                <w:rFonts w:ascii="Arial Narrow" w:hAnsi="Arial Narrow"/>
                <w:iCs/>
                <w:sz w:val="20"/>
                <w:szCs w:val="20"/>
                <w:lang w:val="pt-PT"/>
              </w:rPr>
            </w:pPr>
            <w:r w:rsidRPr="00C64D0B">
              <w:rPr>
                <w:rFonts w:ascii="Arial Narrow" w:hAnsi="Arial Narrow"/>
                <w:iCs/>
                <w:sz w:val="20"/>
                <w:szCs w:val="20"/>
                <w:lang w:val="pt-PT"/>
              </w:rPr>
              <w:t>UPA 45mg v VDZ 300mg</w:t>
            </w:r>
          </w:p>
        </w:tc>
        <w:tc>
          <w:tcPr>
            <w:tcW w:w="943" w:type="pct"/>
            <w:tcBorders>
              <w:top w:val="nil"/>
              <w:left w:val="single" w:sz="4" w:space="0" w:color="auto"/>
              <w:bottom w:val="nil"/>
              <w:right w:val="single" w:sz="4" w:space="0" w:color="auto"/>
            </w:tcBorders>
            <w:shd w:val="clear" w:color="auto" w:fill="auto"/>
            <w:vAlign w:val="center"/>
          </w:tcPr>
          <w:p w14:paraId="76D11FD5" w14:textId="77777777" w:rsidR="009424B8" w:rsidRPr="00C64D0B" w:rsidRDefault="009424B8" w:rsidP="00313F8C">
            <w:pPr>
              <w:jc w:val="center"/>
              <w:rPr>
                <w:rFonts w:ascii="Arial Narrow" w:hAnsi="Arial Narrow"/>
                <w:b/>
                <w:bCs/>
                <w:iCs/>
                <w:sz w:val="20"/>
                <w:szCs w:val="20"/>
              </w:rPr>
            </w:pPr>
            <w:r w:rsidRPr="00C64D0B">
              <w:rPr>
                <w:rFonts w:ascii="Arial Narrow" w:hAnsi="Arial Narrow"/>
                <w:b/>
                <w:bCs/>
                <w:iCs/>
                <w:sz w:val="20"/>
                <w:szCs w:val="20"/>
              </w:rPr>
              <w:t>2.05 (1.30, 3.25)</w:t>
            </w:r>
          </w:p>
        </w:tc>
        <w:tc>
          <w:tcPr>
            <w:tcW w:w="943" w:type="pct"/>
            <w:tcBorders>
              <w:top w:val="nil"/>
              <w:left w:val="single" w:sz="4" w:space="0" w:color="auto"/>
              <w:bottom w:val="nil"/>
              <w:right w:val="single" w:sz="4" w:space="0" w:color="auto"/>
            </w:tcBorders>
            <w:shd w:val="clear" w:color="auto" w:fill="auto"/>
            <w:vAlign w:val="center"/>
          </w:tcPr>
          <w:p w14:paraId="4FBF2956" w14:textId="77777777" w:rsidR="009424B8" w:rsidRPr="00C64D0B" w:rsidRDefault="009424B8" w:rsidP="00313F8C">
            <w:pPr>
              <w:jc w:val="center"/>
              <w:rPr>
                <w:rFonts w:ascii="Arial Narrow" w:hAnsi="Arial Narrow"/>
                <w:iCs/>
                <w:sz w:val="20"/>
                <w:szCs w:val="20"/>
              </w:rPr>
            </w:pPr>
            <w:r w:rsidRPr="00C64D0B">
              <w:rPr>
                <w:rFonts w:ascii="Arial Narrow" w:hAnsi="Arial Narrow"/>
                <w:b/>
                <w:bCs/>
                <w:iCs/>
                <w:sz w:val="20"/>
                <w:szCs w:val="20"/>
              </w:rPr>
              <w:t>0.34 (0.18, 0.50)</w:t>
            </w:r>
          </w:p>
        </w:tc>
        <w:tc>
          <w:tcPr>
            <w:tcW w:w="522" w:type="pct"/>
            <w:tcBorders>
              <w:top w:val="nil"/>
              <w:left w:val="single" w:sz="4" w:space="0" w:color="auto"/>
              <w:bottom w:val="nil"/>
              <w:right w:val="single" w:sz="4" w:space="0" w:color="auto"/>
            </w:tcBorders>
            <w:shd w:val="clear" w:color="auto" w:fill="auto"/>
            <w:vAlign w:val="center"/>
          </w:tcPr>
          <w:p w14:paraId="73A1A4ED"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3 (2,6)</w:t>
            </w:r>
          </w:p>
        </w:tc>
      </w:tr>
      <w:tr w:rsidR="009424B8" w:rsidRPr="00C64D0B" w14:paraId="004D520A" w14:textId="77777777" w:rsidTr="008664BD">
        <w:trPr>
          <w:trHeight w:val="170"/>
        </w:trPr>
        <w:tc>
          <w:tcPr>
            <w:tcW w:w="2592" w:type="pct"/>
            <w:gridSpan w:val="3"/>
            <w:tcBorders>
              <w:bottom w:val="single" w:sz="4" w:space="0" w:color="auto"/>
              <w:right w:val="single" w:sz="4" w:space="0" w:color="auto"/>
            </w:tcBorders>
            <w:shd w:val="clear" w:color="auto" w:fill="auto"/>
            <w:vAlign w:val="center"/>
          </w:tcPr>
          <w:p w14:paraId="29850836" w14:textId="77777777" w:rsidR="009424B8" w:rsidRPr="00C64D0B" w:rsidRDefault="009424B8" w:rsidP="00313F8C">
            <w:pPr>
              <w:jc w:val="right"/>
              <w:rPr>
                <w:rFonts w:ascii="Arial Narrow" w:hAnsi="Arial Narrow"/>
                <w:iCs/>
                <w:sz w:val="20"/>
                <w:szCs w:val="20"/>
              </w:rPr>
            </w:pPr>
          </w:p>
        </w:tc>
        <w:tc>
          <w:tcPr>
            <w:tcW w:w="943" w:type="pct"/>
            <w:tcBorders>
              <w:top w:val="nil"/>
              <w:left w:val="single" w:sz="4" w:space="0" w:color="auto"/>
              <w:bottom w:val="single" w:sz="4" w:space="0" w:color="auto"/>
              <w:right w:val="single" w:sz="4" w:space="0" w:color="auto"/>
            </w:tcBorders>
            <w:shd w:val="clear" w:color="auto" w:fill="auto"/>
            <w:vAlign w:val="center"/>
          </w:tcPr>
          <w:p w14:paraId="6F98B5B6" w14:textId="77777777" w:rsidR="009424B8" w:rsidRPr="00C64D0B" w:rsidRDefault="009424B8" w:rsidP="00313F8C">
            <w:pPr>
              <w:jc w:val="center"/>
              <w:rPr>
                <w:rFonts w:ascii="Arial Narrow" w:hAnsi="Arial Narrow"/>
                <w:b/>
                <w:bCs/>
                <w:iCs/>
                <w:sz w:val="20"/>
                <w:szCs w:val="20"/>
              </w:rPr>
            </w:pPr>
          </w:p>
        </w:tc>
        <w:tc>
          <w:tcPr>
            <w:tcW w:w="943" w:type="pct"/>
            <w:tcBorders>
              <w:top w:val="nil"/>
              <w:left w:val="single" w:sz="4" w:space="0" w:color="auto"/>
              <w:bottom w:val="single" w:sz="4" w:space="0" w:color="auto"/>
              <w:right w:val="single" w:sz="4" w:space="0" w:color="auto"/>
            </w:tcBorders>
            <w:shd w:val="clear" w:color="auto" w:fill="auto"/>
            <w:vAlign w:val="center"/>
          </w:tcPr>
          <w:p w14:paraId="50800CDD" w14:textId="77777777" w:rsidR="009424B8" w:rsidRPr="00C64D0B" w:rsidRDefault="009424B8" w:rsidP="00313F8C">
            <w:pPr>
              <w:jc w:val="center"/>
              <w:rPr>
                <w:rFonts w:ascii="Arial Narrow" w:hAnsi="Arial Narrow"/>
                <w:iCs/>
                <w:sz w:val="20"/>
                <w:szCs w:val="20"/>
              </w:rPr>
            </w:pPr>
          </w:p>
        </w:tc>
        <w:tc>
          <w:tcPr>
            <w:tcW w:w="522" w:type="pct"/>
            <w:tcBorders>
              <w:top w:val="nil"/>
              <w:left w:val="single" w:sz="4" w:space="0" w:color="auto"/>
              <w:bottom w:val="single" w:sz="4" w:space="0" w:color="auto"/>
              <w:right w:val="single" w:sz="4" w:space="0" w:color="auto"/>
            </w:tcBorders>
            <w:shd w:val="clear" w:color="auto" w:fill="auto"/>
            <w:vAlign w:val="center"/>
          </w:tcPr>
          <w:p w14:paraId="5B7A5CF7" w14:textId="77777777" w:rsidR="009424B8" w:rsidRPr="00C64D0B" w:rsidRDefault="009424B8" w:rsidP="00313F8C">
            <w:pPr>
              <w:jc w:val="center"/>
              <w:rPr>
                <w:rFonts w:ascii="Arial Narrow" w:hAnsi="Arial Narrow"/>
                <w:i/>
                <w:noProof/>
                <w:sz w:val="20"/>
                <w:szCs w:val="20"/>
              </w:rPr>
            </w:pPr>
          </w:p>
        </w:tc>
      </w:tr>
    </w:tbl>
    <w:p w14:paraId="31510919" w14:textId="77777777" w:rsidR="009424B8" w:rsidRDefault="009424B8" w:rsidP="009424B8">
      <w:pPr>
        <w:rPr>
          <w:rFonts w:ascii="Arial Narrow" w:hAnsi="Arial Narrow"/>
          <w:sz w:val="18"/>
          <w:szCs w:val="18"/>
        </w:rPr>
      </w:pPr>
      <w:r w:rsidRPr="00B90E4F">
        <w:rPr>
          <w:rFonts w:ascii="Arial Narrow" w:hAnsi="Arial Narrow"/>
          <w:sz w:val="18"/>
          <w:szCs w:val="18"/>
        </w:rPr>
        <w:t>Source: Table 2-32, pp107-108 of the submission; Table 2-33, pp111-112 of the submission; Table 2-35, pp119-120 of the submission, Table 2-36, pp120-121 of the submission; Fig</w:t>
      </w:r>
      <w:r>
        <w:rPr>
          <w:rFonts w:ascii="Arial Narrow" w:hAnsi="Arial Narrow"/>
          <w:sz w:val="18"/>
          <w:szCs w:val="18"/>
        </w:rPr>
        <w:t>ure 2, p1208 of the submission.</w:t>
      </w:r>
    </w:p>
    <w:p w14:paraId="0CD6D828" w14:textId="1A617155" w:rsidR="009424B8" w:rsidRDefault="009424B8" w:rsidP="009424B8">
      <w:pPr>
        <w:pStyle w:val="TableFigureFooter"/>
        <w:rPr>
          <w:szCs w:val="18"/>
        </w:rPr>
      </w:pPr>
      <w:r w:rsidRPr="00F8361E">
        <w:t>A</w:t>
      </w:r>
      <w:r>
        <w:t xml:space="preserve">DA = adalimumab; GOL = golimumab; </w:t>
      </w:r>
      <w:r w:rsidRPr="00C51287">
        <w:t>IFX = infliximab</w:t>
      </w:r>
      <w:r>
        <w:t xml:space="preserve">; TOF = tofacitinib; UPA = upadacitinib; VDZ = vedolizumab; </w:t>
      </w:r>
      <w:r>
        <w:rPr>
          <w:szCs w:val="18"/>
        </w:rPr>
        <w:t xml:space="preserve">FMS=full Mayo score; MA = meta-analysis; </w:t>
      </w:r>
      <w:r w:rsidRPr="00137EDC">
        <w:rPr>
          <w:szCs w:val="18"/>
        </w:rPr>
        <w:t>NS=not significant</w:t>
      </w:r>
      <w:r>
        <w:rPr>
          <w:szCs w:val="18"/>
        </w:rPr>
        <w:t>.</w:t>
      </w:r>
    </w:p>
    <w:p w14:paraId="126E14C3" w14:textId="77777777" w:rsidR="009424B8" w:rsidRDefault="009424B8" w:rsidP="009424B8">
      <w:pPr>
        <w:pStyle w:val="Caption"/>
        <w:rPr>
          <w:rFonts w:ascii="Arial Narrow" w:hAnsi="Arial Narrow"/>
          <w:color w:val="auto"/>
        </w:rPr>
      </w:pPr>
      <w:r>
        <w:rPr>
          <w:rFonts w:ascii="Arial Narrow" w:hAnsi="Arial Narrow"/>
          <w:color w:val="auto"/>
        </w:rPr>
        <w:br w:type="page"/>
      </w:r>
    </w:p>
    <w:p w14:paraId="241F3C9B" w14:textId="52F170E9" w:rsidR="009424B8" w:rsidRPr="00E82C7D" w:rsidRDefault="009424B8" w:rsidP="009424B8">
      <w:pPr>
        <w:pStyle w:val="Caption"/>
        <w:keepNext/>
        <w:spacing w:after="60"/>
        <w:jc w:val="left"/>
        <w:rPr>
          <w:rStyle w:val="CommentReference"/>
          <w:b/>
          <w:color w:val="auto"/>
          <w:szCs w:val="20"/>
        </w:rPr>
      </w:pPr>
      <w:bookmarkStart w:id="27" w:name="_Ref103176303"/>
      <w:r w:rsidRPr="00E82C7D">
        <w:rPr>
          <w:rFonts w:ascii="Arial Narrow" w:hAnsi="Arial Narrow"/>
          <w:color w:val="auto"/>
          <w:sz w:val="20"/>
          <w:szCs w:val="20"/>
        </w:rPr>
        <w:t xml:space="preserve">Table </w:t>
      </w:r>
      <w:r w:rsidRPr="00E82C7D">
        <w:rPr>
          <w:rFonts w:ascii="Arial Narrow" w:hAnsi="Arial Narrow"/>
          <w:color w:val="auto"/>
          <w:sz w:val="20"/>
          <w:szCs w:val="20"/>
        </w:rPr>
        <w:fldChar w:fldCharType="begin" w:fldLock="1"/>
      </w:r>
      <w:r w:rsidRPr="00E82C7D">
        <w:rPr>
          <w:rFonts w:ascii="Arial Narrow" w:hAnsi="Arial Narrow"/>
          <w:color w:val="auto"/>
          <w:sz w:val="20"/>
          <w:szCs w:val="20"/>
        </w:rPr>
        <w:instrText xml:space="preserve"> SEQ Table \* ARABIC </w:instrText>
      </w:r>
      <w:r w:rsidRPr="00E82C7D">
        <w:rPr>
          <w:rFonts w:ascii="Arial Narrow" w:hAnsi="Arial Narrow"/>
          <w:color w:val="auto"/>
          <w:sz w:val="20"/>
          <w:szCs w:val="20"/>
        </w:rPr>
        <w:fldChar w:fldCharType="separate"/>
      </w:r>
      <w:r w:rsidR="008664BD">
        <w:rPr>
          <w:rFonts w:ascii="Arial Narrow" w:hAnsi="Arial Narrow"/>
          <w:noProof/>
          <w:color w:val="auto"/>
          <w:sz w:val="20"/>
          <w:szCs w:val="20"/>
        </w:rPr>
        <w:t>5</w:t>
      </w:r>
      <w:r w:rsidRPr="00E82C7D">
        <w:rPr>
          <w:rFonts w:ascii="Arial Narrow" w:hAnsi="Arial Narrow"/>
          <w:color w:val="auto"/>
          <w:sz w:val="20"/>
          <w:szCs w:val="20"/>
        </w:rPr>
        <w:fldChar w:fldCharType="end"/>
      </w:r>
      <w:bookmarkEnd w:id="27"/>
      <w:r w:rsidRPr="00E82C7D">
        <w:rPr>
          <w:rFonts w:ascii="Arial Narrow" w:hAnsi="Arial Narrow"/>
          <w:color w:val="auto"/>
          <w:sz w:val="20"/>
          <w:szCs w:val="20"/>
        </w:rPr>
        <w:t xml:space="preserve">: </w:t>
      </w:r>
      <w:r w:rsidRPr="00E82C7D">
        <w:rPr>
          <w:rStyle w:val="CommentReference"/>
          <w:b/>
          <w:color w:val="auto"/>
          <w:szCs w:val="20"/>
        </w:rPr>
        <w:t>Indirect comparison comparing UPA versus PBS-listed comparators (TOF, GOL, VDZ) for clinical remission and clinical response at Week 52 │clinical response following induction treatment^,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28" w:type="dxa"/>
          <w:right w:w="28" w:type="dxa"/>
        </w:tblCellMar>
        <w:tblLook w:val="00A0" w:firstRow="1" w:lastRow="0" w:firstColumn="1" w:lastColumn="0" w:noHBand="0" w:noVBand="0"/>
      </w:tblPr>
      <w:tblGrid>
        <w:gridCol w:w="2821"/>
        <w:gridCol w:w="1140"/>
        <w:gridCol w:w="1142"/>
        <w:gridCol w:w="1417"/>
        <w:gridCol w:w="1417"/>
        <w:gridCol w:w="1080"/>
      </w:tblGrid>
      <w:tr w:rsidR="009424B8" w:rsidRPr="00736657" w14:paraId="3CB1BFFA" w14:textId="77777777" w:rsidTr="008664BD">
        <w:trPr>
          <w:trHeight w:val="112"/>
        </w:trPr>
        <w:tc>
          <w:tcPr>
            <w:tcW w:w="1564" w:type="pct"/>
            <w:tcBorders>
              <w:bottom w:val="single" w:sz="4" w:space="0" w:color="auto"/>
              <w:right w:val="single" w:sz="4" w:space="0" w:color="auto"/>
            </w:tcBorders>
            <w:shd w:val="clear" w:color="auto" w:fill="auto"/>
            <w:vAlign w:val="center"/>
          </w:tcPr>
          <w:p w14:paraId="5D64CFE3" w14:textId="77777777" w:rsidR="009424B8" w:rsidRPr="00736657" w:rsidRDefault="009424B8" w:rsidP="00313F8C">
            <w:pPr>
              <w:jc w:val="left"/>
              <w:rPr>
                <w:rFonts w:ascii="Arial Narrow" w:hAnsi="Arial Narrow"/>
                <w:b/>
                <w:iCs/>
                <w:sz w:val="20"/>
                <w:szCs w:val="20"/>
              </w:rPr>
            </w:pPr>
            <w:r w:rsidRPr="00736657">
              <w:rPr>
                <w:rFonts w:ascii="Arial Narrow" w:hAnsi="Arial Narrow"/>
                <w:b/>
                <w:bCs/>
                <w:iCs/>
                <w:sz w:val="20"/>
                <w:szCs w:val="20"/>
              </w:rPr>
              <w:t>Trial</w:t>
            </w:r>
          </w:p>
        </w:tc>
        <w:tc>
          <w:tcPr>
            <w:tcW w:w="632" w:type="pct"/>
            <w:tcBorders>
              <w:bottom w:val="single" w:sz="4" w:space="0" w:color="auto"/>
              <w:right w:val="single" w:sz="4" w:space="0" w:color="auto"/>
            </w:tcBorders>
            <w:shd w:val="clear" w:color="auto" w:fill="auto"/>
            <w:vAlign w:val="center"/>
          </w:tcPr>
          <w:p w14:paraId="7F881F89"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Drug</w:t>
            </w:r>
          </w:p>
          <w:p w14:paraId="242ED670" w14:textId="77777777" w:rsidR="009424B8" w:rsidRPr="00736657" w:rsidRDefault="009424B8" w:rsidP="00313F8C">
            <w:pPr>
              <w:jc w:val="center"/>
              <w:rPr>
                <w:rFonts w:ascii="Arial Narrow" w:hAnsi="Arial Narrow"/>
                <w:b/>
                <w:iCs/>
                <w:sz w:val="20"/>
                <w:szCs w:val="20"/>
              </w:rPr>
            </w:pPr>
            <w:r w:rsidRPr="00736657">
              <w:rPr>
                <w:rFonts w:ascii="Arial Narrow" w:hAnsi="Arial Narrow"/>
                <w:b/>
                <w:bCs/>
                <w:iCs/>
                <w:sz w:val="20"/>
                <w:szCs w:val="20"/>
              </w:rPr>
              <w:t>n/N (%)</w:t>
            </w:r>
          </w:p>
        </w:tc>
        <w:tc>
          <w:tcPr>
            <w:tcW w:w="632" w:type="pct"/>
            <w:tcBorders>
              <w:bottom w:val="single" w:sz="4" w:space="0" w:color="auto"/>
              <w:right w:val="single" w:sz="4" w:space="0" w:color="auto"/>
            </w:tcBorders>
            <w:shd w:val="clear" w:color="auto" w:fill="auto"/>
            <w:vAlign w:val="center"/>
          </w:tcPr>
          <w:p w14:paraId="33E55058"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Control</w:t>
            </w:r>
          </w:p>
          <w:p w14:paraId="7F4808A5" w14:textId="77777777" w:rsidR="009424B8" w:rsidRPr="00736657" w:rsidRDefault="009424B8" w:rsidP="00313F8C">
            <w:pPr>
              <w:jc w:val="center"/>
              <w:rPr>
                <w:rFonts w:ascii="Arial Narrow" w:hAnsi="Arial Narrow"/>
                <w:b/>
                <w:iCs/>
                <w:sz w:val="20"/>
                <w:szCs w:val="20"/>
              </w:rPr>
            </w:pPr>
            <w:r w:rsidRPr="00736657">
              <w:rPr>
                <w:rFonts w:ascii="Arial Narrow" w:hAnsi="Arial Narrow"/>
                <w:b/>
                <w:bCs/>
                <w:iCs/>
                <w:sz w:val="20"/>
                <w:szCs w:val="20"/>
              </w:rPr>
              <w:t>n/N (%)</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980A97E"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RR</w:t>
            </w:r>
          </w:p>
          <w:p w14:paraId="27F2EA84"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noProof/>
                <w:sz w:val="20"/>
                <w:szCs w:val="20"/>
              </w:rPr>
              <w:t>(95% CI)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D1B9615" w14:textId="77777777" w:rsidR="009424B8" w:rsidRPr="00736657" w:rsidRDefault="009424B8" w:rsidP="00313F8C">
            <w:pPr>
              <w:jc w:val="center"/>
              <w:rPr>
                <w:rFonts w:ascii="Arial Narrow" w:hAnsi="Arial Narrow"/>
                <w:b/>
                <w:bCs/>
                <w:iCs/>
                <w:noProof/>
                <w:sz w:val="20"/>
                <w:szCs w:val="20"/>
              </w:rPr>
            </w:pPr>
            <w:r w:rsidRPr="00736657">
              <w:rPr>
                <w:rFonts w:ascii="Arial Narrow" w:hAnsi="Arial Narrow"/>
                <w:b/>
                <w:bCs/>
                <w:iCs/>
                <w:noProof/>
                <w:sz w:val="20"/>
                <w:szCs w:val="20"/>
              </w:rPr>
              <w:t>RD</w:t>
            </w:r>
          </w:p>
          <w:p w14:paraId="16596C16"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noProof/>
                <w:sz w:val="20"/>
                <w:szCs w:val="20"/>
              </w:rPr>
              <w:t>(95% CI)</w:t>
            </w:r>
          </w:p>
        </w:tc>
        <w:tc>
          <w:tcPr>
            <w:tcW w:w="600" w:type="pct"/>
            <w:tcBorders>
              <w:left w:val="single" w:sz="4" w:space="0" w:color="auto"/>
              <w:bottom w:val="single" w:sz="4" w:space="0" w:color="auto"/>
            </w:tcBorders>
            <w:shd w:val="clear" w:color="auto" w:fill="auto"/>
            <w:vAlign w:val="center"/>
          </w:tcPr>
          <w:p w14:paraId="7F945444"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NNT</w:t>
            </w:r>
          </w:p>
          <w:p w14:paraId="7871B175"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(95%CI)</w:t>
            </w:r>
          </w:p>
        </w:tc>
      </w:tr>
      <w:tr w:rsidR="009424B8" w:rsidRPr="00736657" w14:paraId="5FBEC612" w14:textId="77777777" w:rsidTr="008664BD">
        <w:trPr>
          <w:trHeight w:val="170"/>
        </w:trPr>
        <w:tc>
          <w:tcPr>
            <w:tcW w:w="2829" w:type="pct"/>
            <w:gridSpan w:val="3"/>
            <w:tcBorders>
              <w:right w:val="single" w:sz="4" w:space="0" w:color="auto"/>
            </w:tcBorders>
            <w:shd w:val="clear" w:color="auto" w:fill="auto"/>
            <w:vAlign w:val="center"/>
          </w:tcPr>
          <w:p w14:paraId="0A1EB802" w14:textId="27457DBB" w:rsidR="009424B8" w:rsidRPr="00736657" w:rsidRDefault="009424B8" w:rsidP="00313F8C">
            <w:pPr>
              <w:rPr>
                <w:rFonts w:ascii="Arial Narrow" w:hAnsi="Arial Narrow"/>
                <w:b/>
                <w:bCs/>
                <w:iCs/>
                <w:sz w:val="20"/>
                <w:szCs w:val="20"/>
              </w:rPr>
            </w:pPr>
            <w:r w:rsidRPr="00736657">
              <w:rPr>
                <w:rFonts w:ascii="Arial Narrow" w:hAnsi="Arial Narrow"/>
                <w:b/>
                <w:bCs/>
                <w:iCs/>
                <w:sz w:val="20"/>
                <w:szCs w:val="20"/>
              </w:rPr>
              <w:t>Clinical remission, FMS Wk52/54/60</w:t>
            </w:r>
          </w:p>
        </w:tc>
        <w:tc>
          <w:tcPr>
            <w:tcW w:w="786" w:type="pct"/>
            <w:tcBorders>
              <w:top w:val="nil"/>
              <w:left w:val="single" w:sz="4" w:space="0" w:color="auto"/>
              <w:bottom w:val="nil"/>
              <w:right w:val="single" w:sz="4" w:space="0" w:color="auto"/>
            </w:tcBorders>
            <w:shd w:val="clear" w:color="auto" w:fill="auto"/>
            <w:vAlign w:val="center"/>
          </w:tcPr>
          <w:p w14:paraId="5785E490" w14:textId="77777777" w:rsidR="009424B8" w:rsidRPr="00736657" w:rsidRDefault="009424B8" w:rsidP="00313F8C">
            <w:pPr>
              <w:jc w:val="center"/>
              <w:rPr>
                <w:rFonts w:ascii="Arial Narrow" w:hAnsi="Arial Narrow"/>
                <w:iCs/>
                <w:sz w:val="20"/>
                <w:szCs w:val="20"/>
              </w:rPr>
            </w:pPr>
          </w:p>
        </w:tc>
        <w:tc>
          <w:tcPr>
            <w:tcW w:w="786" w:type="pct"/>
            <w:tcBorders>
              <w:top w:val="nil"/>
              <w:left w:val="single" w:sz="4" w:space="0" w:color="auto"/>
              <w:bottom w:val="nil"/>
              <w:right w:val="single" w:sz="4" w:space="0" w:color="auto"/>
            </w:tcBorders>
            <w:shd w:val="clear" w:color="auto" w:fill="auto"/>
            <w:vAlign w:val="center"/>
          </w:tcPr>
          <w:p w14:paraId="469E5F39" w14:textId="77777777" w:rsidR="009424B8" w:rsidRPr="00736657" w:rsidRDefault="009424B8" w:rsidP="00313F8C">
            <w:pPr>
              <w:jc w:val="center"/>
              <w:rPr>
                <w:rFonts w:ascii="Arial Narrow" w:hAnsi="Arial Narrow"/>
                <w:iCs/>
                <w:sz w:val="20"/>
                <w:szCs w:val="20"/>
              </w:rPr>
            </w:pPr>
          </w:p>
        </w:tc>
        <w:tc>
          <w:tcPr>
            <w:tcW w:w="600" w:type="pct"/>
            <w:tcBorders>
              <w:top w:val="nil"/>
              <w:left w:val="single" w:sz="4" w:space="0" w:color="auto"/>
              <w:bottom w:val="nil"/>
              <w:right w:val="single" w:sz="4" w:space="0" w:color="auto"/>
            </w:tcBorders>
            <w:shd w:val="clear" w:color="auto" w:fill="auto"/>
            <w:vAlign w:val="center"/>
          </w:tcPr>
          <w:p w14:paraId="44B7F1A9" w14:textId="77777777" w:rsidR="009424B8" w:rsidRPr="00736657" w:rsidRDefault="009424B8" w:rsidP="00313F8C">
            <w:pPr>
              <w:jc w:val="center"/>
              <w:rPr>
                <w:rFonts w:ascii="Arial Narrow" w:hAnsi="Arial Narrow"/>
                <w:iCs/>
                <w:sz w:val="20"/>
                <w:szCs w:val="20"/>
              </w:rPr>
            </w:pPr>
          </w:p>
        </w:tc>
      </w:tr>
      <w:tr w:rsidR="009424B8" w:rsidRPr="00736657" w14:paraId="36F93AAE" w14:textId="77777777" w:rsidTr="008664BD">
        <w:trPr>
          <w:trHeight w:val="170"/>
        </w:trPr>
        <w:tc>
          <w:tcPr>
            <w:tcW w:w="1564" w:type="pct"/>
            <w:shd w:val="clear" w:color="auto" w:fill="auto"/>
            <w:vAlign w:val="center"/>
          </w:tcPr>
          <w:p w14:paraId="34C18D09" w14:textId="77777777" w:rsidR="009424B8" w:rsidRPr="00736657" w:rsidRDefault="009424B8" w:rsidP="00313F8C">
            <w:pPr>
              <w:jc w:val="left"/>
              <w:rPr>
                <w:rFonts w:ascii="Arial Narrow" w:hAnsi="Arial Narrow"/>
                <w:iCs/>
                <w:sz w:val="20"/>
                <w:szCs w:val="20"/>
              </w:rPr>
            </w:pPr>
            <w:r w:rsidRPr="00736657">
              <w:rPr>
                <w:rFonts w:ascii="Arial Narrow" w:hAnsi="Arial Narrow"/>
                <w:iCs/>
                <w:sz w:val="20"/>
                <w:szCs w:val="20"/>
              </w:rPr>
              <w:t>UPA 15mg v PBO (U-ACHIEVE-S3)</w:t>
            </w:r>
          </w:p>
        </w:tc>
        <w:tc>
          <w:tcPr>
            <w:tcW w:w="632" w:type="pct"/>
            <w:shd w:val="clear" w:color="auto" w:fill="auto"/>
            <w:vAlign w:val="center"/>
          </w:tcPr>
          <w:p w14:paraId="004C6CB6"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60/148 (40.5)</w:t>
            </w:r>
          </w:p>
        </w:tc>
        <w:tc>
          <w:tcPr>
            <w:tcW w:w="632" w:type="pct"/>
            <w:tcBorders>
              <w:right w:val="single" w:sz="4" w:space="0" w:color="auto"/>
            </w:tcBorders>
            <w:shd w:val="clear" w:color="auto" w:fill="auto"/>
            <w:vAlign w:val="center"/>
          </w:tcPr>
          <w:p w14:paraId="0EF33ED0"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16/149 (10.7)</w:t>
            </w:r>
          </w:p>
        </w:tc>
        <w:tc>
          <w:tcPr>
            <w:tcW w:w="786" w:type="pct"/>
            <w:tcBorders>
              <w:top w:val="nil"/>
              <w:left w:val="single" w:sz="4" w:space="0" w:color="auto"/>
              <w:bottom w:val="nil"/>
              <w:right w:val="single" w:sz="4" w:space="0" w:color="auto"/>
            </w:tcBorders>
            <w:shd w:val="clear" w:color="auto" w:fill="auto"/>
            <w:vAlign w:val="center"/>
          </w:tcPr>
          <w:p w14:paraId="24BD69FD"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3.78 (2.28, 6.24)</w:t>
            </w:r>
          </w:p>
        </w:tc>
        <w:tc>
          <w:tcPr>
            <w:tcW w:w="786" w:type="pct"/>
            <w:tcBorders>
              <w:top w:val="nil"/>
              <w:left w:val="single" w:sz="4" w:space="0" w:color="auto"/>
              <w:bottom w:val="nil"/>
              <w:right w:val="single" w:sz="4" w:space="0" w:color="auto"/>
            </w:tcBorders>
            <w:shd w:val="clear" w:color="auto" w:fill="auto"/>
            <w:vAlign w:val="center"/>
          </w:tcPr>
          <w:p w14:paraId="1197C824"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0.30 (0.20, 0.39)</w:t>
            </w:r>
          </w:p>
        </w:tc>
        <w:tc>
          <w:tcPr>
            <w:tcW w:w="600" w:type="pct"/>
            <w:tcBorders>
              <w:top w:val="nil"/>
              <w:left w:val="single" w:sz="4" w:space="0" w:color="auto"/>
              <w:bottom w:val="nil"/>
              <w:right w:val="single" w:sz="4" w:space="0" w:color="auto"/>
            </w:tcBorders>
            <w:shd w:val="clear" w:color="auto" w:fill="auto"/>
            <w:vAlign w:val="center"/>
          </w:tcPr>
          <w:p w14:paraId="06E5BFBC"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3 (3,5)</w:t>
            </w:r>
          </w:p>
        </w:tc>
      </w:tr>
      <w:tr w:rsidR="009424B8" w:rsidRPr="00736657" w14:paraId="3660CE07" w14:textId="77777777" w:rsidTr="008664BD">
        <w:trPr>
          <w:trHeight w:val="170"/>
        </w:trPr>
        <w:tc>
          <w:tcPr>
            <w:tcW w:w="1564" w:type="pct"/>
            <w:shd w:val="clear" w:color="auto" w:fill="auto"/>
            <w:vAlign w:val="center"/>
          </w:tcPr>
          <w:p w14:paraId="124D0592" w14:textId="77777777" w:rsidR="009424B8" w:rsidRPr="00736657" w:rsidRDefault="009424B8" w:rsidP="00313F8C">
            <w:pPr>
              <w:jc w:val="left"/>
              <w:rPr>
                <w:rFonts w:ascii="Arial Narrow" w:hAnsi="Arial Narrow"/>
                <w:iCs/>
                <w:sz w:val="20"/>
                <w:szCs w:val="20"/>
              </w:rPr>
            </w:pPr>
            <w:r w:rsidRPr="00736657">
              <w:rPr>
                <w:rFonts w:ascii="Arial Narrow" w:hAnsi="Arial Narrow"/>
                <w:iCs/>
                <w:sz w:val="20"/>
                <w:szCs w:val="20"/>
              </w:rPr>
              <w:t>UPA 30mg v PBO (U-ACHIEVE-S3)</w:t>
            </w:r>
          </w:p>
        </w:tc>
        <w:tc>
          <w:tcPr>
            <w:tcW w:w="632" w:type="pct"/>
            <w:shd w:val="clear" w:color="auto" w:fill="auto"/>
            <w:vAlign w:val="center"/>
          </w:tcPr>
          <w:p w14:paraId="2FDB7C25"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73/154 (47.4)</w:t>
            </w:r>
          </w:p>
        </w:tc>
        <w:tc>
          <w:tcPr>
            <w:tcW w:w="632" w:type="pct"/>
            <w:tcBorders>
              <w:right w:val="single" w:sz="4" w:space="0" w:color="auto"/>
            </w:tcBorders>
            <w:shd w:val="clear" w:color="auto" w:fill="auto"/>
            <w:vAlign w:val="center"/>
          </w:tcPr>
          <w:p w14:paraId="12366392"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16/149 (10.7)</w:t>
            </w:r>
          </w:p>
        </w:tc>
        <w:tc>
          <w:tcPr>
            <w:tcW w:w="786" w:type="pct"/>
            <w:tcBorders>
              <w:top w:val="nil"/>
              <w:left w:val="single" w:sz="4" w:space="0" w:color="auto"/>
              <w:bottom w:val="nil"/>
              <w:right w:val="single" w:sz="4" w:space="0" w:color="auto"/>
            </w:tcBorders>
            <w:shd w:val="clear" w:color="auto" w:fill="auto"/>
            <w:vAlign w:val="center"/>
          </w:tcPr>
          <w:p w14:paraId="4B96A07F"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4.41 (2.70, 7.22)</w:t>
            </w:r>
          </w:p>
        </w:tc>
        <w:tc>
          <w:tcPr>
            <w:tcW w:w="786" w:type="pct"/>
            <w:tcBorders>
              <w:top w:val="nil"/>
              <w:left w:val="single" w:sz="4" w:space="0" w:color="auto"/>
              <w:bottom w:val="nil"/>
              <w:right w:val="single" w:sz="4" w:space="0" w:color="auto"/>
            </w:tcBorders>
            <w:shd w:val="clear" w:color="auto" w:fill="auto"/>
            <w:vAlign w:val="center"/>
          </w:tcPr>
          <w:p w14:paraId="6C97F469"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0.37 (0.27, 0.46)</w:t>
            </w:r>
          </w:p>
        </w:tc>
        <w:tc>
          <w:tcPr>
            <w:tcW w:w="600" w:type="pct"/>
            <w:tcBorders>
              <w:top w:val="nil"/>
              <w:left w:val="single" w:sz="4" w:space="0" w:color="auto"/>
              <w:bottom w:val="nil"/>
              <w:right w:val="single" w:sz="4" w:space="0" w:color="auto"/>
            </w:tcBorders>
            <w:shd w:val="clear" w:color="auto" w:fill="auto"/>
            <w:vAlign w:val="center"/>
          </w:tcPr>
          <w:p w14:paraId="1C885CE7"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3 (2,4)</w:t>
            </w:r>
          </w:p>
        </w:tc>
      </w:tr>
      <w:tr w:rsidR="009424B8" w:rsidRPr="00736657" w14:paraId="2169D69F" w14:textId="77777777" w:rsidTr="008664BD">
        <w:trPr>
          <w:trHeight w:val="170"/>
        </w:trPr>
        <w:tc>
          <w:tcPr>
            <w:tcW w:w="1564" w:type="pct"/>
            <w:shd w:val="clear" w:color="auto" w:fill="auto"/>
            <w:vAlign w:val="center"/>
          </w:tcPr>
          <w:p w14:paraId="3ACCC0A7" w14:textId="77777777" w:rsidR="009424B8" w:rsidRPr="00736657" w:rsidRDefault="009424B8" w:rsidP="00313F8C">
            <w:pPr>
              <w:jc w:val="left"/>
              <w:rPr>
                <w:rFonts w:ascii="Arial Narrow" w:hAnsi="Arial Narrow"/>
                <w:iCs/>
                <w:sz w:val="20"/>
                <w:szCs w:val="20"/>
              </w:rPr>
            </w:pPr>
            <w:r w:rsidRPr="00736657">
              <w:rPr>
                <w:rFonts w:ascii="Arial Narrow" w:hAnsi="Arial Narrow"/>
                <w:iCs/>
                <w:sz w:val="20"/>
                <w:szCs w:val="20"/>
              </w:rPr>
              <w:t>UPA 15,30mg pooled v PBO (U-ACHIEVE-S3)</w:t>
            </w:r>
          </w:p>
        </w:tc>
        <w:tc>
          <w:tcPr>
            <w:tcW w:w="632" w:type="pct"/>
            <w:shd w:val="clear" w:color="auto" w:fill="auto"/>
            <w:vAlign w:val="center"/>
          </w:tcPr>
          <w:p w14:paraId="5C07A5E7"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133/302 (44.0)</w:t>
            </w:r>
          </w:p>
        </w:tc>
        <w:tc>
          <w:tcPr>
            <w:tcW w:w="632" w:type="pct"/>
            <w:tcBorders>
              <w:right w:val="single" w:sz="4" w:space="0" w:color="auto"/>
            </w:tcBorders>
            <w:shd w:val="clear" w:color="auto" w:fill="auto"/>
            <w:vAlign w:val="center"/>
          </w:tcPr>
          <w:p w14:paraId="2C746397"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16/149 (10.7)</w:t>
            </w:r>
          </w:p>
        </w:tc>
        <w:tc>
          <w:tcPr>
            <w:tcW w:w="786" w:type="pct"/>
            <w:tcBorders>
              <w:top w:val="nil"/>
              <w:left w:val="single" w:sz="4" w:space="0" w:color="auto"/>
              <w:bottom w:val="nil"/>
              <w:right w:val="single" w:sz="4" w:space="0" w:color="auto"/>
            </w:tcBorders>
            <w:shd w:val="clear" w:color="auto" w:fill="auto"/>
            <w:vAlign w:val="center"/>
          </w:tcPr>
          <w:p w14:paraId="081D5513"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4.10 (2.54, 6.63)</w:t>
            </w:r>
          </w:p>
        </w:tc>
        <w:tc>
          <w:tcPr>
            <w:tcW w:w="786" w:type="pct"/>
            <w:tcBorders>
              <w:top w:val="nil"/>
              <w:left w:val="single" w:sz="4" w:space="0" w:color="auto"/>
              <w:bottom w:val="nil"/>
              <w:right w:val="single" w:sz="4" w:space="0" w:color="auto"/>
            </w:tcBorders>
            <w:shd w:val="clear" w:color="auto" w:fill="auto"/>
            <w:vAlign w:val="center"/>
          </w:tcPr>
          <w:p w14:paraId="68557CBC"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0.33 (0.26, 0.41)</w:t>
            </w:r>
          </w:p>
        </w:tc>
        <w:tc>
          <w:tcPr>
            <w:tcW w:w="600" w:type="pct"/>
            <w:tcBorders>
              <w:top w:val="nil"/>
              <w:left w:val="single" w:sz="4" w:space="0" w:color="auto"/>
              <w:bottom w:val="nil"/>
              <w:right w:val="single" w:sz="4" w:space="0" w:color="auto"/>
            </w:tcBorders>
            <w:shd w:val="clear" w:color="auto" w:fill="auto"/>
            <w:vAlign w:val="center"/>
          </w:tcPr>
          <w:p w14:paraId="329F3966"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3 (2,4)</w:t>
            </w:r>
          </w:p>
        </w:tc>
      </w:tr>
      <w:tr w:rsidR="009424B8" w:rsidRPr="00736657" w14:paraId="68062271" w14:textId="77777777" w:rsidTr="008664BD">
        <w:trPr>
          <w:trHeight w:val="170"/>
        </w:trPr>
        <w:tc>
          <w:tcPr>
            <w:tcW w:w="1564" w:type="pct"/>
            <w:shd w:val="clear" w:color="auto" w:fill="auto"/>
            <w:vAlign w:val="center"/>
          </w:tcPr>
          <w:p w14:paraId="745B600F" w14:textId="77777777" w:rsidR="009424B8" w:rsidRPr="00736657" w:rsidRDefault="009424B8" w:rsidP="00313F8C">
            <w:pPr>
              <w:jc w:val="left"/>
              <w:rPr>
                <w:rFonts w:ascii="Arial Narrow" w:hAnsi="Arial Narrow"/>
                <w:iCs/>
                <w:sz w:val="20"/>
                <w:szCs w:val="20"/>
              </w:rPr>
            </w:pPr>
            <w:r w:rsidRPr="00736657">
              <w:rPr>
                <w:rFonts w:ascii="Arial Narrow" w:hAnsi="Arial Narrow"/>
                <w:iCs/>
                <w:sz w:val="20"/>
                <w:szCs w:val="20"/>
              </w:rPr>
              <w:t>TOF 5mg v PBO (OCTAVE-SUSTAIN)</w:t>
            </w:r>
          </w:p>
        </w:tc>
        <w:tc>
          <w:tcPr>
            <w:tcW w:w="632" w:type="pct"/>
            <w:shd w:val="clear" w:color="auto" w:fill="auto"/>
            <w:vAlign w:val="center"/>
          </w:tcPr>
          <w:p w14:paraId="70811888"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68/198 (34.3)</w:t>
            </w:r>
          </w:p>
        </w:tc>
        <w:tc>
          <w:tcPr>
            <w:tcW w:w="632" w:type="pct"/>
            <w:tcBorders>
              <w:right w:val="single" w:sz="4" w:space="0" w:color="auto"/>
            </w:tcBorders>
            <w:shd w:val="clear" w:color="auto" w:fill="auto"/>
            <w:vAlign w:val="center"/>
          </w:tcPr>
          <w:p w14:paraId="239707A1"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22/198 (11.1)</w:t>
            </w:r>
          </w:p>
        </w:tc>
        <w:tc>
          <w:tcPr>
            <w:tcW w:w="786" w:type="pct"/>
            <w:tcBorders>
              <w:top w:val="nil"/>
              <w:left w:val="single" w:sz="4" w:space="0" w:color="auto"/>
              <w:bottom w:val="nil"/>
              <w:right w:val="single" w:sz="4" w:space="0" w:color="auto"/>
            </w:tcBorders>
            <w:shd w:val="clear" w:color="auto" w:fill="auto"/>
            <w:vAlign w:val="center"/>
          </w:tcPr>
          <w:p w14:paraId="740C6674"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3.09 (1.99, 4.79)</w:t>
            </w:r>
          </w:p>
        </w:tc>
        <w:tc>
          <w:tcPr>
            <w:tcW w:w="786" w:type="pct"/>
            <w:tcBorders>
              <w:top w:val="nil"/>
              <w:left w:val="single" w:sz="4" w:space="0" w:color="auto"/>
              <w:bottom w:val="nil"/>
              <w:right w:val="single" w:sz="4" w:space="0" w:color="auto"/>
            </w:tcBorders>
            <w:shd w:val="clear" w:color="auto" w:fill="auto"/>
            <w:vAlign w:val="center"/>
          </w:tcPr>
          <w:p w14:paraId="1AC36E79"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0.23 (0.15, 0.31)</w:t>
            </w:r>
          </w:p>
        </w:tc>
        <w:tc>
          <w:tcPr>
            <w:tcW w:w="600" w:type="pct"/>
            <w:tcBorders>
              <w:top w:val="nil"/>
              <w:left w:val="single" w:sz="4" w:space="0" w:color="auto"/>
              <w:bottom w:val="nil"/>
              <w:right w:val="single" w:sz="4" w:space="0" w:color="auto"/>
            </w:tcBorders>
            <w:shd w:val="clear" w:color="auto" w:fill="auto"/>
            <w:vAlign w:val="center"/>
          </w:tcPr>
          <w:p w14:paraId="5671D506"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4 (3,7)</w:t>
            </w:r>
          </w:p>
        </w:tc>
      </w:tr>
      <w:tr w:rsidR="009424B8" w:rsidRPr="00736657" w14:paraId="2B97938F" w14:textId="77777777" w:rsidTr="008664BD">
        <w:trPr>
          <w:trHeight w:val="170"/>
        </w:trPr>
        <w:tc>
          <w:tcPr>
            <w:tcW w:w="1564" w:type="pct"/>
            <w:shd w:val="clear" w:color="auto" w:fill="auto"/>
            <w:vAlign w:val="center"/>
          </w:tcPr>
          <w:p w14:paraId="4E642C08" w14:textId="77777777" w:rsidR="009424B8" w:rsidRPr="00736657" w:rsidRDefault="009424B8" w:rsidP="00313F8C">
            <w:pPr>
              <w:jc w:val="left"/>
              <w:rPr>
                <w:rFonts w:ascii="Arial Narrow" w:hAnsi="Arial Narrow"/>
                <w:iCs/>
                <w:sz w:val="20"/>
                <w:szCs w:val="20"/>
              </w:rPr>
            </w:pPr>
            <w:r w:rsidRPr="00736657">
              <w:rPr>
                <w:rFonts w:ascii="Arial Narrow" w:hAnsi="Arial Narrow"/>
                <w:iCs/>
                <w:sz w:val="20"/>
                <w:szCs w:val="20"/>
              </w:rPr>
              <w:t>TOF 10mg v PBO (OCTAVE-SUSTAIN)</w:t>
            </w:r>
          </w:p>
        </w:tc>
        <w:tc>
          <w:tcPr>
            <w:tcW w:w="632" w:type="pct"/>
            <w:shd w:val="clear" w:color="auto" w:fill="auto"/>
            <w:vAlign w:val="center"/>
          </w:tcPr>
          <w:p w14:paraId="73FA06B8"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81/197# (41.1)</w:t>
            </w:r>
          </w:p>
        </w:tc>
        <w:tc>
          <w:tcPr>
            <w:tcW w:w="632" w:type="pct"/>
            <w:tcBorders>
              <w:right w:val="single" w:sz="4" w:space="0" w:color="auto"/>
            </w:tcBorders>
            <w:shd w:val="clear" w:color="auto" w:fill="auto"/>
            <w:vAlign w:val="center"/>
          </w:tcPr>
          <w:p w14:paraId="59E0BC8D"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22/198 (11.1)</w:t>
            </w:r>
          </w:p>
        </w:tc>
        <w:tc>
          <w:tcPr>
            <w:tcW w:w="786" w:type="pct"/>
            <w:tcBorders>
              <w:top w:val="nil"/>
              <w:left w:val="single" w:sz="4" w:space="0" w:color="auto"/>
              <w:bottom w:val="nil"/>
              <w:right w:val="single" w:sz="4" w:space="0" w:color="auto"/>
            </w:tcBorders>
            <w:shd w:val="clear" w:color="auto" w:fill="auto"/>
            <w:vAlign w:val="center"/>
          </w:tcPr>
          <w:p w14:paraId="1DAE42DE"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3.70 (2.41, 5.68)</w:t>
            </w:r>
          </w:p>
        </w:tc>
        <w:tc>
          <w:tcPr>
            <w:tcW w:w="786" w:type="pct"/>
            <w:tcBorders>
              <w:top w:val="nil"/>
              <w:left w:val="single" w:sz="4" w:space="0" w:color="auto"/>
              <w:bottom w:val="nil"/>
              <w:right w:val="single" w:sz="4" w:space="0" w:color="auto"/>
            </w:tcBorders>
            <w:shd w:val="clear" w:color="auto" w:fill="auto"/>
            <w:vAlign w:val="center"/>
          </w:tcPr>
          <w:p w14:paraId="414809BA"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0.30 (0.22, 0.38)</w:t>
            </w:r>
          </w:p>
        </w:tc>
        <w:tc>
          <w:tcPr>
            <w:tcW w:w="600" w:type="pct"/>
            <w:tcBorders>
              <w:top w:val="nil"/>
              <w:left w:val="single" w:sz="4" w:space="0" w:color="auto"/>
              <w:bottom w:val="nil"/>
              <w:right w:val="single" w:sz="4" w:space="0" w:color="auto"/>
            </w:tcBorders>
            <w:shd w:val="clear" w:color="auto" w:fill="auto"/>
            <w:vAlign w:val="center"/>
          </w:tcPr>
          <w:p w14:paraId="03A9FE90"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3 (3.5)</w:t>
            </w:r>
          </w:p>
        </w:tc>
      </w:tr>
      <w:tr w:rsidR="009424B8" w:rsidRPr="00736657" w14:paraId="1218D6CC" w14:textId="77777777" w:rsidTr="008664BD">
        <w:trPr>
          <w:trHeight w:val="170"/>
        </w:trPr>
        <w:tc>
          <w:tcPr>
            <w:tcW w:w="1564" w:type="pct"/>
            <w:shd w:val="clear" w:color="auto" w:fill="auto"/>
            <w:vAlign w:val="center"/>
          </w:tcPr>
          <w:p w14:paraId="7104A618" w14:textId="77777777" w:rsidR="009424B8" w:rsidRPr="00736657" w:rsidRDefault="009424B8" w:rsidP="00313F8C">
            <w:pPr>
              <w:jc w:val="left"/>
              <w:rPr>
                <w:rFonts w:ascii="Arial Narrow" w:hAnsi="Arial Narrow"/>
                <w:iCs/>
                <w:sz w:val="20"/>
                <w:szCs w:val="20"/>
              </w:rPr>
            </w:pPr>
            <w:r w:rsidRPr="00736657">
              <w:rPr>
                <w:rFonts w:ascii="Arial Narrow" w:hAnsi="Arial Narrow"/>
                <w:iCs/>
                <w:sz w:val="20"/>
                <w:szCs w:val="20"/>
              </w:rPr>
              <w:t>TOF 5,10mg pooled v PBO (OCTAVE-SUSTAIN)</w:t>
            </w:r>
          </w:p>
        </w:tc>
        <w:tc>
          <w:tcPr>
            <w:tcW w:w="632" w:type="pct"/>
            <w:shd w:val="clear" w:color="auto" w:fill="auto"/>
            <w:vAlign w:val="center"/>
          </w:tcPr>
          <w:p w14:paraId="5A64DC0E"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149/395# (37.7)</w:t>
            </w:r>
          </w:p>
        </w:tc>
        <w:tc>
          <w:tcPr>
            <w:tcW w:w="632" w:type="pct"/>
            <w:tcBorders>
              <w:right w:val="single" w:sz="4" w:space="0" w:color="auto"/>
            </w:tcBorders>
            <w:shd w:val="clear" w:color="auto" w:fill="auto"/>
            <w:vAlign w:val="center"/>
          </w:tcPr>
          <w:p w14:paraId="6A5AF04E"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22/198 (11.1)</w:t>
            </w:r>
          </w:p>
        </w:tc>
        <w:tc>
          <w:tcPr>
            <w:tcW w:w="786" w:type="pct"/>
            <w:tcBorders>
              <w:top w:val="nil"/>
              <w:left w:val="single" w:sz="4" w:space="0" w:color="auto"/>
              <w:bottom w:val="nil"/>
              <w:right w:val="single" w:sz="4" w:space="0" w:color="auto"/>
            </w:tcBorders>
            <w:shd w:val="clear" w:color="auto" w:fill="auto"/>
            <w:vAlign w:val="center"/>
          </w:tcPr>
          <w:p w14:paraId="3DC1DDC4"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3.39 (2.24, 5.14)</w:t>
            </w:r>
          </w:p>
        </w:tc>
        <w:tc>
          <w:tcPr>
            <w:tcW w:w="786" w:type="pct"/>
            <w:tcBorders>
              <w:top w:val="nil"/>
              <w:left w:val="single" w:sz="4" w:space="0" w:color="auto"/>
              <w:bottom w:val="nil"/>
              <w:right w:val="single" w:sz="4" w:space="0" w:color="auto"/>
            </w:tcBorders>
            <w:shd w:val="clear" w:color="auto" w:fill="auto"/>
            <w:vAlign w:val="center"/>
          </w:tcPr>
          <w:p w14:paraId="51658497"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0.27 (0.20, 0.33)</w:t>
            </w:r>
          </w:p>
        </w:tc>
        <w:tc>
          <w:tcPr>
            <w:tcW w:w="600" w:type="pct"/>
            <w:tcBorders>
              <w:top w:val="nil"/>
              <w:left w:val="single" w:sz="4" w:space="0" w:color="auto"/>
              <w:bottom w:val="nil"/>
              <w:right w:val="single" w:sz="4" w:space="0" w:color="auto"/>
            </w:tcBorders>
            <w:shd w:val="clear" w:color="auto" w:fill="auto"/>
            <w:vAlign w:val="center"/>
          </w:tcPr>
          <w:p w14:paraId="3E9C6D45"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4 (3,5)</w:t>
            </w:r>
          </w:p>
        </w:tc>
      </w:tr>
      <w:tr w:rsidR="009424B8" w:rsidRPr="00736657" w14:paraId="06CF8437" w14:textId="77777777" w:rsidTr="008664BD">
        <w:trPr>
          <w:trHeight w:val="170"/>
        </w:trPr>
        <w:tc>
          <w:tcPr>
            <w:tcW w:w="1564" w:type="pct"/>
            <w:shd w:val="clear" w:color="auto" w:fill="auto"/>
            <w:vAlign w:val="center"/>
          </w:tcPr>
          <w:p w14:paraId="5DF504B5" w14:textId="77777777" w:rsidR="009424B8" w:rsidRPr="00736657" w:rsidRDefault="009424B8" w:rsidP="00313F8C">
            <w:pPr>
              <w:jc w:val="left"/>
              <w:rPr>
                <w:rFonts w:ascii="Arial Narrow" w:hAnsi="Arial Narrow"/>
                <w:iCs/>
                <w:sz w:val="20"/>
                <w:szCs w:val="20"/>
                <w:lang w:val="fr-FR"/>
              </w:rPr>
            </w:pPr>
            <w:r w:rsidRPr="00736657">
              <w:rPr>
                <w:rFonts w:ascii="Arial Narrow" w:hAnsi="Arial Narrow"/>
                <w:iCs/>
                <w:sz w:val="20"/>
                <w:szCs w:val="20"/>
                <w:lang w:val="fr-FR"/>
              </w:rPr>
              <w:t>GOL 100mg v PBO (MA: PURSUIT-M, PURSUIT-J)</w:t>
            </w:r>
          </w:p>
        </w:tc>
        <w:tc>
          <w:tcPr>
            <w:tcW w:w="632" w:type="pct"/>
            <w:shd w:val="clear" w:color="auto" w:fill="auto"/>
            <w:vAlign w:val="center"/>
          </w:tcPr>
          <w:p w14:paraId="1BC2813A"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67/183 (36.6)</w:t>
            </w:r>
          </w:p>
        </w:tc>
        <w:tc>
          <w:tcPr>
            <w:tcW w:w="632" w:type="pct"/>
            <w:tcBorders>
              <w:right w:val="single" w:sz="4" w:space="0" w:color="auto"/>
            </w:tcBorders>
            <w:shd w:val="clear" w:color="auto" w:fill="auto"/>
            <w:vAlign w:val="center"/>
          </w:tcPr>
          <w:p w14:paraId="0FE45003"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36/185 (19.5)</w:t>
            </w:r>
          </w:p>
        </w:tc>
        <w:tc>
          <w:tcPr>
            <w:tcW w:w="786" w:type="pct"/>
            <w:tcBorders>
              <w:top w:val="nil"/>
              <w:left w:val="single" w:sz="4" w:space="0" w:color="auto"/>
              <w:bottom w:val="nil"/>
              <w:right w:val="single" w:sz="4" w:space="0" w:color="auto"/>
            </w:tcBorders>
            <w:shd w:val="clear" w:color="auto" w:fill="auto"/>
            <w:vAlign w:val="center"/>
          </w:tcPr>
          <w:p w14:paraId="44DE3092"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3.01 (0.60, 15.12)</w:t>
            </w:r>
          </w:p>
        </w:tc>
        <w:tc>
          <w:tcPr>
            <w:tcW w:w="786" w:type="pct"/>
            <w:tcBorders>
              <w:top w:val="nil"/>
              <w:left w:val="single" w:sz="4" w:space="0" w:color="auto"/>
              <w:bottom w:val="nil"/>
              <w:right w:val="single" w:sz="4" w:space="0" w:color="auto"/>
            </w:tcBorders>
            <w:shd w:val="clear" w:color="auto" w:fill="auto"/>
            <w:vAlign w:val="center"/>
          </w:tcPr>
          <w:p w14:paraId="1AFA34B2"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0.27 (0.05, 0.58)</w:t>
            </w:r>
          </w:p>
        </w:tc>
        <w:tc>
          <w:tcPr>
            <w:tcW w:w="600" w:type="pct"/>
            <w:tcBorders>
              <w:top w:val="nil"/>
              <w:left w:val="single" w:sz="4" w:space="0" w:color="auto"/>
              <w:bottom w:val="nil"/>
              <w:right w:val="single" w:sz="4" w:space="0" w:color="auto"/>
            </w:tcBorders>
            <w:shd w:val="clear" w:color="auto" w:fill="auto"/>
            <w:vAlign w:val="center"/>
          </w:tcPr>
          <w:p w14:paraId="0BC45A79"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4 (2,20)</w:t>
            </w:r>
          </w:p>
        </w:tc>
      </w:tr>
      <w:tr w:rsidR="009424B8" w:rsidRPr="00736657" w14:paraId="569F7ED1" w14:textId="77777777" w:rsidTr="008664BD">
        <w:trPr>
          <w:trHeight w:val="170"/>
        </w:trPr>
        <w:tc>
          <w:tcPr>
            <w:tcW w:w="1564" w:type="pct"/>
            <w:shd w:val="clear" w:color="auto" w:fill="auto"/>
            <w:vAlign w:val="center"/>
          </w:tcPr>
          <w:p w14:paraId="620FE48E" w14:textId="77777777" w:rsidR="009424B8" w:rsidRPr="00736657" w:rsidRDefault="009424B8" w:rsidP="00313F8C">
            <w:pPr>
              <w:jc w:val="left"/>
              <w:rPr>
                <w:rFonts w:ascii="Arial Narrow" w:hAnsi="Arial Narrow"/>
                <w:iCs/>
                <w:sz w:val="20"/>
                <w:szCs w:val="20"/>
              </w:rPr>
            </w:pPr>
            <w:r w:rsidRPr="00736657">
              <w:rPr>
                <w:rFonts w:ascii="Arial Narrow" w:hAnsi="Arial Narrow"/>
                <w:iCs/>
                <w:sz w:val="20"/>
                <w:szCs w:val="20"/>
              </w:rPr>
              <w:t>VDZ IV 300mg, SC 108mg pooled v PBO (MA: GEMINI-1, VISIBLE, Motoya)</w:t>
            </w:r>
          </w:p>
        </w:tc>
        <w:tc>
          <w:tcPr>
            <w:tcW w:w="632" w:type="pct"/>
            <w:shd w:val="clear" w:color="auto" w:fill="auto"/>
            <w:vAlign w:val="center"/>
          </w:tcPr>
          <w:p w14:paraId="16C00CBB"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146/323 (45.2)</w:t>
            </w:r>
          </w:p>
        </w:tc>
        <w:tc>
          <w:tcPr>
            <w:tcW w:w="632" w:type="pct"/>
            <w:tcBorders>
              <w:right w:val="single" w:sz="4" w:space="0" w:color="auto"/>
            </w:tcBorders>
            <w:shd w:val="clear" w:color="auto" w:fill="auto"/>
            <w:vAlign w:val="center"/>
          </w:tcPr>
          <w:p w14:paraId="60B5200C"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41/224 (18.3)</w:t>
            </w:r>
          </w:p>
        </w:tc>
        <w:tc>
          <w:tcPr>
            <w:tcW w:w="786" w:type="pct"/>
            <w:tcBorders>
              <w:top w:val="nil"/>
              <w:left w:val="single" w:sz="4" w:space="0" w:color="auto"/>
              <w:bottom w:val="nil"/>
              <w:right w:val="single" w:sz="4" w:space="0" w:color="auto"/>
            </w:tcBorders>
            <w:shd w:val="clear" w:color="auto" w:fill="auto"/>
            <w:vAlign w:val="center"/>
          </w:tcPr>
          <w:p w14:paraId="1F9B5C74"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2.41 (1.78, 3.27)</w:t>
            </w:r>
          </w:p>
        </w:tc>
        <w:tc>
          <w:tcPr>
            <w:tcW w:w="786" w:type="pct"/>
            <w:tcBorders>
              <w:top w:val="nil"/>
              <w:left w:val="single" w:sz="4" w:space="0" w:color="auto"/>
              <w:bottom w:val="nil"/>
              <w:right w:val="single" w:sz="4" w:space="0" w:color="auto"/>
            </w:tcBorders>
            <w:shd w:val="clear" w:color="auto" w:fill="auto"/>
            <w:vAlign w:val="center"/>
          </w:tcPr>
          <w:p w14:paraId="26369DCB"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0.28 (0.20, 0.35)</w:t>
            </w:r>
          </w:p>
        </w:tc>
        <w:tc>
          <w:tcPr>
            <w:tcW w:w="600" w:type="pct"/>
            <w:tcBorders>
              <w:top w:val="nil"/>
              <w:left w:val="single" w:sz="4" w:space="0" w:color="auto"/>
              <w:bottom w:val="nil"/>
              <w:right w:val="single" w:sz="4" w:space="0" w:color="auto"/>
            </w:tcBorders>
            <w:shd w:val="clear" w:color="auto" w:fill="auto"/>
            <w:vAlign w:val="center"/>
          </w:tcPr>
          <w:p w14:paraId="18502B72"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4 (3,5)</w:t>
            </w:r>
          </w:p>
        </w:tc>
      </w:tr>
      <w:tr w:rsidR="009424B8" w:rsidRPr="00736657" w14:paraId="2A6E8C75" w14:textId="77777777" w:rsidTr="008664BD">
        <w:trPr>
          <w:trHeight w:val="170"/>
        </w:trPr>
        <w:tc>
          <w:tcPr>
            <w:tcW w:w="2829" w:type="pct"/>
            <w:gridSpan w:val="3"/>
            <w:tcBorders>
              <w:right w:val="single" w:sz="4" w:space="0" w:color="auto"/>
            </w:tcBorders>
            <w:shd w:val="clear" w:color="auto" w:fill="auto"/>
            <w:vAlign w:val="center"/>
          </w:tcPr>
          <w:p w14:paraId="3FD0FFED" w14:textId="2FF53D16" w:rsidR="009424B8" w:rsidRPr="00736657" w:rsidRDefault="009424B8" w:rsidP="00313F8C">
            <w:pPr>
              <w:jc w:val="left"/>
              <w:rPr>
                <w:rFonts w:ascii="Arial Narrow" w:hAnsi="Arial Narrow"/>
                <w:iCs/>
                <w:sz w:val="20"/>
                <w:szCs w:val="20"/>
                <w:highlight w:val="green"/>
              </w:rPr>
            </w:pPr>
            <w:r w:rsidRPr="00736657">
              <w:rPr>
                <w:rStyle w:val="CommentReference"/>
                <w:iCs/>
                <w:szCs w:val="20"/>
              </w:rPr>
              <w:t>Clinical response, FMS Wk52</w:t>
            </w:r>
          </w:p>
        </w:tc>
        <w:tc>
          <w:tcPr>
            <w:tcW w:w="786" w:type="pct"/>
            <w:tcBorders>
              <w:top w:val="nil"/>
              <w:left w:val="single" w:sz="4" w:space="0" w:color="auto"/>
              <w:bottom w:val="nil"/>
              <w:right w:val="single" w:sz="4" w:space="0" w:color="auto"/>
            </w:tcBorders>
            <w:shd w:val="clear" w:color="auto" w:fill="auto"/>
          </w:tcPr>
          <w:p w14:paraId="4FF7056F" w14:textId="77777777" w:rsidR="009424B8" w:rsidRPr="00736657" w:rsidRDefault="009424B8" w:rsidP="00313F8C">
            <w:pPr>
              <w:jc w:val="center"/>
              <w:rPr>
                <w:rFonts w:ascii="Arial Narrow" w:hAnsi="Arial Narrow"/>
                <w:b/>
                <w:bCs/>
                <w:iCs/>
                <w:sz w:val="20"/>
                <w:szCs w:val="20"/>
              </w:rPr>
            </w:pPr>
          </w:p>
        </w:tc>
        <w:tc>
          <w:tcPr>
            <w:tcW w:w="786" w:type="pct"/>
            <w:tcBorders>
              <w:top w:val="nil"/>
              <w:left w:val="single" w:sz="4" w:space="0" w:color="auto"/>
              <w:bottom w:val="nil"/>
              <w:right w:val="single" w:sz="4" w:space="0" w:color="auto"/>
            </w:tcBorders>
            <w:shd w:val="clear" w:color="auto" w:fill="auto"/>
          </w:tcPr>
          <w:p w14:paraId="52984119" w14:textId="77777777" w:rsidR="009424B8" w:rsidRPr="00736657" w:rsidRDefault="009424B8" w:rsidP="00313F8C">
            <w:pPr>
              <w:jc w:val="center"/>
              <w:rPr>
                <w:rFonts w:ascii="Arial Narrow" w:hAnsi="Arial Narrow"/>
                <w:iCs/>
                <w:sz w:val="20"/>
                <w:szCs w:val="20"/>
              </w:rPr>
            </w:pPr>
          </w:p>
        </w:tc>
        <w:tc>
          <w:tcPr>
            <w:tcW w:w="600" w:type="pct"/>
            <w:tcBorders>
              <w:top w:val="nil"/>
              <w:left w:val="single" w:sz="4" w:space="0" w:color="auto"/>
              <w:bottom w:val="nil"/>
              <w:right w:val="single" w:sz="4" w:space="0" w:color="auto"/>
            </w:tcBorders>
            <w:shd w:val="clear" w:color="auto" w:fill="auto"/>
            <w:vAlign w:val="center"/>
          </w:tcPr>
          <w:p w14:paraId="36064AC1" w14:textId="77777777" w:rsidR="009424B8" w:rsidRPr="00736657" w:rsidRDefault="009424B8" w:rsidP="00313F8C">
            <w:pPr>
              <w:jc w:val="center"/>
              <w:rPr>
                <w:rFonts w:ascii="Arial Narrow" w:hAnsi="Arial Narrow"/>
                <w:iCs/>
                <w:sz w:val="20"/>
                <w:szCs w:val="20"/>
              </w:rPr>
            </w:pPr>
          </w:p>
        </w:tc>
      </w:tr>
      <w:tr w:rsidR="009424B8" w:rsidRPr="00736657" w14:paraId="7AA10861" w14:textId="77777777" w:rsidTr="008664BD">
        <w:trPr>
          <w:trHeight w:val="170"/>
        </w:trPr>
        <w:tc>
          <w:tcPr>
            <w:tcW w:w="1564" w:type="pct"/>
            <w:shd w:val="clear" w:color="auto" w:fill="auto"/>
            <w:vAlign w:val="center"/>
          </w:tcPr>
          <w:p w14:paraId="6E0F1CC6" w14:textId="77777777" w:rsidR="009424B8" w:rsidRPr="00736657" w:rsidRDefault="009424B8" w:rsidP="00313F8C">
            <w:pPr>
              <w:jc w:val="left"/>
              <w:rPr>
                <w:rFonts w:ascii="Arial Narrow" w:hAnsi="Arial Narrow"/>
                <w:iCs/>
                <w:sz w:val="20"/>
                <w:szCs w:val="20"/>
                <w:highlight w:val="green"/>
              </w:rPr>
            </w:pPr>
            <w:r w:rsidRPr="00736657">
              <w:rPr>
                <w:rFonts w:ascii="Arial Narrow" w:hAnsi="Arial Narrow"/>
                <w:iCs/>
                <w:sz w:val="20"/>
                <w:szCs w:val="20"/>
              </w:rPr>
              <w:t>UPA 15mg v PBO (U-ACHIEVE-S3)</w:t>
            </w:r>
          </w:p>
        </w:tc>
        <w:tc>
          <w:tcPr>
            <w:tcW w:w="632" w:type="pct"/>
            <w:shd w:val="clear" w:color="auto" w:fill="auto"/>
            <w:vAlign w:val="center"/>
          </w:tcPr>
          <w:p w14:paraId="54CFC194"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89/148 (60.1)</w:t>
            </w:r>
          </w:p>
        </w:tc>
        <w:tc>
          <w:tcPr>
            <w:tcW w:w="632" w:type="pct"/>
            <w:tcBorders>
              <w:right w:val="single" w:sz="4" w:space="0" w:color="auto"/>
            </w:tcBorders>
            <w:shd w:val="clear" w:color="auto" w:fill="auto"/>
            <w:vAlign w:val="center"/>
          </w:tcPr>
          <w:p w14:paraId="4142291A"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28/149 (18.8)</w:t>
            </w:r>
          </w:p>
        </w:tc>
        <w:tc>
          <w:tcPr>
            <w:tcW w:w="786" w:type="pct"/>
            <w:tcBorders>
              <w:top w:val="nil"/>
              <w:left w:val="single" w:sz="4" w:space="0" w:color="auto"/>
              <w:bottom w:val="nil"/>
              <w:right w:val="single" w:sz="4" w:space="0" w:color="auto"/>
            </w:tcBorders>
            <w:shd w:val="clear" w:color="auto" w:fill="auto"/>
            <w:vAlign w:val="center"/>
          </w:tcPr>
          <w:p w14:paraId="222F9839"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3.20 (2.24, 4.58)</w:t>
            </w:r>
          </w:p>
        </w:tc>
        <w:tc>
          <w:tcPr>
            <w:tcW w:w="786" w:type="pct"/>
            <w:tcBorders>
              <w:top w:val="nil"/>
              <w:left w:val="single" w:sz="4" w:space="0" w:color="auto"/>
              <w:bottom w:val="nil"/>
              <w:right w:val="single" w:sz="4" w:space="0" w:color="auto"/>
            </w:tcBorders>
            <w:shd w:val="clear" w:color="auto" w:fill="auto"/>
            <w:vAlign w:val="center"/>
          </w:tcPr>
          <w:p w14:paraId="16EF8B04"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0.41 (0.31, 0.51)</w:t>
            </w:r>
          </w:p>
        </w:tc>
        <w:tc>
          <w:tcPr>
            <w:tcW w:w="600" w:type="pct"/>
            <w:tcBorders>
              <w:top w:val="nil"/>
              <w:left w:val="single" w:sz="4" w:space="0" w:color="auto"/>
              <w:bottom w:val="nil"/>
              <w:right w:val="single" w:sz="4" w:space="0" w:color="auto"/>
            </w:tcBorders>
            <w:shd w:val="clear" w:color="auto" w:fill="auto"/>
            <w:vAlign w:val="center"/>
          </w:tcPr>
          <w:p w14:paraId="7EB4D6CA"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2 (2,3)</w:t>
            </w:r>
          </w:p>
        </w:tc>
      </w:tr>
      <w:tr w:rsidR="009424B8" w:rsidRPr="00736657" w14:paraId="71A700D9" w14:textId="77777777" w:rsidTr="008664BD">
        <w:trPr>
          <w:trHeight w:val="170"/>
        </w:trPr>
        <w:tc>
          <w:tcPr>
            <w:tcW w:w="1564" w:type="pct"/>
            <w:shd w:val="clear" w:color="auto" w:fill="auto"/>
            <w:vAlign w:val="center"/>
          </w:tcPr>
          <w:p w14:paraId="0ECB5AF7" w14:textId="77777777" w:rsidR="009424B8" w:rsidRPr="00736657" w:rsidRDefault="009424B8" w:rsidP="00313F8C">
            <w:pPr>
              <w:jc w:val="left"/>
              <w:rPr>
                <w:rFonts w:ascii="Arial Narrow" w:hAnsi="Arial Narrow"/>
                <w:iCs/>
                <w:sz w:val="20"/>
                <w:szCs w:val="20"/>
                <w:highlight w:val="green"/>
              </w:rPr>
            </w:pPr>
            <w:r w:rsidRPr="00736657">
              <w:rPr>
                <w:rFonts w:ascii="Arial Narrow" w:hAnsi="Arial Narrow"/>
                <w:iCs/>
                <w:sz w:val="20"/>
                <w:szCs w:val="20"/>
              </w:rPr>
              <w:t>UPA 30mg v PBO (U-ACHIEVE-S3)</w:t>
            </w:r>
          </w:p>
        </w:tc>
        <w:tc>
          <w:tcPr>
            <w:tcW w:w="632" w:type="pct"/>
            <w:shd w:val="clear" w:color="auto" w:fill="auto"/>
            <w:vAlign w:val="center"/>
          </w:tcPr>
          <w:p w14:paraId="2A6D7499"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106/154 (68.8)</w:t>
            </w:r>
          </w:p>
        </w:tc>
        <w:tc>
          <w:tcPr>
            <w:tcW w:w="632" w:type="pct"/>
            <w:tcBorders>
              <w:right w:val="single" w:sz="4" w:space="0" w:color="auto"/>
            </w:tcBorders>
            <w:shd w:val="clear" w:color="auto" w:fill="auto"/>
            <w:vAlign w:val="center"/>
          </w:tcPr>
          <w:p w14:paraId="441ED445"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28/149 (18.8)</w:t>
            </w:r>
          </w:p>
        </w:tc>
        <w:tc>
          <w:tcPr>
            <w:tcW w:w="786" w:type="pct"/>
            <w:tcBorders>
              <w:top w:val="nil"/>
              <w:left w:val="single" w:sz="4" w:space="0" w:color="auto"/>
              <w:bottom w:val="nil"/>
              <w:right w:val="single" w:sz="4" w:space="0" w:color="auto"/>
            </w:tcBorders>
            <w:shd w:val="clear" w:color="auto" w:fill="auto"/>
            <w:vAlign w:val="center"/>
          </w:tcPr>
          <w:p w14:paraId="6DC227DE"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3.66 (2.58, 5.20)</w:t>
            </w:r>
          </w:p>
        </w:tc>
        <w:tc>
          <w:tcPr>
            <w:tcW w:w="786" w:type="pct"/>
            <w:tcBorders>
              <w:top w:val="nil"/>
              <w:left w:val="single" w:sz="4" w:space="0" w:color="auto"/>
              <w:bottom w:val="nil"/>
              <w:right w:val="single" w:sz="4" w:space="0" w:color="auto"/>
            </w:tcBorders>
            <w:shd w:val="clear" w:color="auto" w:fill="auto"/>
            <w:vAlign w:val="center"/>
          </w:tcPr>
          <w:p w14:paraId="4C805075"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0.50 (0.40, 0.60)</w:t>
            </w:r>
          </w:p>
        </w:tc>
        <w:tc>
          <w:tcPr>
            <w:tcW w:w="600" w:type="pct"/>
            <w:tcBorders>
              <w:top w:val="nil"/>
              <w:left w:val="single" w:sz="4" w:space="0" w:color="auto"/>
              <w:bottom w:val="nil"/>
              <w:right w:val="single" w:sz="4" w:space="0" w:color="auto"/>
            </w:tcBorders>
            <w:shd w:val="clear" w:color="auto" w:fill="auto"/>
            <w:vAlign w:val="center"/>
          </w:tcPr>
          <w:p w14:paraId="719B660D"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2 (2,3)</w:t>
            </w:r>
          </w:p>
        </w:tc>
      </w:tr>
      <w:tr w:rsidR="009424B8" w:rsidRPr="00736657" w14:paraId="14EC7A24" w14:textId="77777777" w:rsidTr="008664BD">
        <w:trPr>
          <w:trHeight w:val="170"/>
        </w:trPr>
        <w:tc>
          <w:tcPr>
            <w:tcW w:w="1564" w:type="pct"/>
            <w:shd w:val="clear" w:color="auto" w:fill="auto"/>
            <w:vAlign w:val="center"/>
          </w:tcPr>
          <w:p w14:paraId="2ED8760D" w14:textId="77777777" w:rsidR="009424B8" w:rsidRPr="00736657" w:rsidRDefault="009424B8" w:rsidP="00313F8C">
            <w:pPr>
              <w:jc w:val="left"/>
              <w:rPr>
                <w:rFonts w:ascii="Arial Narrow" w:hAnsi="Arial Narrow"/>
                <w:iCs/>
                <w:sz w:val="20"/>
                <w:szCs w:val="20"/>
                <w:highlight w:val="green"/>
              </w:rPr>
            </w:pPr>
            <w:r w:rsidRPr="00736657">
              <w:rPr>
                <w:rFonts w:ascii="Arial Narrow" w:hAnsi="Arial Narrow"/>
                <w:iCs/>
                <w:sz w:val="20"/>
                <w:szCs w:val="20"/>
              </w:rPr>
              <w:t>UPA pooled (U-ACHIEVE-S3)</w:t>
            </w:r>
          </w:p>
        </w:tc>
        <w:tc>
          <w:tcPr>
            <w:tcW w:w="632" w:type="pct"/>
            <w:shd w:val="clear" w:color="auto" w:fill="auto"/>
            <w:vAlign w:val="center"/>
          </w:tcPr>
          <w:p w14:paraId="413595E2"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195/302 (64.6)</w:t>
            </w:r>
          </w:p>
        </w:tc>
        <w:tc>
          <w:tcPr>
            <w:tcW w:w="632" w:type="pct"/>
            <w:tcBorders>
              <w:right w:val="single" w:sz="4" w:space="0" w:color="auto"/>
            </w:tcBorders>
            <w:shd w:val="clear" w:color="auto" w:fill="auto"/>
            <w:vAlign w:val="center"/>
          </w:tcPr>
          <w:p w14:paraId="3FC3CBAE"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28/149 (18.8)</w:t>
            </w:r>
          </w:p>
        </w:tc>
        <w:tc>
          <w:tcPr>
            <w:tcW w:w="786" w:type="pct"/>
            <w:tcBorders>
              <w:top w:val="nil"/>
              <w:left w:val="single" w:sz="4" w:space="0" w:color="auto"/>
              <w:bottom w:val="nil"/>
              <w:right w:val="single" w:sz="4" w:space="0" w:color="auto"/>
            </w:tcBorders>
            <w:shd w:val="clear" w:color="auto" w:fill="auto"/>
            <w:vAlign w:val="center"/>
          </w:tcPr>
          <w:p w14:paraId="55699E1D"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3.44 (2.44, 4.85)</w:t>
            </w:r>
          </w:p>
        </w:tc>
        <w:tc>
          <w:tcPr>
            <w:tcW w:w="786" w:type="pct"/>
            <w:tcBorders>
              <w:top w:val="nil"/>
              <w:left w:val="single" w:sz="4" w:space="0" w:color="auto"/>
              <w:bottom w:val="nil"/>
              <w:right w:val="single" w:sz="4" w:space="0" w:color="auto"/>
            </w:tcBorders>
            <w:shd w:val="clear" w:color="auto" w:fill="auto"/>
            <w:vAlign w:val="center"/>
          </w:tcPr>
          <w:p w14:paraId="4FE39873"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0.46 (0.38, 0.54)</w:t>
            </w:r>
          </w:p>
        </w:tc>
        <w:tc>
          <w:tcPr>
            <w:tcW w:w="600" w:type="pct"/>
            <w:tcBorders>
              <w:top w:val="nil"/>
              <w:left w:val="single" w:sz="4" w:space="0" w:color="auto"/>
              <w:bottom w:val="nil"/>
              <w:right w:val="single" w:sz="4" w:space="0" w:color="auto"/>
            </w:tcBorders>
            <w:shd w:val="clear" w:color="auto" w:fill="auto"/>
            <w:vAlign w:val="center"/>
          </w:tcPr>
          <w:p w14:paraId="695C4C6A"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2 (2,3)</w:t>
            </w:r>
          </w:p>
        </w:tc>
      </w:tr>
      <w:tr w:rsidR="009424B8" w:rsidRPr="00736657" w14:paraId="2AB48807" w14:textId="77777777" w:rsidTr="008664BD">
        <w:trPr>
          <w:trHeight w:val="170"/>
        </w:trPr>
        <w:tc>
          <w:tcPr>
            <w:tcW w:w="1564" w:type="pct"/>
            <w:shd w:val="clear" w:color="auto" w:fill="auto"/>
            <w:vAlign w:val="center"/>
          </w:tcPr>
          <w:p w14:paraId="4F1685AD" w14:textId="77777777" w:rsidR="009424B8" w:rsidRPr="00736657" w:rsidRDefault="009424B8" w:rsidP="00313F8C">
            <w:pPr>
              <w:jc w:val="left"/>
              <w:rPr>
                <w:rFonts w:ascii="Arial Narrow" w:hAnsi="Arial Narrow"/>
                <w:iCs/>
                <w:sz w:val="20"/>
                <w:szCs w:val="20"/>
                <w:highlight w:val="green"/>
              </w:rPr>
            </w:pPr>
            <w:r w:rsidRPr="00736657">
              <w:rPr>
                <w:rFonts w:ascii="Arial Narrow" w:hAnsi="Arial Narrow"/>
                <w:iCs/>
                <w:sz w:val="20"/>
                <w:szCs w:val="20"/>
              </w:rPr>
              <w:t>TOF 5mg v PBO (OCTAVE-SUSTAIN)</w:t>
            </w:r>
          </w:p>
        </w:tc>
        <w:tc>
          <w:tcPr>
            <w:tcW w:w="632" w:type="pct"/>
            <w:shd w:val="clear" w:color="auto" w:fill="auto"/>
            <w:vAlign w:val="center"/>
          </w:tcPr>
          <w:p w14:paraId="2E132C71"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102/198 (51.5)</w:t>
            </w:r>
          </w:p>
        </w:tc>
        <w:tc>
          <w:tcPr>
            <w:tcW w:w="632" w:type="pct"/>
            <w:tcBorders>
              <w:right w:val="single" w:sz="4" w:space="0" w:color="auto"/>
            </w:tcBorders>
            <w:shd w:val="clear" w:color="auto" w:fill="auto"/>
            <w:vAlign w:val="center"/>
          </w:tcPr>
          <w:p w14:paraId="309CC8CA"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40/198 (20.2)</w:t>
            </w:r>
          </w:p>
        </w:tc>
        <w:tc>
          <w:tcPr>
            <w:tcW w:w="786" w:type="pct"/>
            <w:tcBorders>
              <w:top w:val="nil"/>
              <w:left w:val="single" w:sz="4" w:space="0" w:color="auto"/>
              <w:bottom w:val="nil"/>
              <w:right w:val="single" w:sz="4" w:space="0" w:color="auto"/>
            </w:tcBorders>
            <w:shd w:val="clear" w:color="auto" w:fill="auto"/>
            <w:vAlign w:val="center"/>
          </w:tcPr>
          <w:p w14:paraId="09CFA9C7"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2.55 (1.87, 3.47)</w:t>
            </w:r>
          </w:p>
        </w:tc>
        <w:tc>
          <w:tcPr>
            <w:tcW w:w="786" w:type="pct"/>
            <w:tcBorders>
              <w:top w:val="nil"/>
              <w:left w:val="single" w:sz="4" w:space="0" w:color="auto"/>
              <w:bottom w:val="nil"/>
              <w:right w:val="single" w:sz="4" w:space="0" w:color="auto"/>
            </w:tcBorders>
            <w:shd w:val="clear" w:color="auto" w:fill="auto"/>
            <w:vAlign w:val="center"/>
          </w:tcPr>
          <w:p w14:paraId="7EB0FA33"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0.31 (0.22, 0.40)</w:t>
            </w:r>
          </w:p>
        </w:tc>
        <w:tc>
          <w:tcPr>
            <w:tcW w:w="600" w:type="pct"/>
            <w:tcBorders>
              <w:top w:val="nil"/>
              <w:left w:val="single" w:sz="4" w:space="0" w:color="auto"/>
              <w:bottom w:val="nil"/>
              <w:right w:val="single" w:sz="4" w:space="0" w:color="auto"/>
            </w:tcBorders>
            <w:shd w:val="clear" w:color="auto" w:fill="auto"/>
            <w:vAlign w:val="center"/>
          </w:tcPr>
          <w:p w14:paraId="667B7E98"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3 (3,5)</w:t>
            </w:r>
          </w:p>
        </w:tc>
      </w:tr>
      <w:tr w:rsidR="009424B8" w:rsidRPr="00736657" w14:paraId="7E9C502B" w14:textId="77777777" w:rsidTr="008664BD">
        <w:trPr>
          <w:trHeight w:val="170"/>
        </w:trPr>
        <w:tc>
          <w:tcPr>
            <w:tcW w:w="1564" w:type="pct"/>
            <w:shd w:val="clear" w:color="auto" w:fill="auto"/>
            <w:vAlign w:val="center"/>
          </w:tcPr>
          <w:p w14:paraId="6AD34337" w14:textId="77777777" w:rsidR="009424B8" w:rsidRPr="00736657" w:rsidRDefault="009424B8" w:rsidP="00313F8C">
            <w:pPr>
              <w:jc w:val="left"/>
              <w:rPr>
                <w:rFonts w:ascii="Arial Narrow" w:hAnsi="Arial Narrow"/>
                <w:iCs/>
                <w:sz w:val="20"/>
                <w:szCs w:val="20"/>
                <w:highlight w:val="green"/>
              </w:rPr>
            </w:pPr>
            <w:r w:rsidRPr="00736657">
              <w:rPr>
                <w:rFonts w:ascii="Arial Narrow" w:hAnsi="Arial Narrow"/>
                <w:iCs/>
                <w:sz w:val="20"/>
                <w:szCs w:val="20"/>
              </w:rPr>
              <w:t>TOF 10mg v PBO (OCTAVE-SUSTAIN)</w:t>
            </w:r>
          </w:p>
        </w:tc>
        <w:tc>
          <w:tcPr>
            <w:tcW w:w="632" w:type="pct"/>
            <w:shd w:val="clear" w:color="auto" w:fill="auto"/>
            <w:vAlign w:val="center"/>
          </w:tcPr>
          <w:p w14:paraId="45C68A8B"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122/197 (61.9)</w:t>
            </w:r>
          </w:p>
        </w:tc>
        <w:tc>
          <w:tcPr>
            <w:tcW w:w="632" w:type="pct"/>
            <w:tcBorders>
              <w:right w:val="single" w:sz="4" w:space="0" w:color="auto"/>
            </w:tcBorders>
            <w:shd w:val="clear" w:color="auto" w:fill="auto"/>
            <w:vAlign w:val="center"/>
          </w:tcPr>
          <w:p w14:paraId="6CBDD02F"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40/198 (20.2)</w:t>
            </w:r>
          </w:p>
        </w:tc>
        <w:tc>
          <w:tcPr>
            <w:tcW w:w="786" w:type="pct"/>
            <w:tcBorders>
              <w:top w:val="nil"/>
              <w:left w:val="single" w:sz="4" w:space="0" w:color="auto"/>
              <w:bottom w:val="nil"/>
              <w:right w:val="single" w:sz="4" w:space="0" w:color="auto"/>
            </w:tcBorders>
            <w:shd w:val="clear" w:color="auto" w:fill="auto"/>
            <w:vAlign w:val="center"/>
          </w:tcPr>
          <w:p w14:paraId="48E8852C"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3.07 (2.28, 4.13)</w:t>
            </w:r>
          </w:p>
        </w:tc>
        <w:tc>
          <w:tcPr>
            <w:tcW w:w="786" w:type="pct"/>
            <w:tcBorders>
              <w:top w:val="nil"/>
              <w:left w:val="single" w:sz="4" w:space="0" w:color="auto"/>
              <w:bottom w:val="nil"/>
              <w:right w:val="single" w:sz="4" w:space="0" w:color="auto"/>
            </w:tcBorders>
            <w:shd w:val="clear" w:color="auto" w:fill="auto"/>
            <w:vAlign w:val="center"/>
          </w:tcPr>
          <w:p w14:paraId="1B49CA9E"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0.42 (0.33, 0.51)</w:t>
            </w:r>
          </w:p>
        </w:tc>
        <w:tc>
          <w:tcPr>
            <w:tcW w:w="600" w:type="pct"/>
            <w:tcBorders>
              <w:top w:val="nil"/>
              <w:left w:val="single" w:sz="4" w:space="0" w:color="auto"/>
              <w:bottom w:val="nil"/>
              <w:right w:val="single" w:sz="4" w:space="0" w:color="auto"/>
            </w:tcBorders>
            <w:shd w:val="clear" w:color="auto" w:fill="auto"/>
            <w:vAlign w:val="center"/>
          </w:tcPr>
          <w:p w14:paraId="78EEDCDF"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2 (2,3)</w:t>
            </w:r>
          </w:p>
        </w:tc>
      </w:tr>
      <w:tr w:rsidR="009424B8" w:rsidRPr="00736657" w14:paraId="19E6D236" w14:textId="77777777" w:rsidTr="008664BD">
        <w:trPr>
          <w:trHeight w:val="170"/>
        </w:trPr>
        <w:tc>
          <w:tcPr>
            <w:tcW w:w="1564" w:type="pct"/>
            <w:shd w:val="clear" w:color="auto" w:fill="auto"/>
            <w:vAlign w:val="center"/>
          </w:tcPr>
          <w:p w14:paraId="4DBC76E2" w14:textId="77777777" w:rsidR="009424B8" w:rsidRPr="00736657" w:rsidRDefault="009424B8" w:rsidP="00313F8C">
            <w:pPr>
              <w:jc w:val="left"/>
              <w:rPr>
                <w:rFonts w:ascii="Arial Narrow" w:hAnsi="Arial Narrow"/>
                <w:iCs/>
                <w:sz w:val="20"/>
                <w:szCs w:val="20"/>
                <w:highlight w:val="green"/>
              </w:rPr>
            </w:pPr>
            <w:r w:rsidRPr="00736657">
              <w:rPr>
                <w:rFonts w:ascii="Arial Narrow" w:hAnsi="Arial Narrow"/>
                <w:iCs/>
                <w:sz w:val="20"/>
                <w:szCs w:val="20"/>
              </w:rPr>
              <w:t>TOF pooled v PBO (OCTAVE-SUSTAIN)</w:t>
            </w:r>
          </w:p>
        </w:tc>
        <w:tc>
          <w:tcPr>
            <w:tcW w:w="632" w:type="pct"/>
            <w:shd w:val="clear" w:color="auto" w:fill="auto"/>
            <w:vAlign w:val="center"/>
          </w:tcPr>
          <w:p w14:paraId="5229A048"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224/395 (56.7)</w:t>
            </w:r>
          </w:p>
        </w:tc>
        <w:tc>
          <w:tcPr>
            <w:tcW w:w="632" w:type="pct"/>
            <w:tcBorders>
              <w:right w:val="single" w:sz="4" w:space="0" w:color="auto"/>
            </w:tcBorders>
            <w:shd w:val="clear" w:color="auto" w:fill="auto"/>
            <w:vAlign w:val="center"/>
          </w:tcPr>
          <w:p w14:paraId="21F6BE61" w14:textId="77777777" w:rsidR="009424B8" w:rsidRPr="00736657" w:rsidRDefault="009424B8" w:rsidP="00313F8C">
            <w:pPr>
              <w:jc w:val="center"/>
              <w:rPr>
                <w:rFonts w:ascii="Arial Narrow" w:hAnsi="Arial Narrow"/>
                <w:iCs/>
                <w:sz w:val="20"/>
                <w:szCs w:val="20"/>
                <w:highlight w:val="green"/>
              </w:rPr>
            </w:pPr>
            <w:r w:rsidRPr="00736657">
              <w:rPr>
                <w:rFonts w:ascii="Arial Narrow" w:hAnsi="Arial Narrow"/>
                <w:iCs/>
                <w:sz w:val="20"/>
                <w:szCs w:val="20"/>
              </w:rPr>
              <w:t>40/198 (20.2)</w:t>
            </w:r>
          </w:p>
        </w:tc>
        <w:tc>
          <w:tcPr>
            <w:tcW w:w="786" w:type="pct"/>
            <w:tcBorders>
              <w:top w:val="nil"/>
              <w:left w:val="single" w:sz="4" w:space="0" w:color="auto"/>
              <w:bottom w:val="nil"/>
              <w:right w:val="single" w:sz="4" w:space="0" w:color="auto"/>
            </w:tcBorders>
            <w:shd w:val="clear" w:color="auto" w:fill="auto"/>
            <w:vAlign w:val="center"/>
          </w:tcPr>
          <w:p w14:paraId="11F24903"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2.81 (2.10, 3.75)</w:t>
            </w:r>
          </w:p>
        </w:tc>
        <w:tc>
          <w:tcPr>
            <w:tcW w:w="786" w:type="pct"/>
            <w:tcBorders>
              <w:top w:val="nil"/>
              <w:left w:val="single" w:sz="4" w:space="0" w:color="auto"/>
              <w:bottom w:val="nil"/>
              <w:right w:val="single" w:sz="4" w:space="0" w:color="auto"/>
            </w:tcBorders>
            <w:shd w:val="clear" w:color="auto" w:fill="auto"/>
            <w:vAlign w:val="center"/>
          </w:tcPr>
          <w:p w14:paraId="16E7AD4B" w14:textId="77777777" w:rsidR="009424B8" w:rsidRPr="00736657" w:rsidRDefault="009424B8" w:rsidP="00313F8C">
            <w:pPr>
              <w:jc w:val="center"/>
              <w:rPr>
                <w:rFonts w:ascii="Arial Narrow" w:hAnsi="Arial Narrow"/>
                <w:iCs/>
                <w:sz w:val="20"/>
                <w:szCs w:val="20"/>
              </w:rPr>
            </w:pPr>
            <w:r w:rsidRPr="00736657">
              <w:rPr>
                <w:rFonts w:ascii="Arial Narrow" w:hAnsi="Arial Narrow"/>
                <w:b/>
                <w:bCs/>
                <w:iCs/>
                <w:sz w:val="20"/>
                <w:szCs w:val="20"/>
              </w:rPr>
              <w:t>0.37 (0.29, 0.44)</w:t>
            </w:r>
          </w:p>
        </w:tc>
        <w:tc>
          <w:tcPr>
            <w:tcW w:w="600" w:type="pct"/>
            <w:tcBorders>
              <w:top w:val="nil"/>
              <w:left w:val="single" w:sz="4" w:space="0" w:color="auto"/>
              <w:bottom w:val="nil"/>
              <w:right w:val="single" w:sz="4" w:space="0" w:color="auto"/>
            </w:tcBorders>
            <w:shd w:val="clear" w:color="auto" w:fill="auto"/>
            <w:vAlign w:val="center"/>
          </w:tcPr>
          <w:p w14:paraId="50EFC85F"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3 (2,3)</w:t>
            </w:r>
          </w:p>
        </w:tc>
      </w:tr>
      <w:tr w:rsidR="009424B8" w:rsidRPr="00736657" w14:paraId="78CE6866" w14:textId="77777777" w:rsidTr="008664BD">
        <w:trPr>
          <w:trHeight w:val="170"/>
        </w:trPr>
        <w:tc>
          <w:tcPr>
            <w:tcW w:w="2829" w:type="pct"/>
            <w:gridSpan w:val="3"/>
            <w:tcBorders>
              <w:right w:val="single" w:sz="4" w:space="0" w:color="auto"/>
            </w:tcBorders>
            <w:shd w:val="clear" w:color="auto" w:fill="auto"/>
            <w:vAlign w:val="center"/>
          </w:tcPr>
          <w:p w14:paraId="471B1218" w14:textId="77777777" w:rsidR="009424B8" w:rsidRPr="00736657" w:rsidRDefault="009424B8" w:rsidP="00313F8C">
            <w:pPr>
              <w:jc w:val="right"/>
              <w:rPr>
                <w:rFonts w:ascii="Arial Narrow" w:hAnsi="Arial Narrow"/>
                <w:iCs/>
                <w:sz w:val="20"/>
                <w:szCs w:val="20"/>
              </w:rPr>
            </w:pPr>
            <w:r w:rsidRPr="00736657">
              <w:rPr>
                <w:rFonts w:ascii="Arial Narrow" w:hAnsi="Arial Narrow"/>
                <w:b/>
                <w:bCs/>
                <w:iCs/>
                <w:sz w:val="20"/>
                <w:szCs w:val="20"/>
                <w:lang w:val="pt-PT"/>
              </w:rPr>
              <w:t>Indirect comparison, clinical remission, ITT</w:t>
            </w:r>
          </w:p>
        </w:tc>
        <w:tc>
          <w:tcPr>
            <w:tcW w:w="786" w:type="pct"/>
            <w:tcBorders>
              <w:top w:val="nil"/>
              <w:left w:val="single" w:sz="4" w:space="0" w:color="auto"/>
              <w:bottom w:val="nil"/>
              <w:right w:val="single" w:sz="4" w:space="0" w:color="auto"/>
            </w:tcBorders>
            <w:shd w:val="clear" w:color="auto" w:fill="auto"/>
            <w:vAlign w:val="center"/>
          </w:tcPr>
          <w:p w14:paraId="74921090" w14:textId="77777777" w:rsidR="009424B8" w:rsidRPr="00736657" w:rsidRDefault="009424B8" w:rsidP="00313F8C">
            <w:pPr>
              <w:jc w:val="center"/>
              <w:rPr>
                <w:rFonts w:ascii="Arial Narrow" w:hAnsi="Arial Narrow"/>
                <w:iCs/>
                <w:sz w:val="20"/>
                <w:szCs w:val="20"/>
              </w:rPr>
            </w:pPr>
          </w:p>
        </w:tc>
        <w:tc>
          <w:tcPr>
            <w:tcW w:w="786" w:type="pct"/>
            <w:tcBorders>
              <w:top w:val="nil"/>
              <w:left w:val="single" w:sz="4" w:space="0" w:color="auto"/>
              <w:bottom w:val="nil"/>
              <w:right w:val="single" w:sz="4" w:space="0" w:color="auto"/>
            </w:tcBorders>
            <w:shd w:val="clear" w:color="auto" w:fill="auto"/>
            <w:vAlign w:val="center"/>
          </w:tcPr>
          <w:p w14:paraId="22924918" w14:textId="77777777" w:rsidR="009424B8" w:rsidRPr="00736657" w:rsidRDefault="009424B8" w:rsidP="00313F8C">
            <w:pPr>
              <w:jc w:val="center"/>
              <w:rPr>
                <w:rFonts w:ascii="Arial Narrow" w:hAnsi="Arial Narrow"/>
                <w:iCs/>
                <w:noProof/>
                <w:sz w:val="20"/>
                <w:szCs w:val="20"/>
              </w:rPr>
            </w:pPr>
          </w:p>
        </w:tc>
        <w:tc>
          <w:tcPr>
            <w:tcW w:w="600" w:type="pct"/>
            <w:tcBorders>
              <w:top w:val="nil"/>
              <w:left w:val="single" w:sz="4" w:space="0" w:color="auto"/>
              <w:bottom w:val="nil"/>
              <w:right w:val="single" w:sz="4" w:space="0" w:color="auto"/>
            </w:tcBorders>
            <w:shd w:val="clear" w:color="auto" w:fill="auto"/>
            <w:vAlign w:val="center"/>
          </w:tcPr>
          <w:p w14:paraId="610ADD08" w14:textId="77777777" w:rsidR="009424B8" w:rsidRPr="00736657" w:rsidRDefault="009424B8" w:rsidP="00313F8C">
            <w:pPr>
              <w:jc w:val="center"/>
              <w:rPr>
                <w:rFonts w:ascii="Arial Narrow" w:hAnsi="Arial Narrow"/>
                <w:iCs/>
                <w:noProof/>
                <w:sz w:val="20"/>
                <w:szCs w:val="20"/>
              </w:rPr>
            </w:pPr>
          </w:p>
        </w:tc>
      </w:tr>
      <w:tr w:rsidR="009424B8" w:rsidRPr="00736657" w14:paraId="70F4BE79" w14:textId="77777777" w:rsidTr="008664BD">
        <w:trPr>
          <w:trHeight w:val="170"/>
        </w:trPr>
        <w:tc>
          <w:tcPr>
            <w:tcW w:w="2829" w:type="pct"/>
            <w:gridSpan w:val="3"/>
            <w:tcBorders>
              <w:right w:val="single" w:sz="4" w:space="0" w:color="auto"/>
            </w:tcBorders>
            <w:shd w:val="clear" w:color="auto" w:fill="auto"/>
            <w:vAlign w:val="center"/>
          </w:tcPr>
          <w:p w14:paraId="218811DC"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UPA 15mg v TOF 5mg</w:t>
            </w:r>
          </w:p>
        </w:tc>
        <w:tc>
          <w:tcPr>
            <w:tcW w:w="786" w:type="pct"/>
            <w:tcBorders>
              <w:top w:val="nil"/>
              <w:left w:val="single" w:sz="4" w:space="0" w:color="auto"/>
              <w:bottom w:val="nil"/>
              <w:right w:val="single" w:sz="4" w:space="0" w:color="auto"/>
            </w:tcBorders>
            <w:shd w:val="clear" w:color="auto" w:fill="auto"/>
          </w:tcPr>
          <w:p w14:paraId="7C21E1AF"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1.22 (0.63, 2.39)</w:t>
            </w:r>
          </w:p>
        </w:tc>
        <w:tc>
          <w:tcPr>
            <w:tcW w:w="786" w:type="pct"/>
            <w:tcBorders>
              <w:top w:val="nil"/>
              <w:left w:val="single" w:sz="4" w:space="0" w:color="auto"/>
              <w:bottom w:val="nil"/>
              <w:right w:val="single" w:sz="4" w:space="0" w:color="auto"/>
            </w:tcBorders>
            <w:shd w:val="clear" w:color="auto" w:fill="auto"/>
          </w:tcPr>
          <w:p w14:paraId="3ADC02B1"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0.07 (-0.05, 0.19)</w:t>
            </w:r>
          </w:p>
        </w:tc>
        <w:tc>
          <w:tcPr>
            <w:tcW w:w="600" w:type="pct"/>
            <w:tcBorders>
              <w:top w:val="nil"/>
              <w:left w:val="single" w:sz="4" w:space="0" w:color="auto"/>
              <w:bottom w:val="nil"/>
              <w:right w:val="single" w:sz="4" w:space="0" w:color="auto"/>
            </w:tcBorders>
            <w:shd w:val="clear" w:color="auto" w:fill="auto"/>
            <w:vAlign w:val="center"/>
          </w:tcPr>
          <w:p w14:paraId="25600D8E"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581B75E8" w14:textId="77777777" w:rsidTr="008664BD">
        <w:trPr>
          <w:trHeight w:val="170"/>
        </w:trPr>
        <w:tc>
          <w:tcPr>
            <w:tcW w:w="2829" w:type="pct"/>
            <w:gridSpan w:val="3"/>
            <w:tcBorders>
              <w:right w:val="single" w:sz="4" w:space="0" w:color="auto"/>
            </w:tcBorders>
            <w:shd w:val="clear" w:color="auto" w:fill="auto"/>
            <w:vAlign w:val="center"/>
          </w:tcPr>
          <w:p w14:paraId="783C2981"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 xml:space="preserve">UPA 30mg v TOF 10mg </w:t>
            </w:r>
          </w:p>
        </w:tc>
        <w:tc>
          <w:tcPr>
            <w:tcW w:w="786" w:type="pct"/>
            <w:tcBorders>
              <w:top w:val="nil"/>
              <w:left w:val="single" w:sz="4" w:space="0" w:color="auto"/>
              <w:bottom w:val="nil"/>
              <w:right w:val="single" w:sz="4" w:space="0" w:color="auto"/>
            </w:tcBorders>
            <w:shd w:val="clear" w:color="auto" w:fill="auto"/>
          </w:tcPr>
          <w:p w14:paraId="37113C50"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1.19 (0.62, 2.29)</w:t>
            </w:r>
          </w:p>
        </w:tc>
        <w:tc>
          <w:tcPr>
            <w:tcW w:w="786" w:type="pct"/>
            <w:tcBorders>
              <w:top w:val="nil"/>
              <w:left w:val="single" w:sz="4" w:space="0" w:color="auto"/>
              <w:bottom w:val="nil"/>
              <w:right w:val="single" w:sz="4" w:space="0" w:color="auto"/>
            </w:tcBorders>
            <w:shd w:val="clear" w:color="auto" w:fill="auto"/>
          </w:tcPr>
          <w:p w14:paraId="2B43AC0B"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0.07 (-0.05, 0.19)</w:t>
            </w:r>
          </w:p>
        </w:tc>
        <w:tc>
          <w:tcPr>
            <w:tcW w:w="600" w:type="pct"/>
            <w:tcBorders>
              <w:top w:val="nil"/>
              <w:left w:val="single" w:sz="4" w:space="0" w:color="auto"/>
              <w:bottom w:val="nil"/>
              <w:right w:val="single" w:sz="4" w:space="0" w:color="auto"/>
            </w:tcBorders>
            <w:shd w:val="clear" w:color="auto" w:fill="auto"/>
            <w:vAlign w:val="center"/>
          </w:tcPr>
          <w:p w14:paraId="5E2BF9CF"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7DBA3C0C" w14:textId="77777777" w:rsidTr="008664BD">
        <w:trPr>
          <w:trHeight w:val="170"/>
        </w:trPr>
        <w:tc>
          <w:tcPr>
            <w:tcW w:w="2829" w:type="pct"/>
            <w:gridSpan w:val="3"/>
            <w:tcBorders>
              <w:right w:val="single" w:sz="4" w:space="0" w:color="auto"/>
            </w:tcBorders>
            <w:shd w:val="clear" w:color="auto" w:fill="auto"/>
            <w:vAlign w:val="center"/>
          </w:tcPr>
          <w:p w14:paraId="30871ADA"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 xml:space="preserve">UPA 15,30mg pooled v TOF 10mg </w:t>
            </w:r>
          </w:p>
        </w:tc>
        <w:tc>
          <w:tcPr>
            <w:tcW w:w="786" w:type="pct"/>
            <w:tcBorders>
              <w:top w:val="nil"/>
              <w:left w:val="single" w:sz="4" w:space="0" w:color="auto"/>
              <w:bottom w:val="nil"/>
              <w:right w:val="single" w:sz="4" w:space="0" w:color="auto"/>
            </w:tcBorders>
            <w:shd w:val="clear" w:color="auto" w:fill="auto"/>
          </w:tcPr>
          <w:p w14:paraId="4A1DE14E"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1.11 (0.58, 2.11)</w:t>
            </w:r>
          </w:p>
        </w:tc>
        <w:tc>
          <w:tcPr>
            <w:tcW w:w="786" w:type="pct"/>
            <w:tcBorders>
              <w:top w:val="nil"/>
              <w:left w:val="single" w:sz="4" w:space="0" w:color="auto"/>
              <w:bottom w:val="nil"/>
              <w:right w:val="single" w:sz="4" w:space="0" w:color="auto"/>
            </w:tcBorders>
            <w:shd w:val="clear" w:color="auto" w:fill="auto"/>
          </w:tcPr>
          <w:p w14:paraId="77594B71"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0.03 (-0.08, 0.14)</w:t>
            </w:r>
          </w:p>
        </w:tc>
        <w:tc>
          <w:tcPr>
            <w:tcW w:w="600" w:type="pct"/>
            <w:tcBorders>
              <w:top w:val="nil"/>
              <w:left w:val="single" w:sz="4" w:space="0" w:color="auto"/>
              <w:bottom w:val="nil"/>
              <w:right w:val="single" w:sz="4" w:space="0" w:color="auto"/>
            </w:tcBorders>
            <w:shd w:val="clear" w:color="auto" w:fill="auto"/>
            <w:vAlign w:val="center"/>
          </w:tcPr>
          <w:p w14:paraId="37B033A6"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707CB4EA" w14:textId="77777777" w:rsidTr="008664BD">
        <w:trPr>
          <w:trHeight w:val="170"/>
        </w:trPr>
        <w:tc>
          <w:tcPr>
            <w:tcW w:w="2829" w:type="pct"/>
            <w:gridSpan w:val="3"/>
            <w:tcBorders>
              <w:right w:val="single" w:sz="4" w:space="0" w:color="auto"/>
            </w:tcBorders>
            <w:shd w:val="clear" w:color="auto" w:fill="auto"/>
            <w:vAlign w:val="center"/>
          </w:tcPr>
          <w:p w14:paraId="6C9E82E8" w14:textId="77777777" w:rsidR="009424B8" w:rsidRPr="00736657" w:rsidRDefault="009424B8" w:rsidP="00313F8C">
            <w:pPr>
              <w:jc w:val="right"/>
              <w:rPr>
                <w:rFonts w:ascii="Arial Narrow" w:hAnsi="Arial Narrow"/>
                <w:iCs/>
                <w:sz w:val="20"/>
                <w:szCs w:val="20"/>
                <w:lang w:val="it-IT"/>
              </w:rPr>
            </w:pPr>
            <w:r w:rsidRPr="00736657">
              <w:rPr>
                <w:rFonts w:ascii="Arial Narrow" w:hAnsi="Arial Narrow"/>
                <w:iCs/>
                <w:sz w:val="20"/>
                <w:szCs w:val="20"/>
                <w:lang w:val="it-IT"/>
              </w:rPr>
              <w:t>UPA 15mg v GOL 100mg</w:t>
            </w:r>
          </w:p>
        </w:tc>
        <w:tc>
          <w:tcPr>
            <w:tcW w:w="786" w:type="pct"/>
            <w:tcBorders>
              <w:top w:val="nil"/>
              <w:left w:val="single" w:sz="4" w:space="0" w:color="auto"/>
              <w:bottom w:val="nil"/>
              <w:right w:val="single" w:sz="4" w:space="0" w:color="auto"/>
            </w:tcBorders>
            <w:shd w:val="clear" w:color="auto" w:fill="auto"/>
          </w:tcPr>
          <w:p w14:paraId="1810E383"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1.26 (0.23, 6.81)</w:t>
            </w:r>
          </w:p>
        </w:tc>
        <w:tc>
          <w:tcPr>
            <w:tcW w:w="786" w:type="pct"/>
            <w:tcBorders>
              <w:top w:val="nil"/>
              <w:left w:val="single" w:sz="4" w:space="0" w:color="auto"/>
              <w:bottom w:val="nil"/>
              <w:right w:val="single" w:sz="4" w:space="0" w:color="auto"/>
            </w:tcBorders>
            <w:shd w:val="clear" w:color="auto" w:fill="auto"/>
          </w:tcPr>
          <w:p w14:paraId="5AF4DB5A"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0.03 (-0.25, 0.31)</w:t>
            </w:r>
          </w:p>
        </w:tc>
        <w:tc>
          <w:tcPr>
            <w:tcW w:w="600" w:type="pct"/>
            <w:tcBorders>
              <w:top w:val="nil"/>
              <w:left w:val="single" w:sz="4" w:space="0" w:color="auto"/>
              <w:bottom w:val="nil"/>
              <w:right w:val="single" w:sz="4" w:space="0" w:color="auto"/>
            </w:tcBorders>
            <w:shd w:val="clear" w:color="auto" w:fill="auto"/>
            <w:vAlign w:val="center"/>
          </w:tcPr>
          <w:p w14:paraId="7E8FDF76"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652F8793" w14:textId="77777777" w:rsidTr="008664BD">
        <w:trPr>
          <w:trHeight w:val="170"/>
        </w:trPr>
        <w:tc>
          <w:tcPr>
            <w:tcW w:w="2829" w:type="pct"/>
            <w:gridSpan w:val="3"/>
            <w:tcBorders>
              <w:right w:val="single" w:sz="4" w:space="0" w:color="auto"/>
            </w:tcBorders>
            <w:shd w:val="clear" w:color="auto" w:fill="auto"/>
            <w:vAlign w:val="center"/>
          </w:tcPr>
          <w:p w14:paraId="7B35695E" w14:textId="77777777" w:rsidR="009424B8" w:rsidRPr="00736657" w:rsidRDefault="009424B8" w:rsidP="00313F8C">
            <w:pPr>
              <w:jc w:val="right"/>
              <w:rPr>
                <w:rFonts w:ascii="Arial Narrow" w:hAnsi="Arial Narrow"/>
                <w:iCs/>
                <w:sz w:val="20"/>
                <w:szCs w:val="20"/>
                <w:lang w:val="it-IT"/>
              </w:rPr>
            </w:pPr>
            <w:r w:rsidRPr="00736657">
              <w:rPr>
                <w:rFonts w:ascii="Arial Narrow" w:hAnsi="Arial Narrow"/>
                <w:iCs/>
                <w:sz w:val="20"/>
                <w:szCs w:val="20"/>
                <w:lang w:val="it-IT"/>
              </w:rPr>
              <w:t>UPA 30mg v GOL 100mg</w:t>
            </w:r>
          </w:p>
        </w:tc>
        <w:tc>
          <w:tcPr>
            <w:tcW w:w="786" w:type="pct"/>
            <w:tcBorders>
              <w:top w:val="nil"/>
              <w:left w:val="single" w:sz="4" w:space="0" w:color="auto"/>
              <w:bottom w:val="nil"/>
              <w:right w:val="single" w:sz="4" w:space="0" w:color="auto"/>
            </w:tcBorders>
            <w:shd w:val="clear" w:color="auto" w:fill="auto"/>
          </w:tcPr>
          <w:p w14:paraId="4B183ECC"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1.47 (0.27, 7.91)</w:t>
            </w:r>
          </w:p>
        </w:tc>
        <w:tc>
          <w:tcPr>
            <w:tcW w:w="786" w:type="pct"/>
            <w:tcBorders>
              <w:top w:val="nil"/>
              <w:left w:val="single" w:sz="4" w:space="0" w:color="auto"/>
              <w:bottom w:val="nil"/>
              <w:right w:val="single" w:sz="4" w:space="0" w:color="auto"/>
            </w:tcBorders>
            <w:shd w:val="clear" w:color="auto" w:fill="auto"/>
          </w:tcPr>
          <w:p w14:paraId="7C2DF77D"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0.10 (-0.18, 0.38)</w:t>
            </w:r>
          </w:p>
        </w:tc>
        <w:tc>
          <w:tcPr>
            <w:tcW w:w="600" w:type="pct"/>
            <w:tcBorders>
              <w:top w:val="nil"/>
              <w:left w:val="single" w:sz="4" w:space="0" w:color="auto"/>
              <w:bottom w:val="nil"/>
              <w:right w:val="single" w:sz="4" w:space="0" w:color="auto"/>
            </w:tcBorders>
            <w:shd w:val="clear" w:color="auto" w:fill="auto"/>
            <w:vAlign w:val="center"/>
          </w:tcPr>
          <w:p w14:paraId="0A7C7F62"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3CAD698A" w14:textId="77777777" w:rsidTr="008664BD">
        <w:trPr>
          <w:trHeight w:val="170"/>
        </w:trPr>
        <w:tc>
          <w:tcPr>
            <w:tcW w:w="2829" w:type="pct"/>
            <w:gridSpan w:val="3"/>
            <w:tcBorders>
              <w:right w:val="single" w:sz="4" w:space="0" w:color="auto"/>
            </w:tcBorders>
            <w:shd w:val="clear" w:color="auto" w:fill="auto"/>
            <w:vAlign w:val="center"/>
          </w:tcPr>
          <w:p w14:paraId="6B70FC59"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UPA 15,30mg pooled v GOL 100mg</w:t>
            </w:r>
          </w:p>
        </w:tc>
        <w:tc>
          <w:tcPr>
            <w:tcW w:w="786" w:type="pct"/>
            <w:tcBorders>
              <w:top w:val="nil"/>
              <w:left w:val="single" w:sz="4" w:space="0" w:color="auto"/>
              <w:bottom w:val="nil"/>
              <w:right w:val="single" w:sz="4" w:space="0" w:color="auto"/>
            </w:tcBorders>
            <w:shd w:val="clear" w:color="auto" w:fill="auto"/>
          </w:tcPr>
          <w:p w14:paraId="688DDC63"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1.36 (0.25, 7.33)</w:t>
            </w:r>
          </w:p>
        </w:tc>
        <w:tc>
          <w:tcPr>
            <w:tcW w:w="786" w:type="pct"/>
            <w:tcBorders>
              <w:top w:val="nil"/>
              <w:left w:val="single" w:sz="4" w:space="0" w:color="auto"/>
              <w:bottom w:val="nil"/>
              <w:right w:val="single" w:sz="4" w:space="0" w:color="auto"/>
            </w:tcBorders>
            <w:shd w:val="clear" w:color="auto" w:fill="auto"/>
          </w:tcPr>
          <w:p w14:paraId="254CBE1F"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0.06 (-0.22, 0.34)</w:t>
            </w:r>
          </w:p>
        </w:tc>
        <w:tc>
          <w:tcPr>
            <w:tcW w:w="600" w:type="pct"/>
            <w:tcBorders>
              <w:top w:val="nil"/>
              <w:left w:val="single" w:sz="4" w:space="0" w:color="auto"/>
              <w:bottom w:val="nil"/>
              <w:right w:val="single" w:sz="4" w:space="0" w:color="auto"/>
            </w:tcBorders>
            <w:shd w:val="clear" w:color="auto" w:fill="auto"/>
            <w:vAlign w:val="center"/>
          </w:tcPr>
          <w:p w14:paraId="0C268448"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3C58E616" w14:textId="77777777" w:rsidTr="008664BD">
        <w:trPr>
          <w:trHeight w:val="170"/>
        </w:trPr>
        <w:tc>
          <w:tcPr>
            <w:tcW w:w="2829" w:type="pct"/>
            <w:gridSpan w:val="3"/>
            <w:tcBorders>
              <w:right w:val="single" w:sz="4" w:space="0" w:color="auto"/>
            </w:tcBorders>
            <w:shd w:val="clear" w:color="auto" w:fill="auto"/>
            <w:vAlign w:val="center"/>
          </w:tcPr>
          <w:p w14:paraId="63B6B37D"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UPA 15mg v VDZ IV 300mg / SC 108mg</w:t>
            </w:r>
          </w:p>
        </w:tc>
        <w:tc>
          <w:tcPr>
            <w:tcW w:w="786" w:type="pct"/>
            <w:tcBorders>
              <w:top w:val="nil"/>
              <w:left w:val="single" w:sz="4" w:space="0" w:color="auto"/>
              <w:bottom w:val="nil"/>
              <w:right w:val="single" w:sz="4" w:space="0" w:color="auto"/>
            </w:tcBorders>
            <w:shd w:val="clear" w:color="auto" w:fill="auto"/>
          </w:tcPr>
          <w:p w14:paraId="7310B2E0"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1.57 (0.87, 2.82)</w:t>
            </w:r>
          </w:p>
        </w:tc>
        <w:tc>
          <w:tcPr>
            <w:tcW w:w="786" w:type="pct"/>
            <w:tcBorders>
              <w:top w:val="nil"/>
              <w:left w:val="single" w:sz="4" w:space="0" w:color="auto"/>
              <w:bottom w:val="nil"/>
              <w:right w:val="single" w:sz="4" w:space="0" w:color="auto"/>
            </w:tcBorders>
            <w:shd w:val="clear" w:color="auto" w:fill="auto"/>
          </w:tcPr>
          <w:p w14:paraId="62AB2DDD"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0.02 (-0.10, 0.14)</w:t>
            </w:r>
          </w:p>
        </w:tc>
        <w:tc>
          <w:tcPr>
            <w:tcW w:w="600" w:type="pct"/>
            <w:tcBorders>
              <w:top w:val="nil"/>
              <w:left w:val="single" w:sz="4" w:space="0" w:color="auto"/>
              <w:bottom w:val="nil"/>
              <w:right w:val="single" w:sz="4" w:space="0" w:color="auto"/>
            </w:tcBorders>
            <w:shd w:val="clear" w:color="auto" w:fill="auto"/>
            <w:vAlign w:val="center"/>
          </w:tcPr>
          <w:p w14:paraId="5C0B661A"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1F2CFF7E" w14:textId="77777777" w:rsidTr="008664BD">
        <w:trPr>
          <w:trHeight w:val="170"/>
        </w:trPr>
        <w:tc>
          <w:tcPr>
            <w:tcW w:w="2829" w:type="pct"/>
            <w:gridSpan w:val="3"/>
            <w:tcBorders>
              <w:right w:val="single" w:sz="4" w:space="0" w:color="auto"/>
            </w:tcBorders>
            <w:shd w:val="clear" w:color="auto" w:fill="auto"/>
            <w:vAlign w:val="center"/>
          </w:tcPr>
          <w:p w14:paraId="397FB063"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UPA 30mg v VDZ IV 300mg / SC 108mg</w:t>
            </w:r>
          </w:p>
        </w:tc>
        <w:tc>
          <w:tcPr>
            <w:tcW w:w="786" w:type="pct"/>
            <w:tcBorders>
              <w:top w:val="nil"/>
              <w:left w:val="single" w:sz="4" w:space="0" w:color="auto"/>
              <w:bottom w:val="nil"/>
              <w:right w:val="single" w:sz="4" w:space="0" w:color="auto"/>
            </w:tcBorders>
            <w:shd w:val="clear" w:color="auto" w:fill="auto"/>
          </w:tcPr>
          <w:p w14:paraId="729E89FF" w14:textId="77777777" w:rsidR="009424B8" w:rsidRPr="00736657" w:rsidRDefault="009424B8" w:rsidP="00313F8C">
            <w:pPr>
              <w:jc w:val="center"/>
              <w:rPr>
                <w:rFonts w:ascii="Arial Narrow" w:hAnsi="Arial Narrow"/>
                <w:b/>
                <w:bCs/>
                <w:iCs/>
                <w:sz w:val="20"/>
                <w:szCs w:val="20"/>
              </w:rPr>
            </w:pPr>
            <w:r w:rsidRPr="00736657">
              <w:rPr>
                <w:rFonts w:ascii="Arial Narrow" w:hAnsi="Arial Narrow"/>
                <w:b/>
                <w:bCs/>
                <w:iCs/>
                <w:sz w:val="20"/>
                <w:szCs w:val="20"/>
              </w:rPr>
              <w:t>1.83 (1.03, 3.26)</w:t>
            </w:r>
          </w:p>
        </w:tc>
        <w:tc>
          <w:tcPr>
            <w:tcW w:w="786" w:type="pct"/>
            <w:tcBorders>
              <w:top w:val="nil"/>
              <w:left w:val="single" w:sz="4" w:space="0" w:color="auto"/>
              <w:bottom w:val="nil"/>
              <w:right w:val="single" w:sz="4" w:space="0" w:color="auto"/>
            </w:tcBorders>
            <w:shd w:val="clear" w:color="auto" w:fill="auto"/>
          </w:tcPr>
          <w:p w14:paraId="4720F924"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0.09 (-0.03, 0.21)</w:t>
            </w:r>
          </w:p>
        </w:tc>
        <w:tc>
          <w:tcPr>
            <w:tcW w:w="600" w:type="pct"/>
            <w:tcBorders>
              <w:top w:val="nil"/>
              <w:left w:val="single" w:sz="4" w:space="0" w:color="auto"/>
              <w:bottom w:val="nil"/>
              <w:right w:val="single" w:sz="4" w:space="0" w:color="auto"/>
            </w:tcBorders>
            <w:shd w:val="clear" w:color="auto" w:fill="auto"/>
            <w:vAlign w:val="center"/>
          </w:tcPr>
          <w:p w14:paraId="5702BD82"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24BC9DF8" w14:textId="77777777" w:rsidTr="008664BD">
        <w:trPr>
          <w:trHeight w:val="170"/>
        </w:trPr>
        <w:tc>
          <w:tcPr>
            <w:tcW w:w="2829" w:type="pct"/>
            <w:gridSpan w:val="3"/>
            <w:tcBorders>
              <w:right w:val="single" w:sz="4" w:space="0" w:color="auto"/>
            </w:tcBorders>
            <w:shd w:val="clear" w:color="auto" w:fill="auto"/>
            <w:vAlign w:val="center"/>
          </w:tcPr>
          <w:p w14:paraId="1C524165"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UPA 15,30mg pooled v VDZ IV 300mg / SC 108mg</w:t>
            </w:r>
          </w:p>
        </w:tc>
        <w:tc>
          <w:tcPr>
            <w:tcW w:w="786" w:type="pct"/>
            <w:tcBorders>
              <w:top w:val="nil"/>
              <w:left w:val="single" w:sz="4" w:space="0" w:color="auto"/>
              <w:bottom w:val="nil"/>
              <w:right w:val="single" w:sz="4" w:space="0" w:color="auto"/>
            </w:tcBorders>
            <w:shd w:val="clear" w:color="auto" w:fill="auto"/>
          </w:tcPr>
          <w:p w14:paraId="1AA37126"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1.70 (0.96, 3.00)</w:t>
            </w:r>
          </w:p>
        </w:tc>
        <w:tc>
          <w:tcPr>
            <w:tcW w:w="786" w:type="pct"/>
            <w:tcBorders>
              <w:top w:val="nil"/>
              <w:left w:val="single" w:sz="4" w:space="0" w:color="auto"/>
              <w:bottom w:val="nil"/>
              <w:right w:val="single" w:sz="4" w:space="0" w:color="auto"/>
            </w:tcBorders>
            <w:shd w:val="clear" w:color="auto" w:fill="auto"/>
          </w:tcPr>
          <w:p w14:paraId="0B386DCA"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0.05 (-0.06, 0.16)</w:t>
            </w:r>
          </w:p>
        </w:tc>
        <w:tc>
          <w:tcPr>
            <w:tcW w:w="600" w:type="pct"/>
            <w:tcBorders>
              <w:top w:val="nil"/>
              <w:left w:val="single" w:sz="4" w:space="0" w:color="auto"/>
              <w:bottom w:val="nil"/>
              <w:right w:val="single" w:sz="4" w:space="0" w:color="auto"/>
            </w:tcBorders>
            <w:shd w:val="clear" w:color="auto" w:fill="auto"/>
            <w:vAlign w:val="center"/>
          </w:tcPr>
          <w:p w14:paraId="0ED88D97"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336FA7D1" w14:textId="77777777" w:rsidTr="008664BD">
        <w:trPr>
          <w:trHeight w:val="170"/>
        </w:trPr>
        <w:tc>
          <w:tcPr>
            <w:tcW w:w="2829" w:type="pct"/>
            <w:gridSpan w:val="3"/>
            <w:tcBorders>
              <w:right w:val="single" w:sz="4" w:space="0" w:color="auto"/>
            </w:tcBorders>
            <w:shd w:val="clear" w:color="auto" w:fill="auto"/>
            <w:vAlign w:val="center"/>
          </w:tcPr>
          <w:p w14:paraId="7304EAD6" w14:textId="77777777" w:rsidR="009424B8" w:rsidRPr="00736657" w:rsidRDefault="009424B8" w:rsidP="00313F8C">
            <w:pPr>
              <w:jc w:val="right"/>
              <w:rPr>
                <w:rFonts w:ascii="Arial Narrow" w:hAnsi="Arial Narrow"/>
                <w:iCs/>
                <w:sz w:val="20"/>
                <w:szCs w:val="20"/>
              </w:rPr>
            </w:pPr>
            <w:r w:rsidRPr="00736657">
              <w:rPr>
                <w:rFonts w:ascii="Arial Narrow" w:hAnsi="Arial Narrow"/>
                <w:b/>
                <w:bCs/>
                <w:iCs/>
                <w:sz w:val="20"/>
                <w:szCs w:val="20"/>
                <w:lang w:val="pt-PT"/>
              </w:rPr>
              <w:t>Indirect comparison, clinical response, ITT</w:t>
            </w:r>
          </w:p>
        </w:tc>
        <w:tc>
          <w:tcPr>
            <w:tcW w:w="786" w:type="pct"/>
            <w:tcBorders>
              <w:top w:val="nil"/>
              <w:left w:val="single" w:sz="4" w:space="0" w:color="auto"/>
              <w:bottom w:val="nil"/>
              <w:right w:val="single" w:sz="4" w:space="0" w:color="auto"/>
            </w:tcBorders>
            <w:shd w:val="clear" w:color="auto" w:fill="auto"/>
            <w:vAlign w:val="center"/>
          </w:tcPr>
          <w:p w14:paraId="1EB21957" w14:textId="77777777" w:rsidR="009424B8" w:rsidRPr="00736657" w:rsidRDefault="009424B8" w:rsidP="00313F8C">
            <w:pPr>
              <w:jc w:val="center"/>
              <w:rPr>
                <w:rFonts w:ascii="Arial Narrow" w:hAnsi="Arial Narrow"/>
                <w:iCs/>
                <w:sz w:val="20"/>
                <w:szCs w:val="20"/>
              </w:rPr>
            </w:pPr>
          </w:p>
        </w:tc>
        <w:tc>
          <w:tcPr>
            <w:tcW w:w="786" w:type="pct"/>
            <w:tcBorders>
              <w:top w:val="nil"/>
              <w:left w:val="single" w:sz="4" w:space="0" w:color="auto"/>
              <w:bottom w:val="nil"/>
              <w:right w:val="single" w:sz="4" w:space="0" w:color="auto"/>
            </w:tcBorders>
            <w:shd w:val="clear" w:color="auto" w:fill="auto"/>
            <w:vAlign w:val="center"/>
          </w:tcPr>
          <w:p w14:paraId="3182F35A" w14:textId="77777777" w:rsidR="009424B8" w:rsidRPr="00736657" w:rsidRDefault="009424B8" w:rsidP="00313F8C">
            <w:pPr>
              <w:jc w:val="center"/>
              <w:rPr>
                <w:rFonts w:ascii="Arial Narrow" w:hAnsi="Arial Narrow"/>
                <w:iCs/>
                <w:sz w:val="20"/>
                <w:szCs w:val="20"/>
              </w:rPr>
            </w:pPr>
          </w:p>
        </w:tc>
        <w:tc>
          <w:tcPr>
            <w:tcW w:w="600" w:type="pct"/>
            <w:tcBorders>
              <w:top w:val="nil"/>
              <w:left w:val="single" w:sz="4" w:space="0" w:color="auto"/>
              <w:bottom w:val="nil"/>
              <w:right w:val="single" w:sz="4" w:space="0" w:color="auto"/>
            </w:tcBorders>
            <w:shd w:val="clear" w:color="auto" w:fill="auto"/>
            <w:vAlign w:val="center"/>
          </w:tcPr>
          <w:p w14:paraId="07BE87E2" w14:textId="77777777" w:rsidR="009424B8" w:rsidRPr="00736657" w:rsidRDefault="009424B8" w:rsidP="00313F8C">
            <w:pPr>
              <w:jc w:val="center"/>
              <w:rPr>
                <w:rFonts w:ascii="Arial Narrow" w:hAnsi="Arial Narrow"/>
                <w:iCs/>
                <w:noProof/>
                <w:sz w:val="20"/>
                <w:szCs w:val="20"/>
              </w:rPr>
            </w:pPr>
          </w:p>
        </w:tc>
      </w:tr>
      <w:tr w:rsidR="009424B8" w:rsidRPr="00736657" w14:paraId="5F358DCD" w14:textId="77777777" w:rsidTr="008664BD">
        <w:trPr>
          <w:trHeight w:val="170"/>
        </w:trPr>
        <w:tc>
          <w:tcPr>
            <w:tcW w:w="2829" w:type="pct"/>
            <w:gridSpan w:val="3"/>
            <w:tcBorders>
              <w:right w:val="single" w:sz="4" w:space="0" w:color="auto"/>
            </w:tcBorders>
            <w:shd w:val="clear" w:color="auto" w:fill="auto"/>
            <w:vAlign w:val="center"/>
          </w:tcPr>
          <w:p w14:paraId="5D85D809"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UPA 15mg v TOF 5mg</w:t>
            </w:r>
          </w:p>
        </w:tc>
        <w:tc>
          <w:tcPr>
            <w:tcW w:w="786" w:type="pct"/>
            <w:tcBorders>
              <w:top w:val="nil"/>
              <w:left w:val="single" w:sz="4" w:space="0" w:color="auto"/>
              <w:bottom w:val="nil"/>
              <w:right w:val="single" w:sz="4" w:space="0" w:color="auto"/>
            </w:tcBorders>
            <w:shd w:val="clear" w:color="auto" w:fill="auto"/>
            <w:vAlign w:val="center"/>
          </w:tcPr>
          <w:p w14:paraId="72BDCCAC"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1.26 (0.78, 2.01)</w:t>
            </w:r>
          </w:p>
        </w:tc>
        <w:tc>
          <w:tcPr>
            <w:tcW w:w="786" w:type="pct"/>
            <w:tcBorders>
              <w:top w:val="nil"/>
              <w:left w:val="single" w:sz="4" w:space="0" w:color="auto"/>
              <w:bottom w:val="nil"/>
              <w:right w:val="single" w:sz="4" w:space="0" w:color="auto"/>
            </w:tcBorders>
            <w:shd w:val="clear" w:color="auto" w:fill="auto"/>
            <w:vAlign w:val="center"/>
          </w:tcPr>
          <w:p w14:paraId="7661E8E7"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0.10 (-0.03, 0.23)</w:t>
            </w:r>
          </w:p>
        </w:tc>
        <w:tc>
          <w:tcPr>
            <w:tcW w:w="600" w:type="pct"/>
            <w:tcBorders>
              <w:top w:val="nil"/>
              <w:left w:val="single" w:sz="4" w:space="0" w:color="auto"/>
              <w:bottom w:val="nil"/>
              <w:right w:val="single" w:sz="4" w:space="0" w:color="auto"/>
            </w:tcBorders>
            <w:shd w:val="clear" w:color="auto" w:fill="auto"/>
            <w:vAlign w:val="center"/>
          </w:tcPr>
          <w:p w14:paraId="2530E107"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6190E9AD" w14:textId="77777777" w:rsidTr="008664BD">
        <w:trPr>
          <w:trHeight w:val="170"/>
        </w:trPr>
        <w:tc>
          <w:tcPr>
            <w:tcW w:w="2829" w:type="pct"/>
            <w:gridSpan w:val="3"/>
            <w:tcBorders>
              <w:right w:val="single" w:sz="4" w:space="0" w:color="auto"/>
            </w:tcBorders>
            <w:shd w:val="clear" w:color="auto" w:fill="auto"/>
            <w:vAlign w:val="center"/>
          </w:tcPr>
          <w:p w14:paraId="248DDD85"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 xml:space="preserve">UPA 30mg v TOF 10mg </w:t>
            </w:r>
          </w:p>
        </w:tc>
        <w:tc>
          <w:tcPr>
            <w:tcW w:w="786" w:type="pct"/>
            <w:tcBorders>
              <w:top w:val="nil"/>
              <w:left w:val="single" w:sz="4" w:space="0" w:color="auto"/>
              <w:bottom w:val="nil"/>
              <w:right w:val="single" w:sz="4" w:space="0" w:color="auto"/>
            </w:tcBorders>
            <w:shd w:val="clear" w:color="auto" w:fill="auto"/>
            <w:vAlign w:val="center"/>
          </w:tcPr>
          <w:p w14:paraId="71780E4E"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1.19 (0.75, 1.89)</w:t>
            </w:r>
          </w:p>
        </w:tc>
        <w:tc>
          <w:tcPr>
            <w:tcW w:w="786" w:type="pct"/>
            <w:tcBorders>
              <w:top w:val="nil"/>
              <w:left w:val="single" w:sz="4" w:space="0" w:color="auto"/>
              <w:bottom w:val="nil"/>
              <w:right w:val="single" w:sz="4" w:space="0" w:color="auto"/>
            </w:tcBorders>
            <w:shd w:val="clear" w:color="auto" w:fill="auto"/>
            <w:vAlign w:val="center"/>
          </w:tcPr>
          <w:p w14:paraId="25C9C21F"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0.08 (-0.05, 0.21)</w:t>
            </w:r>
          </w:p>
        </w:tc>
        <w:tc>
          <w:tcPr>
            <w:tcW w:w="600" w:type="pct"/>
            <w:tcBorders>
              <w:top w:val="nil"/>
              <w:left w:val="single" w:sz="4" w:space="0" w:color="auto"/>
              <w:bottom w:val="nil"/>
              <w:right w:val="single" w:sz="4" w:space="0" w:color="auto"/>
            </w:tcBorders>
            <w:shd w:val="clear" w:color="auto" w:fill="auto"/>
            <w:vAlign w:val="center"/>
          </w:tcPr>
          <w:p w14:paraId="4828D56F"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4A253243" w14:textId="77777777" w:rsidTr="008664BD">
        <w:trPr>
          <w:trHeight w:val="170"/>
        </w:trPr>
        <w:tc>
          <w:tcPr>
            <w:tcW w:w="2829" w:type="pct"/>
            <w:gridSpan w:val="3"/>
            <w:tcBorders>
              <w:right w:val="single" w:sz="4" w:space="0" w:color="auto"/>
            </w:tcBorders>
            <w:shd w:val="clear" w:color="auto" w:fill="auto"/>
            <w:vAlign w:val="center"/>
          </w:tcPr>
          <w:p w14:paraId="0F617056" w14:textId="77777777" w:rsidR="009424B8" w:rsidRPr="00736657" w:rsidRDefault="009424B8" w:rsidP="00313F8C">
            <w:pPr>
              <w:jc w:val="right"/>
              <w:rPr>
                <w:rFonts w:ascii="Arial Narrow" w:hAnsi="Arial Narrow"/>
                <w:iCs/>
                <w:sz w:val="20"/>
                <w:szCs w:val="20"/>
              </w:rPr>
            </w:pPr>
            <w:r w:rsidRPr="00736657">
              <w:rPr>
                <w:rFonts w:ascii="Arial Narrow" w:hAnsi="Arial Narrow"/>
                <w:iCs/>
                <w:sz w:val="20"/>
                <w:szCs w:val="20"/>
              </w:rPr>
              <w:t xml:space="preserve">UPA 15,30mg pooled v TOF 10mg </w:t>
            </w:r>
          </w:p>
        </w:tc>
        <w:tc>
          <w:tcPr>
            <w:tcW w:w="786" w:type="pct"/>
            <w:tcBorders>
              <w:top w:val="nil"/>
              <w:left w:val="single" w:sz="4" w:space="0" w:color="auto"/>
              <w:bottom w:val="nil"/>
              <w:right w:val="single" w:sz="4" w:space="0" w:color="auto"/>
            </w:tcBorders>
            <w:shd w:val="clear" w:color="auto" w:fill="auto"/>
            <w:vAlign w:val="center"/>
          </w:tcPr>
          <w:p w14:paraId="281F4898"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1.12 (0.71, 1.77)</w:t>
            </w:r>
          </w:p>
        </w:tc>
        <w:tc>
          <w:tcPr>
            <w:tcW w:w="786" w:type="pct"/>
            <w:tcBorders>
              <w:top w:val="nil"/>
              <w:left w:val="single" w:sz="4" w:space="0" w:color="auto"/>
              <w:bottom w:val="nil"/>
              <w:right w:val="single" w:sz="4" w:space="0" w:color="auto"/>
            </w:tcBorders>
            <w:shd w:val="clear" w:color="auto" w:fill="auto"/>
            <w:vAlign w:val="center"/>
          </w:tcPr>
          <w:p w14:paraId="5330AF48" w14:textId="77777777" w:rsidR="009424B8" w:rsidRPr="00736657" w:rsidRDefault="009424B8" w:rsidP="00313F8C">
            <w:pPr>
              <w:jc w:val="center"/>
              <w:rPr>
                <w:rFonts w:ascii="Arial Narrow" w:hAnsi="Arial Narrow"/>
                <w:iCs/>
                <w:sz w:val="20"/>
                <w:szCs w:val="20"/>
              </w:rPr>
            </w:pPr>
            <w:r w:rsidRPr="00736657">
              <w:rPr>
                <w:rFonts w:ascii="Arial Narrow" w:hAnsi="Arial Narrow"/>
                <w:iCs/>
                <w:sz w:val="20"/>
                <w:szCs w:val="20"/>
              </w:rPr>
              <w:t>0.04 (-0.08, 0.16)</w:t>
            </w:r>
          </w:p>
        </w:tc>
        <w:tc>
          <w:tcPr>
            <w:tcW w:w="600" w:type="pct"/>
            <w:tcBorders>
              <w:top w:val="nil"/>
              <w:left w:val="single" w:sz="4" w:space="0" w:color="auto"/>
              <w:bottom w:val="nil"/>
              <w:right w:val="single" w:sz="4" w:space="0" w:color="auto"/>
            </w:tcBorders>
            <w:shd w:val="clear" w:color="auto" w:fill="auto"/>
            <w:vAlign w:val="center"/>
          </w:tcPr>
          <w:p w14:paraId="0DC1429D" w14:textId="77777777" w:rsidR="009424B8" w:rsidRPr="00736657" w:rsidRDefault="009424B8" w:rsidP="00313F8C">
            <w:pPr>
              <w:jc w:val="center"/>
              <w:rPr>
                <w:rFonts w:ascii="Arial Narrow" w:hAnsi="Arial Narrow"/>
                <w:iCs/>
                <w:noProof/>
                <w:sz w:val="20"/>
                <w:szCs w:val="20"/>
              </w:rPr>
            </w:pPr>
            <w:r w:rsidRPr="00736657">
              <w:rPr>
                <w:rFonts w:ascii="Arial Narrow" w:hAnsi="Arial Narrow"/>
                <w:iCs/>
                <w:sz w:val="20"/>
                <w:szCs w:val="20"/>
              </w:rPr>
              <w:t>NS</w:t>
            </w:r>
          </w:p>
        </w:tc>
      </w:tr>
      <w:tr w:rsidR="009424B8" w:rsidRPr="00736657" w14:paraId="4C6BEF17" w14:textId="77777777" w:rsidTr="008664BD">
        <w:trPr>
          <w:trHeight w:val="170"/>
        </w:trPr>
        <w:tc>
          <w:tcPr>
            <w:tcW w:w="2829" w:type="pct"/>
            <w:gridSpan w:val="3"/>
            <w:tcBorders>
              <w:bottom w:val="single" w:sz="4" w:space="0" w:color="auto"/>
              <w:right w:val="single" w:sz="4" w:space="0" w:color="auto"/>
            </w:tcBorders>
            <w:shd w:val="clear" w:color="auto" w:fill="auto"/>
            <w:vAlign w:val="center"/>
          </w:tcPr>
          <w:p w14:paraId="10061B25" w14:textId="77777777" w:rsidR="009424B8" w:rsidRPr="00736657" w:rsidRDefault="009424B8" w:rsidP="00313F8C">
            <w:pPr>
              <w:jc w:val="right"/>
              <w:rPr>
                <w:rFonts w:ascii="Arial Narrow" w:hAnsi="Arial Narrow"/>
                <w:iCs/>
                <w:sz w:val="20"/>
                <w:szCs w:val="20"/>
              </w:rPr>
            </w:pPr>
          </w:p>
        </w:tc>
        <w:tc>
          <w:tcPr>
            <w:tcW w:w="786" w:type="pct"/>
            <w:tcBorders>
              <w:top w:val="nil"/>
              <w:left w:val="single" w:sz="4" w:space="0" w:color="auto"/>
              <w:bottom w:val="single" w:sz="4" w:space="0" w:color="auto"/>
              <w:right w:val="single" w:sz="4" w:space="0" w:color="auto"/>
            </w:tcBorders>
            <w:shd w:val="clear" w:color="auto" w:fill="auto"/>
            <w:vAlign w:val="center"/>
          </w:tcPr>
          <w:p w14:paraId="554C1602" w14:textId="77777777" w:rsidR="009424B8" w:rsidRPr="00736657" w:rsidRDefault="009424B8" w:rsidP="00313F8C">
            <w:pPr>
              <w:jc w:val="center"/>
              <w:rPr>
                <w:rFonts w:ascii="Arial Narrow" w:hAnsi="Arial Narrow"/>
                <w:iCs/>
                <w:sz w:val="20"/>
                <w:szCs w:val="20"/>
              </w:rPr>
            </w:pPr>
          </w:p>
        </w:tc>
        <w:tc>
          <w:tcPr>
            <w:tcW w:w="786" w:type="pct"/>
            <w:tcBorders>
              <w:top w:val="nil"/>
              <w:left w:val="single" w:sz="4" w:space="0" w:color="auto"/>
              <w:bottom w:val="single" w:sz="4" w:space="0" w:color="auto"/>
              <w:right w:val="single" w:sz="4" w:space="0" w:color="auto"/>
            </w:tcBorders>
            <w:shd w:val="clear" w:color="auto" w:fill="auto"/>
            <w:vAlign w:val="center"/>
          </w:tcPr>
          <w:p w14:paraId="62F53413" w14:textId="77777777" w:rsidR="009424B8" w:rsidRPr="00736657" w:rsidRDefault="009424B8" w:rsidP="00313F8C">
            <w:pPr>
              <w:jc w:val="center"/>
              <w:rPr>
                <w:rFonts w:ascii="Arial Narrow" w:hAnsi="Arial Narrow"/>
                <w:iCs/>
                <w:sz w:val="20"/>
                <w:szCs w:val="20"/>
              </w:rPr>
            </w:pPr>
          </w:p>
        </w:tc>
        <w:tc>
          <w:tcPr>
            <w:tcW w:w="600" w:type="pct"/>
            <w:tcBorders>
              <w:top w:val="nil"/>
              <w:left w:val="single" w:sz="4" w:space="0" w:color="auto"/>
              <w:bottom w:val="single" w:sz="4" w:space="0" w:color="auto"/>
              <w:right w:val="single" w:sz="4" w:space="0" w:color="auto"/>
            </w:tcBorders>
            <w:shd w:val="clear" w:color="auto" w:fill="auto"/>
            <w:vAlign w:val="center"/>
          </w:tcPr>
          <w:p w14:paraId="73DBA593" w14:textId="77777777" w:rsidR="009424B8" w:rsidRPr="00736657" w:rsidRDefault="009424B8" w:rsidP="00313F8C">
            <w:pPr>
              <w:jc w:val="center"/>
              <w:rPr>
                <w:rFonts w:ascii="Arial Narrow" w:hAnsi="Arial Narrow"/>
                <w:iCs/>
                <w:noProof/>
                <w:sz w:val="20"/>
                <w:szCs w:val="20"/>
              </w:rPr>
            </w:pPr>
          </w:p>
        </w:tc>
      </w:tr>
    </w:tbl>
    <w:p w14:paraId="63C01467" w14:textId="77777777" w:rsidR="009424B8" w:rsidRPr="003544C6" w:rsidRDefault="009424B8" w:rsidP="009424B8">
      <w:pPr>
        <w:rPr>
          <w:rFonts w:ascii="Arial Narrow" w:hAnsi="Arial Narrow"/>
          <w:sz w:val="18"/>
          <w:szCs w:val="18"/>
        </w:rPr>
      </w:pPr>
      <w:r w:rsidRPr="003544C6">
        <w:rPr>
          <w:rFonts w:ascii="Arial Narrow" w:hAnsi="Arial Narrow"/>
          <w:sz w:val="18"/>
          <w:szCs w:val="18"/>
        </w:rPr>
        <w:t xml:space="preserve">Source: Table 2-34, pp115-116 of the submission; Table 2-36, pp120-121 of the submission; Figure 3, Sands et al 2019. </w:t>
      </w:r>
    </w:p>
    <w:p w14:paraId="5ADBA575" w14:textId="6E3539C6" w:rsidR="009424B8" w:rsidRPr="00417A97" w:rsidRDefault="009424B8" w:rsidP="009424B8">
      <w:pPr>
        <w:tabs>
          <w:tab w:val="left" w:pos="284"/>
        </w:tabs>
        <w:rPr>
          <w:rFonts w:ascii="Arial Narrow" w:hAnsi="Arial Narrow"/>
          <w:snapToGrid w:val="0"/>
          <w:sz w:val="18"/>
          <w:szCs w:val="18"/>
        </w:rPr>
      </w:pPr>
      <w:r w:rsidRPr="00417A97">
        <w:rPr>
          <w:rFonts w:ascii="Arial Narrow" w:hAnsi="Arial Narrow"/>
          <w:snapToGrid w:val="0"/>
          <w:sz w:val="18"/>
          <w:szCs w:val="18"/>
        </w:rPr>
        <w:t>ADA = adalimumab; GOL = golimumab; IFX = infliximab; TOF = tofacitinib; UPA = upadac</w:t>
      </w:r>
      <w:r>
        <w:rPr>
          <w:rFonts w:ascii="Arial Narrow" w:hAnsi="Arial Narrow"/>
          <w:snapToGrid w:val="0"/>
          <w:sz w:val="18"/>
          <w:szCs w:val="18"/>
        </w:rPr>
        <w:t>itinib; VDZ = vedolizumab; FMS=f</w:t>
      </w:r>
      <w:r w:rsidRPr="00417A97">
        <w:rPr>
          <w:rFonts w:ascii="Arial Narrow" w:hAnsi="Arial Narrow"/>
          <w:snapToGrid w:val="0"/>
          <w:sz w:val="18"/>
          <w:szCs w:val="18"/>
        </w:rPr>
        <w:t xml:space="preserve">ull Mayo score; </w:t>
      </w:r>
      <w:r>
        <w:rPr>
          <w:rFonts w:ascii="Arial Narrow" w:hAnsi="Arial Narrow"/>
          <w:snapToGrid w:val="0"/>
          <w:sz w:val="18"/>
          <w:szCs w:val="18"/>
        </w:rPr>
        <w:t xml:space="preserve">IV = intravenous; SC = subcutaneous; </w:t>
      </w:r>
      <w:r w:rsidRPr="00417A97">
        <w:rPr>
          <w:rFonts w:ascii="Arial Narrow" w:hAnsi="Arial Narrow"/>
          <w:snapToGrid w:val="0"/>
          <w:sz w:val="18"/>
          <w:szCs w:val="18"/>
        </w:rPr>
        <w:t>MA=meta-analysis; NS=not significant</w:t>
      </w:r>
      <w:r>
        <w:rPr>
          <w:rFonts w:ascii="Arial Narrow" w:hAnsi="Arial Narrow"/>
          <w:snapToGrid w:val="0"/>
          <w:sz w:val="18"/>
          <w:szCs w:val="18"/>
        </w:rPr>
        <w:t>.</w:t>
      </w:r>
    </w:p>
    <w:p w14:paraId="376764E1" w14:textId="77777777" w:rsidR="009424B8" w:rsidRDefault="009424B8" w:rsidP="009424B8">
      <w:pPr>
        <w:tabs>
          <w:tab w:val="left" w:pos="284"/>
        </w:tabs>
        <w:ind w:left="284" w:hanging="284"/>
        <w:rPr>
          <w:rFonts w:ascii="Arial Narrow" w:hAnsi="Arial Narrow"/>
          <w:sz w:val="18"/>
          <w:szCs w:val="18"/>
        </w:rPr>
      </w:pPr>
      <w:r w:rsidRPr="00266F4A">
        <w:rPr>
          <w:rFonts w:ascii="Arial Narrow" w:hAnsi="Arial Narrow"/>
          <w:sz w:val="18"/>
          <w:szCs w:val="18"/>
        </w:rPr>
        <w:t>^</w:t>
      </w:r>
      <w:r w:rsidRPr="00266F4A">
        <w:rPr>
          <w:rFonts w:ascii="Arial Narrow" w:hAnsi="Arial Narrow"/>
          <w:sz w:val="18"/>
          <w:szCs w:val="18"/>
        </w:rPr>
        <w:tab/>
        <w:t xml:space="preserve">Clinical response using adapted Mayo </w:t>
      </w:r>
      <w:r>
        <w:rPr>
          <w:rFonts w:ascii="Arial Narrow" w:hAnsi="Arial Narrow"/>
          <w:sz w:val="18"/>
          <w:szCs w:val="18"/>
        </w:rPr>
        <w:t xml:space="preserve">score </w:t>
      </w:r>
      <w:r w:rsidRPr="00266F4A">
        <w:rPr>
          <w:rFonts w:ascii="Arial Narrow" w:hAnsi="Arial Narrow"/>
          <w:sz w:val="18"/>
          <w:szCs w:val="18"/>
        </w:rPr>
        <w:t>in U-ACHIEVE</w:t>
      </w:r>
      <w:r>
        <w:rPr>
          <w:rFonts w:ascii="Arial Narrow" w:hAnsi="Arial Narrow"/>
          <w:sz w:val="18"/>
          <w:szCs w:val="18"/>
        </w:rPr>
        <w:t xml:space="preserve"> 3 and the full Mayo score in the other trials</w:t>
      </w:r>
    </w:p>
    <w:p w14:paraId="1495CA62" w14:textId="77777777" w:rsidR="009424B8" w:rsidRPr="00736657" w:rsidRDefault="009424B8" w:rsidP="00761A56">
      <w:pPr>
        <w:tabs>
          <w:tab w:val="left" w:pos="284"/>
        </w:tabs>
        <w:spacing w:after="120"/>
        <w:rPr>
          <w:rFonts w:ascii="Arial Narrow" w:hAnsi="Arial Narrow"/>
          <w:sz w:val="18"/>
          <w:szCs w:val="18"/>
        </w:rPr>
      </w:pPr>
      <w:r w:rsidRPr="00736657">
        <w:rPr>
          <w:rFonts w:ascii="Arial Narrow" w:hAnsi="Arial Narrow"/>
          <w:sz w:val="18"/>
          <w:szCs w:val="18"/>
        </w:rPr>
        <w:t>#</w:t>
      </w:r>
      <w:r w:rsidRPr="00736657">
        <w:rPr>
          <w:rFonts w:ascii="Arial Narrow" w:hAnsi="Arial Narrow"/>
          <w:sz w:val="18"/>
          <w:szCs w:val="18"/>
        </w:rPr>
        <w:tab/>
        <w:t>Result for clinical remission reported in main trial publication by Sandborn et al 2017, Supplementary Table S4.</w:t>
      </w:r>
    </w:p>
    <w:p w14:paraId="7997EBC3" w14:textId="77777777" w:rsidR="009424B8" w:rsidRDefault="009424B8" w:rsidP="008664BD">
      <w:pPr>
        <w:pStyle w:val="3-BodyText"/>
        <w:keepNext/>
        <w:keepLines/>
      </w:pPr>
      <w:r>
        <w:t>For induction therapy, the indirect comparisons indicated that UPA was more effective than the nominated comparators (TOF, IFX, ADA, GOL and VDZ) with significantly more patients achieving clinical remission and clinical response at Week 6, 8 or 10. For maintenance therapy, the indirect comparisons indicated that UPA was similar to the nominated comparators (TOF, GOL, and VDZ) with no statistically significant differences between treatments in terms of clinical remission.</w:t>
      </w:r>
    </w:p>
    <w:p w14:paraId="543C9DE3" w14:textId="04C2B1A6" w:rsidR="009424B8" w:rsidRPr="0064550B" w:rsidRDefault="009424B8" w:rsidP="009424B8">
      <w:pPr>
        <w:pStyle w:val="3-BodyText"/>
      </w:pPr>
      <w:r w:rsidRPr="0064550B">
        <w:t>Interpretation of the results requires consideration given that the indirect treatment comparisons conducted do not control for any differences across the trials that may explain differences in the outcomes observed across the trials. This is particularly relevant for the induction trials as patients enrolled in the randomised withdrawal trials had already demonstrated a response to treatment (and were generally more comparable). As discussed above, there are a number of differences across the induction trials in terms of baseline characteristics such as baseline Mayo score, age, and prior biologic exposure, as well as concomitant use of corticosteroids and immunosuppressant drugs. The PBO response rates in the UPA trials were much lower than the PBO response rates observed across the other trials (2.1% versus 6.0% to 11.4% respectively), clinical response (23.0% versus 30.3% to 37.5% respectively) and mucosal healing (7.0% v 13.7% respectively</w:t>
      </w:r>
      <w:r w:rsidR="00724302">
        <w:t>)</w:t>
      </w:r>
      <w:r w:rsidRPr="0064550B">
        <w:t>, indicating that these differences likely influenced outcomes.</w:t>
      </w:r>
    </w:p>
    <w:p w14:paraId="3481E5A8" w14:textId="5EDD5AA3" w:rsidR="009424B8" w:rsidRPr="0064550B" w:rsidRDefault="009424B8" w:rsidP="009424B8">
      <w:pPr>
        <w:pStyle w:val="3-BodyText"/>
      </w:pPr>
      <w:r w:rsidRPr="0064550B">
        <w:t>For comparison versus TOF, the submission argued that despite some variation across UPA and TOF trials (e.g. in proportions of patients with prior exposure to biologics and in the proportions of patients using corticosteroids at baseline), any differences were unlikely to bias (relative) results because none were considered to be treatment effect modifiers. The submission did not present any subgroup data to support this argument. Ignoring issues related to power and confounding from other factors, subgroup data retrieved during the evaluation suggests some patient characteristics are at least prognostic factors and some may be associated with a different relative treatment effect. For the comparisons versus the other treatments, the submission relied on the assumption that the PBAC had previously considered that the trials were similar enough to conduct an indirect treatment comparison and inform decision making, which may not be reasonable.</w:t>
      </w:r>
    </w:p>
    <w:p w14:paraId="20C0E5FC" w14:textId="37019353" w:rsidR="00ED5E0C" w:rsidRDefault="009424B8" w:rsidP="00ED5E0C">
      <w:pPr>
        <w:pStyle w:val="3-BodyText"/>
      </w:pPr>
      <w:r w:rsidRPr="0064550B">
        <w:t>Overall, the trials may not be sufficiently comparable to conduct a reliable (unadjusted) indirect comparison between UPA and other PBS-listed comparators for decision making. Although the results indicated that UPA may be superior to other PBS-listed treatments for induction treatment, there is considerable uncertainty around the magnitude</w:t>
      </w:r>
      <w:r w:rsidR="00AC10C0" w:rsidRPr="0064550B">
        <w:t xml:space="preserve"> and clinical significance</w:t>
      </w:r>
      <w:r w:rsidRPr="0064550B">
        <w:t xml:space="preserve"> of any benefit.</w:t>
      </w:r>
    </w:p>
    <w:p w14:paraId="53469D79" w14:textId="74DB59E0" w:rsidR="00ED5E0C" w:rsidRPr="004626D3" w:rsidRDefault="00ED5E0C" w:rsidP="00ED5E0C">
      <w:pPr>
        <w:pStyle w:val="3-BodyText"/>
        <w:rPr>
          <w:bCs/>
        </w:rPr>
      </w:pPr>
      <w:r w:rsidRPr="004626D3">
        <w:rPr>
          <w:bCs/>
        </w:rPr>
        <w:t>The Pre-Sub-Committee Response (PSCR</w:t>
      </w:r>
      <w:r w:rsidR="00604401">
        <w:rPr>
          <w:bCs/>
        </w:rPr>
        <w:t>)</w:t>
      </w:r>
      <w:r w:rsidRPr="004626D3">
        <w:rPr>
          <w:bCs/>
        </w:rPr>
        <w:t xml:space="preserve"> presented an additional Bayesian network meta-analysis (NMA) for the outcome of clinical remission in the induction phase, which included adjustments to account for between-study heterogeneity and for patient characteristics which were thought to be treatment effect modifiers</w:t>
      </w:r>
      <w:r w:rsidR="00320114" w:rsidRPr="004626D3">
        <w:rPr>
          <w:bCs/>
        </w:rPr>
        <w:t xml:space="preserve">, </w:t>
      </w:r>
      <w:r w:rsidR="00CE0B57" w:rsidRPr="004626D3">
        <w:rPr>
          <w:bCs/>
        </w:rPr>
        <w:t>(</w:t>
      </w:r>
      <w:r w:rsidR="00320114" w:rsidRPr="004626D3">
        <w:rPr>
          <w:bCs/>
        </w:rPr>
        <w:t xml:space="preserve">however </w:t>
      </w:r>
      <w:r w:rsidR="00CE0B57" w:rsidRPr="004626D3">
        <w:rPr>
          <w:bCs/>
        </w:rPr>
        <w:t xml:space="preserve">the ESC noted </w:t>
      </w:r>
      <w:r w:rsidR="00320114" w:rsidRPr="004626D3">
        <w:rPr>
          <w:bCs/>
        </w:rPr>
        <w:t>no information on what adjustments were done was provided</w:t>
      </w:r>
      <w:r w:rsidR="00CE0B57" w:rsidRPr="004626D3">
        <w:rPr>
          <w:bCs/>
        </w:rPr>
        <w:t>)</w:t>
      </w:r>
      <w:r w:rsidRPr="004626D3">
        <w:rPr>
          <w:bCs/>
        </w:rPr>
        <w:t>.</w:t>
      </w:r>
      <w:r w:rsidR="00320114" w:rsidRPr="004626D3">
        <w:rPr>
          <w:bCs/>
        </w:rPr>
        <w:t xml:space="preserve"> The PSCR also included several additional published NMAs in MSUC</w:t>
      </w:r>
      <w:r w:rsidR="00320114" w:rsidRPr="004626D3">
        <w:rPr>
          <w:rStyle w:val="FootnoteReference"/>
          <w:bCs/>
        </w:rPr>
        <w:footnoteReference w:id="4"/>
      </w:r>
      <w:r w:rsidR="00320114" w:rsidRPr="004626D3">
        <w:rPr>
          <w:bCs/>
          <w:vertAlign w:val="superscript"/>
        </w:rPr>
        <w:t>,</w:t>
      </w:r>
      <w:r w:rsidR="00320114" w:rsidRPr="004626D3">
        <w:rPr>
          <w:rStyle w:val="FootnoteReference"/>
          <w:bCs/>
        </w:rPr>
        <w:footnoteReference w:id="5"/>
      </w:r>
      <w:r w:rsidR="00320114" w:rsidRPr="004626D3">
        <w:rPr>
          <w:bCs/>
          <w:vertAlign w:val="superscript"/>
        </w:rPr>
        <w:t>,</w:t>
      </w:r>
      <w:r w:rsidR="00320114" w:rsidRPr="004626D3">
        <w:rPr>
          <w:rStyle w:val="FootnoteReference"/>
          <w:bCs/>
        </w:rPr>
        <w:footnoteReference w:id="6"/>
      </w:r>
      <w:r w:rsidR="00320114" w:rsidRPr="004626D3">
        <w:rPr>
          <w:bCs/>
        </w:rPr>
        <w:t xml:space="preserve">, which reported similar findings that UPA performed better than most other PBS-listed therapies for the outcomes of clinical remission and response. </w:t>
      </w:r>
      <w:r w:rsidRPr="004626D3">
        <w:rPr>
          <w:bCs/>
        </w:rPr>
        <w:t xml:space="preserve">The PSCR argued the results of the NMA continued to demonstrate that UPA demonstrated superiority versus the other PBS-listed therapies for induction therapy. </w:t>
      </w:r>
    </w:p>
    <w:p w14:paraId="08069950" w14:textId="31D0EBE3" w:rsidR="00ED5E0C" w:rsidRDefault="00ED5E0C" w:rsidP="00ED5E0C">
      <w:pPr>
        <w:pStyle w:val="3-BodyText"/>
        <w:rPr>
          <w:bCs/>
        </w:rPr>
      </w:pPr>
      <w:bookmarkStart w:id="28" w:name="_Ref105663661"/>
      <w:r w:rsidRPr="004626D3">
        <w:rPr>
          <w:bCs/>
        </w:rPr>
        <w:t>The ESC</w:t>
      </w:r>
      <w:r w:rsidR="003410B2" w:rsidRPr="004626D3">
        <w:rPr>
          <w:bCs/>
        </w:rPr>
        <w:t xml:space="preserve"> noted the NMA had not been independently evaluated, </w:t>
      </w:r>
      <w:r w:rsidR="00F65850" w:rsidRPr="004626D3">
        <w:rPr>
          <w:bCs/>
        </w:rPr>
        <w:t xml:space="preserve">and </w:t>
      </w:r>
      <w:r w:rsidRPr="004626D3">
        <w:rPr>
          <w:bCs/>
        </w:rPr>
        <w:t xml:space="preserve">was concerned </w:t>
      </w:r>
      <w:r w:rsidR="003410B2" w:rsidRPr="004626D3">
        <w:rPr>
          <w:bCs/>
        </w:rPr>
        <w:t>the approach</w:t>
      </w:r>
      <w:r w:rsidRPr="004626D3">
        <w:rPr>
          <w:bCs/>
        </w:rPr>
        <w:t xml:space="preserve"> </w:t>
      </w:r>
      <w:r w:rsidR="00D1611C" w:rsidRPr="004626D3">
        <w:rPr>
          <w:bCs/>
        </w:rPr>
        <w:t>did</w:t>
      </w:r>
      <w:r w:rsidRPr="004626D3">
        <w:rPr>
          <w:bCs/>
        </w:rPr>
        <w:t xml:space="preserve"> not adjust for the low</w:t>
      </w:r>
      <w:r w:rsidR="00320114" w:rsidRPr="004626D3">
        <w:rPr>
          <w:bCs/>
        </w:rPr>
        <w:t>er</w:t>
      </w:r>
      <w:r w:rsidRPr="004626D3">
        <w:rPr>
          <w:bCs/>
        </w:rPr>
        <w:t xml:space="preserve"> PBO response rates observed in the UPA trials and this key </w:t>
      </w:r>
      <w:r w:rsidR="003F6C66" w:rsidRPr="004626D3">
        <w:rPr>
          <w:bCs/>
        </w:rPr>
        <w:t>uncertainty</w:t>
      </w:r>
      <w:r w:rsidRPr="004626D3">
        <w:rPr>
          <w:bCs/>
        </w:rPr>
        <w:t xml:space="preserve"> with the indirect comparison</w:t>
      </w:r>
      <w:r w:rsidR="003410B2" w:rsidRPr="004626D3">
        <w:rPr>
          <w:bCs/>
        </w:rPr>
        <w:t>s remained unresolved</w:t>
      </w:r>
      <w:r w:rsidRPr="004626D3">
        <w:rPr>
          <w:bCs/>
        </w:rPr>
        <w:t xml:space="preserve">. </w:t>
      </w:r>
      <w:r w:rsidR="00F65850" w:rsidRPr="004626D3">
        <w:rPr>
          <w:bCs/>
        </w:rPr>
        <w:t>B</w:t>
      </w:r>
      <w:r w:rsidRPr="004626D3">
        <w:rPr>
          <w:bCs/>
        </w:rPr>
        <w:t>ased on the evidence presented, the ESC considered there was a</w:t>
      </w:r>
      <w:r w:rsidR="008B6BEB" w:rsidRPr="004626D3">
        <w:rPr>
          <w:bCs/>
        </w:rPr>
        <w:t xml:space="preserve"> highly uncertain</w:t>
      </w:r>
      <w:r w:rsidRPr="004626D3">
        <w:rPr>
          <w:bCs/>
        </w:rPr>
        <w:t xml:space="preserve"> level of support </w:t>
      </w:r>
      <w:r w:rsidR="00CE0B57" w:rsidRPr="004626D3">
        <w:rPr>
          <w:bCs/>
        </w:rPr>
        <w:t>for</w:t>
      </w:r>
      <w:r w:rsidRPr="004626D3">
        <w:rPr>
          <w:bCs/>
        </w:rPr>
        <w:t xml:space="preserve"> the claim of superior comparative effectiveness over other biologics in the induction phase</w:t>
      </w:r>
      <w:r w:rsidR="00E13D63" w:rsidRPr="004626D3">
        <w:rPr>
          <w:bCs/>
        </w:rPr>
        <w:t xml:space="preserve"> (8 weeks)</w:t>
      </w:r>
      <w:r w:rsidRPr="004626D3">
        <w:rPr>
          <w:bCs/>
        </w:rPr>
        <w:t xml:space="preserve">, </w:t>
      </w:r>
      <w:r w:rsidR="00045343" w:rsidRPr="004626D3">
        <w:rPr>
          <w:bCs/>
        </w:rPr>
        <w:t xml:space="preserve">and </w:t>
      </w:r>
      <w:r w:rsidRPr="004626D3">
        <w:rPr>
          <w:bCs/>
        </w:rPr>
        <w:t xml:space="preserve">considered further analyses to investigate the impact of the low PBO response rates in the UPA trials </w:t>
      </w:r>
      <w:r w:rsidR="008B6BEB" w:rsidRPr="004626D3">
        <w:rPr>
          <w:bCs/>
        </w:rPr>
        <w:t xml:space="preserve">would </w:t>
      </w:r>
      <w:r w:rsidRPr="004626D3">
        <w:rPr>
          <w:bCs/>
        </w:rPr>
        <w:t>be required to substantiate this claim.</w:t>
      </w:r>
      <w:bookmarkEnd w:id="28"/>
    </w:p>
    <w:p w14:paraId="36F63690" w14:textId="33640E91" w:rsidR="007369E1" w:rsidRPr="00AF6A32" w:rsidRDefault="007369E1" w:rsidP="00AF6A32">
      <w:pPr>
        <w:pStyle w:val="3-BodyText"/>
        <w:rPr>
          <w:bCs/>
        </w:rPr>
      </w:pPr>
      <w:bookmarkStart w:id="29" w:name="_Ref109827567"/>
      <w:r>
        <w:rPr>
          <w:bCs/>
        </w:rPr>
        <w:t xml:space="preserve">The </w:t>
      </w:r>
      <w:r w:rsidR="00AF6A32">
        <w:rPr>
          <w:bCs/>
        </w:rPr>
        <w:t>Pre-PBAC Response noted the advice of the ESC and undertook additional analyses exam</w:t>
      </w:r>
      <w:r w:rsidR="003C095A">
        <w:rPr>
          <w:bCs/>
        </w:rPr>
        <w:t>in</w:t>
      </w:r>
      <w:r w:rsidR="00AF6A32">
        <w:rPr>
          <w:bCs/>
        </w:rPr>
        <w:t xml:space="preserve">ing the impact of differing PBS response rates between the included clinical trials, including a baseline risk adjustment (fixed effects adjusted) model, and an additional NMA based on the risk difference (RD) statistic for the outcome of clinical remission in induction treatment. The </w:t>
      </w:r>
      <w:r w:rsidR="00A950DF">
        <w:rPr>
          <w:bCs/>
        </w:rPr>
        <w:t>sponsor</w:t>
      </w:r>
      <w:r w:rsidR="00AF6A32">
        <w:rPr>
          <w:bCs/>
        </w:rPr>
        <w:t xml:space="preserve"> stated these methods were recognised by the UK National Institute for Health Care Excellence (NICE) as </w:t>
      </w:r>
      <w:r w:rsidR="009B3158">
        <w:rPr>
          <w:bCs/>
        </w:rPr>
        <w:t xml:space="preserve">a </w:t>
      </w:r>
      <w:r w:rsidR="00AF6A32">
        <w:rPr>
          <w:bCs/>
        </w:rPr>
        <w:t>valid framework</w:t>
      </w:r>
      <w:r w:rsidR="009B3158">
        <w:rPr>
          <w:bCs/>
        </w:rPr>
        <w:t xml:space="preserve"> for</w:t>
      </w:r>
      <w:r w:rsidR="00AF6A32">
        <w:rPr>
          <w:bCs/>
        </w:rPr>
        <w:t xml:space="preserve"> statistical analysis. The </w:t>
      </w:r>
      <w:r w:rsidR="00A950DF">
        <w:rPr>
          <w:bCs/>
        </w:rPr>
        <w:t>sponsor</w:t>
      </w:r>
      <w:r w:rsidR="00AF6A32">
        <w:rPr>
          <w:bCs/>
        </w:rPr>
        <w:t xml:space="preserve"> did not present the results of the baseline risk adjustment model, however argued the results of that analysis did not improve the estimation of the effect size and its goodness-of-fit was lower than for the unadjusted models. For the NMA based on the RD statistic, the Pre-PBAC Response stated that rather than calculating relative effects on the log-odds scale, which may inflate or deflate relative effects in treatments with particularly high or low associated placebo efficacy, this approach means absolute probabilities of treatment response are subtracted across interventions, yielding estimates of treatment effect as the linear difference in absolute rate to a reference treatment; thus, the </w:t>
      </w:r>
      <w:r w:rsidR="00A950DF">
        <w:rPr>
          <w:bCs/>
        </w:rPr>
        <w:t>sponsor</w:t>
      </w:r>
      <w:r w:rsidR="00AF6A32">
        <w:rPr>
          <w:bCs/>
        </w:rPr>
        <w:t xml:space="preserve"> argued this approach accounts for placebo rate heterogeneity. The results of the RD NMA </w:t>
      </w:r>
      <w:r w:rsidR="00F92F27">
        <w:rPr>
          <w:bCs/>
        </w:rPr>
        <w:t>were broadly similar to the unadjusted indirect comparisons, producing statistically significant results in favour of UPA over GOL, TOF, VDZ and ADA for the outcome of clinical remission in the induction phase. The RD NMA found no statistically significant difference between UPA and IFX</w:t>
      </w:r>
      <w:r w:rsidR="00A132AD">
        <w:rPr>
          <w:bCs/>
        </w:rPr>
        <w:t xml:space="preserve"> for this outcome</w:t>
      </w:r>
      <w:r w:rsidR="00F92F27">
        <w:rPr>
          <w:bCs/>
        </w:rPr>
        <w:t>.</w:t>
      </w:r>
      <w:r w:rsidR="00C21A0A">
        <w:rPr>
          <w:bCs/>
        </w:rPr>
        <w:t xml:space="preserve"> </w:t>
      </w:r>
      <w:bookmarkEnd w:id="29"/>
      <w:r w:rsidR="00A132AD">
        <w:rPr>
          <w:bCs/>
        </w:rPr>
        <w:t>T</w:t>
      </w:r>
      <w:r w:rsidR="00736657">
        <w:rPr>
          <w:bCs/>
        </w:rPr>
        <w:t xml:space="preserve">he </w:t>
      </w:r>
      <w:r w:rsidR="00A132AD">
        <w:rPr>
          <w:bCs/>
        </w:rPr>
        <w:t>PBAC noted</w:t>
      </w:r>
      <w:r w:rsidR="00736657">
        <w:rPr>
          <w:bCs/>
        </w:rPr>
        <w:t xml:space="preserve"> these had not been independently evaluated.</w:t>
      </w:r>
    </w:p>
    <w:p w14:paraId="5E26CBBC" w14:textId="755C4623" w:rsidR="009424B8" w:rsidRPr="0064550B" w:rsidRDefault="009424B8" w:rsidP="009424B8">
      <w:pPr>
        <w:pStyle w:val="3-BodyText"/>
      </w:pPr>
      <w:r w:rsidRPr="0064550B">
        <w:rPr>
          <w:bCs/>
        </w:rPr>
        <w:t xml:space="preserve">The submission also conducted a similar indirect comparison between UPA and the near-market comparator OZA; an indirect treatment comparison between UPA and UST was conducted during the evaluation for completeness. The results significantly favoured UPA over the near market comparators for both </w:t>
      </w:r>
      <w:r w:rsidRPr="0064550B">
        <w:rPr>
          <w:rFonts w:eastAsiaTheme="minorHAnsi"/>
          <w:lang w:eastAsia="en-US"/>
        </w:rPr>
        <w:t xml:space="preserve">induction and maintenance treatment; however, like the comparisons versus the PBS-listed comparators, the trials may not be sufficiently comparable and </w:t>
      </w:r>
      <w:r w:rsidRPr="0064550B">
        <w:t>the PBO response rates in the UPA trials were lower than those observed in the OZA and UST trials, indicating that the main exchangeability assumption of the indirect treatment comparisons may have been violated</w:t>
      </w:r>
      <w:r w:rsidR="00724302">
        <w:t>.</w:t>
      </w:r>
    </w:p>
    <w:p w14:paraId="1162E522" w14:textId="77777777" w:rsidR="009424B8" w:rsidRPr="00B371CF" w:rsidRDefault="009424B8" w:rsidP="009424B8">
      <w:pPr>
        <w:pStyle w:val="4-SubsectionHeading"/>
      </w:pPr>
      <w:bookmarkStart w:id="30" w:name="_Toc22897642"/>
      <w:bookmarkStart w:id="31" w:name="_Toc103774339"/>
      <w:r w:rsidRPr="00233E87">
        <w:t>Comparative harms</w:t>
      </w:r>
      <w:bookmarkEnd w:id="30"/>
      <w:bookmarkEnd w:id="31"/>
    </w:p>
    <w:p w14:paraId="3FBD5615" w14:textId="008398EC" w:rsidR="00736657" w:rsidRPr="008664BD" w:rsidRDefault="008B2ED7" w:rsidP="008664BD">
      <w:pPr>
        <w:pStyle w:val="3-BodyText"/>
        <w:rPr>
          <w:i/>
          <w:iCs/>
        </w:rPr>
      </w:pPr>
      <w:r w:rsidRPr="009A0F3E">
        <w:rPr>
          <w:rFonts w:cstheme="minorHAnsi"/>
        </w:rPr>
        <w:fldChar w:fldCharType="begin" w:fldLock="1"/>
      </w:r>
      <w:r w:rsidRPr="009A0F3E">
        <w:rPr>
          <w:rFonts w:cstheme="minorHAnsi"/>
        </w:rPr>
        <w:instrText xml:space="preserve"> REF _Ref103176348 \h </w:instrText>
      </w:r>
      <w:r w:rsidR="009A0F3E" w:rsidRPr="009A0F3E">
        <w:rPr>
          <w:rFonts w:cstheme="minorHAnsi"/>
        </w:rPr>
        <w:instrText xml:space="preserve"> \* MERGEFORMAT </w:instrText>
      </w:r>
      <w:r w:rsidRPr="009A0F3E">
        <w:rPr>
          <w:rFonts w:cstheme="minorHAnsi"/>
        </w:rPr>
      </w:r>
      <w:r w:rsidRPr="009A0F3E">
        <w:rPr>
          <w:rFonts w:cstheme="minorHAnsi"/>
        </w:rPr>
        <w:fldChar w:fldCharType="separate"/>
      </w:r>
      <w:r w:rsidR="008664BD" w:rsidRPr="008664BD">
        <w:rPr>
          <w:rFonts w:cstheme="minorHAnsi"/>
        </w:rPr>
        <w:t xml:space="preserve">Table </w:t>
      </w:r>
      <w:r w:rsidR="008664BD" w:rsidRPr="008664BD">
        <w:rPr>
          <w:rFonts w:cstheme="minorHAnsi"/>
          <w:noProof/>
        </w:rPr>
        <w:t>6</w:t>
      </w:r>
      <w:r w:rsidRPr="009A0F3E">
        <w:rPr>
          <w:rFonts w:cstheme="minorHAnsi"/>
        </w:rPr>
        <w:fldChar w:fldCharType="end"/>
      </w:r>
      <w:r w:rsidR="00917B4C" w:rsidRPr="009A0F3E">
        <w:rPr>
          <w:rFonts w:cstheme="minorHAnsi"/>
        </w:rPr>
        <w:t xml:space="preserve"> </w:t>
      </w:r>
      <w:r w:rsidR="007A012A" w:rsidRPr="009A0F3E">
        <w:rPr>
          <w:rFonts w:cstheme="minorHAnsi"/>
        </w:rPr>
        <w:t>s</w:t>
      </w:r>
      <w:r w:rsidR="007A012A" w:rsidRPr="000E4FAF">
        <w:t xml:space="preserve">ummarises adverse events </w:t>
      </w:r>
      <w:r w:rsidR="007A012A">
        <w:t xml:space="preserve">(AEs) </w:t>
      </w:r>
      <w:r w:rsidR="007A012A" w:rsidRPr="000E4FAF">
        <w:t xml:space="preserve">reported in the UPA induction and maintenance trials. </w:t>
      </w:r>
      <w:bookmarkStart w:id="32" w:name="_Hlk103340423"/>
      <w:r w:rsidR="007A012A">
        <w:t>A</w:t>
      </w:r>
      <w:r w:rsidR="007A012A" w:rsidRPr="000E4FAF">
        <w:t xml:space="preserve"> slightly higher proportion of patients treated with UPA experienced any AE </w:t>
      </w:r>
      <w:r w:rsidR="007A012A">
        <w:t xml:space="preserve">compared to PBO </w:t>
      </w:r>
      <w:r w:rsidR="007A012A" w:rsidRPr="000E4FAF">
        <w:t xml:space="preserve">but </w:t>
      </w:r>
      <w:r w:rsidR="007A012A">
        <w:t xml:space="preserve">the incidence of serious AEs was low. </w:t>
      </w:r>
      <w:bookmarkEnd w:id="32"/>
      <w:r w:rsidR="007A012A">
        <w:t>The most frequently reported AEs with UPA in the induction period (worsening of ulcerative colitis, headache, acne, nasopharyngitis, an</w:t>
      </w:r>
      <w:r w:rsidR="00061A35">
        <w:t>a</w:t>
      </w:r>
      <w:r w:rsidR="007A012A">
        <w:t>emia and blood CPK increased) and maintenance period (nasopharyngitis and blood CPK increased) were consistent with the known safety profile of UPA.</w:t>
      </w:r>
    </w:p>
    <w:p w14:paraId="5344BD45" w14:textId="5EA3FB7E" w:rsidR="00917B4C" w:rsidRPr="00C8206C" w:rsidRDefault="00917B4C" w:rsidP="008664BD">
      <w:pPr>
        <w:pStyle w:val="Caption"/>
        <w:keepNext/>
        <w:keepLines/>
        <w:spacing w:after="60"/>
        <w:jc w:val="left"/>
        <w:rPr>
          <w:rFonts w:ascii="Arial Narrow" w:hAnsi="Arial Narrow"/>
          <w:color w:val="auto"/>
          <w:sz w:val="20"/>
          <w:szCs w:val="20"/>
        </w:rPr>
      </w:pPr>
      <w:bookmarkStart w:id="33" w:name="_Ref103176348"/>
      <w:r w:rsidRPr="00C8206C">
        <w:rPr>
          <w:rFonts w:ascii="Arial Narrow" w:hAnsi="Arial Narrow"/>
          <w:color w:val="auto"/>
          <w:sz w:val="20"/>
          <w:szCs w:val="20"/>
        </w:rPr>
        <w:t xml:space="preserve">Table </w:t>
      </w:r>
      <w:r w:rsidRPr="00C8206C">
        <w:rPr>
          <w:rFonts w:ascii="Arial Narrow" w:hAnsi="Arial Narrow"/>
          <w:color w:val="auto"/>
          <w:sz w:val="20"/>
          <w:szCs w:val="20"/>
        </w:rPr>
        <w:fldChar w:fldCharType="begin" w:fldLock="1"/>
      </w:r>
      <w:r w:rsidRPr="00C8206C">
        <w:rPr>
          <w:rFonts w:ascii="Arial Narrow" w:hAnsi="Arial Narrow"/>
          <w:color w:val="auto"/>
          <w:sz w:val="20"/>
          <w:szCs w:val="20"/>
        </w:rPr>
        <w:instrText xml:space="preserve"> SEQ Table \* ARABIC </w:instrText>
      </w:r>
      <w:r w:rsidRPr="00C8206C">
        <w:rPr>
          <w:rFonts w:ascii="Arial Narrow" w:hAnsi="Arial Narrow"/>
          <w:color w:val="auto"/>
          <w:sz w:val="20"/>
          <w:szCs w:val="20"/>
        </w:rPr>
        <w:fldChar w:fldCharType="separate"/>
      </w:r>
      <w:r w:rsidR="008664BD">
        <w:rPr>
          <w:rFonts w:ascii="Arial Narrow" w:hAnsi="Arial Narrow"/>
          <w:noProof/>
          <w:color w:val="auto"/>
          <w:sz w:val="20"/>
          <w:szCs w:val="20"/>
        </w:rPr>
        <w:t>6</w:t>
      </w:r>
      <w:r w:rsidRPr="00C8206C">
        <w:rPr>
          <w:rFonts w:ascii="Arial Narrow" w:hAnsi="Arial Narrow"/>
          <w:color w:val="auto"/>
          <w:sz w:val="20"/>
          <w:szCs w:val="20"/>
        </w:rPr>
        <w:fldChar w:fldCharType="end"/>
      </w:r>
      <w:bookmarkEnd w:id="33"/>
      <w:r w:rsidRPr="00C8206C">
        <w:rPr>
          <w:rFonts w:ascii="Arial Narrow" w:eastAsiaTheme="minorEastAsia" w:hAnsi="Arial Narrow" w:cs="Times New Roman"/>
          <w:color w:val="auto"/>
          <w:sz w:val="20"/>
          <w:szCs w:val="20"/>
          <w:lang w:eastAsia="en-US"/>
        </w:rPr>
        <w:t xml:space="preserve">: Summary of adverse events </w:t>
      </w:r>
      <w:r w:rsidR="00097BDE" w:rsidRPr="00C8206C">
        <w:rPr>
          <w:rFonts w:ascii="Arial Narrow" w:eastAsiaTheme="minorEastAsia" w:hAnsi="Arial Narrow" w:cs="Times New Roman"/>
          <w:color w:val="auto"/>
          <w:sz w:val="20"/>
          <w:szCs w:val="20"/>
          <w:lang w:eastAsia="en-US"/>
        </w:rPr>
        <w:t>in UPA induction trials and maintenance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3"/>
        <w:gridCol w:w="1688"/>
        <w:gridCol w:w="1690"/>
        <w:gridCol w:w="1688"/>
        <w:gridCol w:w="1688"/>
      </w:tblGrid>
      <w:tr w:rsidR="00917B4C" w:rsidRPr="00C64D0B" w14:paraId="01F26D19" w14:textId="77777777" w:rsidTr="00DE14BF">
        <w:trPr>
          <w:trHeight w:val="70"/>
          <w:tblHeader/>
        </w:trPr>
        <w:tc>
          <w:tcPr>
            <w:tcW w:w="1255" w:type="pct"/>
            <w:shd w:val="clear" w:color="auto" w:fill="auto"/>
            <w:vAlign w:val="center"/>
          </w:tcPr>
          <w:p w14:paraId="0F1DF016" w14:textId="03324F70" w:rsidR="00917B4C" w:rsidRPr="00C64D0B" w:rsidRDefault="00917B4C" w:rsidP="008664BD">
            <w:pPr>
              <w:keepNext/>
              <w:keepLines/>
              <w:jc w:val="left"/>
              <w:rPr>
                <w:rFonts w:ascii="Arial Narrow" w:eastAsiaTheme="minorEastAsia" w:hAnsi="Arial Narrow" w:cs="Times New Roman"/>
                <w:b/>
                <w:bCs/>
                <w:sz w:val="20"/>
                <w:szCs w:val="20"/>
                <w:lang w:eastAsia="en-US"/>
              </w:rPr>
            </w:pPr>
            <w:r w:rsidRPr="00C64D0B">
              <w:rPr>
                <w:rFonts w:ascii="Arial Narrow" w:eastAsiaTheme="minorEastAsia" w:hAnsi="Arial Narrow" w:cs="Times New Roman"/>
                <w:b/>
                <w:bCs/>
                <w:sz w:val="20"/>
                <w:szCs w:val="20"/>
                <w:lang w:eastAsia="en-US"/>
              </w:rPr>
              <w:t>Trial</w:t>
            </w:r>
          </w:p>
        </w:tc>
        <w:tc>
          <w:tcPr>
            <w:tcW w:w="936" w:type="pct"/>
            <w:shd w:val="clear" w:color="auto" w:fill="auto"/>
            <w:vAlign w:val="center"/>
          </w:tcPr>
          <w:p w14:paraId="0A9044AD" w14:textId="078A9848" w:rsidR="00917B4C" w:rsidRPr="00C64D0B" w:rsidRDefault="00917B4C" w:rsidP="008664BD">
            <w:pPr>
              <w:keepNext/>
              <w:keepLines/>
              <w:jc w:val="center"/>
              <w:rPr>
                <w:rFonts w:ascii="Arial Narrow" w:eastAsiaTheme="minorEastAsia" w:hAnsi="Arial Narrow" w:cs="Times New Roman"/>
                <w:b/>
                <w:bCs/>
                <w:sz w:val="20"/>
                <w:szCs w:val="20"/>
                <w:lang w:eastAsia="en-US"/>
              </w:rPr>
            </w:pPr>
            <w:r w:rsidRPr="00C64D0B">
              <w:rPr>
                <w:rFonts w:ascii="Arial Narrow" w:eastAsiaTheme="minorEastAsia" w:hAnsi="Arial Narrow" w:cs="Times New Roman"/>
                <w:b/>
                <w:bCs/>
                <w:sz w:val="20"/>
                <w:szCs w:val="20"/>
                <w:lang w:eastAsia="en-US"/>
              </w:rPr>
              <w:t>UPA n/N (%)</w:t>
            </w:r>
          </w:p>
        </w:tc>
        <w:tc>
          <w:tcPr>
            <w:tcW w:w="937" w:type="pct"/>
            <w:shd w:val="clear" w:color="auto" w:fill="auto"/>
            <w:vAlign w:val="center"/>
          </w:tcPr>
          <w:p w14:paraId="5BA75BAA" w14:textId="77777777" w:rsidR="00917B4C" w:rsidRPr="00C64D0B" w:rsidRDefault="00917B4C" w:rsidP="008664BD">
            <w:pPr>
              <w:keepNext/>
              <w:keepLines/>
              <w:jc w:val="center"/>
              <w:rPr>
                <w:rFonts w:ascii="Arial Narrow" w:eastAsiaTheme="minorEastAsia" w:hAnsi="Arial Narrow" w:cs="Times New Roman"/>
                <w:b/>
                <w:bCs/>
                <w:sz w:val="20"/>
                <w:szCs w:val="20"/>
                <w:lang w:eastAsia="en-US"/>
              </w:rPr>
            </w:pPr>
            <w:r w:rsidRPr="00C64D0B">
              <w:rPr>
                <w:rFonts w:ascii="Arial Narrow" w:eastAsiaTheme="minorEastAsia" w:hAnsi="Arial Narrow" w:cs="Times New Roman"/>
                <w:b/>
                <w:bCs/>
                <w:sz w:val="20"/>
                <w:szCs w:val="20"/>
                <w:lang w:eastAsia="en-US"/>
              </w:rPr>
              <w:t>PBO n/N (%)</w:t>
            </w:r>
          </w:p>
        </w:tc>
        <w:tc>
          <w:tcPr>
            <w:tcW w:w="936" w:type="pct"/>
            <w:shd w:val="clear" w:color="auto" w:fill="auto"/>
            <w:vAlign w:val="center"/>
          </w:tcPr>
          <w:p w14:paraId="3E747927" w14:textId="77777777" w:rsidR="00917B4C" w:rsidRPr="00C64D0B" w:rsidRDefault="00917B4C" w:rsidP="008664BD">
            <w:pPr>
              <w:keepNext/>
              <w:keepLines/>
              <w:jc w:val="center"/>
              <w:rPr>
                <w:rFonts w:ascii="Arial Narrow" w:eastAsiaTheme="minorEastAsia" w:hAnsi="Arial Narrow" w:cs="Times New Roman"/>
                <w:b/>
                <w:bCs/>
                <w:sz w:val="20"/>
                <w:szCs w:val="20"/>
                <w:lang w:eastAsia="en-US"/>
              </w:rPr>
            </w:pPr>
            <w:r w:rsidRPr="00C64D0B">
              <w:rPr>
                <w:rFonts w:ascii="Arial Narrow" w:eastAsiaTheme="minorEastAsia" w:hAnsi="Arial Narrow" w:cs="Times New Roman"/>
                <w:b/>
                <w:bCs/>
                <w:sz w:val="20"/>
                <w:szCs w:val="20"/>
                <w:lang w:eastAsia="en-US"/>
              </w:rPr>
              <w:t>RR (95% CI)</w:t>
            </w:r>
          </w:p>
        </w:tc>
        <w:tc>
          <w:tcPr>
            <w:tcW w:w="936" w:type="pct"/>
            <w:shd w:val="clear" w:color="auto" w:fill="auto"/>
            <w:vAlign w:val="center"/>
          </w:tcPr>
          <w:p w14:paraId="15589254" w14:textId="77777777" w:rsidR="00917B4C" w:rsidRPr="00C64D0B" w:rsidRDefault="00917B4C" w:rsidP="008664BD">
            <w:pPr>
              <w:keepNext/>
              <w:keepLines/>
              <w:jc w:val="center"/>
              <w:rPr>
                <w:rFonts w:ascii="Arial Narrow" w:eastAsiaTheme="minorEastAsia" w:hAnsi="Arial Narrow" w:cs="Times New Roman"/>
                <w:b/>
                <w:bCs/>
                <w:sz w:val="20"/>
                <w:szCs w:val="20"/>
                <w:lang w:eastAsia="en-US"/>
              </w:rPr>
            </w:pPr>
            <w:r w:rsidRPr="00C64D0B">
              <w:rPr>
                <w:rFonts w:ascii="Arial Narrow" w:eastAsiaTheme="minorEastAsia" w:hAnsi="Arial Narrow" w:cs="Times New Roman"/>
                <w:b/>
                <w:bCs/>
                <w:sz w:val="20"/>
                <w:szCs w:val="20"/>
                <w:lang w:eastAsia="en-US"/>
              </w:rPr>
              <w:t>RD (95% CI)</w:t>
            </w:r>
          </w:p>
        </w:tc>
      </w:tr>
      <w:tr w:rsidR="00097BDE" w:rsidRPr="00C64D0B" w14:paraId="7BE4585D" w14:textId="77777777" w:rsidTr="003B5112">
        <w:trPr>
          <w:trHeight w:val="53"/>
        </w:trPr>
        <w:tc>
          <w:tcPr>
            <w:tcW w:w="5000" w:type="pct"/>
            <w:gridSpan w:val="5"/>
            <w:shd w:val="clear" w:color="auto" w:fill="auto"/>
            <w:vAlign w:val="center"/>
          </w:tcPr>
          <w:p w14:paraId="09E045D9" w14:textId="0FAA1A93" w:rsidR="00097BDE" w:rsidRPr="00C64D0B" w:rsidRDefault="00097BDE" w:rsidP="008664BD">
            <w:pPr>
              <w:keepNext/>
              <w:keepLines/>
              <w:jc w:val="center"/>
              <w:rPr>
                <w:rFonts w:ascii="Arial Narrow" w:hAnsi="Arial Narrow"/>
                <w:b/>
                <w:bCs/>
                <w:iCs/>
                <w:sz w:val="20"/>
                <w:szCs w:val="20"/>
                <w:lang w:val="fr-FR"/>
              </w:rPr>
            </w:pPr>
            <w:r w:rsidRPr="00C64D0B">
              <w:rPr>
                <w:rFonts w:ascii="Arial Narrow" w:eastAsiaTheme="minorEastAsia" w:hAnsi="Arial Narrow" w:cs="Times New Roman"/>
                <w:b/>
                <w:bCs/>
                <w:sz w:val="20"/>
                <w:szCs w:val="20"/>
                <w:lang w:eastAsia="en-US"/>
              </w:rPr>
              <w:t>UPA induction trials^</w:t>
            </w:r>
          </w:p>
        </w:tc>
      </w:tr>
      <w:tr w:rsidR="00917B4C" w:rsidRPr="00C64D0B" w14:paraId="33C196AE" w14:textId="77777777" w:rsidTr="003B5112">
        <w:trPr>
          <w:trHeight w:val="53"/>
        </w:trPr>
        <w:tc>
          <w:tcPr>
            <w:tcW w:w="5000" w:type="pct"/>
            <w:gridSpan w:val="5"/>
            <w:shd w:val="clear" w:color="auto" w:fill="auto"/>
            <w:vAlign w:val="center"/>
          </w:tcPr>
          <w:p w14:paraId="4C4FFD9F" w14:textId="44FC3E00" w:rsidR="00917B4C" w:rsidRPr="00C64D0B" w:rsidRDefault="00DE14BF" w:rsidP="008664BD">
            <w:pPr>
              <w:keepNext/>
              <w:keepLines/>
              <w:jc w:val="left"/>
              <w:rPr>
                <w:rFonts w:ascii="Arial Narrow" w:eastAsiaTheme="minorEastAsia" w:hAnsi="Arial Narrow" w:cs="Times New Roman"/>
                <w:b/>
                <w:bCs/>
                <w:sz w:val="20"/>
                <w:szCs w:val="20"/>
                <w:lang w:eastAsia="en-US"/>
              </w:rPr>
            </w:pPr>
            <w:r w:rsidRPr="00C64D0B">
              <w:rPr>
                <w:rFonts w:ascii="Arial Narrow" w:hAnsi="Arial Narrow"/>
                <w:b/>
                <w:bCs/>
                <w:iCs/>
                <w:sz w:val="20"/>
                <w:szCs w:val="20"/>
              </w:rPr>
              <w:t>UPA</w:t>
            </w:r>
            <w:r w:rsidR="00506676" w:rsidRPr="00C64D0B">
              <w:rPr>
                <w:rFonts w:ascii="Arial Narrow" w:hAnsi="Arial Narrow"/>
                <w:b/>
                <w:bCs/>
                <w:iCs/>
                <w:sz w:val="20"/>
                <w:szCs w:val="20"/>
              </w:rPr>
              <w:t xml:space="preserve"> 45 mg</w:t>
            </w:r>
            <w:r w:rsidR="00097BDE" w:rsidRPr="00C64D0B">
              <w:rPr>
                <w:rFonts w:ascii="Arial Narrow" w:hAnsi="Arial Narrow"/>
                <w:b/>
                <w:bCs/>
                <w:iCs/>
                <w:sz w:val="20"/>
                <w:szCs w:val="20"/>
              </w:rPr>
              <w:t xml:space="preserve"> versus PBO</w:t>
            </w:r>
            <w:r w:rsidRPr="00C64D0B">
              <w:rPr>
                <w:rFonts w:ascii="Arial Narrow" w:hAnsi="Arial Narrow"/>
                <w:b/>
                <w:bCs/>
                <w:iCs/>
                <w:sz w:val="20"/>
                <w:szCs w:val="20"/>
              </w:rPr>
              <w:t xml:space="preserve"> (MA: U-ACHIEVE 1, U-ACHIEVE 2, U-ACCOMPLISH)</w:t>
            </w:r>
            <w:r w:rsidR="00097BDE" w:rsidRPr="00C64D0B">
              <w:rPr>
                <w:rFonts w:ascii="Arial Narrow" w:hAnsi="Arial Narrow"/>
                <w:b/>
                <w:bCs/>
                <w:iCs/>
                <w:sz w:val="20"/>
                <w:szCs w:val="20"/>
              </w:rPr>
              <w:t xml:space="preserve"> at Week 8</w:t>
            </w:r>
          </w:p>
        </w:tc>
      </w:tr>
      <w:tr w:rsidR="00917B4C" w:rsidRPr="00C64D0B" w14:paraId="68C40AAB" w14:textId="77777777" w:rsidTr="00E044C3">
        <w:trPr>
          <w:trHeight w:val="187"/>
        </w:trPr>
        <w:tc>
          <w:tcPr>
            <w:tcW w:w="1255" w:type="pct"/>
            <w:shd w:val="clear" w:color="auto" w:fill="auto"/>
            <w:vAlign w:val="center"/>
          </w:tcPr>
          <w:p w14:paraId="19E08B87" w14:textId="37AE04A7" w:rsidR="00917B4C" w:rsidRPr="00C64D0B" w:rsidRDefault="00DE14BF"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Any AE</w:t>
            </w:r>
          </w:p>
        </w:tc>
        <w:tc>
          <w:tcPr>
            <w:tcW w:w="936" w:type="pct"/>
            <w:shd w:val="clear" w:color="auto" w:fill="auto"/>
            <w:vAlign w:val="center"/>
          </w:tcPr>
          <w:p w14:paraId="56557071"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hAnsi="Arial Narrow" w:cstheme="minorHAnsi"/>
                <w:sz w:val="20"/>
                <w:szCs w:val="20"/>
              </w:rPr>
              <w:t>398/719 (55.4)</w:t>
            </w:r>
          </w:p>
        </w:tc>
        <w:tc>
          <w:tcPr>
            <w:tcW w:w="937" w:type="pct"/>
            <w:shd w:val="clear" w:color="auto" w:fill="auto"/>
            <w:vAlign w:val="center"/>
          </w:tcPr>
          <w:p w14:paraId="26C773F2"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hAnsi="Arial Narrow" w:cstheme="minorHAnsi"/>
                <w:sz w:val="20"/>
                <w:szCs w:val="20"/>
              </w:rPr>
              <w:t>199/378 (52.6)</w:t>
            </w:r>
          </w:p>
        </w:tc>
        <w:tc>
          <w:tcPr>
            <w:tcW w:w="936" w:type="pct"/>
            <w:shd w:val="clear" w:color="auto" w:fill="auto"/>
            <w:vAlign w:val="center"/>
          </w:tcPr>
          <w:p w14:paraId="4CB7DD09"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eastAsiaTheme="minorEastAsia" w:hAnsi="Arial Narrow" w:cs="Times New Roman"/>
                <w:bCs/>
                <w:sz w:val="20"/>
                <w:szCs w:val="20"/>
                <w:lang w:eastAsia="en-US"/>
              </w:rPr>
              <w:t>1.03 (0.79, 1.35)</w:t>
            </w:r>
          </w:p>
        </w:tc>
        <w:tc>
          <w:tcPr>
            <w:tcW w:w="936" w:type="pct"/>
            <w:shd w:val="clear" w:color="auto" w:fill="auto"/>
            <w:vAlign w:val="center"/>
          </w:tcPr>
          <w:p w14:paraId="44A77F1B"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eastAsiaTheme="minorEastAsia" w:hAnsi="Arial Narrow" w:cs="Times New Roman"/>
                <w:bCs/>
                <w:sz w:val="20"/>
                <w:szCs w:val="20"/>
                <w:lang w:eastAsia="en-US"/>
              </w:rPr>
              <w:t>0.01 (-0.13, 0.15)</w:t>
            </w:r>
          </w:p>
        </w:tc>
      </w:tr>
      <w:tr w:rsidR="00917B4C" w:rsidRPr="00C64D0B" w14:paraId="4559988D" w14:textId="77777777" w:rsidTr="00E044C3">
        <w:trPr>
          <w:trHeight w:val="87"/>
        </w:trPr>
        <w:tc>
          <w:tcPr>
            <w:tcW w:w="1255" w:type="pct"/>
            <w:shd w:val="clear" w:color="auto" w:fill="auto"/>
            <w:vAlign w:val="center"/>
          </w:tcPr>
          <w:p w14:paraId="6488B0F7" w14:textId="1AAC409B" w:rsidR="00917B4C" w:rsidRPr="00C64D0B" w:rsidRDefault="00DE14BF"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Serious adverse event</w:t>
            </w:r>
          </w:p>
        </w:tc>
        <w:tc>
          <w:tcPr>
            <w:tcW w:w="936" w:type="pct"/>
            <w:shd w:val="clear" w:color="auto" w:fill="auto"/>
            <w:vAlign w:val="center"/>
          </w:tcPr>
          <w:p w14:paraId="6AF9D848"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hAnsi="Arial Narrow" w:cstheme="minorHAnsi"/>
                <w:sz w:val="20"/>
                <w:szCs w:val="20"/>
              </w:rPr>
              <w:t>22/719 (3.1)</w:t>
            </w:r>
          </w:p>
        </w:tc>
        <w:tc>
          <w:tcPr>
            <w:tcW w:w="937" w:type="pct"/>
            <w:shd w:val="clear" w:color="auto" w:fill="auto"/>
            <w:vAlign w:val="center"/>
          </w:tcPr>
          <w:p w14:paraId="0DEB3938"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hAnsi="Arial Narrow" w:cstheme="minorHAnsi"/>
                <w:sz w:val="20"/>
                <w:szCs w:val="20"/>
              </w:rPr>
              <w:t>22/378 (5.8)</w:t>
            </w:r>
          </w:p>
        </w:tc>
        <w:tc>
          <w:tcPr>
            <w:tcW w:w="936" w:type="pct"/>
            <w:shd w:val="clear" w:color="auto" w:fill="auto"/>
            <w:vAlign w:val="center"/>
          </w:tcPr>
          <w:p w14:paraId="13FEE4F3"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eastAsiaTheme="minorEastAsia" w:hAnsi="Arial Narrow" w:cs="Times New Roman"/>
                <w:bCs/>
                <w:sz w:val="20"/>
                <w:szCs w:val="20"/>
                <w:lang w:eastAsia="en-US"/>
              </w:rPr>
              <w:t>0.55 (0.30, 0.98)</w:t>
            </w:r>
          </w:p>
        </w:tc>
        <w:tc>
          <w:tcPr>
            <w:tcW w:w="936" w:type="pct"/>
            <w:shd w:val="clear" w:color="auto" w:fill="auto"/>
            <w:vAlign w:val="center"/>
          </w:tcPr>
          <w:p w14:paraId="34A1FC52"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eastAsiaTheme="minorEastAsia" w:hAnsi="Arial Narrow" w:cs="Times New Roman"/>
                <w:bCs/>
                <w:sz w:val="20"/>
                <w:szCs w:val="20"/>
                <w:lang w:eastAsia="en-US"/>
              </w:rPr>
              <w:t>-0.02 (-0.05, 0.00)</w:t>
            </w:r>
          </w:p>
        </w:tc>
      </w:tr>
      <w:tr w:rsidR="00917B4C" w:rsidRPr="00C64D0B" w14:paraId="51451880" w14:textId="77777777" w:rsidTr="00E044C3">
        <w:trPr>
          <w:trHeight w:val="53"/>
        </w:trPr>
        <w:tc>
          <w:tcPr>
            <w:tcW w:w="1255" w:type="pct"/>
            <w:shd w:val="clear" w:color="auto" w:fill="auto"/>
            <w:vAlign w:val="center"/>
          </w:tcPr>
          <w:p w14:paraId="683747FA" w14:textId="1BEAA458" w:rsidR="00917B4C" w:rsidRPr="00C64D0B" w:rsidRDefault="00DE14BF"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Discontinuation due to adverse event</w:t>
            </w:r>
          </w:p>
        </w:tc>
        <w:tc>
          <w:tcPr>
            <w:tcW w:w="936" w:type="pct"/>
            <w:shd w:val="clear" w:color="auto" w:fill="auto"/>
            <w:vAlign w:val="center"/>
          </w:tcPr>
          <w:p w14:paraId="2BD12EEB" w14:textId="77777777" w:rsidR="00917B4C" w:rsidRPr="00C64D0B" w:rsidRDefault="00917B4C" w:rsidP="008664BD">
            <w:pPr>
              <w:keepNext/>
              <w:keepLines/>
              <w:jc w:val="center"/>
              <w:rPr>
                <w:rFonts w:ascii="Arial Narrow" w:eastAsiaTheme="minorEastAsia" w:hAnsi="Arial Narrow" w:cs="Times New Roman"/>
                <w:sz w:val="20"/>
                <w:szCs w:val="20"/>
                <w:lang w:eastAsia="en-US"/>
              </w:rPr>
            </w:pPr>
            <w:r w:rsidRPr="00C64D0B">
              <w:rPr>
                <w:rFonts w:ascii="Arial Narrow" w:hAnsi="Arial Narrow" w:cstheme="minorHAnsi"/>
                <w:sz w:val="20"/>
                <w:szCs w:val="20"/>
              </w:rPr>
              <w:t>17/719 (2.4)</w:t>
            </w:r>
          </w:p>
        </w:tc>
        <w:tc>
          <w:tcPr>
            <w:tcW w:w="937" w:type="pct"/>
            <w:shd w:val="clear" w:color="auto" w:fill="auto"/>
            <w:vAlign w:val="center"/>
          </w:tcPr>
          <w:p w14:paraId="1301B2D5" w14:textId="77777777" w:rsidR="00917B4C" w:rsidRPr="00C64D0B" w:rsidRDefault="00917B4C" w:rsidP="008664BD">
            <w:pPr>
              <w:keepNext/>
              <w:keepLines/>
              <w:jc w:val="center"/>
              <w:rPr>
                <w:rFonts w:ascii="Arial Narrow" w:eastAsiaTheme="minorEastAsia" w:hAnsi="Arial Narrow" w:cs="Times New Roman"/>
                <w:sz w:val="20"/>
                <w:szCs w:val="20"/>
                <w:lang w:eastAsia="en-US"/>
              </w:rPr>
            </w:pPr>
            <w:r w:rsidRPr="00C64D0B">
              <w:rPr>
                <w:rFonts w:ascii="Arial Narrow" w:hAnsi="Arial Narrow" w:cstheme="minorHAnsi"/>
                <w:sz w:val="20"/>
                <w:szCs w:val="20"/>
              </w:rPr>
              <w:t>27/378 (7.1)</w:t>
            </w:r>
          </w:p>
        </w:tc>
        <w:tc>
          <w:tcPr>
            <w:tcW w:w="936" w:type="pct"/>
            <w:shd w:val="clear" w:color="auto" w:fill="auto"/>
            <w:vAlign w:val="center"/>
          </w:tcPr>
          <w:p w14:paraId="43365777"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eastAsiaTheme="minorEastAsia" w:hAnsi="Arial Narrow" w:cs="Times New Roman"/>
                <w:bCs/>
                <w:sz w:val="20"/>
                <w:szCs w:val="20"/>
                <w:lang w:eastAsia="en-US"/>
              </w:rPr>
              <w:t>0.39 (0.16, 0.92)</w:t>
            </w:r>
          </w:p>
        </w:tc>
        <w:tc>
          <w:tcPr>
            <w:tcW w:w="936" w:type="pct"/>
            <w:shd w:val="clear" w:color="auto" w:fill="auto"/>
            <w:vAlign w:val="center"/>
          </w:tcPr>
          <w:p w14:paraId="16C65204"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eastAsiaTheme="minorEastAsia" w:hAnsi="Arial Narrow" w:cs="Times New Roman"/>
                <w:bCs/>
                <w:sz w:val="20"/>
                <w:szCs w:val="20"/>
                <w:lang w:eastAsia="en-US"/>
              </w:rPr>
              <w:t>-0.04 (-0.08, -0.01)</w:t>
            </w:r>
          </w:p>
        </w:tc>
      </w:tr>
      <w:tr w:rsidR="00917B4C" w:rsidRPr="00C64D0B" w14:paraId="49C2B434" w14:textId="77777777" w:rsidTr="00E044C3">
        <w:trPr>
          <w:trHeight w:val="70"/>
        </w:trPr>
        <w:tc>
          <w:tcPr>
            <w:tcW w:w="1255" w:type="pct"/>
            <w:shd w:val="clear" w:color="auto" w:fill="auto"/>
            <w:vAlign w:val="center"/>
          </w:tcPr>
          <w:p w14:paraId="684D81CA" w14:textId="3D7C5D77" w:rsidR="00917B4C" w:rsidRPr="00C64D0B" w:rsidRDefault="00506676"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Serious Infections</w:t>
            </w:r>
          </w:p>
        </w:tc>
        <w:tc>
          <w:tcPr>
            <w:tcW w:w="936" w:type="pct"/>
            <w:shd w:val="clear" w:color="auto" w:fill="auto"/>
            <w:vAlign w:val="center"/>
          </w:tcPr>
          <w:p w14:paraId="00790990" w14:textId="77777777" w:rsidR="00917B4C" w:rsidRPr="00C64D0B" w:rsidRDefault="00917B4C" w:rsidP="008664BD">
            <w:pPr>
              <w:keepNext/>
              <w:keepLines/>
              <w:jc w:val="center"/>
              <w:rPr>
                <w:rFonts w:ascii="Arial Narrow" w:eastAsiaTheme="minorEastAsia" w:hAnsi="Arial Narrow" w:cs="Times New Roman"/>
                <w:sz w:val="20"/>
                <w:szCs w:val="20"/>
                <w:lang w:eastAsia="en-US"/>
              </w:rPr>
            </w:pPr>
            <w:r w:rsidRPr="00C64D0B">
              <w:rPr>
                <w:rFonts w:ascii="Arial Narrow" w:hAnsi="Arial Narrow" w:cstheme="minorHAnsi"/>
                <w:sz w:val="20"/>
                <w:szCs w:val="20"/>
              </w:rPr>
              <w:t>9/719 (1.3)</w:t>
            </w:r>
          </w:p>
        </w:tc>
        <w:tc>
          <w:tcPr>
            <w:tcW w:w="937" w:type="pct"/>
            <w:shd w:val="clear" w:color="auto" w:fill="auto"/>
            <w:vAlign w:val="center"/>
          </w:tcPr>
          <w:p w14:paraId="3E70915C" w14:textId="77777777" w:rsidR="00917B4C" w:rsidRPr="00C64D0B" w:rsidRDefault="00917B4C" w:rsidP="008664BD">
            <w:pPr>
              <w:keepNext/>
              <w:keepLines/>
              <w:jc w:val="center"/>
              <w:rPr>
                <w:rFonts w:ascii="Arial Narrow" w:eastAsiaTheme="minorEastAsia" w:hAnsi="Arial Narrow" w:cs="Times New Roman"/>
                <w:sz w:val="20"/>
                <w:szCs w:val="20"/>
                <w:lang w:eastAsia="en-US"/>
              </w:rPr>
            </w:pPr>
            <w:r w:rsidRPr="00C64D0B">
              <w:rPr>
                <w:rFonts w:ascii="Arial Narrow" w:hAnsi="Arial Narrow" w:cstheme="minorHAnsi"/>
                <w:sz w:val="20"/>
                <w:szCs w:val="20"/>
              </w:rPr>
              <w:t>5/378 (1.3)</w:t>
            </w:r>
          </w:p>
        </w:tc>
        <w:tc>
          <w:tcPr>
            <w:tcW w:w="936" w:type="pct"/>
            <w:shd w:val="clear" w:color="auto" w:fill="auto"/>
            <w:vAlign w:val="center"/>
          </w:tcPr>
          <w:p w14:paraId="7F854B2A" w14:textId="77777777" w:rsidR="00917B4C" w:rsidRPr="00C64D0B" w:rsidRDefault="00917B4C"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1.03 (0.34, 3.10)</w:t>
            </w:r>
          </w:p>
        </w:tc>
        <w:tc>
          <w:tcPr>
            <w:tcW w:w="936" w:type="pct"/>
            <w:shd w:val="clear" w:color="auto" w:fill="auto"/>
            <w:vAlign w:val="center"/>
          </w:tcPr>
          <w:p w14:paraId="37A18045" w14:textId="77777777" w:rsidR="00917B4C" w:rsidRPr="00C64D0B" w:rsidRDefault="00917B4C"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0.00 (-0.01, 0.01)</w:t>
            </w:r>
          </w:p>
        </w:tc>
      </w:tr>
      <w:tr w:rsidR="00917B4C" w:rsidRPr="00C64D0B" w14:paraId="7BBC067A" w14:textId="77777777" w:rsidTr="00E044C3">
        <w:trPr>
          <w:trHeight w:val="70"/>
        </w:trPr>
        <w:tc>
          <w:tcPr>
            <w:tcW w:w="1255" w:type="pct"/>
            <w:shd w:val="clear" w:color="auto" w:fill="auto"/>
            <w:vAlign w:val="center"/>
          </w:tcPr>
          <w:p w14:paraId="3429906B" w14:textId="1075A7DF" w:rsidR="00917B4C" w:rsidRPr="00C64D0B" w:rsidRDefault="00506676"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Adjudicated MACE/CV events</w:t>
            </w:r>
          </w:p>
        </w:tc>
        <w:tc>
          <w:tcPr>
            <w:tcW w:w="936" w:type="pct"/>
            <w:shd w:val="clear" w:color="auto" w:fill="auto"/>
            <w:vAlign w:val="center"/>
          </w:tcPr>
          <w:p w14:paraId="39961C02"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hAnsi="Arial Narrow" w:cstheme="minorHAnsi"/>
                <w:sz w:val="20"/>
                <w:szCs w:val="20"/>
              </w:rPr>
              <w:t>1/719 (0.1)</w:t>
            </w:r>
          </w:p>
        </w:tc>
        <w:tc>
          <w:tcPr>
            <w:tcW w:w="937" w:type="pct"/>
            <w:shd w:val="clear" w:color="auto" w:fill="auto"/>
            <w:vAlign w:val="center"/>
          </w:tcPr>
          <w:p w14:paraId="4EBD48F9"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hAnsi="Arial Narrow" w:cstheme="minorHAnsi"/>
                <w:sz w:val="20"/>
                <w:szCs w:val="20"/>
              </w:rPr>
              <w:t>0/378 (0)</w:t>
            </w:r>
          </w:p>
        </w:tc>
        <w:tc>
          <w:tcPr>
            <w:tcW w:w="936" w:type="pct"/>
            <w:shd w:val="clear" w:color="auto" w:fill="auto"/>
            <w:vAlign w:val="center"/>
          </w:tcPr>
          <w:p w14:paraId="4EA566E7"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eastAsiaTheme="minorEastAsia" w:hAnsi="Arial Narrow" w:cs="Times New Roman"/>
                <w:bCs/>
                <w:sz w:val="20"/>
                <w:szCs w:val="20"/>
                <w:lang w:eastAsia="en-US"/>
              </w:rPr>
              <w:t>2.47 (0.10, 59.32)</w:t>
            </w:r>
          </w:p>
        </w:tc>
        <w:tc>
          <w:tcPr>
            <w:tcW w:w="936" w:type="pct"/>
            <w:shd w:val="clear" w:color="auto" w:fill="auto"/>
            <w:vAlign w:val="center"/>
          </w:tcPr>
          <w:p w14:paraId="3A697BB8" w14:textId="77777777" w:rsidR="00917B4C" w:rsidRPr="00C64D0B" w:rsidRDefault="00917B4C" w:rsidP="008664BD">
            <w:pPr>
              <w:keepNext/>
              <w:keepLines/>
              <w:jc w:val="center"/>
              <w:rPr>
                <w:rFonts w:ascii="Arial Narrow" w:eastAsiaTheme="minorEastAsia" w:hAnsi="Arial Narrow" w:cs="Times New Roman"/>
                <w:bCs/>
                <w:sz w:val="20"/>
                <w:szCs w:val="20"/>
                <w:lang w:eastAsia="en-US"/>
              </w:rPr>
            </w:pPr>
            <w:r w:rsidRPr="00C64D0B">
              <w:rPr>
                <w:rFonts w:ascii="Arial Narrow" w:eastAsiaTheme="minorEastAsia" w:hAnsi="Arial Narrow" w:cs="Times New Roman"/>
                <w:bCs/>
                <w:sz w:val="20"/>
                <w:szCs w:val="20"/>
                <w:lang w:eastAsia="en-US"/>
              </w:rPr>
              <w:t>0.00 (-0.01, 0.01)</w:t>
            </w:r>
          </w:p>
        </w:tc>
      </w:tr>
      <w:tr w:rsidR="00097BDE" w:rsidRPr="00C64D0B" w14:paraId="223DC02C" w14:textId="77777777" w:rsidTr="003B5112">
        <w:trPr>
          <w:trHeight w:val="20"/>
        </w:trPr>
        <w:tc>
          <w:tcPr>
            <w:tcW w:w="5000" w:type="pct"/>
            <w:gridSpan w:val="5"/>
            <w:shd w:val="clear" w:color="auto" w:fill="auto"/>
            <w:vAlign w:val="center"/>
          </w:tcPr>
          <w:p w14:paraId="648D77E7" w14:textId="5E68A48C" w:rsidR="00097BDE" w:rsidRPr="00C64D0B" w:rsidRDefault="00097BDE" w:rsidP="008664BD">
            <w:pPr>
              <w:keepNext/>
              <w:keepLines/>
              <w:jc w:val="center"/>
              <w:rPr>
                <w:rFonts w:ascii="Arial Narrow" w:eastAsiaTheme="minorEastAsia" w:hAnsi="Arial Narrow" w:cs="Times New Roman"/>
                <w:b/>
                <w:bCs/>
                <w:sz w:val="20"/>
                <w:szCs w:val="20"/>
                <w:lang w:eastAsia="en-US"/>
              </w:rPr>
            </w:pPr>
            <w:r w:rsidRPr="00C64D0B">
              <w:rPr>
                <w:rFonts w:ascii="Arial Narrow" w:eastAsiaTheme="minorEastAsia" w:hAnsi="Arial Narrow" w:cs="Times New Roman"/>
                <w:b/>
                <w:bCs/>
                <w:sz w:val="20"/>
                <w:szCs w:val="20"/>
                <w:lang w:eastAsia="en-US"/>
              </w:rPr>
              <w:t>UPA maintenance trial</w:t>
            </w:r>
          </w:p>
        </w:tc>
      </w:tr>
      <w:tr w:rsidR="00097BDE" w:rsidRPr="00C64D0B" w14:paraId="2CD38343" w14:textId="77777777" w:rsidTr="003B5112">
        <w:trPr>
          <w:trHeight w:val="20"/>
        </w:trPr>
        <w:tc>
          <w:tcPr>
            <w:tcW w:w="5000" w:type="pct"/>
            <w:gridSpan w:val="5"/>
            <w:shd w:val="clear" w:color="auto" w:fill="auto"/>
            <w:vAlign w:val="center"/>
          </w:tcPr>
          <w:p w14:paraId="27CE34FD" w14:textId="7B15E167" w:rsidR="00097BDE" w:rsidRPr="00C64D0B" w:rsidRDefault="00097BDE" w:rsidP="008664BD">
            <w:pPr>
              <w:keepNext/>
              <w:keepLines/>
              <w:jc w:val="left"/>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b/>
                <w:bCs/>
                <w:sz w:val="20"/>
                <w:szCs w:val="20"/>
                <w:lang w:eastAsia="en-US"/>
              </w:rPr>
              <w:t>UPA 15 mg or 30 mg pooled versus PBO (U-ACHIEVE 3 maintenance trial Safety C population*) at Week 52</w:t>
            </w:r>
          </w:p>
        </w:tc>
      </w:tr>
      <w:tr w:rsidR="00097BDE" w:rsidRPr="00C64D0B" w14:paraId="755748AA" w14:textId="77777777" w:rsidTr="00E044C3">
        <w:trPr>
          <w:trHeight w:val="20"/>
        </w:trPr>
        <w:tc>
          <w:tcPr>
            <w:tcW w:w="1255" w:type="pct"/>
            <w:shd w:val="clear" w:color="auto" w:fill="auto"/>
            <w:vAlign w:val="center"/>
          </w:tcPr>
          <w:p w14:paraId="495F6167" w14:textId="77777777" w:rsidR="00097BDE" w:rsidRPr="00C64D0B" w:rsidRDefault="00097BDE"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Any AE</w:t>
            </w:r>
          </w:p>
        </w:tc>
        <w:tc>
          <w:tcPr>
            <w:tcW w:w="936" w:type="pct"/>
            <w:shd w:val="clear" w:color="auto" w:fill="auto"/>
            <w:vAlign w:val="center"/>
          </w:tcPr>
          <w:p w14:paraId="6B2891DE"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377/501 (75.2)</w:t>
            </w:r>
          </w:p>
        </w:tc>
        <w:tc>
          <w:tcPr>
            <w:tcW w:w="936" w:type="pct"/>
            <w:shd w:val="clear" w:color="auto" w:fill="auto"/>
            <w:vAlign w:val="center"/>
          </w:tcPr>
          <w:p w14:paraId="0E70EF9B"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180/245 (73.5)</w:t>
            </w:r>
          </w:p>
        </w:tc>
        <w:tc>
          <w:tcPr>
            <w:tcW w:w="936" w:type="pct"/>
            <w:shd w:val="clear" w:color="auto" w:fill="auto"/>
            <w:vAlign w:val="center"/>
          </w:tcPr>
          <w:p w14:paraId="1DA4CDD3"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1.02 (0.94, 1.11)</w:t>
            </w:r>
          </w:p>
        </w:tc>
        <w:tc>
          <w:tcPr>
            <w:tcW w:w="937" w:type="pct"/>
            <w:shd w:val="clear" w:color="auto" w:fill="auto"/>
            <w:vAlign w:val="center"/>
          </w:tcPr>
          <w:p w14:paraId="5678DA30"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0.02 (-0.05, 0.08)</w:t>
            </w:r>
          </w:p>
        </w:tc>
      </w:tr>
      <w:tr w:rsidR="00097BDE" w:rsidRPr="00C64D0B" w14:paraId="6B254E2C" w14:textId="77777777" w:rsidTr="00E044C3">
        <w:trPr>
          <w:trHeight w:val="20"/>
        </w:trPr>
        <w:tc>
          <w:tcPr>
            <w:tcW w:w="1255" w:type="pct"/>
            <w:shd w:val="clear" w:color="auto" w:fill="auto"/>
            <w:vAlign w:val="center"/>
          </w:tcPr>
          <w:p w14:paraId="308B8ACF" w14:textId="77777777" w:rsidR="00097BDE" w:rsidRPr="00C64D0B" w:rsidRDefault="00097BDE"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Serious AE</w:t>
            </w:r>
          </w:p>
        </w:tc>
        <w:tc>
          <w:tcPr>
            <w:tcW w:w="936" w:type="pct"/>
            <w:shd w:val="clear" w:color="auto" w:fill="auto"/>
            <w:vAlign w:val="center"/>
          </w:tcPr>
          <w:p w14:paraId="7458F426"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40/501 (8.0)</w:t>
            </w:r>
          </w:p>
        </w:tc>
        <w:tc>
          <w:tcPr>
            <w:tcW w:w="936" w:type="pct"/>
            <w:shd w:val="clear" w:color="auto" w:fill="auto"/>
            <w:vAlign w:val="center"/>
          </w:tcPr>
          <w:p w14:paraId="139B448D"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23/245 (9.4)</w:t>
            </w:r>
          </w:p>
        </w:tc>
        <w:tc>
          <w:tcPr>
            <w:tcW w:w="936" w:type="pct"/>
            <w:shd w:val="clear" w:color="auto" w:fill="auto"/>
            <w:vAlign w:val="center"/>
          </w:tcPr>
          <w:p w14:paraId="46A19AAE"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0.85 (0.52, 1.39)</w:t>
            </w:r>
          </w:p>
        </w:tc>
        <w:tc>
          <w:tcPr>
            <w:tcW w:w="937" w:type="pct"/>
            <w:shd w:val="clear" w:color="auto" w:fill="auto"/>
            <w:vAlign w:val="center"/>
          </w:tcPr>
          <w:p w14:paraId="40B7EDA9"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-0.01 (-0.06, 0.03)</w:t>
            </w:r>
          </w:p>
        </w:tc>
      </w:tr>
      <w:tr w:rsidR="00097BDE" w:rsidRPr="00C64D0B" w14:paraId="2F4B347B" w14:textId="77777777" w:rsidTr="00E044C3">
        <w:trPr>
          <w:trHeight w:val="20"/>
        </w:trPr>
        <w:tc>
          <w:tcPr>
            <w:tcW w:w="1255" w:type="pct"/>
            <w:shd w:val="clear" w:color="auto" w:fill="auto"/>
            <w:vAlign w:val="center"/>
          </w:tcPr>
          <w:p w14:paraId="1134EFC3" w14:textId="77777777" w:rsidR="00097BDE" w:rsidRPr="00C64D0B" w:rsidRDefault="00097BDE"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Discontinuation due to AE</w:t>
            </w:r>
          </w:p>
        </w:tc>
        <w:tc>
          <w:tcPr>
            <w:tcW w:w="936" w:type="pct"/>
            <w:shd w:val="clear" w:color="auto" w:fill="auto"/>
            <w:vAlign w:val="center"/>
          </w:tcPr>
          <w:p w14:paraId="36DED665"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22/501 (4.4)</w:t>
            </w:r>
          </w:p>
        </w:tc>
        <w:tc>
          <w:tcPr>
            <w:tcW w:w="936" w:type="pct"/>
            <w:shd w:val="clear" w:color="auto" w:fill="auto"/>
            <w:vAlign w:val="center"/>
          </w:tcPr>
          <w:p w14:paraId="1DD3B045"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25/245 (10.2)</w:t>
            </w:r>
          </w:p>
        </w:tc>
        <w:tc>
          <w:tcPr>
            <w:tcW w:w="936" w:type="pct"/>
            <w:shd w:val="clear" w:color="auto" w:fill="auto"/>
            <w:vAlign w:val="center"/>
          </w:tcPr>
          <w:p w14:paraId="5D1DF6CB"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0.43 (0.25, 0.75)</w:t>
            </w:r>
          </w:p>
        </w:tc>
        <w:tc>
          <w:tcPr>
            <w:tcW w:w="937" w:type="pct"/>
            <w:shd w:val="clear" w:color="auto" w:fill="auto"/>
            <w:vAlign w:val="center"/>
          </w:tcPr>
          <w:p w14:paraId="6191BEA2"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-0.06 (-0.10, -0.02)</w:t>
            </w:r>
          </w:p>
        </w:tc>
      </w:tr>
      <w:tr w:rsidR="00097BDE" w:rsidRPr="00C64D0B" w14:paraId="79C50C26" w14:textId="77777777" w:rsidTr="00E044C3">
        <w:trPr>
          <w:trHeight w:val="20"/>
        </w:trPr>
        <w:tc>
          <w:tcPr>
            <w:tcW w:w="1255" w:type="pct"/>
            <w:shd w:val="clear" w:color="auto" w:fill="auto"/>
            <w:vAlign w:val="center"/>
          </w:tcPr>
          <w:p w14:paraId="73290E2D" w14:textId="77777777" w:rsidR="00097BDE" w:rsidRPr="00C64D0B" w:rsidRDefault="00097BDE"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Serious Infection</w:t>
            </w:r>
          </w:p>
        </w:tc>
        <w:tc>
          <w:tcPr>
            <w:tcW w:w="936" w:type="pct"/>
            <w:shd w:val="clear" w:color="auto" w:fill="auto"/>
            <w:vAlign w:val="center"/>
          </w:tcPr>
          <w:p w14:paraId="0911B6BB"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14/501 (2.8)</w:t>
            </w:r>
          </w:p>
        </w:tc>
        <w:tc>
          <w:tcPr>
            <w:tcW w:w="936" w:type="pct"/>
            <w:shd w:val="clear" w:color="auto" w:fill="auto"/>
            <w:vAlign w:val="center"/>
          </w:tcPr>
          <w:p w14:paraId="079BEA72"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8/245 (3.3)</w:t>
            </w:r>
          </w:p>
        </w:tc>
        <w:tc>
          <w:tcPr>
            <w:tcW w:w="936" w:type="pct"/>
            <w:shd w:val="clear" w:color="auto" w:fill="auto"/>
            <w:vAlign w:val="center"/>
          </w:tcPr>
          <w:p w14:paraId="037DC7F9"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0.85 (0.35, 2.06)</w:t>
            </w:r>
          </w:p>
        </w:tc>
        <w:tc>
          <w:tcPr>
            <w:tcW w:w="937" w:type="pct"/>
            <w:shd w:val="clear" w:color="auto" w:fill="auto"/>
            <w:vAlign w:val="center"/>
          </w:tcPr>
          <w:p w14:paraId="0B6D438C"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0.00 (-0.03, 0.02)</w:t>
            </w:r>
          </w:p>
        </w:tc>
      </w:tr>
      <w:tr w:rsidR="00097BDE" w:rsidRPr="00C64D0B" w14:paraId="39159338" w14:textId="77777777" w:rsidTr="00E044C3">
        <w:trPr>
          <w:trHeight w:val="20"/>
        </w:trPr>
        <w:tc>
          <w:tcPr>
            <w:tcW w:w="1255" w:type="pct"/>
            <w:shd w:val="clear" w:color="auto" w:fill="auto"/>
            <w:vAlign w:val="center"/>
          </w:tcPr>
          <w:p w14:paraId="17701A26" w14:textId="77777777" w:rsidR="00097BDE" w:rsidRPr="00C64D0B" w:rsidRDefault="00097BDE"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Malignancy</w:t>
            </w:r>
          </w:p>
        </w:tc>
        <w:tc>
          <w:tcPr>
            <w:tcW w:w="936" w:type="pct"/>
            <w:shd w:val="clear" w:color="auto" w:fill="auto"/>
            <w:vAlign w:val="center"/>
          </w:tcPr>
          <w:p w14:paraId="42A7DF86"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6/501 (1.2)</w:t>
            </w:r>
          </w:p>
        </w:tc>
        <w:tc>
          <w:tcPr>
            <w:tcW w:w="936" w:type="pct"/>
            <w:shd w:val="clear" w:color="auto" w:fill="auto"/>
            <w:vAlign w:val="center"/>
          </w:tcPr>
          <w:p w14:paraId="3D36E89A"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1/245 (0.4)</w:t>
            </w:r>
          </w:p>
        </w:tc>
        <w:tc>
          <w:tcPr>
            <w:tcW w:w="936" w:type="pct"/>
            <w:shd w:val="clear" w:color="auto" w:fill="auto"/>
            <w:vAlign w:val="center"/>
          </w:tcPr>
          <w:p w14:paraId="7E863C60"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2.93 (0.36, 24.24)</w:t>
            </w:r>
          </w:p>
        </w:tc>
        <w:tc>
          <w:tcPr>
            <w:tcW w:w="937" w:type="pct"/>
            <w:shd w:val="clear" w:color="auto" w:fill="auto"/>
            <w:vAlign w:val="center"/>
          </w:tcPr>
          <w:p w14:paraId="7EC7264F" w14:textId="77777777" w:rsidR="00097BDE" w:rsidRPr="00C64D0B" w:rsidRDefault="00097BDE" w:rsidP="008664BD">
            <w:pPr>
              <w:keepNext/>
              <w:keepLines/>
              <w:jc w:val="center"/>
              <w:rPr>
                <w:rFonts w:ascii="Arial Narrow" w:eastAsiaTheme="minorEastAsia" w:hAnsi="Arial Narrow" w:cs="Times New Roman"/>
                <w:i/>
                <w:iCs/>
                <w:sz w:val="20"/>
                <w:szCs w:val="20"/>
                <w:lang w:eastAsia="en-US"/>
              </w:rPr>
            </w:pPr>
            <w:r w:rsidRPr="00C64D0B">
              <w:rPr>
                <w:rFonts w:ascii="Arial Narrow" w:eastAsiaTheme="minorEastAsia" w:hAnsi="Arial Narrow" w:cs="Times New Roman"/>
                <w:sz w:val="20"/>
                <w:szCs w:val="20"/>
                <w:lang w:eastAsia="en-US"/>
              </w:rPr>
              <w:t>0.01 (-0.00, 0.02)</w:t>
            </w:r>
          </w:p>
        </w:tc>
      </w:tr>
      <w:tr w:rsidR="00097BDE" w:rsidRPr="00C64D0B" w14:paraId="6633F142" w14:textId="77777777" w:rsidTr="00E044C3">
        <w:trPr>
          <w:trHeight w:val="20"/>
        </w:trPr>
        <w:tc>
          <w:tcPr>
            <w:tcW w:w="1255" w:type="pct"/>
            <w:shd w:val="clear" w:color="auto" w:fill="auto"/>
            <w:vAlign w:val="center"/>
          </w:tcPr>
          <w:p w14:paraId="0BBDA230" w14:textId="77777777" w:rsidR="00097BDE" w:rsidRPr="00C64D0B" w:rsidRDefault="00097BDE" w:rsidP="008664BD">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Adjudicated MACE/CV</w:t>
            </w:r>
          </w:p>
        </w:tc>
        <w:tc>
          <w:tcPr>
            <w:tcW w:w="936" w:type="pct"/>
            <w:shd w:val="clear" w:color="auto" w:fill="auto"/>
            <w:vAlign w:val="center"/>
          </w:tcPr>
          <w:p w14:paraId="0503D2EC"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1/501 (0.2)</w:t>
            </w:r>
          </w:p>
        </w:tc>
        <w:tc>
          <w:tcPr>
            <w:tcW w:w="936" w:type="pct"/>
            <w:shd w:val="clear" w:color="auto" w:fill="auto"/>
            <w:vAlign w:val="center"/>
          </w:tcPr>
          <w:p w14:paraId="7EBF6625"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1/245 (0.4)</w:t>
            </w:r>
          </w:p>
        </w:tc>
        <w:tc>
          <w:tcPr>
            <w:tcW w:w="936" w:type="pct"/>
            <w:shd w:val="clear" w:color="auto" w:fill="auto"/>
            <w:vAlign w:val="center"/>
          </w:tcPr>
          <w:p w14:paraId="0FBEA569"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0.49 (0.03, 7.79)</w:t>
            </w:r>
          </w:p>
        </w:tc>
        <w:tc>
          <w:tcPr>
            <w:tcW w:w="937" w:type="pct"/>
            <w:shd w:val="clear" w:color="auto" w:fill="auto"/>
            <w:vAlign w:val="center"/>
          </w:tcPr>
          <w:p w14:paraId="1FDC6C50" w14:textId="77777777" w:rsidR="00097BDE" w:rsidRPr="00C64D0B" w:rsidRDefault="00097BDE" w:rsidP="008664BD">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0.00 (-0.01, 0.01)</w:t>
            </w:r>
          </w:p>
        </w:tc>
      </w:tr>
    </w:tbl>
    <w:p w14:paraId="77515ED8" w14:textId="7B0F2A6F" w:rsidR="00917B4C" w:rsidRPr="00C64D0B" w:rsidRDefault="00917B4C" w:rsidP="008664BD">
      <w:pPr>
        <w:keepNext/>
        <w:keepLines/>
        <w:jc w:val="left"/>
        <w:rPr>
          <w:rFonts w:ascii="Arial Narrow" w:eastAsiaTheme="minorEastAsia" w:hAnsi="Arial Narrow"/>
          <w:snapToGrid w:val="0"/>
          <w:sz w:val="18"/>
          <w:szCs w:val="18"/>
          <w:lang w:eastAsia="en-US"/>
        </w:rPr>
      </w:pPr>
      <w:r w:rsidRPr="00C64D0B">
        <w:rPr>
          <w:rFonts w:ascii="Arial Narrow" w:eastAsiaTheme="minorEastAsia" w:hAnsi="Arial Narrow"/>
          <w:snapToGrid w:val="0"/>
          <w:sz w:val="18"/>
          <w:szCs w:val="18"/>
          <w:lang w:eastAsia="en-US"/>
        </w:rPr>
        <w:t>Source: Table</w:t>
      </w:r>
      <w:r w:rsidR="00097BDE" w:rsidRPr="00C64D0B">
        <w:rPr>
          <w:rFonts w:ascii="Arial Narrow" w:eastAsiaTheme="minorEastAsia" w:hAnsi="Arial Narrow"/>
          <w:snapToGrid w:val="0"/>
          <w:sz w:val="18"/>
          <w:szCs w:val="18"/>
          <w:lang w:eastAsia="en-US"/>
        </w:rPr>
        <w:t>s</w:t>
      </w:r>
      <w:r w:rsidRPr="00C64D0B">
        <w:rPr>
          <w:rFonts w:ascii="Arial Narrow" w:eastAsiaTheme="minorEastAsia" w:hAnsi="Arial Narrow"/>
          <w:snapToGrid w:val="0"/>
          <w:sz w:val="18"/>
          <w:szCs w:val="18"/>
          <w:lang w:eastAsia="en-US"/>
        </w:rPr>
        <w:t xml:space="preserve"> 2-21</w:t>
      </w:r>
      <w:r w:rsidR="00097BDE" w:rsidRPr="00C64D0B">
        <w:rPr>
          <w:rFonts w:ascii="Arial Narrow" w:eastAsiaTheme="minorEastAsia" w:hAnsi="Arial Narrow"/>
          <w:snapToGrid w:val="0"/>
          <w:sz w:val="18"/>
          <w:szCs w:val="18"/>
          <w:lang w:eastAsia="en-US"/>
        </w:rPr>
        <w:t xml:space="preserve"> to 2-22</w:t>
      </w:r>
      <w:r w:rsidRPr="00C64D0B">
        <w:rPr>
          <w:rFonts w:ascii="Arial Narrow" w:eastAsiaTheme="minorEastAsia" w:hAnsi="Arial Narrow"/>
          <w:snapToGrid w:val="0"/>
          <w:sz w:val="18"/>
          <w:szCs w:val="18"/>
          <w:lang w:eastAsia="en-US"/>
        </w:rPr>
        <w:t>, p</w:t>
      </w:r>
      <w:r w:rsidR="00097BDE" w:rsidRPr="00C64D0B">
        <w:rPr>
          <w:rFonts w:ascii="Arial Narrow" w:eastAsiaTheme="minorEastAsia" w:hAnsi="Arial Narrow"/>
          <w:snapToGrid w:val="0"/>
          <w:sz w:val="18"/>
          <w:szCs w:val="18"/>
          <w:lang w:eastAsia="en-US"/>
        </w:rPr>
        <w:t>p.</w:t>
      </w:r>
      <w:r w:rsidRPr="00C64D0B">
        <w:rPr>
          <w:rFonts w:ascii="Arial Narrow" w:eastAsiaTheme="minorEastAsia" w:hAnsi="Arial Narrow"/>
          <w:snapToGrid w:val="0"/>
          <w:sz w:val="18"/>
          <w:szCs w:val="18"/>
          <w:lang w:eastAsia="en-US"/>
        </w:rPr>
        <w:t>72</w:t>
      </w:r>
      <w:r w:rsidR="00097BDE" w:rsidRPr="00C64D0B">
        <w:rPr>
          <w:rFonts w:ascii="Arial Narrow" w:eastAsiaTheme="minorEastAsia" w:hAnsi="Arial Narrow"/>
          <w:snapToGrid w:val="0"/>
          <w:sz w:val="18"/>
          <w:szCs w:val="18"/>
          <w:lang w:eastAsia="en-US"/>
        </w:rPr>
        <w:t xml:space="preserve">-74 </w:t>
      </w:r>
      <w:r w:rsidRPr="00C64D0B">
        <w:rPr>
          <w:rFonts w:ascii="Arial Narrow" w:eastAsiaTheme="minorEastAsia" w:hAnsi="Arial Narrow"/>
          <w:snapToGrid w:val="0"/>
          <w:sz w:val="18"/>
          <w:szCs w:val="18"/>
          <w:lang w:eastAsia="en-US"/>
        </w:rPr>
        <w:t>of the submission.</w:t>
      </w:r>
    </w:p>
    <w:p w14:paraId="07B06D4C" w14:textId="113DB8D3" w:rsidR="00917B4C" w:rsidRPr="00C64D0B" w:rsidRDefault="007F4B13" w:rsidP="008664BD">
      <w:pPr>
        <w:keepNext/>
        <w:keepLines/>
        <w:jc w:val="left"/>
        <w:rPr>
          <w:rFonts w:ascii="Arial Narrow" w:eastAsiaTheme="minorEastAsia" w:hAnsi="Arial Narrow"/>
          <w:snapToGrid w:val="0"/>
          <w:sz w:val="18"/>
          <w:szCs w:val="18"/>
          <w:lang w:eastAsia="en-US"/>
        </w:rPr>
      </w:pPr>
      <w:r w:rsidRPr="00C64D0B">
        <w:rPr>
          <w:rFonts w:ascii="Arial Narrow" w:eastAsiaTheme="minorEastAsia" w:hAnsi="Arial Narrow"/>
          <w:snapToGrid w:val="0"/>
          <w:sz w:val="18"/>
          <w:szCs w:val="18"/>
          <w:lang w:eastAsia="en-US"/>
        </w:rPr>
        <w:t xml:space="preserve">AE=adverse event; </w:t>
      </w:r>
      <w:r w:rsidR="00917B4C" w:rsidRPr="00C64D0B">
        <w:rPr>
          <w:rFonts w:ascii="Arial Narrow" w:eastAsiaTheme="minorEastAsia" w:hAnsi="Arial Narrow"/>
          <w:snapToGrid w:val="0"/>
          <w:sz w:val="18"/>
          <w:szCs w:val="18"/>
          <w:lang w:eastAsia="en-US"/>
        </w:rPr>
        <w:t xml:space="preserve">CV=cardiovascular; MACE=major adverse cardiovascular events; CI=confidence interval; MA=meta-analysis; n=number of participants with event; N=total participants in group, NE=not estimable, RD=risk difference, RR=risk ratio, </w:t>
      </w:r>
      <w:r w:rsidR="00FD3C6D" w:rsidRPr="00C64D0B">
        <w:rPr>
          <w:rFonts w:ascii="Arial Narrow" w:eastAsiaTheme="minorEastAsia" w:hAnsi="Arial Narrow"/>
          <w:snapToGrid w:val="0"/>
          <w:sz w:val="18"/>
          <w:szCs w:val="18"/>
          <w:lang w:eastAsia="en-US"/>
        </w:rPr>
        <w:t>PBO=placebo;</w:t>
      </w:r>
      <w:r w:rsidR="00F16365">
        <w:rPr>
          <w:rFonts w:ascii="Arial Narrow" w:eastAsiaTheme="minorEastAsia" w:hAnsi="Arial Narrow"/>
          <w:snapToGrid w:val="0"/>
          <w:sz w:val="18"/>
          <w:szCs w:val="18"/>
          <w:lang w:eastAsia="en-US"/>
        </w:rPr>
        <w:t xml:space="preserve"> </w:t>
      </w:r>
      <w:r w:rsidR="00917B4C" w:rsidRPr="00C64D0B">
        <w:rPr>
          <w:rFonts w:ascii="Arial Narrow" w:eastAsiaTheme="minorEastAsia" w:hAnsi="Arial Narrow"/>
          <w:snapToGrid w:val="0"/>
          <w:sz w:val="18"/>
          <w:szCs w:val="18"/>
          <w:lang w:eastAsia="en-US"/>
        </w:rPr>
        <w:t>UPA=upadacitinib.</w:t>
      </w:r>
    </w:p>
    <w:p w14:paraId="165DB495" w14:textId="2CF15FA0" w:rsidR="00917B4C" w:rsidRPr="00736657" w:rsidRDefault="00917B4C" w:rsidP="008664BD">
      <w:pPr>
        <w:keepNext/>
        <w:keepLines/>
        <w:jc w:val="left"/>
        <w:rPr>
          <w:rFonts w:ascii="Arial Narrow" w:eastAsiaTheme="minorEastAsia" w:hAnsi="Arial Narrow"/>
          <w:snapToGrid w:val="0"/>
          <w:sz w:val="18"/>
          <w:szCs w:val="18"/>
          <w:lang w:eastAsia="en-US"/>
        </w:rPr>
      </w:pPr>
      <w:r w:rsidRPr="00736657">
        <w:rPr>
          <w:rFonts w:ascii="Arial Narrow" w:eastAsiaTheme="minorEastAsia" w:hAnsi="Arial Narrow"/>
          <w:snapToGrid w:val="0"/>
          <w:sz w:val="18"/>
          <w:szCs w:val="18"/>
          <w:lang w:eastAsia="en-US"/>
        </w:rPr>
        <w:t>^</w:t>
      </w:r>
      <w:r w:rsidR="00E044C3" w:rsidRPr="00736657">
        <w:rPr>
          <w:rFonts w:ascii="Arial Narrow" w:eastAsiaTheme="minorEastAsia" w:hAnsi="Arial Narrow"/>
          <w:snapToGrid w:val="0"/>
          <w:sz w:val="18"/>
          <w:szCs w:val="18"/>
          <w:lang w:eastAsia="en-US"/>
        </w:rPr>
        <w:tab/>
      </w:r>
      <w:r w:rsidRPr="00736657">
        <w:rPr>
          <w:rFonts w:ascii="Arial Narrow" w:eastAsiaTheme="minorEastAsia" w:hAnsi="Arial Narrow"/>
          <w:snapToGrid w:val="0"/>
          <w:sz w:val="18"/>
          <w:szCs w:val="18"/>
          <w:lang w:eastAsia="en-US"/>
        </w:rPr>
        <w:t>The UPA induction trials had no malignancies in UPA or PBO treatment arms and hence not reported in this table.</w:t>
      </w:r>
    </w:p>
    <w:p w14:paraId="7A06C8CE" w14:textId="3C6962B0" w:rsidR="00C30B87" w:rsidRPr="00736657" w:rsidRDefault="00C30B87" w:rsidP="008664BD">
      <w:pPr>
        <w:keepNext/>
        <w:keepLines/>
        <w:spacing w:after="120"/>
        <w:ind w:left="165" w:hanging="165"/>
        <w:rPr>
          <w:rFonts w:ascii="Arial Narrow" w:eastAsiaTheme="minorEastAsia" w:hAnsi="Arial Narrow"/>
          <w:snapToGrid w:val="0"/>
          <w:sz w:val="18"/>
          <w:szCs w:val="18"/>
          <w:lang w:eastAsia="en-US"/>
        </w:rPr>
      </w:pPr>
      <w:r w:rsidRPr="00736657">
        <w:rPr>
          <w:rFonts w:ascii="Arial Narrow" w:eastAsiaTheme="minorEastAsia" w:hAnsi="Arial Narrow"/>
          <w:snapToGrid w:val="0"/>
          <w:sz w:val="18"/>
          <w:szCs w:val="18"/>
          <w:lang w:eastAsia="en-US"/>
        </w:rPr>
        <w:t>*</w:t>
      </w:r>
      <w:r w:rsidR="00E044C3" w:rsidRPr="00736657">
        <w:rPr>
          <w:rFonts w:ascii="Arial Narrow" w:eastAsiaTheme="minorEastAsia" w:hAnsi="Arial Narrow"/>
          <w:snapToGrid w:val="0"/>
          <w:sz w:val="18"/>
          <w:szCs w:val="18"/>
          <w:lang w:eastAsia="en-US"/>
        </w:rPr>
        <w:tab/>
      </w:r>
      <w:r w:rsidRPr="00736657">
        <w:rPr>
          <w:rFonts w:ascii="Arial Narrow" w:eastAsiaTheme="minorEastAsia" w:hAnsi="Arial Narrow"/>
          <w:snapToGrid w:val="0"/>
          <w:sz w:val="18"/>
          <w:szCs w:val="18"/>
          <w:lang w:eastAsia="en-US"/>
        </w:rPr>
        <w:t>P</w:t>
      </w:r>
      <w:r w:rsidRPr="00736657">
        <w:rPr>
          <w:rFonts w:ascii="Arial Narrow" w:hAnsi="Arial Narrow"/>
          <w:sz w:val="18"/>
          <w:szCs w:val="18"/>
        </w:rPr>
        <w:t>atients who were UPA 45mg responders at Week 8 and enrolled for the 44-week or 52-week maintenance treatment period with UPA 15mg, UPA 30mg or PBO.</w:t>
      </w:r>
    </w:p>
    <w:p w14:paraId="19FD0A2B" w14:textId="1403EA7C" w:rsidR="009424B8" w:rsidRPr="00233E87" w:rsidRDefault="009424B8" w:rsidP="009424B8">
      <w:pPr>
        <w:pStyle w:val="3-BodyText"/>
      </w:pPr>
      <w:r>
        <w:t>To compare the safety of</w:t>
      </w:r>
      <w:r w:rsidRPr="00233E87">
        <w:t xml:space="preserve"> UPA versus TOF, the submission conducted indirect treatment comparisons across</w:t>
      </w:r>
      <w:r>
        <w:t xml:space="preserve"> comparable outcomes of</w:t>
      </w:r>
      <w:r w:rsidRPr="00233E87">
        <w:t xml:space="preserve"> </w:t>
      </w:r>
      <w:r>
        <w:t>adverse events (AEs)</w:t>
      </w:r>
      <w:r w:rsidRPr="00233E87">
        <w:t>.</w:t>
      </w:r>
      <w:r w:rsidRPr="009A0F3E">
        <w:t xml:space="preserve"> </w:t>
      </w:r>
      <w:r w:rsidRPr="0064550B">
        <w:t>Overall, the indirect treatment comparisons of safety outcomes found no statistically significant differences between UPA and TOF.</w:t>
      </w:r>
    </w:p>
    <w:p w14:paraId="452320F3" w14:textId="2D69EE72" w:rsidR="009424B8" w:rsidRPr="00233E87" w:rsidRDefault="009424B8" w:rsidP="009424B8">
      <w:pPr>
        <w:pStyle w:val="3-BodyText"/>
      </w:pPr>
      <w:r>
        <w:t>To compare the safety of</w:t>
      </w:r>
      <w:r w:rsidRPr="00233E87">
        <w:t xml:space="preserve"> UPA versus other </w:t>
      </w:r>
      <w:r>
        <w:t xml:space="preserve">comparators, </w:t>
      </w:r>
      <w:r w:rsidRPr="00233E87">
        <w:t>the submission conducted</w:t>
      </w:r>
      <w:r>
        <w:t>:</w:t>
      </w:r>
      <w:r w:rsidRPr="00233E87">
        <w:t xml:space="preserve"> </w:t>
      </w:r>
      <w:r>
        <w:t xml:space="preserve">(i) </w:t>
      </w:r>
      <w:r w:rsidRPr="00233E87">
        <w:t>a naïve comparison</w:t>
      </w:r>
      <w:r>
        <w:t xml:space="preserve"> versus the PBS-listed comparators (GOL, VDZ, IFX and ADA) similar to the analysis presented in the GOL PSD (Tables 10 and 11, GOL PSD, Nov</w:t>
      </w:r>
      <w:r w:rsidR="00CF3A1C">
        <w:t>ember</w:t>
      </w:r>
      <w:r>
        <w:t xml:space="preserve"> 2017); and (ii) an indirect comparison versus the near market comparator OZA. The naïve comparison relied on the same data presented in the GOL PSD and included comparable data from the more recent VDZ </w:t>
      </w:r>
      <w:r w:rsidRPr="000B2FB4">
        <w:t>trials</w:t>
      </w:r>
      <w:r>
        <w:t xml:space="preserve">. </w:t>
      </w:r>
      <w:r w:rsidRPr="00233E87">
        <w:t>The submission stated serious AEs and serious infection rates were comparable across the treatments, and that there was a trend for lower discontinuation due to AEs with active treatments likely due to worsening disease in the PBO arms.</w:t>
      </w:r>
    </w:p>
    <w:p w14:paraId="6FB3E9CF" w14:textId="77777777" w:rsidR="009424B8" w:rsidRPr="0064550B" w:rsidRDefault="009424B8" w:rsidP="009424B8">
      <w:pPr>
        <w:pStyle w:val="3-BodyText"/>
      </w:pPr>
      <w:r w:rsidRPr="0064550B">
        <w:t xml:space="preserve">Interpretation of </w:t>
      </w:r>
      <w:r w:rsidRPr="0064550B">
        <w:rPr>
          <w:rFonts w:eastAsiaTheme="minorEastAsia"/>
          <w:szCs w:val="22"/>
          <w:lang w:eastAsia="en-US"/>
        </w:rPr>
        <w:t>the naïve comparison of safety data is problematic due to inadequate power to detect differences in safety outcomes, differences in the durations of exposure (i.e. unadjusted for exposure time) and differences in the maintenance trial designs (i.e. control patients in the treat-through trials only received PBO throughout, whereas controls in the randomised withdrawal trials received active induction treatment).</w:t>
      </w:r>
      <w:r w:rsidRPr="0064550B">
        <w:t xml:space="preserve"> However, the </w:t>
      </w:r>
      <w:r w:rsidRPr="0064550B">
        <w:rPr>
          <w:rFonts w:eastAsiaTheme="minorEastAsia"/>
          <w:szCs w:val="22"/>
          <w:lang w:eastAsia="en-US"/>
        </w:rPr>
        <w:t>PBAC had previously considered it reasonable that GOL is non-inferior to IFX, ADA and VDZ in terms of comparative safety based on naïve comparisons of safety data (paragraph 6.24, GOL PSD, November 2017).</w:t>
      </w:r>
    </w:p>
    <w:p w14:paraId="641D9ABD" w14:textId="77777777" w:rsidR="009424B8" w:rsidRDefault="009424B8" w:rsidP="009424B8">
      <w:pPr>
        <w:pStyle w:val="3-BodyText"/>
      </w:pPr>
      <w:r>
        <w:t xml:space="preserve">The submission noted that the </w:t>
      </w:r>
      <w:r w:rsidRPr="00783AC9">
        <w:t xml:space="preserve">FDA </w:t>
      </w:r>
      <w:r>
        <w:t xml:space="preserve">recently completed a review of a </w:t>
      </w:r>
      <w:r w:rsidRPr="00783AC9">
        <w:t>large post</w:t>
      </w:r>
      <w:r>
        <w:t>-</w:t>
      </w:r>
      <w:r w:rsidRPr="00783AC9">
        <w:t>marketing safety clinical trial</w:t>
      </w:r>
      <w:r>
        <w:t xml:space="preserve"> for TOF (</w:t>
      </w:r>
      <w:r w:rsidRPr="00783AC9">
        <w:t>ORAL Surveillance</w:t>
      </w:r>
      <w:r>
        <w:t xml:space="preserve">). The trial found </w:t>
      </w:r>
      <w:r w:rsidRPr="00783AC9">
        <w:t>an increased risk of blood clots and death with TOF</w:t>
      </w:r>
      <w:r>
        <w:t xml:space="preserve"> 5 mg or 10 mg </w:t>
      </w:r>
      <w:r w:rsidRPr="00DD5DB7">
        <w:t>compared to TNF inhibitors in</w:t>
      </w:r>
      <w:r>
        <w:t xml:space="preserve"> rheumatoid </w:t>
      </w:r>
      <w:r w:rsidRPr="00DD5DB7">
        <w:rPr>
          <w:rFonts w:cstheme="minorHAnsi"/>
        </w:rPr>
        <w:t>arthritis patients on concomitant methotrexate 50 years of age and older with at least one cardiovascular risk factor</w:t>
      </w:r>
      <w:r w:rsidRPr="00783AC9">
        <w:t xml:space="preserve">. </w:t>
      </w:r>
      <w:r>
        <w:t xml:space="preserve">The </w:t>
      </w:r>
      <w:r w:rsidRPr="00783AC9">
        <w:t>FDA required updated warnings for JAK inhibitor class products including UPA. The FDA believed that UPA</w:t>
      </w:r>
      <w:r>
        <w:t xml:space="preserve"> (and other JAK inhibitors)</w:t>
      </w:r>
      <w:r w:rsidRPr="00783AC9">
        <w:t xml:space="preserve"> may have similar risks as they share</w:t>
      </w:r>
      <w:r>
        <w:t xml:space="preserve"> mechanisms of action with TOF.</w:t>
      </w:r>
    </w:p>
    <w:p w14:paraId="6F5BD8B7" w14:textId="243EEBD6" w:rsidR="008664BD" w:rsidRPr="008664BD" w:rsidRDefault="009424B8" w:rsidP="008664BD">
      <w:pPr>
        <w:pStyle w:val="4-SubsectionHeading"/>
        <w:rPr>
          <w:rFonts w:cstheme="minorHAnsi"/>
          <w:bCs/>
        </w:rPr>
      </w:pPr>
      <w:bookmarkStart w:id="34" w:name="_Toc22897643"/>
      <w:bookmarkStart w:id="35" w:name="_Toc103774340"/>
      <w:r w:rsidRPr="00C9624D">
        <w:t>Benefits/harms</w:t>
      </w:r>
      <w:bookmarkEnd w:id="34"/>
      <w:bookmarkEnd w:id="35"/>
    </w:p>
    <w:p w14:paraId="764FAF56" w14:textId="03F3622E" w:rsidR="009424B8" w:rsidRPr="000F70E4" w:rsidRDefault="008664BD" w:rsidP="009424B8">
      <w:pPr>
        <w:pStyle w:val="3-BodyText"/>
        <w:rPr>
          <w:i/>
          <w:iCs/>
        </w:rPr>
      </w:pPr>
      <w:r w:rsidRPr="008664BD">
        <w:rPr>
          <w:rFonts w:cstheme="minorHAnsi"/>
          <w:bCs/>
        </w:rPr>
        <w:fldChar w:fldCharType="begin" w:fldLock="1"/>
      </w:r>
      <w:r w:rsidRPr="008664BD">
        <w:rPr>
          <w:rFonts w:cstheme="minorHAnsi"/>
          <w:bCs/>
        </w:rPr>
        <w:instrText xml:space="preserve"> REF _Ref111117872 \h  \* MERGEFORMAT </w:instrText>
      </w:r>
      <w:r w:rsidRPr="008664BD">
        <w:rPr>
          <w:rFonts w:cstheme="minorHAnsi"/>
          <w:bCs/>
        </w:rPr>
      </w:r>
      <w:r w:rsidRPr="008664BD">
        <w:rPr>
          <w:rFonts w:cstheme="minorHAnsi"/>
          <w:bCs/>
        </w:rPr>
        <w:fldChar w:fldCharType="separate"/>
      </w:r>
      <w:r w:rsidRPr="008664BD">
        <w:rPr>
          <w:rFonts w:cstheme="minorHAnsi"/>
          <w:bCs/>
        </w:rPr>
        <w:t xml:space="preserve">Table </w:t>
      </w:r>
      <w:r w:rsidRPr="008664BD">
        <w:rPr>
          <w:rFonts w:cstheme="minorHAnsi"/>
          <w:bCs/>
          <w:noProof/>
        </w:rPr>
        <w:t>7</w:t>
      </w:r>
      <w:r w:rsidRPr="008664BD">
        <w:rPr>
          <w:rFonts w:cstheme="minorHAnsi"/>
          <w:bCs/>
        </w:rPr>
        <w:fldChar w:fldCharType="end"/>
      </w:r>
      <w:r w:rsidRPr="008664BD">
        <w:rPr>
          <w:rFonts w:cstheme="minorHAnsi"/>
          <w:bCs/>
        </w:rPr>
        <w:t xml:space="preserve"> </w:t>
      </w:r>
      <w:r w:rsidR="009424B8" w:rsidRPr="008664BD">
        <w:rPr>
          <w:rFonts w:cstheme="minorHAnsi"/>
          <w:bCs/>
        </w:rPr>
        <w:t>presents a s</w:t>
      </w:r>
      <w:r w:rsidR="009424B8" w:rsidRPr="00151502">
        <w:t>ummary of the compar</w:t>
      </w:r>
      <w:r w:rsidR="009424B8">
        <w:t>ative benefits in induction therapy for UPA versus the PBS-listed comparators</w:t>
      </w:r>
      <w:r w:rsidR="009424B8" w:rsidRPr="007B3C73">
        <w:t>, ba</w:t>
      </w:r>
      <w:r w:rsidR="009424B8" w:rsidRPr="00151502">
        <w:t xml:space="preserve">sed on the </w:t>
      </w:r>
      <w:r w:rsidR="009424B8">
        <w:t>indirect treatment comparisons for clinical remission</w:t>
      </w:r>
      <w:r w:rsidR="009424B8" w:rsidRPr="00D2155B">
        <w:rPr>
          <w:snapToGrid/>
          <w:lang w:val="en-US"/>
        </w:rPr>
        <w:t>.</w:t>
      </w:r>
      <w:r w:rsidR="009424B8" w:rsidRPr="0039542A">
        <w:rPr>
          <w:i/>
          <w:iCs/>
        </w:rPr>
        <w:t xml:space="preserve"> </w:t>
      </w:r>
      <w:r w:rsidR="009424B8">
        <w:rPr>
          <w:rFonts w:cs="Calibri"/>
          <w:snapToGrid/>
        </w:rPr>
        <w:t>A summary of comparative benefit in maintenance treatment or comparative harms is not presented given the trial results indicated no significant differences between treatments.</w:t>
      </w:r>
      <w:r w:rsidR="009424B8" w:rsidRPr="00151502">
        <w:rPr>
          <w:rFonts w:cs="Calibri"/>
          <w:snapToGrid/>
        </w:rPr>
        <w:t xml:space="preserve"> </w:t>
      </w:r>
      <w:r w:rsidR="009424B8" w:rsidRPr="0064550B">
        <w:t>As discussed above, the induction trials may not be sufficiently comparable to support conducting unadjusted indirect treatment comparisons and the results should therefore be interpreted with caution.</w:t>
      </w:r>
    </w:p>
    <w:p w14:paraId="73D5D697" w14:textId="66A07470" w:rsidR="00736657" w:rsidRDefault="00736657">
      <w:pPr>
        <w:jc w:val="left"/>
        <w:rPr>
          <w:rFonts w:ascii="Arial Narrow" w:hAnsi="Arial Narrow"/>
          <w:b/>
          <w:bCs/>
          <w:sz w:val="20"/>
          <w:szCs w:val="20"/>
        </w:rPr>
      </w:pPr>
      <w:bookmarkStart w:id="36" w:name="_Ref103176416"/>
    </w:p>
    <w:p w14:paraId="7010C2B4" w14:textId="2CA61468" w:rsidR="00C46D15" w:rsidRPr="00E044C3" w:rsidRDefault="00E044C3" w:rsidP="006C439C">
      <w:pPr>
        <w:keepNext/>
        <w:keepLines/>
        <w:spacing w:after="60"/>
        <w:rPr>
          <w:b/>
          <w:bCs/>
        </w:rPr>
      </w:pPr>
      <w:bookmarkStart w:id="37" w:name="_Ref111117872"/>
      <w:r w:rsidRPr="00E044C3">
        <w:rPr>
          <w:rFonts w:ascii="Arial Narrow" w:hAnsi="Arial Narrow"/>
          <w:b/>
          <w:bCs/>
          <w:sz w:val="20"/>
          <w:szCs w:val="20"/>
        </w:rPr>
        <w:t xml:space="preserve">Table </w:t>
      </w:r>
      <w:r w:rsidRPr="00E044C3">
        <w:rPr>
          <w:rFonts w:ascii="Arial Narrow" w:hAnsi="Arial Narrow"/>
          <w:b/>
          <w:bCs/>
          <w:sz w:val="20"/>
          <w:szCs w:val="20"/>
        </w:rPr>
        <w:fldChar w:fldCharType="begin" w:fldLock="1"/>
      </w:r>
      <w:r w:rsidRPr="00E044C3">
        <w:rPr>
          <w:rFonts w:ascii="Arial Narrow" w:hAnsi="Arial Narrow"/>
          <w:b/>
          <w:bCs/>
          <w:sz w:val="20"/>
          <w:szCs w:val="20"/>
        </w:rPr>
        <w:instrText xml:space="preserve"> SEQ Table \* ARABIC </w:instrText>
      </w:r>
      <w:r w:rsidRPr="00E044C3">
        <w:rPr>
          <w:rFonts w:ascii="Arial Narrow" w:hAnsi="Arial Narrow"/>
          <w:b/>
          <w:bCs/>
          <w:sz w:val="20"/>
          <w:szCs w:val="20"/>
        </w:rPr>
        <w:fldChar w:fldCharType="separate"/>
      </w:r>
      <w:r w:rsidR="008664BD">
        <w:rPr>
          <w:rFonts w:ascii="Arial Narrow" w:hAnsi="Arial Narrow"/>
          <w:b/>
          <w:bCs/>
          <w:noProof/>
          <w:sz w:val="20"/>
          <w:szCs w:val="20"/>
        </w:rPr>
        <w:t>7</w:t>
      </w:r>
      <w:r w:rsidRPr="00E044C3">
        <w:rPr>
          <w:rFonts w:ascii="Arial Narrow" w:hAnsi="Arial Narrow"/>
          <w:b/>
          <w:bCs/>
          <w:sz w:val="20"/>
          <w:szCs w:val="20"/>
        </w:rPr>
        <w:fldChar w:fldCharType="end"/>
      </w:r>
      <w:bookmarkEnd w:id="36"/>
      <w:bookmarkEnd w:id="37"/>
      <w:r w:rsidRPr="00E044C3">
        <w:rPr>
          <w:rStyle w:val="CommentReference"/>
          <w:szCs w:val="20"/>
        </w:rPr>
        <w:t>: Summary of comparative benefits for UPA versus comparators</w:t>
      </w:r>
    </w:p>
    <w:tbl>
      <w:tblPr>
        <w:tblW w:w="5000" w:type="pct"/>
        <w:tblLayout w:type="fixed"/>
        <w:tblCellMar>
          <w:left w:w="28" w:type="dxa"/>
          <w:right w:w="28" w:type="dxa"/>
        </w:tblCellMar>
        <w:tblLook w:val="04A0" w:firstRow="1" w:lastRow="0" w:firstColumn="1" w:lastColumn="0" w:noHBand="0" w:noVBand="1"/>
      </w:tblPr>
      <w:tblGrid>
        <w:gridCol w:w="1414"/>
        <w:gridCol w:w="709"/>
        <w:gridCol w:w="849"/>
        <w:gridCol w:w="997"/>
        <w:gridCol w:w="1414"/>
        <w:gridCol w:w="566"/>
        <w:gridCol w:w="709"/>
        <w:gridCol w:w="994"/>
        <w:gridCol w:w="1365"/>
      </w:tblGrid>
      <w:tr w:rsidR="00EE399C" w:rsidRPr="00C64D0B" w14:paraId="1583A0C6" w14:textId="77777777" w:rsidTr="00E044C3">
        <w:trPr>
          <w:cantSplit/>
          <w:trHeight w:val="105"/>
        </w:trPr>
        <w:tc>
          <w:tcPr>
            <w:tcW w:w="7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01B9C0" w14:textId="77777777" w:rsidR="000108A4" w:rsidRPr="00C64D0B" w:rsidRDefault="000108A4" w:rsidP="006C439C">
            <w:pPr>
              <w:pStyle w:val="In-tableHeading"/>
              <w:keepLines/>
              <w:jc w:val="center"/>
              <w:rPr>
                <w:szCs w:val="20"/>
              </w:rPr>
            </w:pPr>
          </w:p>
        </w:tc>
        <w:tc>
          <w:tcPr>
            <w:tcW w:w="393" w:type="pct"/>
            <w:vMerge w:val="restart"/>
            <w:tcBorders>
              <w:top w:val="single" w:sz="4" w:space="0" w:color="auto"/>
              <w:left w:val="single" w:sz="4" w:space="0" w:color="auto"/>
              <w:bottom w:val="single" w:sz="4" w:space="0" w:color="auto"/>
              <w:right w:val="single" w:sz="4" w:space="0" w:color="auto"/>
            </w:tcBorders>
            <w:vAlign w:val="center"/>
          </w:tcPr>
          <w:p w14:paraId="223FA9BB" w14:textId="77777777" w:rsidR="000108A4" w:rsidRPr="00C64D0B" w:rsidRDefault="000108A4" w:rsidP="006C439C">
            <w:pPr>
              <w:pStyle w:val="In-tableHeading"/>
              <w:keepLines/>
              <w:jc w:val="center"/>
              <w:rPr>
                <w:szCs w:val="20"/>
              </w:rPr>
            </w:pPr>
            <w:r w:rsidRPr="00C64D0B">
              <w:rPr>
                <w:szCs w:val="20"/>
              </w:rPr>
              <w:t>UPA</w:t>
            </w:r>
          </w:p>
          <w:p w14:paraId="7F5F4080" w14:textId="77777777" w:rsidR="000108A4" w:rsidRPr="00C64D0B" w:rsidRDefault="000108A4" w:rsidP="006C439C">
            <w:pPr>
              <w:pStyle w:val="In-tableHeading"/>
              <w:keepLines/>
              <w:jc w:val="center"/>
              <w:rPr>
                <w:szCs w:val="20"/>
              </w:rPr>
            </w:pPr>
            <w:r w:rsidRPr="00C64D0B">
              <w:rPr>
                <w:szCs w:val="20"/>
              </w:rPr>
              <w:t>n/N</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043A58FA" w14:textId="77777777" w:rsidR="000108A4" w:rsidRPr="00C64D0B" w:rsidRDefault="000108A4" w:rsidP="006C439C">
            <w:pPr>
              <w:pStyle w:val="In-tableHeading"/>
              <w:keepLines/>
              <w:jc w:val="center"/>
              <w:rPr>
                <w:szCs w:val="20"/>
              </w:rPr>
            </w:pPr>
            <w:r w:rsidRPr="00C64D0B">
              <w:rPr>
                <w:szCs w:val="20"/>
              </w:rPr>
              <w:t>PBO</w:t>
            </w:r>
          </w:p>
          <w:p w14:paraId="4D7426A4" w14:textId="77777777" w:rsidR="000108A4" w:rsidRPr="00C64D0B" w:rsidRDefault="000108A4" w:rsidP="006C439C">
            <w:pPr>
              <w:pStyle w:val="In-tableHeading"/>
              <w:keepLines/>
              <w:jc w:val="center"/>
              <w:rPr>
                <w:szCs w:val="20"/>
              </w:rPr>
            </w:pPr>
            <w:r w:rsidRPr="00C64D0B">
              <w:rPr>
                <w:szCs w:val="20"/>
              </w:rPr>
              <w:t>n/N</w:t>
            </w:r>
          </w:p>
        </w:tc>
        <w:tc>
          <w:tcPr>
            <w:tcW w:w="553" w:type="pct"/>
            <w:vMerge w:val="restart"/>
            <w:tcBorders>
              <w:top w:val="single" w:sz="4" w:space="0" w:color="auto"/>
              <w:left w:val="single" w:sz="4" w:space="0" w:color="auto"/>
              <w:bottom w:val="single" w:sz="4" w:space="0" w:color="auto"/>
              <w:right w:val="single" w:sz="4" w:space="0" w:color="auto"/>
            </w:tcBorders>
            <w:vAlign w:val="center"/>
          </w:tcPr>
          <w:p w14:paraId="7BFB47C7" w14:textId="77777777" w:rsidR="000108A4" w:rsidRPr="00C64D0B" w:rsidRDefault="000108A4" w:rsidP="006C439C">
            <w:pPr>
              <w:pStyle w:val="In-tableHeading"/>
              <w:keepLines/>
              <w:jc w:val="center"/>
              <w:rPr>
                <w:szCs w:val="20"/>
              </w:rPr>
            </w:pPr>
            <w:r w:rsidRPr="00C64D0B">
              <w:rPr>
                <w:szCs w:val="20"/>
              </w:rPr>
              <w:t>Comparator</w:t>
            </w:r>
          </w:p>
          <w:p w14:paraId="71FD9434" w14:textId="77777777" w:rsidR="000108A4" w:rsidRPr="00C64D0B" w:rsidRDefault="000108A4" w:rsidP="006C439C">
            <w:pPr>
              <w:pStyle w:val="In-tableHeading"/>
              <w:keepLines/>
              <w:jc w:val="center"/>
              <w:rPr>
                <w:szCs w:val="20"/>
              </w:rPr>
            </w:pPr>
            <w:r w:rsidRPr="00C64D0B">
              <w:rPr>
                <w:szCs w:val="20"/>
              </w:rPr>
              <w:t>n/N</w:t>
            </w:r>
          </w:p>
        </w:tc>
        <w:tc>
          <w:tcPr>
            <w:tcW w:w="784" w:type="pct"/>
            <w:vMerge w:val="restart"/>
            <w:tcBorders>
              <w:top w:val="single" w:sz="4" w:space="0" w:color="auto"/>
              <w:left w:val="single" w:sz="4" w:space="0" w:color="auto"/>
              <w:bottom w:val="single" w:sz="4" w:space="0" w:color="auto"/>
              <w:right w:val="single" w:sz="4" w:space="0" w:color="auto"/>
            </w:tcBorders>
            <w:vAlign w:val="center"/>
          </w:tcPr>
          <w:p w14:paraId="282B72EC" w14:textId="77777777" w:rsidR="000108A4" w:rsidRPr="00C64D0B" w:rsidRDefault="000108A4" w:rsidP="006C439C">
            <w:pPr>
              <w:pStyle w:val="In-tableHeading"/>
              <w:keepLines/>
              <w:jc w:val="center"/>
              <w:rPr>
                <w:szCs w:val="20"/>
              </w:rPr>
            </w:pPr>
            <w:r w:rsidRPr="00C64D0B">
              <w:rPr>
                <w:szCs w:val="20"/>
              </w:rPr>
              <w:t>RR</w:t>
            </w:r>
          </w:p>
          <w:p w14:paraId="25E48E18" w14:textId="77777777" w:rsidR="000108A4" w:rsidRPr="00C64D0B" w:rsidRDefault="000108A4" w:rsidP="006C439C">
            <w:pPr>
              <w:pStyle w:val="In-tableHeading"/>
              <w:keepLines/>
              <w:jc w:val="center"/>
              <w:rPr>
                <w:szCs w:val="20"/>
              </w:rPr>
            </w:pPr>
            <w:r w:rsidRPr="00C64D0B">
              <w:rPr>
                <w:szCs w:val="20"/>
              </w:rPr>
              <w:t>(95% CI)</w:t>
            </w:r>
          </w:p>
        </w:tc>
        <w:tc>
          <w:tcPr>
            <w:tcW w:w="1258" w:type="pct"/>
            <w:gridSpan w:val="3"/>
            <w:tcBorders>
              <w:top w:val="single" w:sz="4" w:space="0" w:color="auto"/>
              <w:left w:val="single" w:sz="4" w:space="0" w:color="auto"/>
              <w:bottom w:val="single" w:sz="4" w:space="0" w:color="auto"/>
              <w:right w:val="single" w:sz="4" w:space="0" w:color="auto"/>
            </w:tcBorders>
            <w:vAlign w:val="center"/>
          </w:tcPr>
          <w:p w14:paraId="4C2BF7B3" w14:textId="77777777" w:rsidR="000108A4" w:rsidRPr="00C64D0B" w:rsidRDefault="000108A4" w:rsidP="006C439C">
            <w:pPr>
              <w:pStyle w:val="In-tableHeading"/>
              <w:keepLines/>
              <w:jc w:val="center"/>
              <w:rPr>
                <w:szCs w:val="20"/>
              </w:rPr>
            </w:pPr>
            <w:r w:rsidRPr="00C64D0B">
              <w:rPr>
                <w:szCs w:val="20"/>
              </w:rPr>
              <w:t>Event rate/100 patients*</w:t>
            </w:r>
          </w:p>
        </w:tc>
        <w:tc>
          <w:tcPr>
            <w:tcW w:w="757" w:type="pct"/>
            <w:vMerge w:val="restart"/>
            <w:tcBorders>
              <w:top w:val="single" w:sz="4" w:space="0" w:color="auto"/>
              <w:left w:val="single" w:sz="4" w:space="0" w:color="auto"/>
              <w:bottom w:val="single" w:sz="4" w:space="0" w:color="auto"/>
              <w:right w:val="single" w:sz="4" w:space="0" w:color="auto"/>
            </w:tcBorders>
            <w:vAlign w:val="center"/>
          </w:tcPr>
          <w:p w14:paraId="4DCA64B8" w14:textId="77777777" w:rsidR="000108A4" w:rsidRPr="00C64D0B" w:rsidRDefault="000108A4" w:rsidP="006C439C">
            <w:pPr>
              <w:pStyle w:val="In-tableHeading"/>
              <w:keepLines/>
              <w:jc w:val="center"/>
              <w:rPr>
                <w:szCs w:val="20"/>
              </w:rPr>
            </w:pPr>
            <w:r w:rsidRPr="00C64D0B">
              <w:rPr>
                <w:szCs w:val="20"/>
              </w:rPr>
              <w:t>RD</w:t>
            </w:r>
          </w:p>
          <w:p w14:paraId="6886C6C0" w14:textId="77777777" w:rsidR="000108A4" w:rsidRPr="00C64D0B" w:rsidRDefault="000108A4" w:rsidP="006C439C">
            <w:pPr>
              <w:pStyle w:val="In-tableHeading"/>
              <w:keepLines/>
              <w:jc w:val="center"/>
              <w:rPr>
                <w:szCs w:val="20"/>
              </w:rPr>
            </w:pPr>
            <w:r w:rsidRPr="00C64D0B">
              <w:rPr>
                <w:szCs w:val="20"/>
              </w:rPr>
              <w:t>(95% CI)</w:t>
            </w:r>
          </w:p>
        </w:tc>
      </w:tr>
      <w:tr w:rsidR="00EE399C" w:rsidRPr="00C64D0B" w14:paraId="100F6145" w14:textId="77777777" w:rsidTr="00E044C3">
        <w:trPr>
          <w:cantSplit/>
          <w:trHeight w:val="70"/>
        </w:trPr>
        <w:tc>
          <w:tcPr>
            <w:tcW w:w="7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BB8A6B" w14:textId="77777777" w:rsidR="000108A4" w:rsidRPr="00C64D0B" w:rsidRDefault="000108A4" w:rsidP="006C439C">
            <w:pPr>
              <w:pStyle w:val="In-tableHeading"/>
              <w:keepLines/>
              <w:jc w:val="center"/>
              <w:rPr>
                <w:szCs w:val="20"/>
              </w:rPr>
            </w:pPr>
          </w:p>
        </w:tc>
        <w:tc>
          <w:tcPr>
            <w:tcW w:w="393" w:type="pct"/>
            <w:vMerge/>
            <w:tcBorders>
              <w:top w:val="single" w:sz="4" w:space="0" w:color="auto"/>
              <w:left w:val="single" w:sz="4" w:space="0" w:color="auto"/>
              <w:bottom w:val="single" w:sz="4" w:space="0" w:color="auto"/>
              <w:right w:val="single" w:sz="4" w:space="0" w:color="auto"/>
            </w:tcBorders>
            <w:vAlign w:val="center"/>
          </w:tcPr>
          <w:p w14:paraId="36BA1771" w14:textId="77777777" w:rsidR="000108A4" w:rsidRPr="00C64D0B" w:rsidRDefault="000108A4" w:rsidP="006C439C">
            <w:pPr>
              <w:pStyle w:val="In-tableHeading"/>
              <w:keepLines/>
              <w:jc w:val="center"/>
              <w:rPr>
                <w:szCs w:val="20"/>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1C222B89" w14:textId="77777777" w:rsidR="000108A4" w:rsidRPr="00C64D0B" w:rsidRDefault="000108A4" w:rsidP="006C439C">
            <w:pPr>
              <w:pStyle w:val="In-tableHeading"/>
              <w:keepLines/>
              <w:jc w:val="center"/>
              <w:rPr>
                <w:szCs w:val="20"/>
              </w:rPr>
            </w:pPr>
          </w:p>
        </w:tc>
        <w:tc>
          <w:tcPr>
            <w:tcW w:w="553" w:type="pct"/>
            <w:vMerge/>
            <w:tcBorders>
              <w:top w:val="single" w:sz="4" w:space="0" w:color="auto"/>
              <w:left w:val="single" w:sz="4" w:space="0" w:color="auto"/>
              <w:bottom w:val="single" w:sz="4" w:space="0" w:color="auto"/>
              <w:right w:val="single" w:sz="4" w:space="0" w:color="auto"/>
            </w:tcBorders>
            <w:vAlign w:val="center"/>
          </w:tcPr>
          <w:p w14:paraId="65ECE64F" w14:textId="77777777" w:rsidR="000108A4" w:rsidRPr="00C64D0B" w:rsidRDefault="000108A4" w:rsidP="006C439C">
            <w:pPr>
              <w:pStyle w:val="In-tableHeading"/>
              <w:keepLines/>
              <w:jc w:val="center"/>
              <w:rPr>
                <w:szCs w:val="20"/>
              </w:rPr>
            </w:pPr>
          </w:p>
        </w:tc>
        <w:tc>
          <w:tcPr>
            <w:tcW w:w="784" w:type="pct"/>
            <w:vMerge/>
            <w:tcBorders>
              <w:top w:val="single" w:sz="4" w:space="0" w:color="auto"/>
              <w:left w:val="single" w:sz="4" w:space="0" w:color="auto"/>
              <w:bottom w:val="single" w:sz="4" w:space="0" w:color="auto"/>
              <w:right w:val="single" w:sz="4" w:space="0" w:color="auto"/>
            </w:tcBorders>
            <w:vAlign w:val="center"/>
          </w:tcPr>
          <w:p w14:paraId="4C4C3FBD" w14:textId="77777777" w:rsidR="000108A4" w:rsidRPr="00C64D0B" w:rsidRDefault="000108A4" w:rsidP="006C439C">
            <w:pPr>
              <w:pStyle w:val="In-tableHeading"/>
              <w:keepLines/>
              <w:jc w:val="center"/>
              <w:rPr>
                <w:szCs w:val="20"/>
              </w:rPr>
            </w:pPr>
          </w:p>
        </w:tc>
        <w:tc>
          <w:tcPr>
            <w:tcW w:w="314" w:type="pct"/>
            <w:tcBorders>
              <w:top w:val="single" w:sz="4" w:space="0" w:color="auto"/>
              <w:left w:val="single" w:sz="4" w:space="0" w:color="auto"/>
              <w:bottom w:val="single" w:sz="4" w:space="0" w:color="auto"/>
              <w:right w:val="single" w:sz="4" w:space="0" w:color="auto"/>
            </w:tcBorders>
            <w:vAlign w:val="center"/>
          </w:tcPr>
          <w:p w14:paraId="243603BD" w14:textId="77777777" w:rsidR="000108A4" w:rsidRPr="00C64D0B" w:rsidRDefault="000108A4" w:rsidP="006C439C">
            <w:pPr>
              <w:pStyle w:val="In-tableHeading"/>
              <w:keepLines/>
              <w:jc w:val="center"/>
              <w:rPr>
                <w:szCs w:val="20"/>
              </w:rPr>
            </w:pPr>
            <w:r w:rsidRPr="00C64D0B">
              <w:rPr>
                <w:szCs w:val="20"/>
              </w:rPr>
              <w:t>UPA</w:t>
            </w:r>
          </w:p>
        </w:tc>
        <w:tc>
          <w:tcPr>
            <w:tcW w:w="393" w:type="pct"/>
            <w:tcBorders>
              <w:top w:val="single" w:sz="4" w:space="0" w:color="auto"/>
              <w:left w:val="single" w:sz="4" w:space="0" w:color="auto"/>
              <w:bottom w:val="single" w:sz="4" w:space="0" w:color="auto"/>
              <w:right w:val="single" w:sz="4" w:space="0" w:color="auto"/>
            </w:tcBorders>
            <w:vAlign w:val="center"/>
          </w:tcPr>
          <w:p w14:paraId="473A277A" w14:textId="77777777" w:rsidR="000108A4" w:rsidRPr="00C64D0B" w:rsidRDefault="000108A4" w:rsidP="006C439C">
            <w:pPr>
              <w:pStyle w:val="In-tableHeading"/>
              <w:keepLines/>
              <w:jc w:val="center"/>
              <w:rPr>
                <w:szCs w:val="20"/>
              </w:rPr>
            </w:pPr>
            <w:r w:rsidRPr="00C64D0B">
              <w:rPr>
                <w:szCs w:val="20"/>
              </w:rPr>
              <w:t>PBO</w:t>
            </w:r>
          </w:p>
        </w:tc>
        <w:tc>
          <w:tcPr>
            <w:tcW w:w="551" w:type="pct"/>
            <w:tcBorders>
              <w:top w:val="single" w:sz="4" w:space="0" w:color="auto"/>
              <w:left w:val="single" w:sz="4" w:space="0" w:color="auto"/>
              <w:bottom w:val="single" w:sz="4" w:space="0" w:color="auto"/>
              <w:right w:val="single" w:sz="4" w:space="0" w:color="auto"/>
            </w:tcBorders>
            <w:vAlign w:val="center"/>
          </w:tcPr>
          <w:p w14:paraId="1D09478B" w14:textId="77777777" w:rsidR="000108A4" w:rsidRPr="00C64D0B" w:rsidRDefault="000108A4" w:rsidP="006C439C">
            <w:pPr>
              <w:pStyle w:val="In-tableHeading"/>
              <w:keepLines/>
              <w:jc w:val="center"/>
              <w:rPr>
                <w:szCs w:val="20"/>
              </w:rPr>
            </w:pPr>
            <w:r w:rsidRPr="00C64D0B">
              <w:rPr>
                <w:szCs w:val="20"/>
              </w:rPr>
              <w:t>Comparator</w:t>
            </w:r>
          </w:p>
        </w:tc>
        <w:tc>
          <w:tcPr>
            <w:tcW w:w="757" w:type="pct"/>
            <w:vMerge/>
            <w:tcBorders>
              <w:top w:val="single" w:sz="4" w:space="0" w:color="auto"/>
              <w:left w:val="single" w:sz="4" w:space="0" w:color="auto"/>
              <w:bottom w:val="single" w:sz="4" w:space="0" w:color="auto"/>
              <w:right w:val="single" w:sz="4" w:space="0" w:color="auto"/>
            </w:tcBorders>
            <w:vAlign w:val="center"/>
          </w:tcPr>
          <w:p w14:paraId="080A5945" w14:textId="77777777" w:rsidR="000108A4" w:rsidRPr="00C64D0B" w:rsidRDefault="000108A4" w:rsidP="006C439C">
            <w:pPr>
              <w:pStyle w:val="In-tableHeading"/>
              <w:keepLines/>
              <w:jc w:val="center"/>
              <w:rPr>
                <w:szCs w:val="20"/>
              </w:rPr>
            </w:pPr>
          </w:p>
        </w:tc>
      </w:tr>
      <w:tr w:rsidR="00E044C3" w:rsidRPr="00C64D0B" w14:paraId="68D153F4" w14:textId="77777777" w:rsidTr="00E044C3">
        <w:trPr>
          <w:cantSplit/>
          <w:trHeight w:val="7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B899977" w14:textId="4963902C" w:rsidR="00E044C3" w:rsidRPr="00C64D0B" w:rsidRDefault="00E044C3" w:rsidP="006C439C">
            <w:pPr>
              <w:pStyle w:val="In-tableHeading"/>
              <w:keepLines/>
              <w:rPr>
                <w:szCs w:val="20"/>
              </w:rPr>
            </w:pPr>
            <w:r w:rsidRPr="00C64D0B">
              <w:rPr>
                <w:szCs w:val="20"/>
              </w:rPr>
              <w:t>Clinical remission in induction at Weeks 6/8/10: indirect comparisons</w:t>
            </w:r>
          </w:p>
        </w:tc>
      </w:tr>
      <w:tr w:rsidR="00EE399C" w:rsidRPr="00C64D0B" w14:paraId="27C76AFE" w14:textId="77777777" w:rsidTr="00E044C3">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39134632" w14:textId="77777777" w:rsidR="000108A4" w:rsidRPr="00C64D0B" w:rsidRDefault="000108A4" w:rsidP="006C439C">
            <w:pPr>
              <w:pStyle w:val="TableText0"/>
              <w:keepLines/>
              <w:rPr>
                <w:szCs w:val="20"/>
              </w:rPr>
            </w:pPr>
            <w:r w:rsidRPr="00C64D0B">
              <w:rPr>
                <w:iCs/>
                <w:szCs w:val="20"/>
              </w:rPr>
              <w:t>UPA 45mg v PBO (MA: U-ACHIEVE-S1/S2, U-ACCOMPLISH)</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378B37F" w14:textId="77777777" w:rsidR="000108A4" w:rsidRPr="00C64D0B" w:rsidRDefault="000108A4" w:rsidP="006C439C">
            <w:pPr>
              <w:pStyle w:val="TableText0"/>
              <w:keepLines/>
              <w:jc w:val="center"/>
              <w:rPr>
                <w:szCs w:val="20"/>
              </w:rPr>
            </w:pPr>
            <w:r w:rsidRPr="00C64D0B">
              <w:rPr>
                <w:iCs/>
                <w:szCs w:val="20"/>
              </w:rPr>
              <w:t xml:space="preserve">177/716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388AE5FB" w14:textId="77777777" w:rsidR="000108A4" w:rsidRPr="00C64D0B" w:rsidRDefault="000108A4" w:rsidP="006C439C">
            <w:pPr>
              <w:pStyle w:val="TableText0"/>
              <w:keepLines/>
              <w:jc w:val="center"/>
              <w:rPr>
                <w:szCs w:val="20"/>
              </w:rPr>
            </w:pPr>
            <w:r w:rsidRPr="00C64D0B">
              <w:rPr>
                <w:iCs/>
                <w:szCs w:val="20"/>
              </w:rPr>
              <w:t>8/374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3A595AA" w14:textId="77777777" w:rsidR="000108A4" w:rsidRPr="00C64D0B" w:rsidRDefault="000108A4" w:rsidP="006C439C">
            <w:pPr>
              <w:pStyle w:val="TableText0"/>
              <w:keepLines/>
              <w:jc w:val="center"/>
              <w:rPr>
                <w:iCs/>
                <w:szCs w:val="20"/>
              </w:rPr>
            </w:pPr>
            <w:r w:rsidRPr="00C64D0B">
              <w:rPr>
                <w:iCs/>
                <w:szCs w:val="20"/>
              </w:rPr>
              <w:t>-</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426B7F89" w14:textId="77777777" w:rsidR="000108A4" w:rsidRPr="00C64D0B" w:rsidRDefault="000108A4" w:rsidP="006C439C">
            <w:pPr>
              <w:pStyle w:val="TableText0"/>
              <w:keepLines/>
              <w:jc w:val="center"/>
              <w:rPr>
                <w:szCs w:val="20"/>
              </w:rPr>
            </w:pPr>
            <w:r w:rsidRPr="00C64D0B">
              <w:rPr>
                <w:b/>
                <w:iCs/>
                <w:szCs w:val="20"/>
              </w:rPr>
              <w:t>10.60 (5.39, 20.86)</w:t>
            </w:r>
          </w:p>
        </w:tc>
        <w:tc>
          <w:tcPr>
            <w:tcW w:w="314" w:type="pct"/>
            <w:tcBorders>
              <w:top w:val="single" w:sz="4" w:space="0" w:color="auto"/>
              <w:left w:val="single" w:sz="4" w:space="0" w:color="auto"/>
              <w:bottom w:val="single" w:sz="4" w:space="0" w:color="auto"/>
              <w:right w:val="single" w:sz="4" w:space="0" w:color="auto"/>
            </w:tcBorders>
            <w:vAlign w:val="center"/>
          </w:tcPr>
          <w:p w14:paraId="31089060" w14:textId="77777777" w:rsidR="000108A4" w:rsidRPr="00C64D0B" w:rsidRDefault="000108A4" w:rsidP="006C439C">
            <w:pPr>
              <w:pStyle w:val="TableText0"/>
              <w:keepLines/>
              <w:jc w:val="center"/>
              <w:rPr>
                <w:szCs w:val="20"/>
              </w:rPr>
            </w:pPr>
            <w:r w:rsidRPr="00C64D0B">
              <w:rPr>
                <w:szCs w:val="20"/>
              </w:rPr>
              <w:t>24.7</w:t>
            </w:r>
          </w:p>
        </w:tc>
        <w:tc>
          <w:tcPr>
            <w:tcW w:w="393" w:type="pct"/>
            <w:tcBorders>
              <w:top w:val="single" w:sz="4" w:space="0" w:color="auto"/>
              <w:left w:val="single" w:sz="4" w:space="0" w:color="auto"/>
              <w:bottom w:val="single" w:sz="4" w:space="0" w:color="auto"/>
              <w:right w:val="single" w:sz="4" w:space="0" w:color="auto"/>
            </w:tcBorders>
            <w:vAlign w:val="center"/>
          </w:tcPr>
          <w:p w14:paraId="3097720A" w14:textId="77777777" w:rsidR="000108A4" w:rsidRPr="00C64D0B" w:rsidRDefault="000108A4" w:rsidP="006C439C">
            <w:pPr>
              <w:pStyle w:val="TableText0"/>
              <w:keepLines/>
              <w:jc w:val="center"/>
              <w:rPr>
                <w:szCs w:val="20"/>
              </w:rPr>
            </w:pPr>
            <w:r w:rsidRPr="00C64D0B">
              <w:rPr>
                <w:szCs w:val="20"/>
              </w:rPr>
              <w:t>2.1</w:t>
            </w:r>
          </w:p>
        </w:tc>
        <w:tc>
          <w:tcPr>
            <w:tcW w:w="551" w:type="pct"/>
            <w:tcBorders>
              <w:top w:val="single" w:sz="4" w:space="0" w:color="auto"/>
              <w:left w:val="single" w:sz="4" w:space="0" w:color="auto"/>
              <w:bottom w:val="single" w:sz="4" w:space="0" w:color="auto"/>
              <w:right w:val="single" w:sz="4" w:space="0" w:color="auto"/>
            </w:tcBorders>
            <w:vAlign w:val="center"/>
          </w:tcPr>
          <w:p w14:paraId="3CFEC831" w14:textId="77777777" w:rsidR="000108A4" w:rsidRPr="00C64D0B" w:rsidRDefault="000108A4" w:rsidP="006C439C">
            <w:pPr>
              <w:pStyle w:val="TableText0"/>
              <w:keepLines/>
              <w:jc w:val="center"/>
              <w:rPr>
                <w:szCs w:val="20"/>
              </w:rPr>
            </w:pPr>
            <w:r w:rsidRPr="00C64D0B">
              <w:rPr>
                <w:szCs w:val="20"/>
              </w:rPr>
              <w:t>-</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1552E27C" w14:textId="77777777" w:rsidR="000108A4" w:rsidRPr="00C64D0B" w:rsidRDefault="000108A4" w:rsidP="006C439C">
            <w:pPr>
              <w:pStyle w:val="TableText0"/>
              <w:keepLines/>
              <w:jc w:val="center"/>
              <w:rPr>
                <w:szCs w:val="20"/>
              </w:rPr>
            </w:pPr>
            <w:r w:rsidRPr="00C64D0B">
              <w:rPr>
                <w:b/>
                <w:iCs/>
                <w:szCs w:val="20"/>
              </w:rPr>
              <w:t>0.22 (0.19, 0.26)</w:t>
            </w:r>
          </w:p>
        </w:tc>
      </w:tr>
      <w:tr w:rsidR="00EE399C" w:rsidRPr="00C64D0B" w14:paraId="072A2F7F" w14:textId="77777777" w:rsidTr="00E044C3">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286051BD" w14:textId="77777777" w:rsidR="000108A4" w:rsidRPr="00C64D0B" w:rsidRDefault="000108A4" w:rsidP="006C439C">
            <w:pPr>
              <w:pStyle w:val="TableText0"/>
              <w:keepLines/>
              <w:rPr>
                <w:szCs w:val="20"/>
                <w:lang w:val="it-IT"/>
              </w:rPr>
            </w:pPr>
            <w:r w:rsidRPr="00C64D0B">
              <w:rPr>
                <w:iCs/>
                <w:szCs w:val="20"/>
                <w:lang w:val="it-IT"/>
              </w:rPr>
              <w:t>TOF 10mg v PBO (MA: OCTAVE-1, OCTAVE-2)</w:t>
            </w:r>
          </w:p>
        </w:tc>
        <w:tc>
          <w:tcPr>
            <w:tcW w:w="393" w:type="pct"/>
            <w:tcBorders>
              <w:top w:val="single" w:sz="4" w:space="0" w:color="auto"/>
              <w:left w:val="single" w:sz="4" w:space="0" w:color="auto"/>
              <w:bottom w:val="single" w:sz="4" w:space="0" w:color="auto"/>
              <w:right w:val="single" w:sz="4" w:space="0" w:color="auto"/>
            </w:tcBorders>
            <w:vAlign w:val="center"/>
          </w:tcPr>
          <w:p w14:paraId="122C93BC" w14:textId="77777777" w:rsidR="000108A4" w:rsidRPr="00C64D0B" w:rsidRDefault="000108A4" w:rsidP="006C439C">
            <w:pPr>
              <w:pStyle w:val="TableText0"/>
              <w:keepLines/>
              <w:jc w:val="center"/>
              <w:rPr>
                <w:szCs w:val="20"/>
              </w:rPr>
            </w:pPr>
            <w:r w:rsidRPr="00C64D0B">
              <w:rPr>
                <w:szCs w:val="20"/>
              </w:rPr>
              <w:t>-</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32C3F21" w14:textId="77777777" w:rsidR="000108A4" w:rsidRPr="00C64D0B" w:rsidRDefault="000108A4" w:rsidP="006C439C">
            <w:pPr>
              <w:pStyle w:val="TableText0"/>
              <w:keepLines/>
              <w:jc w:val="center"/>
              <w:rPr>
                <w:szCs w:val="20"/>
              </w:rPr>
            </w:pPr>
            <w:r w:rsidRPr="00C64D0B">
              <w:rPr>
                <w:iCs/>
                <w:szCs w:val="20"/>
              </w:rPr>
              <w:t>14/234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7EB8CA" w14:textId="77777777" w:rsidR="000108A4" w:rsidRPr="00C64D0B" w:rsidRDefault="000108A4" w:rsidP="006C439C">
            <w:pPr>
              <w:pStyle w:val="TableText0"/>
              <w:keepLines/>
              <w:jc w:val="center"/>
              <w:rPr>
                <w:szCs w:val="20"/>
              </w:rPr>
            </w:pPr>
            <w:r w:rsidRPr="00C64D0B">
              <w:rPr>
                <w:iCs/>
                <w:szCs w:val="20"/>
              </w:rPr>
              <w:t>160/905</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0F841B7E" w14:textId="77777777" w:rsidR="000108A4" w:rsidRPr="00C64D0B" w:rsidRDefault="000108A4" w:rsidP="006C439C">
            <w:pPr>
              <w:pStyle w:val="TableText0"/>
              <w:keepLines/>
              <w:jc w:val="center"/>
              <w:rPr>
                <w:szCs w:val="20"/>
              </w:rPr>
            </w:pPr>
            <w:r w:rsidRPr="00C64D0B">
              <w:rPr>
                <w:b/>
                <w:iCs/>
                <w:szCs w:val="20"/>
              </w:rPr>
              <w:t>2.95 (1.46, 5.95)</w:t>
            </w:r>
          </w:p>
        </w:tc>
        <w:tc>
          <w:tcPr>
            <w:tcW w:w="314" w:type="pct"/>
            <w:tcBorders>
              <w:top w:val="single" w:sz="4" w:space="0" w:color="auto"/>
              <w:left w:val="single" w:sz="4" w:space="0" w:color="auto"/>
              <w:bottom w:val="single" w:sz="4" w:space="0" w:color="auto"/>
              <w:right w:val="single" w:sz="4" w:space="0" w:color="auto"/>
            </w:tcBorders>
            <w:vAlign w:val="center"/>
          </w:tcPr>
          <w:p w14:paraId="5A1F58C9" w14:textId="44F7C0CD" w:rsidR="000108A4" w:rsidRPr="00C64D0B" w:rsidRDefault="00E044C3" w:rsidP="006C439C">
            <w:pPr>
              <w:pStyle w:val="TableText0"/>
              <w:keepLines/>
              <w:jc w:val="center"/>
              <w:rPr>
                <w:szCs w:val="20"/>
              </w:rPr>
            </w:pPr>
            <w:r w:rsidRPr="00C64D0B">
              <w:rPr>
                <w:szCs w:val="20"/>
              </w:rPr>
              <w:t>-</w:t>
            </w:r>
          </w:p>
        </w:tc>
        <w:tc>
          <w:tcPr>
            <w:tcW w:w="393" w:type="pct"/>
            <w:tcBorders>
              <w:top w:val="single" w:sz="4" w:space="0" w:color="auto"/>
              <w:left w:val="single" w:sz="4" w:space="0" w:color="auto"/>
              <w:bottom w:val="single" w:sz="4" w:space="0" w:color="auto"/>
              <w:right w:val="single" w:sz="4" w:space="0" w:color="auto"/>
            </w:tcBorders>
            <w:vAlign w:val="center"/>
          </w:tcPr>
          <w:p w14:paraId="7F9DF0B5" w14:textId="77777777" w:rsidR="000108A4" w:rsidRPr="00C64D0B" w:rsidRDefault="000108A4" w:rsidP="006C439C">
            <w:pPr>
              <w:pStyle w:val="TableText0"/>
              <w:keepLines/>
              <w:jc w:val="center"/>
              <w:rPr>
                <w:szCs w:val="20"/>
              </w:rPr>
            </w:pPr>
            <w:r w:rsidRPr="00C64D0B">
              <w:rPr>
                <w:szCs w:val="20"/>
              </w:rPr>
              <w:t>6.0</w:t>
            </w:r>
          </w:p>
        </w:tc>
        <w:tc>
          <w:tcPr>
            <w:tcW w:w="551" w:type="pct"/>
            <w:tcBorders>
              <w:top w:val="single" w:sz="4" w:space="0" w:color="auto"/>
              <w:left w:val="single" w:sz="4" w:space="0" w:color="auto"/>
              <w:bottom w:val="single" w:sz="4" w:space="0" w:color="auto"/>
              <w:right w:val="single" w:sz="4" w:space="0" w:color="auto"/>
            </w:tcBorders>
            <w:vAlign w:val="center"/>
          </w:tcPr>
          <w:p w14:paraId="692839DA" w14:textId="77777777" w:rsidR="000108A4" w:rsidRPr="00C64D0B" w:rsidRDefault="000108A4" w:rsidP="006C439C">
            <w:pPr>
              <w:pStyle w:val="TableText0"/>
              <w:keepLines/>
              <w:jc w:val="center"/>
              <w:rPr>
                <w:szCs w:val="20"/>
              </w:rPr>
            </w:pPr>
            <w:r w:rsidRPr="00C64D0B">
              <w:rPr>
                <w:szCs w:val="20"/>
              </w:rPr>
              <w:t>17.7</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474041D4" w14:textId="77777777" w:rsidR="000108A4" w:rsidRPr="00C64D0B" w:rsidRDefault="000108A4" w:rsidP="006C439C">
            <w:pPr>
              <w:pStyle w:val="TableText0"/>
              <w:keepLines/>
              <w:jc w:val="center"/>
              <w:rPr>
                <w:szCs w:val="20"/>
              </w:rPr>
            </w:pPr>
            <w:r w:rsidRPr="00C64D0B">
              <w:rPr>
                <w:b/>
                <w:iCs/>
                <w:szCs w:val="20"/>
              </w:rPr>
              <w:t>0.12 (0.08, 0.16)</w:t>
            </w:r>
          </w:p>
        </w:tc>
      </w:tr>
      <w:tr w:rsidR="00EE399C" w:rsidRPr="00C64D0B" w14:paraId="71AEF292" w14:textId="77777777" w:rsidTr="00E044C3">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786CC791" w14:textId="77777777" w:rsidR="000108A4" w:rsidRPr="00C64D0B" w:rsidRDefault="000108A4" w:rsidP="006C439C">
            <w:pPr>
              <w:pStyle w:val="TableText0"/>
              <w:keepLines/>
              <w:rPr>
                <w:szCs w:val="20"/>
              </w:rPr>
            </w:pPr>
            <w:r w:rsidRPr="00C64D0B">
              <w:rPr>
                <w:iCs/>
                <w:szCs w:val="20"/>
                <w:lang w:val="fr-FR"/>
              </w:rPr>
              <w:t>IFX 5mg/kg v PBO (MA: ACT 1/2, Jiang, REMICADE, Kobayashi)</w:t>
            </w:r>
          </w:p>
        </w:tc>
        <w:tc>
          <w:tcPr>
            <w:tcW w:w="393" w:type="pct"/>
            <w:tcBorders>
              <w:top w:val="single" w:sz="4" w:space="0" w:color="auto"/>
              <w:left w:val="single" w:sz="4" w:space="0" w:color="auto"/>
              <w:bottom w:val="single" w:sz="4" w:space="0" w:color="auto"/>
              <w:right w:val="single" w:sz="4" w:space="0" w:color="auto"/>
            </w:tcBorders>
            <w:vAlign w:val="center"/>
          </w:tcPr>
          <w:p w14:paraId="0030FADE" w14:textId="77777777" w:rsidR="000108A4" w:rsidRPr="00C64D0B" w:rsidRDefault="000108A4" w:rsidP="006C439C">
            <w:pPr>
              <w:pStyle w:val="TableText0"/>
              <w:keepLines/>
              <w:jc w:val="center"/>
              <w:rPr>
                <w:szCs w:val="20"/>
              </w:rPr>
            </w:pPr>
            <w:r w:rsidRPr="00C64D0B">
              <w:rPr>
                <w:szCs w:val="20"/>
              </w:rPr>
              <w:t>-</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214CD6B" w14:textId="77777777" w:rsidR="000108A4" w:rsidRPr="00C64D0B" w:rsidRDefault="000108A4" w:rsidP="006C439C">
            <w:pPr>
              <w:pStyle w:val="TableText0"/>
              <w:keepLines/>
              <w:jc w:val="center"/>
              <w:rPr>
                <w:szCs w:val="20"/>
              </w:rPr>
            </w:pPr>
            <w:r w:rsidRPr="00C64D0B">
              <w:rPr>
                <w:iCs/>
                <w:szCs w:val="20"/>
              </w:rPr>
              <w:t>50/438</w:t>
            </w:r>
          </w:p>
        </w:tc>
        <w:tc>
          <w:tcPr>
            <w:tcW w:w="553" w:type="pct"/>
            <w:tcBorders>
              <w:top w:val="single" w:sz="4" w:space="0" w:color="auto"/>
              <w:left w:val="single" w:sz="4" w:space="0" w:color="auto"/>
              <w:bottom w:val="single" w:sz="4" w:space="0" w:color="auto"/>
              <w:right w:val="single" w:sz="4" w:space="0" w:color="auto"/>
            </w:tcBorders>
            <w:vAlign w:val="center"/>
          </w:tcPr>
          <w:p w14:paraId="2319799C" w14:textId="77777777" w:rsidR="000108A4" w:rsidRPr="00C64D0B" w:rsidRDefault="000108A4" w:rsidP="006C439C">
            <w:pPr>
              <w:pStyle w:val="TableText0"/>
              <w:keepLines/>
              <w:jc w:val="center"/>
              <w:rPr>
                <w:szCs w:val="20"/>
              </w:rPr>
            </w:pPr>
            <w:r w:rsidRPr="00C64D0B">
              <w:rPr>
                <w:iCs/>
                <w:szCs w:val="20"/>
              </w:rPr>
              <w:t>142/437</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235B2194" w14:textId="77777777" w:rsidR="000108A4" w:rsidRPr="00C64D0B" w:rsidRDefault="000108A4" w:rsidP="006C439C">
            <w:pPr>
              <w:pStyle w:val="TableText0"/>
              <w:keepLines/>
              <w:jc w:val="center"/>
              <w:rPr>
                <w:szCs w:val="20"/>
              </w:rPr>
            </w:pPr>
            <w:r w:rsidRPr="00C64D0B">
              <w:rPr>
                <w:b/>
                <w:iCs/>
                <w:szCs w:val="20"/>
              </w:rPr>
              <w:t>2.72 (1.90, 3.88)</w:t>
            </w:r>
          </w:p>
        </w:tc>
        <w:tc>
          <w:tcPr>
            <w:tcW w:w="314" w:type="pct"/>
            <w:tcBorders>
              <w:top w:val="single" w:sz="4" w:space="0" w:color="auto"/>
              <w:left w:val="single" w:sz="4" w:space="0" w:color="auto"/>
              <w:bottom w:val="single" w:sz="4" w:space="0" w:color="auto"/>
              <w:right w:val="single" w:sz="4" w:space="0" w:color="auto"/>
            </w:tcBorders>
            <w:vAlign w:val="center"/>
          </w:tcPr>
          <w:p w14:paraId="7A23DE50" w14:textId="77777777" w:rsidR="000108A4" w:rsidRPr="00C64D0B" w:rsidRDefault="000108A4" w:rsidP="006C439C">
            <w:pPr>
              <w:pStyle w:val="TableText0"/>
              <w:keepLines/>
              <w:jc w:val="center"/>
              <w:rPr>
                <w:szCs w:val="20"/>
              </w:rPr>
            </w:pPr>
            <w:r w:rsidRPr="00C64D0B">
              <w:rPr>
                <w:szCs w:val="20"/>
              </w:rPr>
              <w:t>-</w:t>
            </w:r>
          </w:p>
        </w:tc>
        <w:tc>
          <w:tcPr>
            <w:tcW w:w="393" w:type="pct"/>
            <w:tcBorders>
              <w:top w:val="single" w:sz="4" w:space="0" w:color="auto"/>
              <w:left w:val="single" w:sz="4" w:space="0" w:color="auto"/>
              <w:bottom w:val="single" w:sz="4" w:space="0" w:color="auto"/>
              <w:right w:val="single" w:sz="4" w:space="0" w:color="auto"/>
            </w:tcBorders>
            <w:vAlign w:val="center"/>
          </w:tcPr>
          <w:p w14:paraId="4D14A211" w14:textId="77777777" w:rsidR="000108A4" w:rsidRPr="00C64D0B" w:rsidRDefault="000108A4" w:rsidP="006C439C">
            <w:pPr>
              <w:pStyle w:val="TableText0"/>
              <w:keepLines/>
              <w:jc w:val="center"/>
              <w:rPr>
                <w:szCs w:val="20"/>
              </w:rPr>
            </w:pPr>
            <w:r w:rsidRPr="00C64D0B">
              <w:rPr>
                <w:szCs w:val="20"/>
              </w:rPr>
              <w:t>11.4</w:t>
            </w:r>
          </w:p>
        </w:tc>
        <w:tc>
          <w:tcPr>
            <w:tcW w:w="551" w:type="pct"/>
            <w:tcBorders>
              <w:top w:val="single" w:sz="4" w:space="0" w:color="auto"/>
              <w:left w:val="single" w:sz="4" w:space="0" w:color="auto"/>
              <w:bottom w:val="single" w:sz="4" w:space="0" w:color="auto"/>
              <w:right w:val="single" w:sz="4" w:space="0" w:color="auto"/>
            </w:tcBorders>
            <w:vAlign w:val="center"/>
          </w:tcPr>
          <w:p w14:paraId="2B9A3B85" w14:textId="77777777" w:rsidR="000108A4" w:rsidRPr="00C64D0B" w:rsidRDefault="000108A4" w:rsidP="006C439C">
            <w:pPr>
              <w:pStyle w:val="TableText0"/>
              <w:keepLines/>
              <w:jc w:val="center"/>
              <w:rPr>
                <w:szCs w:val="20"/>
              </w:rPr>
            </w:pPr>
            <w:r w:rsidRPr="00C64D0B">
              <w:rPr>
                <w:iCs/>
                <w:szCs w:val="20"/>
              </w:rPr>
              <w:t>32.5</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56EA32E2" w14:textId="77777777" w:rsidR="000108A4" w:rsidRPr="00C64D0B" w:rsidRDefault="000108A4" w:rsidP="006C439C">
            <w:pPr>
              <w:pStyle w:val="TableText0"/>
              <w:keepLines/>
              <w:jc w:val="center"/>
              <w:rPr>
                <w:szCs w:val="20"/>
              </w:rPr>
            </w:pPr>
            <w:r w:rsidRPr="00C64D0B">
              <w:rPr>
                <w:b/>
                <w:iCs/>
                <w:szCs w:val="20"/>
              </w:rPr>
              <w:t>0.20 (0.12, 0.29)</w:t>
            </w:r>
          </w:p>
        </w:tc>
      </w:tr>
      <w:tr w:rsidR="00EE399C" w:rsidRPr="00C64D0B" w14:paraId="6A74E90C" w14:textId="77777777" w:rsidTr="00E044C3">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5F9CCF83" w14:textId="77777777" w:rsidR="000108A4" w:rsidRPr="00C64D0B" w:rsidRDefault="000108A4" w:rsidP="006C439C">
            <w:pPr>
              <w:pStyle w:val="TableText0"/>
              <w:keepLines/>
              <w:rPr>
                <w:szCs w:val="20"/>
              </w:rPr>
            </w:pPr>
            <w:r w:rsidRPr="00C64D0B">
              <w:rPr>
                <w:iCs/>
                <w:szCs w:val="20"/>
                <w:lang w:val="fr-FR"/>
              </w:rPr>
              <w:t>GOL 200-&gt;100mg v PBO (PURSUIT-SC)</w:t>
            </w:r>
          </w:p>
        </w:tc>
        <w:tc>
          <w:tcPr>
            <w:tcW w:w="393" w:type="pct"/>
            <w:tcBorders>
              <w:top w:val="single" w:sz="4" w:space="0" w:color="auto"/>
              <w:left w:val="single" w:sz="4" w:space="0" w:color="auto"/>
              <w:bottom w:val="single" w:sz="4" w:space="0" w:color="auto"/>
              <w:right w:val="single" w:sz="4" w:space="0" w:color="auto"/>
            </w:tcBorders>
            <w:vAlign w:val="center"/>
          </w:tcPr>
          <w:p w14:paraId="1DD1B3D3" w14:textId="77777777" w:rsidR="000108A4" w:rsidRPr="00C64D0B" w:rsidRDefault="000108A4" w:rsidP="006C439C">
            <w:pPr>
              <w:pStyle w:val="TableText0"/>
              <w:keepLines/>
              <w:jc w:val="center"/>
              <w:rPr>
                <w:szCs w:val="20"/>
              </w:rPr>
            </w:pPr>
            <w:r w:rsidRPr="00C64D0B">
              <w:rPr>
                <w:szCs w:val="20"/>
              </w:rPr>
              <w:t>-</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10EC7A53" w14:textId="77777777" w:rsidR="000108A4" w:rsidRPr="00C64D0B" w:rsidRDefault="000108A4" w:rsidP="006C439C">
            <w:pPr>
              <w:pStyle w:val="TableText0"/>
              <w:keepLines/>
              <w:jc w:val="center"/>
              <w:rPr>
                <w:szCs w:val="20"/>
              </w:rPr>
            </w:pPr>
            <w:r w:rsidRPr="00C64D0B">
              <w:rPr>
                <w:iCs/>
                <w:szCs w:val="20"/>
              </w:rPr>
              <w:t>16/251</w:t>
            </w:r>
          </w:p>
        </w:tc>
        <w:tc>
          <w:tcPr>
            <w:tcW w:w="553" w:type="pct"/>
            <w:tcBorders>
              <w:top w:val="single" w:sz="4" w:space="0" w:color="auto"/>
              <w:left w:val="single" w:sz="4" w:space="0" w:color="auto"/>
              <w:bottom w:val="single" w:sz="4" w:space="0" w:color="auto"/>
              <w:right w:val="single" w:sz="4" w:space="0" w:color="auto"/>
            </w:tcBorders>
            <w:vAlign w:val="center"/>
          </w:tcPr>
          <w:p w14:paraId="5B1D7F5E" w14:textId="77777777" w:rsidR="000108A4" w:rsidRPr="00C64D0B" w:rsidRDefault="000108A4" w:rsidP="006C439C">
            <w:pPr>
              <w:pStyle w:val="TableText0"/>
              <w:keepLines/>
              <w:jc w:val="center"/>
              <w:rPr>
                <w:szCs w:val="20"/>
              </w:rPr>
            </w:pPr>
            <w:r w:rsidRPr="00C64D0B">
              <w:rPr>
                <w:iCs/>
                <w:szCs w:val="20"/>
              </w:rPr>
              <w:t>45/253</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15AC225A" w14:textId="77777777" w:rsidR="000108A4" w:rsidRPr="00C64D0B" w:rsidRDefault="000108A4" w:rsidP="006C439C">
            <w:pPr>
              <w:pStyle w:val="TableText0"/>
              <w:keepLines/>
              <w:jc w:val="center"/>
              <w:rPr>
                <w:szCs w:val="20"/>
              </w:rPr>
            </w:pPr>
            <w:r w:rsidRPr="00C64D0B">
              <w:rPr>
                <w:b/>
                <w:iCs/>
                <w:szCs w:val="20"/>
              </w:rPr>
              <w:t>2.79 (1.62, 4.8)</w:t>
            </w:r>
          </w:p>
        </w:tc>
        <w:tc>
          <w:tcPr>
            <w:tcW w:w="314" w:type="pct"/>
            <w:tcBorders>
              <w:top w:val="single" w:sz="4" w:space="0" w:color="auto"/>
              <w:left w:val="single" w:sz="4" w:space="0" w:color="auto"/>
              <w:bottom w:val="single" w:sz="4" w:space="0" w:color="auto"/>
              <w:right w:val="single" w:sz="4" w:space="0" w:color="auto"/>
            </w:tcBorders>
            <w:vAlign w:val="center"/>
          </w:tcPr>
          <w:p w14:paraId="07AE8B13" w14:textId="77777777" w:rsidR="000108A4" w:rsidRPr="00C64D0B" w:rsidRDefault="000108A4" w:rsidP="006C439C">
            <w:pPr>
              <w:pStyle w:val="TableText0"/>
              <w:keepLines/>
              <w:jc w:val="center"/>
              <w:rPr>
                <w:szCs w:val="20"/>
              </w:rPr>
            </w:pPr>
            <w:r w:rsidRPr="00C64D0B">
              <w:rPr>
                <w:szCs w:val="20"/>
              </w:rPr>
              <w:t>-</w:t>
            </w:r>
          </w:p>
        </w:tc>
        <w:tc>
          <w:tcPr>
            <w:tcW w:w="393" w:type="pct"/>
            <w:tcBorders>
              <w:top w:val="single" w:sz="4" w:space="0" w:color="auto"/>
              <w:left w:val="single" w:sz="4" w:space="0" w:color="auto"/>
              <w:bottom w:val="single" w:sz="4" w:space="0" w:color="auto"/>
              <w:right w:val="single" w:sz="4" w:space="0" w:color="auto"/>
            </w:tcBorders>
            <w:vAlign w:val="center"/>
          </w:tcPr>
          <w:p w14:paraId="4E1A0A1B" w14:textId="77777777" w:rsidR="000108A4" w:rsidRPr="00C64D0B" w:rsidRDefault="000108A4" w:rsidP="006C439C">
            <w:pPr>
              <w:pStyle w:val="TableText0"/>
              <w:keepLines/>
              <w:jc w:val="center"/>
              <w:rPr>
                <w:szCs w:val="20"/>
              </w:rPr>
            </w:pPr>
            <w:r w:rsidRPr="00C64D0B">
              <w:rPr>
                <w:szCs w:val="20"/>
              </w:rPr>
              <w:t>6.4</w:t>
            </w:r>
          </w:p>
        </w:tc>
        <w:tc>
          <w:tcPr>
            <w:tcW w:w="551" w:type="pct"/>
            <w:tcBorders>
              <w:top w:val="single" w:sz="4" w:space="0" w:color="auto"/>
              <w:left w:val="single" w:sz="4" w:space="0" w:color="auto"/>
              <w:bottom w:val="single" w:sz="4" w:space="0" w:color="auto"/>
              <w:right w:val="single" w:sz="4" w:space="0" w:color="auto"/>
            </w:tcBorders>
            <w:vAlign w:val="center"/>
          </w:tcPr>
          <w:p w14:paraId="58027C1C" w14:textId="77777777" w:rsidR="000108A4" w:rsidRPr="00C64D0B" w:rsidRDefault="000108A4" w:rsidP="006C439C">
            <w:pPr>
              <w:pStyle w:val="TableText0"/>
              <w:keepLines/>
              <w:jc w:val="center"/>
              <w:rPr>
                <w:szCs w:val="20"/>
              </w:rPr>
            </w:pPr>
            <w:r w:rsidRPr="00C64D0B">
              <w:rPr>
                <w:iCs/>
                <w:szCs w:val="20"/>
              </w:rPr>
              <w:t>17.8</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726010E4" w14:textId="77777777" w:rsidR="000108A4" w:rsidRPr="00C64D0B" w:rsidRDefault="000108A4" w:rsidP="006C439C">
            <w:pPr>
              <w:pStyle w:val="TableText0"/>
              <w:keepLines/>
              <w:jc w:val="center"/>
              <w:rPr>
                <w:szCs w:val="20"/>
              </w:rPr>
            </w:pPr>
            <w:r w:rsidRPr="00C64D0B">
              <w:rPr>
                <w:b/>
                <w:iCs/>
                <w:szCs w:val="20"/>
              </w:rPr>
              <w:t>0.11 (0.06, 0.17)</w:t>
            </w:r>
          </w:p>
        </w:tc>
      </w:tr>
      <w:tr w:rsidR="00EE399C" w:rsidRPr="00C64D0B" w14:paraId="395F341F" w14:textId="77777777" w:rsidTr="00E044C3">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221D52B2" w14:textId="77777777" w:rsidR="000108A4" w:rsidRPr="00C64D0B" w:rsidRDefault="000108A4" w:rsidP="006C439C">
            <w:pPr>
              <w:pStyle w:val="TableText0"/>
              <w:keepLines/>
              <w:rPr>
                <w:szCs w:val="20"/>
                <w:lang w:val="it-IT"/>
              </w:rPr>
            </w:pPr>
            <w:r w:rsidRPr="00C64D0B">
              <w:rPr>
                <w:iCs/>
                <w:szCs w:val="20"/>
                <w:lang w:val="it-IT"/>
              </w:rPr>
              <w:t>ADA 160-&gt;80mg v PBO (MA: ULTRA-1, ULTRA-2, Suzuki)</w:t>
            </w:r>
          </w:p>
        </w:tc>
        <w:tc>
          <w:tcPr>
            <w:tcW w:w="393" w:type="pct"/>
            <w:tcBorders>
              <w:top w:val="single" w:sz="4" w:space="0" w:color="auto"/>
              <w:left w:val="single" w:sz="4" w:space="0" w:color="auto"/>
              <w:bottom w:val="single" w:sz="4" w:space="0" w:color="auto"/>
              <w:right w:val="single" w:sz="4" w:space="0" w:color="auto"/>
            </w:tcBorders>
            <w:vAlign w:val="center"/>
          </w:tcPr>
          <w:p w14:paraId="59FA2844" w14:textId="77777777" w:rsidR="000108A4" w:rsidRPr="00C64D0B" w:rsidRDefault="000108A4" w:rsidP="006C439C">
            <w:pPr>
              <w:pStyle w:val="TableText0"/>
              <w:keepLines/>
              <w:jc w:val="center"/>
              <w:rPr>
                <w:szCs w:val="20"/>
              </w:rPr>
            </w:pPr>
            <w:r w:rsidRPr="00C64D0B">
              <w:rPr>
                <w:szCs w:val="20"/>
              </w:rPr>
              <w:t>-</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6CE79BFB" w14:textId="77777777" w:rsidR="000108A4" w:rsidRPr="00C64D0B" w:rsidRDefault="000108A4" w:rsidP="006C439C">
            <w:pPr>
              <w:pStyle w:val="TableText0"/>
              <w:keepLines/>
              <w:jc w:val="center"/>
              <w:rPr>
                <w:szCs w:val="20"/>
              </w:rPr>
            </w:pPr>
            <w:r w:rsidRPr="00C64D0B">
              <w:rPr>
                <w:iCs/>
                <w:szCs w:val="20"/>
              </w:rPr>
              <w:t>46/472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C57DFE0" w14:textId="77777777" w:rsidR="000108A4" w:rsidRPr="00C64D0B" w:rsidRDefault="000108A4" w:rsidP="006C439C">
            <w:pPr>
              <w:pStyle w:val="TableText0"/>
              <w:keepLines/>
              <w:jc w:val="center"/>
              <w:rPr>
                <w:szCs w:val="20"/>
              </w:rPr>
            </w:pPr>
            <w:r w:rsidRPr="00C64D0B">
              <w:rPr>
                <w:iCs/>
                <w:szCs w:val="20"/>
              </w:rPr>
              <w:t xml:space="preserve">74/468 </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2234593C" w14:textId="77777777" w:rsidR="000108A4" w:rsidRPr="00C64D0B" w:rsidRDefault="000108A4" w:rsidP="006C439C">
            <w:pPr>
              <w:pStyle w:val="TableText0"/>
              <w:keepLines/>
              <w:jc w:val="center"/>
              <w:rPr>
                <w:szCs w:val="20"/>
              </w:rPr>
            </w:pPr>
            <w:r w:rsidRPr="00C64D0B">
              <w:rPr>
                <w:b/>
                <w:iCs/>
                <w:szCs w:val="20"/>
              </w:rPr>
              <w:t>1.58 (1.05, 2.4)</w:t>
            </w:r>
          </w:p>
        </w:tc>
        <w:tc>
          <w:tcPr>
            <w:tcW w:w="314" w:type="pct"/>
            <w:tcBorders>
              <w:top w:val="single" w:sz="4" w:space="0" w:color="auto"/>
              <w:left w:val="single" w:sz="4" w:space="0" w:color="auto"/>
              <w:bottom w:val="single" w:sz="4" w:space="0" w:color="auto"/>
              <w:right w:val="single" w:sz="4" w:space="0" w:color="auto"/>
            </w:tcBorders>
            <w:vAlign w:val="center"/>
          </w:tcPr>
          <w:p w14:paraId="4D5029DD" w14:textId="77777777" w:rsidR="000108A4" w:rsidRPr="00C64D0B" w:rsidRDefault="000108A4" w:rsidP="006C439C">
            <w:pPr>
              <w:pStyle w:val="TableText0"/>
              <w:keepLines/>
              <w:jc w:val="center"/>
              <w:rPr>
                <w:szCs w:val="20"/>
              </w:rPr>
            </w:pPr>
            <w:r w:rsidRPr="00C64D0B">
              <w:rPr>
                <w:szCs w:val="20"/>
              </w:rPr>
              <w:t>-</w:t>
            </w:r>
          </w:p>
        </w:tc>
        <w:tc>
          <w:tcPr>
            <w:tcW w:w="393" w:type="pct"/>
            <w:tcBorders>
              <w:top w:val="single" w:sz="4" w:space="0" w:color="auto"/>
              <w:left w:val="single" w:sz="4" w:space="0" w:color="auto"/>
              <w:bottom w:val="single" w:sz="4" w:space="0" w:color="auto"/>
              <w:right w:val="single" w:sz="4" w:space="0" w:color="auto"/>
            </w:tcBorders>
            <w:vAlign w:val="center"/>
          </w:tcPr>
          <w:p w14:paraId="1762DFAD" w14:textId="77777777" w:rsidR="000108A4" w:rsidRPr="00C64D0B" w:rsidRDefault="000108A4" w:rsidP="006C439C">
            <w:pPr>
              <w:pStyle w:val="TableText0"/>
              <w:keepLines/>
              <w:jc w:val="center"/>
              <w:rPr>
                <w:szCs w:val="20"/>
              </w:rPr>
            </w:pPr>
            <w:r w:rsidRPr="00C64D0B">
              <w:rPr>
                <w:szCs w:val="20"/>
              </w:rPr>
              <w:t>9.7</w:t>
            </w:r>
          </w:p>
        </w:tc>
        <w:tc>
          <w:tcPr>
            <w:tcW w:w="551" w:type="pct"/>
            <w:tcBorders>
              <w:top w:val="single" w:sz="4" w:space="0" w:color="auto"/>
              <w:left w:val="single" w:sz="4" w:space="0" w:color="auto"/>
              <w:bottom w:val="single" w:sz="4" w:space="0" w:color="auto"/>
              <w:right w:val="single" w:sz="4" w:space="0" w:color="auto"/>
            </w:tcBorders>
            <w:vAlign w:val="center"/>
          </w:tcPr>
          <w:p w14:paraId="472BA1E6" w14:textId="77777777" w:rsidR="000108A4" w:rsidRPr="00C64D0B" w:rsidRDefault="000108A4" w:rsidP="006C439C">
            <w:pPr>
              <w:pStyle w:val="TableText0"/>
              <w:keepLines/>
              <w:jc w:val="center"/>
              <w:rPr>
                <w:szCs w:val="20"/>
              </w:rPr>
            </w:pPr>
            <w:r w:rsidRPr="00C64D0B">
              <w:rPr>
                <w:iCs/>
                <w:szCs w:val="20"/>
              </w:rPr>
              <w:t>15.8</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6FEEDB47" w14:textId="77777777" w:rsidR="000108A4" w:rsidRPr="00C64D0B" w:rsidRDefault="000108A4" w:rsidP="006C439C">
            <w:pPr>
              <w:pStyle w:val="TableText0"/>
              <w:keepLines/>
              <w:jc w:val="center"/>
              <w:rPr>
                <w:szCs w:val="20"/>
              </w:rPr>
            </w:pPr>
            <w:r w:rsidRPr="00C64D0B">
              <w:rPr>
                <w:iCs/>
                <w:szCs w:val="20"/>
              </w:rPr>
              <w:t>0.05 (-0.00, 0.11)</w:t>
            </w:r>
          </w:p>
        </w:tc>
      </w:tr>
      <w:tr w:rsidR="00EE399C" w:rsidRPr="00C64D0B" w14:paraId="6CD9E9D6" w14:textId="77777777" w:rsidTr="00E044C3">
        <w:trPr>
          <w:cantSplit/>
        </w:trPr>
        <w:tc>
          <w:tcPr>
            <w:tcW w:w="784" w:type="pct"/>
            <w:tcBorders>
              <w:top w:val="single" w:sz="4" w:space="0" w:color="auto"/>
              <w:left w:val="single" w:sz="4" w:space="0" w:color="auto"/>
              <w:bottom w:val="single" w:sz="4" w:space="0" w:color="auto"/>
              <w:right w:val="single" w:sz="4" w:space="0" w:color="auto"/>
            </w:tcBorders>
            <w:shd w:val="clear" w:color="auto" w:fill="auto"/>
          </w:tcPr>
          <w:p w14:paraId="145F5086" w14:textId="77777777" w:rsidR="000108A4" w:rsidRPr="00C64D0B" w:rsidRDefault="000108A4" w:rsidP="006C439C">
            <w:pPr>
              <w:pStyle w:val="TableText0"/>
              <w:keepLines/>
              <w:rPr>
                <w:szCs w:val="20"/>
                <w:lang w:val="it-IT"/>
              </w:rPr>
            </w:pPr>
            <w:r w:rsidRPr="00C64D0B">
              <w:rPr>
                <w:iCs/>
                <w:szCs w:val="20"/>
                <w:lang w:val="it-IT"/>
              </w:rPr>
              <w:t>VDZ 300mg v PBO (MA: GEMINI-1, Motoya)</w:t>
            </w:r>
          </w:p>
        </w:tc>
        <w:tc>
          <w:tcPr>
            <w:tcW w:w="393" w:type="pct"/>
            <w:tcBorders>
              <w:top w:val="single" w:sz="4" w:space="0" w:color="auto"/>
              <w:left w:val="single" w:sz="4" w:space="0" w:color="auto"/>
              <w:bottom w:val="single" w:sz="4" w:space="0" w:color="auto"/>
              <w:right w:val="single" w:sz="4" w:space="0" w:color="auto"/>
            </w:tcBorders>
            <w:vAlign w:val="center"/>
          </w:tcPr>
          <w:p w14:paraId="27A0CE31" w14:textId="77777777" w:rsidR="000108A4" w:rsidRPr="00C64D0B" w:rsidRDefault="000108A4" w:rsidP="006C439C">
            <w:pPr>
              <w:pStyle w:val="TableText0"/>
              <w:keepLines/>
              <w:jc w:val="center"/>
              <w:rPr>
                <w:szCs w:val="20"/>
              </w:rPr>
            </w:pPr>
            <w:r w:rsidRPr="00C64D0B">
              <w:rPr>
                <w:szCs w:val="20"/>
              </w:rPr>
              <w:t>-</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F12F967" w14:textId="77777777" w:rsidR="000108A4" w:rsidRPr="00C64D0B" w:rsidRDefault="000108A4" w:rsidP="006C439C">
            <w:pPr>
              <w:pStyle w:val="TableText0"/>
              <w:keepLines/>
              <w:jc w:val="center"/>
              <w:rPr>
                <w:szCs w:val="20"/>
              </w:rPr>
            </w:pPr>
            <w:r w:rsidRPr="00C64D0B">
              <w:rPr>
                <w:iCs/>
                <w:szCs w:val="20"/>
              </w:rPr>
              <w:t>18/231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5F6C8D2" w14:textId="77777777" w:rsidR="000108A4" w:rsidRPr="00C64D0B" w:rsidRDefault="000108A4" w:rsidP="006C439C">
            <w:pPr>
              <w:pStyle w:val="TableText0"/>
              <w:keepLines/>
              <w:jc w:val="center"/>
              <w:rPr>
                <w:szCs w:val="20"/>
              </w:rPr>
            </w:pPr>
            <w:r w:rsidRPr="00C64D0B">
              <w:rPr>
                <w:szCs w:val="20"/>
                <w:lang w:val="it-IT"/>
              </w:rPr>
              <w:t xml:space="preserve">68/389 </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1783096B" w14:textId="77777777" w:rsidR="000108A4" w:rsidRPr="00C64D0B" w:rsidRDefault="000108A4" w:rsidP="006C439C">
            <w:pPr>
              <w:pStyle w:val="TableText0"/>
              <w:keepLines/>
              <w:jc w:val="center"/>
              <w:rPr>
                <w:szCs w:val="20"/>
              </w:rPr>
            </w:pPr>
            <w:r w:rsidRPr="00C64D0B">
              <w:rPr>
                <w:b/>
                <w:iCs/>
                <w:szCs w:val="20"/>
              </w:rPr>
              <w:t>2.14 (1.03, 4.43)</w:t>
            </w:r>
          </w:p>
        </w:tc>
        <w:tc>
          <w:tcPr>
            <w:tcW w:w="314" w:type="pct"/>
            <w:tcBorders>
              <w:top w:val="single" w:sz="4" w:space="0" w:color="auto"/>
              <w:left w:val="single" w:sz="4" w:space="0" w:color="auto"/>
              <w:bottom w:val="single" w:sz="4" w:space="0" w:color="auto"/>
              <w:right w:val="single" w:sz="4" w:space="0" w:color="auto"/>
            </w:tcBorders>
            <w:vAlign w:val="center"/>
          </w:tcPr>
          <w:p w14:paraId="190CFB5B" w14:textId="77777777" w:rsidR="000108A4" w:rsidRPr="00C64D0B" w:rsidRDefault="000108A4" w:rsidP="006C439C">
            <w:pPr>
              <w:pStyle w:val="TableText0"/>
              <w:keepLines/>
              <w:jc w:val="center"/>
              <w:rPr>
                <w:szCs w:val="20"/>
              </w:rPr>
            </w:pPr>
            <w:r w:rsidRPr="00C64D0B">
              <w:rPr>
                <w:szCs w:val="20"/>
              </w:rPr>
              <w:t>-</w:t>
            </w:r>
          </w:p>
        </w:tc>
        <w:tc>
          <w:tcPr>
            <w:tcW w:w="393" w:type="pct"/>
            <w:tcBorders>
              <w:top w:val="single" w:sz="4" w:space="0" w:color="auto"/>
              <w:left w:val="single" w:sz="4" w:space="0" w:color="auto"/>
              <w:bottom w:val="single" w:sz="4" w:space="0" w:color="auto"/>
              <w:right w:val="single" w:sz="4" w:space="0" w:color="auto"/>
            </w:tcBorders>
            <w:vAlign w:val="center"/>
          </w:tcPr>
          <w:p w14:paraId="22138F5A" w14:textId="77777777" w:rsidR="000108A4" w:rsidRPr="00C64D0B" w:rsidRDefault="000108A4" w:rsidP="006C439C">
            <w:pPr>
              <w:pStyle w:val="TableText0"/>
              <w:keepLines/>
              <w:jc w:val="center"/>
              <w:rPr>
                <w:szCs w:val="20"/>
              </w:rPr>
            </w:pPr>
            <w:r w:rsidRPr="00C64D0B">
              <w:rPr>
                <w:szCs w:val="20"/>
              </w:rPr>
              <w:t>7.8</w:t>
            </w:r>
          </w:p>
        </w:tc>
        <w:tc>
          <w:tcPr>
            <w:tcW w:w="551" w:type="pct"/>
            <w:tcBorders>
              <w:top w:val="single" w:sz="4" w:space="0" w:color="auto"/>
              <w:left w:val="single" w:sz="4" w:space="0" w:color="auto"/>
              <w:bottom w:val="single" w:sz="4" w:space="0" w:color="auto"/>
              <w:right w:val="single" w:sz="4" w:space="0" w:color="auto"/>
            </w:tcBorders>
            <w:vAlign w:val="center"/>
          </w:tcPr>
          <w:p w14:paraId="636F397F" w14:textId="77777777" w:rsidR="000108A4" w:rsidRPr="00C64D0B" w:rsidRDefault="000108A4" w:rsidP="006C439C">
            <w:pPr>
              <w:pStyle w:val="TableText0"/>
              <w:keepLines/>
              <w:jc w:val="center"/>
              <w:rPr>
                <w:szCs w:val="20"/>
              </w:rPr>
            </w:pPr>
            <w:r w:rsidRPr="00C64D0B">
              <w:rPr>
                <w:szCs w:val="20"/>
                <w:lang w:val="it-IT"/>
              </w:rPr>
              <w:t>17.5</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3CFDBA1E" w14:textId="77777777" w:rsidR="000108A4" w:rsidRPr="00C64D0B" w:rsidRDefault="000108A4" w:rsidP="006C439C">
            <w:pPr>
              <w:pStyle w:val="TableText0"/>
              <w:keepLines/>
              <w:jc w:val="center"/>
              <w:rPr>
                <w:szCs w:val="20"/>
              </w:rPr>
            </w:pPr>
            <w:r w:rsidRPr="00C64D0B">
              <w:rPr>
                <w:b/>
                <w:iCs/>
                <w:szCs w:val="20"/>
              </w:rPr>
              <w:t>0.10 (0.05, 0.15)</w:t>
            </w:r>
          </w:p>
        </w:tc>
      </w:tr>
      <w:tr w:rsidR="00EE399C" w:rsidRPr="00C64D0B" w14:paraId="4506F965" w14:textId="77777777" w:rsidTr="00E044C3">
        <w:trPr>
          <w:cantSplit/>
        </w:trPr>
        <w:tc>
          <w:tcPr>
            <w:tcW w:w="22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ECA7E1" w14:textId="77777777" w:rsidR="000108A4" w:rsidRPr="00C64D0B" w:rsidRDefault="000108A4" w:rsidP="006C439C">
            <w:pPr>
              <w:pStyle w:val="TableText0"/>
              <w:keepLines/>
              <w:rPr>
                <w:szCs w:val="20"/>
              </w:rPr>
            </w:pPr>
            <w:r w:rsidRPr="00C64D0B">
              <w:rPr>
                <w:szCs w:val="20"/>
              </w:rPr>
              <w:t xml:space="preserve">Indirect comparison: </w:t>
            </w:r>
            <w:r w:rsidRPr="00C64D0B">
              <w:rPr>
                <w:iCs/>
                <w:szCs w:val="20"/>
              </w:rPr>
              <w:t>UPA 45mg v TOF 10mg</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57F16DBB" w14:textId="77777777" w:rsidR="000108A4" w:rsidRPr="00C64D0B" w:rsidRDefault="000108A4" w:rsidP="006C439C">
            <w:pPr>
              <w:pStyle w:val="TableText0"/>
              <w:keepLines/>
              <w:jc w:val="center"/>
              <w:rPr>
                <w:szCs w:val="20"/>
              </w:rPr>
            </w:pPr>
            <w:r w:rsidRPr="00C64D0B">
              <w:rPr>
                <w:b/>
                <w:iCs/>
                <w:szCs w:val="20"/>
              </w:rPr>
              <w:t>3.59 (1.36, 9.53)</w:t>
            </w:r>
          </w:p>
        </w:tc>
        <w:tc>
          <w:tcPr>
            <w:tcW w:w="12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0B76AC" w14:textId="77777777" w:rsidR="000108A4" w:rsidRPr="00C64D0B" w:rsidRDefault="000108A4" w:rsidP="006C439C">
            <w:pPr>
              <w:pStyle w:val="TableText0"/>
              <w:keepLines/>
              <w:jc w:val="center"/>
              <w:rPr>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26D49939" w14:textId="77777777" w:rsidR="000108A4" w:rsidRPr="00C64D0B" w:rsidRDefault="000108A4" w:rsidP="006C439C">
            <w:pPr>
              <w:pStyle w:val="TableText0"/>
              <w:keepLines/>
              <w:jc w:val="center"/>
              <w:rPr>
                <w:szCs w:val="20"/>
              </w:rPr>
            </w:pPr>
            <w:r w:rsidRPr="00C64D0B">
              <w:rPr>
                <w:b/>
                <w:iCs/>
                <w:szCs w:val="20"/>
              </w:rPr>
              <w:t>0.10 (0.05, 0.15)</w:t>
            </w:r>
          </w:p>
        </w:tc>
      </w:tr>
      <w:tr w:rsidR="00EE399C" w:rsidRPr="00C64D0B" w14:paraId="7C6F45CC" w14:textId="77777777" w:rsidTr="00E044C3">
        <w:trPr>
          <w:cantSplit/>
        </w:trPr>
        <w:tc>
          <w:tcPr>
            <w:tcW w:w="22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9A81CA" w14:textId="77777777" w:rsidR="000108A4" w:rsidRPr="00C64D0B" w:rsidRDefault="000108A4" w:rsidP="006C439C">
            <w:pPr>
              <w:pStyle w:val="TableText0"/>
              <w:keepLines/>
              <w:rPr>
                <w:szCs w:val="20"/>
              </w:rPr>
            </w:pPr>
            <w:r w:rsidRPr="00C64D0B">
              <w:rPr>
                <w:szCs w:val="20"/>
              </w:rPr>
              <w:t>Indirect comparison:</w:t>
            </w:r>
            <w:r w:rsidRPr="00C64D0B">
              <w:rPr>
                <w:iCs/>
                <w:szCs w:val="20"/>
              </w:rPr>
              <w:t xml:space="preserve"> UPA 45mg v IFX 5mg/kg</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3D720404" w14:textId="77777777" w:rsidR="000108A4" w:rsidRPr="00C64D0B" w:rsidRDefault="000108A4" w:rsidP="006C439C">
            <w:pPr>
              <w:pStyle w:val="TableText0"/>
              <w:keepLines/>
              <w:jc w:val="center"/>
              <w:rPr>
                <w:szCs w:val="20"/>
              </w:rPr>
            </w:pPr>
            <w:r w:rsidRPr="00C64D0B">
              <w:rPr>
                <w:b/>
                <w:iCs/>
                <w:szCs w:val="20"/>
              </w:rPr>
              <w:t>3.90 (1.81, 8.38)</w:t>
            </w:r>
          </w:p>
        </w:tc>
        <w:tc>
          <w:tcPr>
            <w:tcW w:w="12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10DAED" w14:textId="77777777" w:rsidR="000108A4" w:rsidRPr="00C64D0B" w:rsidRDefault="000108A4" w:rsidP="006C439C">
            <w:pPr>
              <w:pStyle w:val="TableText0"/>
              <w:keepLines/>
              <w:jc w:val="center"/>
              <w:rPr>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53ABAF41" w14:textId="77777777" w:rsidR="000108A4" w:rsidRPr="00C64D0B" w:rsidRDefault="000108A4" w:rsidP="006C439C">
            <w:pPr>
              <w:pStyle w:val="TableText0"/>
              <w:keepLines/>
              <w:jc w:val="center"/>
              <w:rPr>
                <w:szCs w:val="20"/>
              </w:rPr>
            </w:pPr>
            <w:r w:rsidRPr="00C64D0B">
              <w:rPr>
                <w:iCs/>
                <w:szCs w:val="20"/>
              </w:rPr>
              <w:t>0.02 (-0.07, 0.11)</w:t>
            </w:r>
          </w:p>
        </w:tc>
      </w:tr>
      <w:tr w:rsidR="00EE399C" w:rsidRPr="00C64D0B" w14:paraId="3F652773" w14:textId="77777777" w:rsidTr="00E044C3">
        <w:trPr>
          <w:cantSplit/>
        </w:trPr>
        <w:tc>
          <w:tcPr>
            <w:tcW w:w="22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D5A69C" w14:textId="77777777" w:rsidR="000108A4" w:rsidRPr="00C64D0B" w:rsidRDefault="000108A4" w:rsidP="006C439C">
            <w:pPr>
              <w:pStyle w:val="TableText0"/>
              <w:keepLines/>
              <w:rPr>
                <w:szCs w:val="20"/>
              </w:rPr>
            </w:pPr>
            <w:r w:rsidRPr="00C64D0B">
              <w:rPr>
                <w:szCs w:val="20"/>
              </w:rPr>
              <w:t xml:space="preserve">Indirect comparison: </w:t>
            </w:r>
            <w:r w:rsidRPr="00C64D0B">
              <w:rPr>
                <w:iCs/>
                <w:szCs w:val="20"/>
              </w:rPr>
              <w:t>UPA 45mg v GOL 200-&gt;100mg</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4665801E" w14:textId="77777777" w:rsidR="000108A4" w:rsidRPr="00C64D0B" w:rsidRDefault="000108A4" w:rsidP="006C439C">
            <w:pPr>
              <w:pStyle w:val="TableText0"/>
              <w:keepLines/>
              <w:jc w:val="center"/>
              <w:rPr>
                <w:szCs w:val="20"/>
              </w:rPr>
            </w:pPr>
            <w:r w:rsidRPr="00C64D0B">
              <w:rPr>
                <w:b/>
                <w:iCs/>
                <w:szCs w:val="20"/>
              </w:rPr>
              <w:t>3.80 (1.60, 9.05)</w:t>
            </w:r>
          </w:p>
        </w:tc>
        <w:tc>
          <w:tcPr>
            <w:tcW w:w="12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F0E9BF" w14:textId="77777777" w:rsidR="000108A4" w:rsidRPr="00C64D0B" w:rsidRDefault="000108A4" w:rsidP="006C439C">
            <w:pPr>
              <w:pStyle w:val="TableText0"/>
              <w:keepLines/>
              <w:jc w:val="center"/>
              <w:rPr>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3B441EFA" w14:textId="77777777" w:rsidR="000108A4" w:rsidRPr="00C64D0B" w:rsidRDefault="000108A4" w:rsidP="006C439C">
            <w:pPr>
              <w:pStyle w:val="TableText0"/>
              <w:keepLines/>
              <w:jc w:val="center"/>
              <w:rPr>
                <w:szCs w:val="20"/>
              </w:rPr>
            </w:pPr>
            <w:r w:rsidRPr="00C64D0B">
              <w:rPr>
                <w:b/>
                <w:iCs/>
                <w:szCs w:val="20"/>
              </w:rPr>
              <w:t>0.11 (0.04, 0.18)</w:t>
            </w:r>
          </w:p>
        </w:tc>
      </w:tr>
      <w:tr w:rsidR="00EE399C" w:rsidRPr="00C64D0B" w14:paraId="08FD7D54" w14:textId="77777777" w:rsidTr="00E044C3">
        <w:trPr>
          <w:cantSplit/>
        </w:trPr>
        <w:tc>
          <w:tcPr>
            <w:tcW w:w="22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A73D52" w14:textId="77777777" w:rsidR="000108A4" w:rsidRPr="00C64D0B" w:rsidRDefault="000108A4" w:rsidP="006C439C">
            <w:pPr>
              <w:pStyle w:val="TableText0"/>
              <w:keepLines/>
              <w:rPr>
                <w:szCs w:val="20"/>
              </w:rPr>
            </w:pPr>
            <w:r w:rsidRPr="00C64D0B">
              <w:rPr>
                <w:szCs w:val="20"/>
              </w:rPr>
              <w:t xml:space="preserve">Indirect comparison: </w:t>
            </w:r>
            <w:r w:rsidRPr="00C64D0B">
              <w:rPr>
                <w:iCs/>
                <w:szCs w:val="20"/>
                <w:lang w:val="pt-PT"/>
              </w:rPr>
              <w:t>UPA 45mg v ADA 160-&gt;80mg</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78E844C2" w14:textId="77777777" w:rsidR="000108A4" w:rsidRPr="00C64D0B" w:rsidRDefault="000108A4" w:rsidP="006C439C">
            <w:pPr>
              <w:pStyle w:val="TableText0"/>
              <w:keepLines/>
              <w:jc w:val="center"/>
              <w:rPr>
                <w:szCs w:val="20"/>
              </w:rPr>
            </w:pPr>
            <w:r w:rsidRPr="00C64D0B">
              <w:rPr>
                <w:b/>
                <w:iCs/>
                <w:szCs w:val="20"/>
              </w:rPr>
              <w:t>6.71 (3.04, 14.83)</w:t>
            </w:r>
          </w:p>
        </w:tc>
        <w:tc>
          <w:tcPr>
            <w:tcW w:w="12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2BBBE" w14:textId="77777777" w:rsidR="000108A4" w:rsidRPr="00C64D0B" w:rsidRDefault="000108A4" w:rsidP="006C439C">
            <w:pPr>
              <w:pStyle w:val="TableText0"/>
              <w:keepLines/>
              <w:jc w:val="center"/>
              <w:rPr>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5B0925D7" w14:textId="77777777" w:rsidR="000108A4" w:rsidRPr="00C64D0B" w:rsidRDefault="000108A4" w:rsidP="006C439C">
            <w:pPr>
              <w:pStyle w:val="TableText0"/>
              <w:keepLines/>
              <w:jc w:val="center"/>
              <w:rPr>
                <w:szCs w:val="20"/>
              </w:rPr>
            </w:pPr>
            <w:r w:rsidRPr="00C64D0B">
              <w:rPr>
                <w:b/>
                <w:iCs/>
                <w:szCs w:val="20"/>
              </w:rPr>
              <w:t>0.17 (0.10, 0.24)</w:t>
            </w:r>
          </w:p>
        </w:tc>
      </w:tr>
      <w:tr w:rsidR="00EE399C" w:rsidRPr="00C64D0B" w14:paraId="7D256E67" w14:textId="77777777" w:rsidTr="00E044C3">
        <w:trPr>
          <w:cantSplit/>
        </w:trPr>
        <w:tc>
          <w:tcPr>
            <w:tcW w:w="22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BDC4BF" w14:textId="77777777" w:rsidR="000108A4" w:rsidRPr="00C64D0B" w:rsidRDefault="000108A4" w:rsidP="006C439C">
            <w:pPr>
              <w:pStyle w:val="TableText0"/>
              <w:keepLines/>
              <w:rPr>
                <w:szCs w:val="20"/>
              </w:rPr>
            </w:pPr>
            <w:r w:rsidRPr="00C64D0B">
              <w:rPr>
                <w:szCs w:val="20"/>
              </w:rPr>
              <w:t xml:space="preserve">Indirect comparison: </w:t>
            </w:r>
            <w:r w:rsidRPr="00C64D0B">
              <w:rPr>
                <w:iCs/>
                <w:szCs w:val="20"/>
                <w:lang w:val="pt-PT"/>
              </w:rPr>
              <w:t>UPA 45mg v VDZ 300mg</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2E31CD4C" w14:textId="77777777" w:rsidR="000108A4" w:rsidRPr="00C64D0B" w:rsidRDefault="000108A4" w:rsidP="006C439C">
            <w:pPr>
              <w:pStyle w:val="TableText0"/>
              <w:keepLines/>
              <w:jc w:val="center"/>
              <w:rPr>
                <w:szCs w:val="20"/>
              </w:rPr>
            </w:pPr>
            <w:r w:rsidRPr="00C64D0B">
              <w:rPr>
                <w:b/>
                <w:iCs/>
                <w:szCs w:val="20"/>
              </w:rPr>
              <w:t>4.95 (1.83, 13.40)</w:t>
            </w:r>
          </w:p>
        </w:tc>
        <w:tc>
          <w:tcPr>
            <w:tcW w:w="12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9DA477" w14:textId="77777777" w:rsidR="000108A4" w:rsidRPr="00C64D0B" w:rsidRDefault="000108A4" w:rsidP="006C439C">
            <w:pPr>
              <w:pStyle w:val="TableText0"/>
              <w:keepLines/>
              <w:jc w:val="center"/>
              <w:rPr>
                <w:szCs w:val="20"/>
              </w:rPr>
            </w:pPr>
            <w:r w:rsidRPr="00C64D0B">
              <w:rPr>
                <w:szCs w:val="20"/>
              </w:rPr>
              <w:t>-</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05BB4A7E" w14:textId="77777777" w:rsidR="000108A4" w:rsidRPr="00C64D0B" w:rsidRDefault="000108A4" w:rsidP="006C439C">
            <w:pPr>
              <w:pStyle w:val="TableText0"/>
              <w:keepLines/>
              <w:jc w:val="center"/>
              <w:rPr>
                <w:szCs w:val="20"/>
              </w:rPr>
            </w:pPr>
            <w:r w:rsidRPr="00C64D0B">
              <w:rPr>
                <w:b/>
                <w:iCs/>
                <w:szCs w:val="20"/>
              </w:rPr>
              <w:t>0.12 (0.06, 0.18)</w:t>
            </w:r>
          </w:p>
        </w:tc>
      </w:tr>
    </w:tbl>
    <w:p w14:paraId="43EFAA75" w14:textId="77777777" w:rsidR="000108A4" w:rsidRPr="000D5E43" w:rsidRDefault="000108A4" w:rsidP="006C439C">
      <w:pPr>
        <w:keepNext/>
        <w:keepLines/>
        <w:rPr>
          <w:rFonts w:ascii="Arial Narrow" w:hAnsi="Arial Narrow"/>
          <w:sz w:val="18"/>
          <w:szCs w:val="18"/>
        </w:rPr>
      </w:pPr>
      <w:r w:rsidRPr="00B90E4F">
        <w:rPr>
          <w:rFonts w:ascii="Arial Narrow" w:hAnsi="Arial Narrow"/>
          <w:sz w:val="18"/>
          <w:szCs w:val="18"/>
        </w:rPr>
        <w:t>Source: Table 2-32, pp107-108 of the submission; Table 2-33, pp111-112 of the submission; Table 2-35, pp119-120 of the submission, Table 2-36, pp120-121 of the submission; Fig</w:t>
      </w:r>
      <w:r>
        <w:rPr>
          <w:rFonts w:ascii="Arial Narrow" w:hAnsi="Arial Narrow"/>
          <w:sz w:val="18"/>
          <w:szCs w:val="18"/>
        </w:rPr>
        <w:t>ure 2, p1208 of the submission.</w:t>
      </w:r>
    </w:p>
    <w:p w14:paraId="5C6B3679" w14:textId="77777777" w:rsidR="000108A4" w:rsidRDefault="000108A4" w:rsidP="006C439C">
      <w:pPr>
        <w:pStyle w:val="TableFigureFooter"/>
        <w:keepNext/>
        <w:keepLines/>
      </w:pPr>
      <w:r w:rsidRPr="00F8361E">
        <w:t>A</w:t>
      </w:r>
      <w:r>
        <w:t xml:space="preserve">DA = adalimumab; GOL = golimumab; </w:t>
      </w:r>
      <w:r w:rsidRPr="00C51287">
        <w:t>IFX = infliximab</w:t>
      </w:r>
      <w:r>
        <w:t xml:space="preserve">; TOF = tofacitinib; UPA = upadacitinib; VDZ = vedolizumab; </w:t>
      </w:r>
      <w:r>
        <w:rPr>
          <w:szCs w:val="18"/>
        </w:rPr>
        <w:t>FMS=full Mayo score; MA=meta-analysis</w:t>
      </w:r>
      <w:r>
        <w:t xml:space="preserve">; HR = hazard ratio; </w:t>
      </w:r>
      <w:r w:rsidRPr="0072416F">
        <w:t>PBO = placebo; RD = risk difference; RR = risk ratio</w:t>
      </w:r>
      <w:r>
        <w:t>.</w:t>
      </w:r>
    </w:p>
    <w:p w14:paraId="62B779D1" w14:textId="77777777" w:rsidR="009424B8" w:rsidRDefault="009424B8" w:rsidP="009424B8">
      <w:pPr>
        <w:pStyle w:val="3-BodyText"/>
      </w:pPr>
      <w:r>
        <w:t xml:space="preserve">On the basis of indirect evidence presented by the submission, for every 100 patients treated with UPA over the </w:t>
      </w:r>
      <w:r w:rsidRPr="00984761">
        <w:rPr>
          <w:u w:val="single"/>
        </w:rPr>
        <w:t>induction</w:t>
      </w:r>
      <w:r>
        <w:t xml:space="preserve"> treatment period (of between 6 to 10 weeks), in comparison with:</w:t>
      </w:r>
    </w:p>
    <w:p w14:paraId="33C921CC" w14:textId="77777777" w:rsidR="009424B8" w:rsidRPr="00151502" w:rsidRDefault="009424B8" w:rsidP="009424B8">
      <w:pPr>
        <w:pStyle w:val="ListParagraph"/>
        <w:ind w:left="1134"/>
      </w:pPr>
      <w:r>
        <w:rPr>
          <w:u w:val="single"/>
        </w:rPr>
        <w:t>TOF</w:t>
      </w:r>
      <w:r>
        <w:t xml:space="preserve"> – Approximately 10</w:t>
      </w:r>
      <w:r w:rsidRPr="00151502">
        <w:t xml:space="preserve"> additiona</w:t>
      </w:r>
      <w:r>
        <w:t>l patients would achieve clinical remission</w:t>
      </w:r>
      <w:r w:rsidRPr="00151502">
        <w:t>.</w:t>
      </w:r>
    </w:p>
    <w:p w14:paraId="4622571E" w14:textId="77777777" w:rsidR="009424B8" w:rsidRDefault="009424B8" w:rsidP="009424B8">
      <w:pPr>
        <w:pStyle w:val="ListParagraph"/>
        <w:ind w:left="1134"/>
      </w:pPr>
      <w:r>
        <w:rPr>
          <w:u w:val="single"/>
        </w:rPr>
        <w:t>GOL</w:t>
      </w:r>
      <w:r w:rsidRPr="00151502">
        <w:rPr>
          <w:u w:val="single"/>
        </w:rPr>
        <w:t xml:space="preserve"> </w:t>
      </w:r>
      <w:r>
        <w:t>– Approximately 11</w:t>
      </w:r>
      <w:r w:rsidRPr="00151502">
        <w:t xml:space="preserve"> additional patients would a</w:t>
      </w:r>
      <w:r>
        <w:t>chieve clinical remission</w:t>
      </w:r>
      <w:r w:rsidRPr="00151502">
        <w:t>.</w:t>
      </w:r>
    </w:p>
    <w:p w14:paraId="2E74E2BB" w14:textId="77777777" w:rsidR="009424B8" w:rsidRDefault="009424B8" w:rsidP="009424B8">
      <w:pPr>
        <w:pStyle w:val="ListParagraph"/>
        <w:ind w:left="1134"/>
      </w:pPr>
      <w:r>
        <w:rPr>
          <w:u w:val="single"/>
        </w:rPr>
        <w:t>ADA</w:t>
      </w:r>
      <w:r w:rsidRPr="00151502">
        <w:rPr>
          <w:u w:val="single"/>
        </w:rPr>
        <w:t xml:space="preserve"> </w:t>
      </w:r>
      <w:r>
        <w:t>– Approximately 17</w:t>
      </w:r>
      <w:r w:rsidRPr="00151502">
        <w:t xml:space="preserve"> additional patients would a</w:t>
      </w:r>
      <w:r>
        <w:t>chieve clinical remission</w:t>
      </w:r>
      <w:r w:rsidRPr="00151502">
        <w:t>.</w:t>
      </w:r>
    </w:p>
    <w:p w14:paraId="552AE8B0" w14:textId="77777777" w:rsidR="009424B8" w:rsidRDefault="009424B8" w:rsidP="009424B8">
      <w:pPr>
        <w:pStyle w:val="ListParagraph"/>
        <w:ind w:left="1134"/>
      </w:pPr>
      <w:r>
        <w:rPr>
          <w:u w:val="single"/>
        </w:rPr>
        <w:t>VDZ</w:t>
      </w:r>
      <w:r w:rsidRPr="00151502">
        <w:rPr>
          <w:u w:val="single"/>
        </w:rPr>
        <w:t xml:space="preserve"> </w:t>
      </w:r>
      <w:r>
        <w:t>– Approximately 12</w:t>
      </w:r>
      <w:r w:rsidRPr="00151502">
        <w:t xml:space="preserve"> additional patients would a</w:t>
      </w:r>
      <w:r>
        <w:t>chieve clinical remission</w:t>
      </w:r>
      <w:r w:rsidRPr="00151502">
        <w:t>.</w:t>
      </w:r>
    </w:p>
    <w:p w14:paraId="6A2D9016" w14:textId="77777777" w:rsidR="009424B8" w:rsidRPr="00151502" w:rsidRDefault="009424B8" w:rsidP="009424B8">
      <w:pPr>
        <w:pStyle w:val="ListParagraph"/>
        <w:ind w:left="1134"/>
      </w:pPr>
      <w:r>
        <w:rPr>
          <w:u w:val="single"/>
        </w:rPr>
        <w:t>IFX</w:t>
      </w:r>
      <w:r w:rsidRPr="00151502">
        <w:rPr>
          <w:u w:val="single"/>
        </w:rPr>
        <w:t xml:space="preserve"> </w:t>
      </w:r>
      <w:r>
        <w:t>– No significant difference (*based on the risk difference statistic).</w:t>
      </w:r>
    </w:p>
    <w:p w14:paraId="70FD8843" w14:textId="77777777" w:rsidR="009424B8" w:rsidRPr="00C9624D" w:rsidRDefault="009424B8" w:rsidP="009424B8">
      <w:pPr>
        <w:pStyle w:val="4-SubsectionHeading"/>
      </w:pPr>
      <w:bookmarkStart w:id="38" w:name="_Toc22897644"/>
      <w:bookmarkStart w:id="39" w:name="_Toc103774341"/>
      <w:r w:rsidRPr="00C9624D">
        <w:t>Clinical claim</w:t>
      </w:r>
      <w:bookmarkEnd w:id="38"/>
      <w:bookmarkEnd w:id="39"/>
    </w:p>
    <w:p w14:paraId="49615E3D" w14:textId="77777777" w:rsidR="009424B8" w:rsidRPr="00073E7B" w:rsidRDefault="009424B8" w:rsidP="009424B8">
      <w:pPr>
        <w:pStyle w:val="ListParagraph"/>
        <w:numPr>
          <w:ilvl w:val="1"/>
          <w:numId w:val="1"/>
        </w:numPr>
        <w:spacing w:after="160"/>
        <w:rPr>
          <w:rFonts w:ascii="Calibri" w:eastAsiaTheme="minorEastAsia" w:hAnsi="Calibri"/>
          <w:color w:val="000000" w:themeColor="text1"/>
          <w:szCs w:val="22"/>
          <w:lang w:eastAsia="en-US"/>
        </w:rPr>
      </w:pPr>
      <w:r w:rsidRPr="00C16C6A">
        <w:rPr>
          <w:rFonts w:eastAsiaTheme="minorEastAsia"/>
          <w:lang w:eastAsia="en-US"/>
        </w:rPr>
        <w:t>For induction therapy, th</w:t>
      </w:r>
      <w:r>
        <w:rPr>
          <w:rFonts w:eastAsiaTheme="minorEastAsia"/>
          <w:lang w:eastAsia="en-US"/>
        </w:rPr>
        <w:t xml:space="preserve">e submission described UPA as </w:t>
      </w:r>
      <w:r w:rsidRPr="004B0ABE">
        <w:rPr>
          <w:rFonts w:eastAsiaTheme="minorEastAsia"/>
          <w:u w:val="single"/>
          <w:lang w:eastAsia="en-US"/>
        </w:rPr>
        <w:t>superior</w:t>
      </w:r>
      <w:r w:rsidRPr="00C16C6A">
        <w:rPr>
          <w:rFonts w:eastAsiaTheme="minorEastAsia"/>
          <w:lang w:eastAsia="en-US"/>
        </w:rPr>
        <w:t xml:space="preserve"> in terms of efficacy and </w:t>
      </w:r>
      <w:r>
        <w:rPr>
          <w:rFonts w:eastAsiaTheme="minorEastAsia"/>
          <w:lang w:eastAsia="en-US"/>
        </w:rPr>
        <w:t xml:space="preserve">non-inferior in terms of </w:t>
      </w:r>
      <w:r w:rsidRPr="00C16C6A">
        <w:rPr>
          <w:rFonts w:eastAsiaTheme="minorEastAsia"/>
          <w:lang w:eastAsia="en-US"/>
        </w:rPr>
        <w:t>safety when compared with</w:t>
      </w:r>
      <w:r>
        <w:rPr>
          <w:rFonts w:eastAsiaTheme="minorEastAsia"/>
          <w:lang w:eastAsia="en-US"/>
        </w:rPr>
        <w:t xml:space="preserve"> </w:t>
      </w:r>
      <w:r>
        <w:t>all PBS-listed treatments (TOF, IFX, VDZ, GOL and ADA)</w:t>
      </w:r>
      <w:r w:rsidRPr="00C16C6A">
        <w:rPr>
          <w:rFonts w:eastAsiaTheme="minorEastAsia"/>
          <w:lang w:eastAsia="en-US"/>
        </w:rPr>
        <w:t>.</w:t>
      </w:r>
      <w:r w:rsidRPr="004B0ABE">
        <w:rPr>
          <w:rFonts w:ascii="Calibri" w:eastAsiaTheme="minorEastAsia" w:hAnsi="Calibri"/>
          <w:color w:val="000000" w:themeColor="text1"/>
          <w:szCs w:val="22"/>
          <w:lang w:eastAsia="en-US"/>
        </w:rPr>
        <w:t xml:space="preserve"> </w:t>
      </w:r>
      <w:r w:rsidRPr="00C16C6A">
        <w:rPr>
          <w:rFonts w:ascii="Calibri" w:eastAsiaTheme="minorEastAsia" w:hAnsi="Calibri"/>
          <w:color w:val="000000" w:themeColor="text1"/>
          <w:szCs w:val="22"/>
          <w:lang w:eastAsia="en-US"/>
        </w:rPr>
        <w:t>For maintenance therapy, the submiss</w:t>
      </w:r>
      <w:r>
        <w:rPr>
          <w:rFonts w:ascii="Calibri" w:eastAsiaTheme="minorEastAsia" w:hAnsi="Calibri"/>
          <w:color w:val="000000" w:themeColor="text1"/>
          <w:szCs w:val="22"/>
          <w:lang w:eastAsia="en-US"/>
        </w:rPr>
        <w:t>ion described UPA</w:t>
      </w:r>
      <w:r w:rsidRPr="00C16C6A">
        <w:rPr>
          <w:rFonts w:ascii="Calibri" w:eastAsiaTheme="minorEastAsia" w:hAnsi="Calibri"/>
          <w:color w:val="000000" w:themeColor="text1"/>
          <w:szCs w:val="22"/>
          <w:lang w:eastAsia="en-US"/>
        </w:rPr>
        <w:t xml:space="preserve"> as non-inferior in terms of efficacy and safet</w:t>
      </w:r>
      <w:r>
        <w:rPr>
          <w:rFonts w:ascii="Calibri" w:eastAsiaTheme="minorEastAsia" w:hAnsi="Calibri"/>
          <w:color w:val="000000" w:themeColor="text1"/>
          <w:szCs w:val="22"/>
          <w:lang w:eastAsia="en-US"/>
        </w:rPr>
        <w:t>y when compared with TOF, VDZ and GOL</w:t>
      </w:r>
      <w:r w:rsidRPr="00C16C6A">
        <w:rPr>
          <w:rFonts w:ascii="Calibri" w:eastAsiaTheme="minorEastAsia" w:hAnsi="Calibri"/>
          <w:color w:val="000000" w:themeColor="text1"/>
          <w:szCs w:val="22"/>
          <w:lang w:eastAsia="en-US"/>
        </w:rPr>
        <w:t>.</w:t>
      </w:r>
      <w:r>
        <w:rPr>
          <w:rFonts w:ascii="Calibri" w:eastAsiaTheme="minorEastAsia" w:hAnsi="Calibri"/>
          <w:color w:val="000000" w:themeColor="text1"/>
          <w:szCs w:val="22"/>
          <w:lang w:eastAsia="en-US"/>
        </w:rPr>
        <w:t xml:space="preserve"> The submission did not compare UPA to IFX and ADA in maintenance due to fundamental differences across trial designs.</w:t>
      </w:r>
    </w:p>
    <w:p w14:paraId="1B374BB6" w14:textId="208F904B" w:rsidR="004626D3" w:rsidRPr="004626D3" w:rsidRDefault="009424B8" w:rsidP="004626D3">
      <w:pPr>
        <w:pStyle w:val="3-BodyText"/>
        <w:rPr>
          <w:rFonts w:eastAsiaTheme="minorEastAsia"/>
          <w:lang w:eastAsia="en-US"/>
        </w:rPr>
      </w:pPr>
      <w:r w:rsidRPr="0064550B">
        <w:t>The therapeutic claim of superior effectiveness between UPA and the PBS-listed comparators for induction treatment requires consideration because the UPA trials may not be sufficiently similar to the comparator trials to conduct a reliable (unadjusted) indirect treatment comparison. Although the results indicated that UPA may be superior to all PBS-listed comparators,</w:t>
      </w:r>
      <w:r w:rsidR="00BC000B">
        <w:t xml:space="preserve"> </w:t>
      </w:r>
      <w:r w:rsidR="00BC000B" w:rsidRPr="004626D3">
        <w:t>the ESC considered</w:t>
      </w:r>
      <w:r w:rsidRPr="004626D3">
        <w:t xml:space="preserve"> there </w:t>
      </w:r>
      <w:r w:rsidR="00BC000B" w:rsidRPr="004626D3">
        <w:t>was</w:t>
      </w:r>
      <w:r w:rsidRPr="004626D3">
        <w:t xml:space="preserve"> considerable uncertainty around the </w:t>
      </w:r>
      <w:r w:rsidR="00BC000B" w:rsidRPr="004626D3">
        <w:t>robustness of the claim</w:t>
      </w:r>
      <w:r w:rsidR="008A1466" w:rsidRPr="004626D3">
        <w:t xml:space="preserve">, </w:t>
      </w:r>
      <w:r w:rsidR="00D1611C" w:rsidRPr="004626D3">
        <w:t>given</w:t>
      </w:r>
      <w:r w:rsidR="00BC000B" w:rsidRPr="004626D3">
        <w:t xml:space="preserve"> the</w:t>
      </w:r>
      <w:r w:rsidR="00D1611C" w:rsidRPr="004626D3">
        <w:t xml:space="preserve"> uncertainty as to the exchangeability of the trials. </w:t>
      </w:r>
      <w:r w:rsidR="008A1466" w:rsidRPr="004626D3">
        <w:t>Furthermore, the ESC</w:t>
      </w:r>
      <w:r w:rsidR="00BC000B" w:rsidRPr="004626D3">
        <w:t xml:space="preserve"> was particularly concerned by the uncertainty arising from the low</w:t>
      </w:r>
      <w:r w:rsidR="002C74F5" w:rsidRPr="004626D3">
        <w:t>er</w:t>
      </w:r>
      <w:r w:rsidR="00BC000B" w:rsidRPr="004626D3">
        <w:t xml:space="preserve"> placebo response rates observed in the UPA trials and implications for the comparisons</w:t>
      </w:r>
      <w:r w:rsidR="008A1466" w:rsidRPr="004626D3">
        <w:t>, and noted there was no evidence this issue was adjusted for in the NMA presented in the PSCR</w:t>
      </w:r>
      <w:r w:rsidR="00BC000B" w:rsidRPr="004626D3">
        <w:t xml:space="preserve">. </w:t>
      </w:r>
      <w:r w:rsidR="00E706E2" w:rsidRPr="0064550B">
        <w:t xml:space="preserve">No </w:t>
      </w:r>
      <w:r w:rsidR="00BC7926" w:rsidRPr="0064550B">
        <w:t xml:space="preserve">head-to-head evidence </w:t>
      </w:r>
      <w:r w:rsidR="00E706E2" w:rsidRPr="0064550B">
        <w:t xml:space="preserve">was available </w:t>
      </w:r>
      <w:r w:rsidR="00BC7926" w:rsidRPr="0064550B">
        <w:t xml:space="preserve">for UPA vs. any of </w:t>
      </w:r>
      <w:r w:rsidR="00941199" w:rsidRPr="0064550B">
        <w:t xml:space="preserve">the </w:t>
      </w:r>
      <w:r w:rsidR="00BC7926" w:rsidRPr="0064550B">
        <w:t>comparators for the treatment of MSUC.</w:t>
      </w:r>
    </w:p>
    <w:p w14:paraId="5FD8663C" w14:textId="02327D2E" w:rsidR="004626D3" w:rsidRPr="00A132AD" w:rsidRDefault="004626D3" w:rsidP="004626D3">
      <w:pPr>
        <w:widowControl w:val="0"/>
        <w:numPr>
          <w:ilvl w:val="1"/>
          <w:numId w:val="1"/>
        </w:numPr>
        <w:spacing w:after="120"/>
        <w:rPr>
          <w:rFonts w:asciiTheme="minorHAnsi" w:hAnsiTheme="minorHAnsi"/>
          <w:snapToGrid w:val="0"/>
          <w:szCs w:val="20"/>
        </w:rPr>
      </w:pPr>
      <w:bookmarkStart w:id="40" w:name="_Hlk76376200"/>
      <w:r w:rsidRPr="00A132AD">
        <w:rPr>
          <w:rFonts w:asciiTheme="minorHAnsi" w:hAnsiTheme="minorHAnsi"/>
          <w:iCs/>
          <w:snapToGrid w:val="0"/>
        </w:rPr>
        <w:t>The</w:t>
      </w:r>
      <w:r w:rsidRPr="00A132AD">
        <w:rPr>
          <w:rFonts w:asciiTheme="minorHAnsi" w:hAnsiTheme="minorHAnsi"/>
          <w:snapToGrid w:val="0"/>
          <w:szCs w:val="20"/>
        </w:rPr>
        <w:t xml:space="preserve"> PBAC considered that the claim of superior comparative effectiveness</w:t>
      </w:r>
      <w:r w:rsidR="00736657" w:rsidRPr="00A132AD">
        <w:rPr>
          <w:rFonts w:asciiTheme="minorHAnsi" w:hAnsiTheme="minorHAnsi"/>
          <w:snapToGrid w:val="0"/>
          <w:szCs w:val="20"/>
        </w:rPr>
        <w:t xml:space="preserve"> in induction therapy was adequately supported versus ADA</w:t>
      </w:r>
      <w:r w:rsidR="00A132AD" w:rsidRPr="00A132AD">
        <w:rPr>
          <w:rFonts w:asciiTheme="minorHAnsi" w:hAnsiTheme="minorHAnsi"/>
          <w:snapToGrid w:val="0"/>
          <w:szCs w:val="20"/>
        </w:rPr>
        <w:t>,</w:t>
      </w:r>
      <w:r w:rsidR="00A950DF">
        <w:rPr>
          <w:rFonts w:asciiTheme="minorHAnsi" w:hAnsiTheme="minorHAnsi"/>
          <w:snapToGrid w:val="0"/>
          <w:szCs w:val="20"/>
        </w:rPr>
        <w:t xml:space="preserve"> and also considered the claim may be supported versus TOF, VDZ and GOL (but was of uncertain clinical significance), however was likely not supported versus IFX.</w:t>
      </w:r>
      <w:r w:rsidR="00736657" w:rsidRPr="00A132AD">
        <w:rPr>
          <w:rFonts w:asciiTheme="minorHAnsi" w:hAnsiTheme="minorHAnsi"/>
          <w:snapToGrid w:val="0"/>
          <w:szCs w:val="20"/>
        </w:rPr>
        <w:t xml:space="preserve"> The PBAC considered the claim of non-inferior comparative effectiveness in maintenance therapy was adequately supported.</w:t>
      </w:r>
      <w:r w:rsidRPr="00A132AD">
        <w:rPr>
          <w:rFonts w:asciiTheme="minorHAnsi" w:hAnsiTheme="minorHAnsi"/>
          <w:snapToGrid w:val="0"/>
          <w:szCs w:val="20"/>
        </w:rPr>
        <w:t xml:space="preserve"> </w:t>
      </w:r>
    </w:p>
    <w:p w14:paraId="0BD6FF31" w14:textId="08371EDE" w:rsidR="004626D3" w:rsidRPr="00A132AD" w:rsidRDefault="004626D3" w:rsidP="004626D3">
      <w:pPr>
        <w:widowControl w:val="0"/>
        <w:numPr>
          <w:ilvl w:val="1"/>
          <w:numId w:val="1"/>
        </w:numPr>
        <w:spacing w:after="120"/>
        <w:rPr>
          <w:rFonts w:asciiTheme="minorHAnsi" w:hAnsiTheme="minorHAnsi"/>
          <w:snapToGrid w:val="0"/>
          <w:szCs w:val="20"/>
        </w:rPr>
      </w:pPr>
      <w:r w:rsidRPr="00A132AD">
        <w:rPr>
          <w:rFonts w:asciiTheme="minorHAnsi" w:hAnsiTheme="minorHAnsi"/>
          <w:snapToGrid w:val="0"/>
          <w:szCs w:val="20"/>
        </w:rPr>
        <w:t xml:space="preserve">The PBAC considered that the claim of non-inferior comparative safety was </w:t>
      </w:r>
      <w:r w:rsidR="00D51FCB">
        <w:rPr>
          <w:rFonts w:asciiTheme="minorHAnsi" w:hAnsiTheme="minorHAnsi"/>
          <w:snapToGrid w:val="0"/>
          <w:szCs w:val="20"/>
        </w:rPr>
        <w:t>adequately supported by the clinical evidence presented in the submission</w:t>
      </w:r>
      <w:r w:rsidR="00736657" w:rsidRPr="00A132AD">
        <w:rPr>
          <w:rFonts w:asciiTheme="minorHAnsi" w:hAnsiTheme="minorHAnsi"/>
          <w:snapToGrid w:val="0"/>
          <w:szCs w:val="20"/>
        </w:rPr>
        <w:t>.</w:t>
      </w:r>
    </w:p>
    <w:bookmarkEnd w:id="40"/>
    <w:p w14:paraId="0EE91F90" w14:textId="77777777" w:rsidR="004626D3" w:rsidRPr="0064550B" w:rsidRDefault="004626D3" w:rsidP="004626D3">
      <w:pPr>
        <w:pStyle w:val="3-BodyText"/>
        <w:numPr>
          <w:ilvl w:val="0"/>
          <w:numId w:val="0"/>
        </w:numPr>
        <w:ind w:left="720"/>
        <w:rPr>
          <w:rFonts w:eastAsiaTheme="minorEastAsia"/>
          <w:lang w:eastAsia="en-US"/>
        </w:rPr>
      </w:pPr>
    </w:p>
    <w:p w14:paraId="551302A4" w14:textId="77777777" w:rsidR="009424B8" w:rsidRPr="00173F1F" w:rsidRDefault="009424B8" w:rsidP="009424B8">
      <w:pPr>
        <w:pStyle w:val="4-SubsectionHeading"/>
      </w:pPr>
      <w:bookmarkStart w:id="41" w:name="_Toc22897645"/>
      <w:bookmarkStart w:id="42" w:name="_Toc103774342"/>
      <w:r w:rsidRPr="00C9624D">
        <w:t>Economic analysis</w:t>
      </w:r>
      <w:bookmarkEnd w:id="41"/>
      <w:bookmarkEnd w:id="42"/>
    </w:p>
    <w:p w14:paraId="5559295D" w14:textId="0F6E54FB" w:rsidR="009424B8" w:rsidRPr="00B611E7" w:rsidRDefault="009424B8" w:rsidP="009424B8">
      <w:pPr>
        <w:pStyle w:val="3-BodyText"/>
        <w:rPr>
          <w:b/>
          <w:bCs/>
          <w:lang w:val="en-US"/>
        </w:rPr>
      </w:pPr>
      <w:r>
        <w:t xml:space="preserve">The submission conducted: (i) </w:t>
      </w:r>
      <w:r w:rsidRPr="00173F1F">
        <w:rPr>
          <w:u w:val="single"/>
        </w:rPr>
        <w:t xml:space="preserve">a cost-per-responder analysis for </w:t>
      </w:r>
      <w:r>
        <w:rPr>
          <w:u w:val="single"/>
        </w:rPr>
        <w:t>initial treatment</w:t>
      </w:r>
      <w:r>
        <w:t xml:space="preserve"> (Week 0 to Week 16) based on the claim of superior effectiveness for induction treatment; (ii) </w:t>
      </w:r>
      <w:r w:rsidRPr="00173F1F">
        <w:rPr>
          <w:u w:val="single"/>
        </w:rPr>
        <w:t xml:space="preserve">a cost-minimisation analysis for </w:t>
      </w:r>
      <w:r>
        <w:rPr>
          <w:u w:val="single"/>
        </w:rPr>
        <w:t xml:space="preserve">continuing </w:t>
      </w:r>
      <w:r w:rsidRPr="00173F1F">
        <w:rPr>
          <w:u w:val="single"/>
        </w:rPr>
        <w:t>treatment</w:t>
      </w:r>
      <w:r>
        <w:t xml:space="preserve"> (Week 16 to Week 104) based on the claim of non-inferior effectiveness for maintenance treatment (see Clinical claim). The submission argued that it was appropriate to consider the induction and maintenance separately because it was ‘impractical’ to conduct a cost-utility analysis.</w:t>
      </w:r>
      <w:r w:rsidR="00BC000B">
        <w:rPr>
          <w:i/>
          <w:iCs/>
        </w:rPr>
        <w:t xml:space="preserve"> </w:t>
      </w:r>
      <w:r w:rsidR="0031550E" w:rsidRPr="004626D3">
        <w:t>The ESC noted the clinical trials assessed induction treatment at week 8, which was inconsistent with the cost per responder model assumption of induction by week 16.</w:t>
      </w:r>
    </w:p>
    <w:p w14:paraId="5894C22E" w14:textId="214C3042" w:rsidR="009424B8" w:rsidRDefault="009424B8" w:rsidP="009424B8">
      <w:pPr>
        <w:pStyle w:val="3-BodyText"/>
      </w:pPr>
      <w:r>
        <w:t xml:space="preserve">The results presented in the submission used the published prices of comparators because the effective prices were unknown to the </w:t>
      </w:r>
      <w:r w:rsidR="00A950DF">
        <w:t>Sponsor</w:t>
      </w:r>
      <w:r>
        <w:t>. Hence, the submission stated that the results were</w:t>
      </w:r>
      <w:r w:rsidRPr="00495619">
        <w:t xml:space="preserve"> only indicative and </w:t>
      </w:r>
      <w:r>
        <w:t xml:space="preserve">the analyses </w:t>
      </w:r>
      <w:r w:rsidRPr="00495619">
        <w:t xml:space="preserve">will need to be repeated </w:t>
      </w:r>
      <w:r>
        <w:t xml:space="preserve">with </w:t>
      </w:r>
      <w:r w:rsidRPr="00495619">
        <w:t>effective prices.</w:t>
      </w:r>
    </w:p>
    <w:p w14:paraId="5DEA400B" w14:textId="2888DBB4" w:rsidR="009424B8" w:rsidRDefault="009424B8" w:rsidP="00F5218B">
      <w:pPr>
        <w:pStyle w:val="3-BodyText"/>
        <w:numPr>
          <w:ilvl w:val="0"/>
          <w:numId w:val="24"/>
        </w:numPr>
      </w:pPr>
      <w:r>
        <w:t>For initial treatment, the submission estimated an induction price of UPA based on the average cost-per-incremental-responder with IFX</w:t>
      </w:r>
      <w:r w:rsidR="000D3613">
        <w:t xml:space="preserve"> IV</w:t>
      </w:r>
      <w:r>
        <w:t>, VDZ</w:t>
      </w:r>
      <w:r w:rsidR="000D3613">
        <w:t xml:space="preserve"> IV</w:t>
      </w:r>
      <w:r>
        <w:t>, GOL and TOF relative to PBO (i.e. to achieve the average gradient on the cost-effectiveness plane). The submission stated that ADA was excluded because the PBAC recommended listing based on cost-effectiveness in the Southwest quadrant of the cost-effectiveness plane versus IFX (i.e. less effective, less costly).</w:t>
      </w:r>
    </w:p>
    <w:p w14:paraId="7EA7BDF5" w14:textId="6EA90935" w:rsidR="009424B8" w:rsidRPr="00EB67E8" w:rsidRDefault="009424B8" w:rsidP="00F5218B">
      <w:pPr>
        <w:pStyle w:val="3-BodyText"/>
        <w:numPr>
          <w:ilvl w:val="0"/>
          <w:numId w:val="24"/>
        </w:numPr>
      </w:pPr>
      <w:r w:rsidRPr="00EB67E8">
        <w:t>For continuing treatment, the submission estimated a maintenance price of UPA</w:t>
      </w:r>
      <w:r>
        <w:t xml:space="preserve"> based on a cost-minimisation analysis with TOF over 88 weeks, assuming an equi-effective dose of UPA 15 mg or 30 mg </w:t>
      </w:r>
      <w:r w:rsidR="00DF6CFA">
        <w:t>daily</w:t>
      </w:r>
      <w:r>
        <w:t xml:space="preserve"> = TOF 5 mg or 10 mg </w:t>
      </w:r>
      <w:r w:rsidR="00DF6CFA">
        <w:t>twice daily</w:t>
      </w:r>
      <w:r>
        <w:t>.</w:t>
      </w:r>
    </w:p>
    <w:p w14:paraId="29F4D2B5" w14:textId="418AA159" w:rsidR="009424B8" w:rsidRPr="00FC11C9" w:rsidRDefault="009424B8" w:rsidP="009424B8">
      <w:pPr>
        <w:pStyle w:val="3-BodyText"/>
      </w:pPr>
      <w:r w:rsidRPr="0064550B">
        <w:t xml:space="preserve">Irrespective of the clinical claim, separating the induction and maintenance periods for the economic evaluation </w:t>
      </w:r>
      <w:r w:rsidR="006E0CDF">
        <w:t>is</w:t>
      </w:r>
      <w:r w:rsidR="006E0CDF" w:rsidRPr="0064550B">
        <w:t xml:space="preserve"> </w:t>
      </w:r>
      <w:r w:rsidRPr="0064550B">
        <w:t xml:space="preserve">not reasonable. To understand the potential value of UPA, it is important to estimate the total costs and benefits over </w:t>
      </w:r>
      <w:r w:rsidR="006E0CDF">
        <w:t xml:space="preserve">the entire treatment </w:t>
      </w:r>
      <w:r w:rsidRPr="0064550B">
        <w:t>time (including the induction and maintenance periods) compared to the nominated comparators. Given a relatively low proportion of patients maintain an adequate response following induction treatment and assuming the treatment effect for maintenance is the same across treatments, then any absolute difference in responders observed at Week 16 would quickly decrease over time. The costs of UPA are also likely to be higher over time because there would be more patients using maintenance therapy. The submission’s approach also does not adequately adjust for differences in the dosing frequencies for the induction and maintenance phases between UPA (i.e. constant dosing frequency) and the comparators (i.e. more frequent dosing for induction treatment), which has flow on implications for costs</w:t>
      </w:r>
      <w:r w:rsidR="00475756" w:rsidRPr="0064550B">
        <w:t>,</w:t>
      </w:r>
      <w:r w:rsidRPr="0064550B">
        <w:t xml:space="preserve"> given the prices of the comparators reflect an average price over the induction and maintenance periods.</w:t>
      </w:r>
      <w:r w:rsidR="00F16365">
        <w:t xml:space="preserve"> </w:t>
      </w:r>
      <w:r w:rsidR="00B74BE1">
        <w:fldChar w:fldCharType="begin" w:fldLock="1"/>
      </w:r>
      <w:r w:rsidR="00B74BE1">
        <w:instrText xml:space="preserve"> REF _Ref103176458 \h </w:instrText>
      </w:r>
      <w:r w:rsidR="009A0F3E">
        <w:instrText xml:space="preserve"> \* MERGEFORMAT </w:instrText>
      </w:r>
      <w:r w:rsidR="00B74BE1">
        <w:fldChar w:fldCharType="separate"/>
      </w:r>
      <w:r w:rsidR="008664BD" w:rsidRPr="008664BD">
        <w:t>Table 8</w:t>
      </w:r>
      <w:r w:rsidR="00B74BE1">
        <w:fldChar w:fldCharType="end"/>
      </w:r>
      <w:r w:rsidRPr="00FC11C9">
        <w:t xml:space="preserve"> presents the results of the cost-per-responder analysis.</w:t>
      </w:r>
    </w:p>
    <w:p w14:paraId="30443595" w14:textId="4C4708D8" w:rsidR="009424B8" w:rsidRPr="00F9756A" w:rsidRDefault="009603BC" w:rsidP="00C64D0B">
      <w:pPr>
        <w:pStyle w:val="Caption"/>
        <w:keepNext/>
        <w:keepLines/>
        <w:spacing w:after="60"/>
        <w:rPr>
          <w:rFonts w:ascii="Arial Narrow" w:hAnsi="Arial Narrow"/>
          <w:color w:val="auto"/>
          <w:sz w:val="20"/>
          <w:szCs w:val="20"/>
        </w:rPr>
      </w:pPr>
      <w:bookmarkStart w:id="43" w:name="_Ref103176458"/>
      <w:r w:rsidRPr="00F9756A">
        <w:rPr>
          <w:rFonts w:ascii="Arial Narrow" w:hAnsi="Arial Narrow"/>
          <w:color w:val="auto"/>
          <w:sz w:val="20"/>
          <w:szCs w:val="20"/>
        </w:rPr>
        <w:t xml:space="preserve">Table </w:t>
      </w:r>
      <w:r w:rsidRPr="00F9756A">
        <w:rPr>
          <w:rFonts w:ascii="Arial Narrow" w:hAnsi="Arial Narrow"/>
          <w:color w:val="auto"/>
          <w:sz w:val="20"/>
          <w:szCs w:val="20"/>
        </w:rPr>
        <w:fldChar w:fldCharType="begin" w:fldLock="1"/>
      </w:r>
      <w:r w:rsidRPr="00F9756A">
        <w:rPr>
          <w:rFonts w:ascii="Arial Narrow" w:hAnsi="Arial Narrow"/>
          <w:color w:val="auto"/>
          <w:sz w:val="20"/>
          <w:szCs w:val="20"/>
        </w:rPr>
        <w:instrText xml:space="preserve"> SEQ Table \* ARABIC </w:instrText>
      </w:r>
      <w:r w:rsidRPr="00F9756A">
        <w:rPr>
          <w:rFonts w:ascii="Arial Narrow" w:hAnsi="Arial Narrow"/>
          <w:color w:val="auto"/>
          <w:sz w:val="20"/>
          <w:szCs w:val="20"/>
        </w:rPr>
        <w:fldChar w:fldCharType="separate"/>
      </w:r>
      <w:r w:rsidR="008664BD">
        <w:rPr>
          <w:rFonts w:ascii="Arial Narrow" w:hAnsi="Arial Narrow"/>
          <w:noProof/>
          <w:color w:val="auto"/>
          <w:sz w:val="20"/>
          <w:szCs w:val="20"/>
        </w:rPr>
        <w:t>8</w:t>
      </w:r>
      <w:r w:rsidRPr="00F9756A">
        <w:rPr>
          <w:rFonts w:ascii="Arial Narrow" w:hAnsi="Arial Narrow"/>
          <w:color w:val="auto"/>
          <w:sz w:val="20"/>
          <w:szCs w:val="20"/>
        </w:rPr>
        <w:fldChar w:fldCharType="end"/>
      </w:r>
      <w:bookmarkEnd w:id="43"/>
      <w:r w:rsidR="009424B8" w:rsidRPr="00F9756A">
        <w:rPr>
          <w:rFonts w:ascii="Arial Narrow" w:eastAsiaTheme="minorEastAsia" w:hAnsi="Arial Narrow"/>
          <w:color w:val="auto"/>
          <w:sz w:val="20"/>
          <w:szCs w:val="20"/>
          <w:lang w:eastAsia="en-US"/>
        </w:rPr>
        <w:t xml:space="preserve">: Results of the incremental cost per responder analysis for </w:t>
      </w:r>
      <w:r w:rsidR="009424B8" w:rsidRPr="00F9756A">
        <w:rPr>
          <w:rFonts w:ascii="Arial Narrow" w:eastAsiaTheme="minorEastAsia" w:hAnsi="Arial Narrow"/>
          <w:color w:val="auto"/>
          <w:sz w:val="20"/>
          <w:szCs w:val="20"/>
          <w:u w:val="single"/>
          <w:lang w:eastAsia="en-US"/>
        </w:rPr>
        <w:t>induction</w:t>
      </w:r>
      <w:r w:rsidR="009424B8" w:rsidRPr="00F9756A">
        <w:rPr>
          <w:rFonts w:ascii="Arial Narrow" w:eastAsiaTheme="minorEastAsia" w:hAnsi="Arial Narrow"/>
          <w:color w:val="auto"/>
          <w:sz w:val="20"/>
          <w:szCs w:val="20"/>
          <w:lang w:eastAsia="en-US"/>
        </w:rPr>
        <w:t xml:space="preserve"> treatment (based on published AEMP)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4"/>
        <w:gridCol w:w="1465"/>
        <w:gridCol w:w="1464"/>
        <w:gridCol w:w="1464"/>
        <w:gridCol w:w="1464"/>
        <w:gridCol w:w="1466"/>
      </w:tblGrid>
      <w:tr w:rsidR="009424B8" w:rsidRPr="00C64D0B" w14:paraId="333EA075" w14:textId="77777777" w:rsidTr="00313F8C">
        <w:tc>
          <w:tcPr>
            <w:tcW w:w="939" w:type="pct"/>
          </w:tcPr>
          <w:p w14:paraId="43C86813" w14:textId="77777777" w:rsidR="009424B8" w:rsidRPr="00C64D0B" w:rsidRDefault="009424B8" w:rsidP="00C64D0B">
            <w:pPr>
              <w:keepNext/>
              <w:keepLines/>
              <w:jc w:val="left"/>
              <w:rPr>
                <w:rFonts w:ascii="Arial Narrow" w:eastAsiaTheme="minorEastAsia" w:hAnsi="Arial Narrow" w:cs="Times New Roman"/>
                <w:b/>
                <w:sz w:val="20"/>
                <w:szCs w:val="20"/>
                <w:lang w:eastAsia="en-US"/>
              </w:rPr>
            </w:pPr>
          </w:p>
        </w:tc>
        <w:tc>
          <w:tcPr>
            <w:tcW w:w="812" w:type="pct"/>
          </w:tcPr>
          <w:p w14:paraId="7A4D7DA9" w14:textId="77777777" w:rsidR="009424B8" w:rsidRPr="00C64D0B" w:rsidDel="002D342D" w:rsidRDefault="009424B8" w:rsidP="00C64D0B">
            <w:pPr>
              <w:keepNext/>
              <w:keepLines/>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UPA</w:t>
            </w:r>
          </w:p>
        </w:tc>
        <w:tc>
          <w:tcPr>
            <w:tcW w:w="812" w:type="pct"/>
          </w:tcPr>
          <w:p w14:paraId="09DAB7A8" w14:textId="77777777" w:rsidR="009424B8" w:rsidRPr="00C64D0B" w:rsidRDefault="009424B8" w:rsidP="00C64D0B">
            <w:pPr>
              <w:keepNext/>
              <w:keepLines/>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TOF</w:t>
            </w:r>
          </w:p>
        </w:tc>
        <w:tc>
          <w:tcPr>
            <w:tcW w:w="812" w:type="pct"/>
          </w:tcPr>
          <w:p w14:paraId="26C453DE" w14:textId="77777777" w:rsidR="009424B8" w:rsidRPr="00C64D0B" w:rsidRDefault="009424B8" w:rsidP="00C64D0B">
            <w:pPr>
              <w:keepNext/>
              <w:keepLines/>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GOL</w:t>
            </w:r>
          </w:p>
        </w:tc>
        <w:tc>
          <w:tcPr>
            <w:tcW w:w="812" w:type="pct"/>
          </w:tcPr>
          <w:p w14:paraId="54D22917" w14:textId="77777777" w:rsidR="009424B8" w:rsidRPr="00C64D0B" w:rsidRDefault="009424B8" w:rsidP="00C64D0B">
            <w:pPr>
              <w:keepNext/>
              <w:keepLines/>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VDZ IV</w:t>
            </w:r>
            <w:r w:rsidRPr="00C64D0B">
              <w:rPr>
                <w:rFonts w:ascii="Arial Narrow" w:eastAsiaTheme="minorEastAsia" w:hAnsi="Arial Narrow" w:cs="Times New Roman"/>
                <w:b/>
                <w:sz w:val="20"/>
                <w:szCs w:val="20"/>
                <w:vertAlign w:val="superscript"/>
                <w:lang w:eastAsia="en-US"/>
              </w:rPr>
              <w:t>d</w:t>
            </w:r>
          </w:p>
        </w:tc>
        <w:tc>
          <w:tcPr>
            <w:tcW w:w="813" w:type="pct"/>
          </w:tcPr>
          <w:p w14:paraId="1D7F2F19" w14:textId="77777777" w:rsidR="009424B8" w:rsidRPr="00C64D0B" w:rsidRDefault="009424B8" w:rsidP="00C64D0B">
            <w:pPr>
              <w:keepNext/>
              <w:keepLines/>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IFX IV</w:t>
            </w:r>
            <w:r w:rsidRPr="00C64D0B">
              <w:rPr>
                <w:rFonts w:ascii="Arial Narrow" w:eastAsiaTheme="minorEastAsia" w:hAnsi="Arial Narrow" w:cs="Times New Roman"/>
                <w:b/>
                <w:sz w:val="20"/>
                <w:szCs w:val="20"/>
                <w:vertAlign w:val="superscript"/>
                <w:lang w:eastAsia="en-US"/>
              </w:rPr>
              <w:t>d</w:t>
            </w:r>
          </w:p>
        </w:tc>
      </w:tr>
      <w:tr w:rsidR="009424B8" w:rsidRPr="00C64D0B" w14:paraId="4FF57BE6" w14:textId="77777777" w:rsidTr="00313F8C">
        <w:tc>
          <w:tcPr>
            <w:tcW w:w="5000" w:type="pct"/>
            <w:gridSpan w:val="6"/>
            <w:vAlign w:val="center"/>
          </w:tcPr>
          <w:p w14:paraId="049E8232"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b/>
                <w:bCs/>
                <w:sz w:val="20"/>
                <w:szCs w:val="20"/>
                <w:lang w:eastAsia="en-US"/>
              </w:rPr>
              <w:t>Costs</w:t>
            </w:r>
          </w:p>
        </w:tc>
      </w:tr>
      <w:tr w:rsidR="009424B8" w:rsidRPr="00C64D0B" w14:paraId="273F0A96" w14:textId="77777777" w:rsidTr="00313F8C">
        <w:tc>
          <w:tcPr>
            <w:tcW w:w="939" w:type="pct"/>
            <w:vAlign w:val="center"/>
          </w:tcPr>
          <w:p w14:paraId="179F0830"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PBS item, max qty</w:t>
            </w:r>
          </w:p>
        </w:tc>
        <w:tc>
          <w:tcPr>
            <w:tcW w:w="812" w:type="pct"/>
            <w:tcBorders>
              <w:bottom w:val="single" w:sz="4" w:space="0" w:color="auto"/>
            </w:tcBorders>
            <w:shd w:val="clear" w:color="auto" w:fill="auto"/>
            <w:vAlign w:val="center"/>
          </w:tcPr>
          <w:p w14:paraId="4B09E6EA" w14:textId="77777777" w:rsidR="009424B8" w:rsidRPr="00C64D0B" w:rsidRDefault="009424B8" w:rsidP="00C64D0B">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45mg, 30mg or 15mg (1 pack / 28 tablets)</w:t>
            </w:r>
          </w:p>
        </w:tc>
        <w:tc>
          <w:tcPr>
            <w:tcW w:w="812" w:type="pct"/>
            <w:tcBorders>
              <w:bottom w:val="single" w:sz="4" w:space="0" w:color="auto"/>
            </w:tcBorders>
            <w:vAlign w:val="center"/>
          </w:tcPr>
          <w:p w14:paraId="55EC71CD" w14:textId="77777777" w:rsidR="009424B8" w:rsidRPr="00C64D0B" w:rsidRDefault="009424B8" w:rsidP="00C64D0B">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5mg or 10mg</w:t>
            </w:r>
          </w:p>
          <w:p w14:paraId="6AD6BAA9" w14:textId="77777777" w:rsidR="009424B8" w:rsidRPr="00C64D0B" w:rsidRDefault="009424B8" w:rsidP="00C64D0B">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 pack / 56 tablets)</w:t>
            </w:r>
          </w:p>
        </w:tc>
        <w:tc>
          <w:tcPr>
            <w:tcW w:w="812" w:type="pct"/>
            <w:tcBorders>
              <w:bottom w:val="single" w:sz="4" w:space="0" w:color="auto"/>
            </w:tcBorders>
            <w:vAlign w:val="center"/>
          </w:tcPr>
          <w:p w14:paraId="4AC3C288" w14:textId="77777777" w:rsidR="009424B8" w:rsidRPr="00C64D0B" w:rsidRDefault="009424B8" w:rsidP="00C64D0B">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100mg injection (single use pen)</w:t>
            </w:r>
          </w:p>
        </w:tc>
        <w:tc>
          <w:tcPr>
            <w:tcW w:w="812" w:type="pct"/>
            <w:tcBorders>
              <w:bottom w:val="single" w:sz="4" w:space="0" w:color="auto"/>
            </w:tcBorders>
            <w:vAlign w:val="center"/>
          </w:tcPr>
          <w:p w14:paraId="530AACDA" w14:textId="77777777" w:rsidR="009424B8" w:rsidRPr="00C64D0B" w:rsidRDefault="009424B8" w:rsidP="00C64D0B">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300mg powder for injection (vial)</w:t>
            </w:r>
          </w:p>
        </w:tc>
        <w:tc>
          <w:tcPr>
            <w:tcW w:w="813" w:type="pct"/>
            <w:tcBorders>
              <w:bottom w:val="single" w:sz="4" w:space="0" w:color="auto"/>
            </w:tcBorders>
            <w:vAlign w:val="center"/>
          </w:tcPr>
          <w:p w14:paraId="5B96120B" w14:textId="77777777" w:rsidR="009424B8" w:rsidRPr="00C64D0B" w:rsidRDefault="009424B8" w:rsidP="00C64D0B">
            <w:pPr>
              <w:keepNext/>
              <w:keepLines/>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100mg powder for  injection (vial)</w:t>
            </w:r>
          </w:p>
        </w:tc>
      </w:tr>
      <w:tr w:rsidR="009424B8" w:rsidRPr="00C64D0B" w14:paraId="25C1C732" w14:textId="77777777" w:rsidTr="00313F8C">
        <w:tc>
          <w:tcPr>
            <w:tcW w:w="939" w:type="pct"/>
            <w:vAlign w:val="center"/>
          </w:tcPr>
          <w:p w14:paraId="3885E71F"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AEMP</w:t>
            </w:r>
          </w:p>
        </w:tc>
        <w:tc>
          <w:tcPr>
            <w:tcW w:w="812" w:type="pct"/>
            <w:tcBorders>
              <w:bottom w:val="single" w:sz="4" w:space="0" w:color="auto"/>
            </w:tcBorders>
            <w:shd w:val="clear" w:color="auto" w:fill="auto"/>
          </w:tcPr>
          <w:p w14:paraId="040066CF"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$5,032.48</w:t>
            </w:r>
          </w:p>
        </w:tc>
        <w:tc>
          <w:tcPr>
            <w:tcW w:w="812" w:type="pct"/>
            <w:vAlign w:val="center"/>
          </w:tcPr>
          <w:p w14:paraId="1E74BECF"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$1,092.47</w:t>
            </w:r>
          </w:p>
        </w:tc>
        <w:tc>
          <w:tcPr>
            <w:tcW w:w="812" w:type="pct"/>
            <w:vAlign w:val="center"/>
          </w:tcPr>
          <w:p w14:paraId="7FC8DA18"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$1,044.43</w:t>
            </w:r>
          </w:p>
        </w:tc>
        <w:tc>
          <w:tcPr>
            <w:tcW w:w="812" w:type="pct"/>
            <w:vAlign w:val="center"/>
          </w:tcPr>
          <w:p w14:paraId="5763D52F"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$2,949.93</w:t>
            </w:r>
          </w:p>
        </w:tc>
        <w:tc>
          <w:tcPr>
            <w:tcW w:w="813" w:type="pct"/>
            <w:vAlign w:val="center"/>
          </w:tcPr>
          <w:p w14:paraId="2BF65FB1"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$320.71</w:t>
            </w:r>
          </w:p>
        </w:tc>
      </w:tr>
      <w:tr w:rsidR="009424B8" w:rsidRPr="00C64D0B" w14:paraId="420DFAC4" w14:textId="77777777" w:rsidTr="00313F8C">
        <w:trPr>
          <w:trHeight w:val="215"/>
        </w:trPr>
        <w:tc>
          <w:tcPr>
            <w:tcW w:w="939" w:type="pct"/>
            <w:vAlign w:val="center"/>
          </w:tcPr>
          <w:p w14:paraId="16037DFE"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Units / 16 weeks</w:t>
            </w:r>
          </w:p>
        </w:tc>
        <w:tc>
          <w:tcPr>
            <w:tcW w:w="812" w:type="pct"/>
            <w:shd w:val="clear" w:color="auto" w:fill="auto"/>
            <w:vAlign w:val="center"/>
          </w:tcPr>
          <w:p w14:paraId="1F052EED"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4</w:t>
            </w:r>
          </w:p>
          <w:p w14:paraId="24E5EFAC"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(16 weeks)</w:t>
            </w:r>
          </w:p>
        </w:tc>
        <w:tc>
          <w:tcPr>
            <w:tcW w:w="812" w:type="pct"/>
            <w:vAlign w:val="center"/>
          </w:tcPr>
          <w:p w14:paraId="24286E75"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4</w:t>
            </w:r>
          </w:p>
          <w:p w14:paraId="3E22313B"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(16 weeks)</w:t>
            </w:r>
          </w:p>
        </w:tc>
        <w:tc>
          <w:tcPr>
            <w:tcW w:w="812" w:type="pct"/>
            <w:vAlign w:val="center"/>
          </w:tcPr>
          <w:p w14:paraId="40C77D26" w14:textId="77777777" w:rsidR="009424B8" w:rsidRPr="00333F2D" w:rsidRDefault="009424B8" w:rsidP="00C64D0B">
            <w:pPr>
              <w:keepNext/>
              <w:keepLines/>
              <w:jc w:val="center"/>
              <w:rPr>
                <w:rFonts w:ascii="Arial Narrow" w:eastAsiaTheme="minorEastAsia" w:hAnsi="Arial Narrow" w:cs="Times New Roman"/>
                <w:sz w:val="20"/>
                <w:szCs w:val="20"/>
                <w:vertAlign w:val="superscript"/>
                <w:lang w:eastAsia="en-US"/>
              </w:rPr>
            </w:pPr>
            <w:r w:rsidRPr="00333F2D">
              <w:rPr>
                <w:rFonts w:ascii="Arial Narrow" w:eastAsiaTheme="minorEastAsia" w:hAnsi="Arial Narrow" w:cs="Times New Roman"/>
                <w:sz w:val="20"/>
                <w:szCs w:val="20"/>
                <w:lang w:eastAsia="en-US"/>
              </w:rPr>
              <w:t>6</w:t>
            </w:r>
            <w:r w:rsidRPr="00333F2D">
              <w:rPr>
                <w:rFonts w:ascii="Arial Narrow" w:eastAsiaTheme="minorEastAsia" w:hAnsi="Arial Narrow" w:cs="Times New Roman"/>
                <w:sz w:val="20"/>
                <w:szCs w:val="20"/>
                <w:vertAlign w:val="superscript"/>
                <w:lang w:eastAsia="en-US"/>
              </w:rPr>
              <w:t>a</w:t>
            </w:r>
          </w:p>
          <w:p w14:paraId="4018F70B"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(18 weeks)</w:t>
            </w:r>
          </w:p>
        </w:tc>
        <w:tc>
          <w:tcPr>
            <w:tcW w:w="812" w:type="pct"/>
            <w:vAlign w:val="center"/>
          </w:tcPr>
          <w:p w14:paraId="18CA2B7A" w14:textId="77777777" w:rsidR="009424B8" w:rsidRPr="00333F2D" w:rsidRDefault="009424B8" w:rsidP="00C64D0B">
            <w:pPr>
              <w:keepNext/>
              <w:keepLines/>
              <w:jc w:val="center"/>
              <w:rPr>
                <w:rFonts w:ascii="Arial Narrow" w:eastAsiaTheme="minorEastAsia" w:hAnsi="Arial Narrow" w:cs="Times New Roman"/>
                <w:sz w:val="20"/>
                <w:szCs w:val="20"/>
                <w:vertAlign w:val="superscript"/>
                <w:lang w:eastAsia="en-US"/>
              </w:rPr>
            </w:pPr>
            <w:r w:rsidRPr="00333F2D">
              <w:rPr>
                <w:rFonts w:ascii="Arial Narrow" w:eastAsiaTheme="minorEastAsia" w:hAnsi="Arial Narrow" w:cs="Times New Roman"/>
                <w:sz w:val="20"/>
                <w:szCs w:val="20"/>
                <w:lang w:eastAsia="en-US"/>
              </w:rPr>
              <w:t>4</w:t>
            </w:r>
            <w:r w:rsidRPr="00333F2D">
              <w:rPr>
                <w:rFonts w:ascii="Arial Narrow" w:eastAsiaTheme="minorEastAsia" w:hAnsi="Arial Narrow" w:cs="Times New Roman"/>
                <w:sz w:val="20"/>
                <w:szCs w:val="20"/>
                <w:vertAlign w:val="superscript"/>
                <w:lang w:eastAsia="en-US"/>
              </w:rPr>
              <w:t>b</w:t>
            </w:r>
          </w:p>
          <w:p w14:paraId="1EF2AFEE"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(22 weeks)</w:t>
            </w:r>
          </w:p>
        </w:tc>
        <w:tc>
          <w:tcPr>
            <w:tcW w:w="813" w:type="pct"/>
            <w:vAlign w:val="center"/>
          </w:tcPr>
          <w:p w14:paraId="5F53F14F"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4*4.41 vials</w:t>
            </w:r>
          </w:p>
          <w:p w14:paraId="325D5837"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(22 weeks)</w:t>
            </w:r>
          </w:p>
        </w:tc>
      </w:tr>
      <w:tr w:rsidR="009424B8" w:rsidRPr="00C64D0B" w14:paraId="4610DF72" w14:textId="77777777" w:rsidTr="00313F8C">
        <w:tc>
          <w:tcPr>
            <w:tcW w:w="939" w:type="pct"/>
            <w:vAlign w:val="center"/>
          </w:tcPr>
          <w:p w14:paraId="2D5A014E"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Drug costs / 16 weeks</w:t>
            </w:r>
          </w:p>
        </w:tc>
        <w:tc>
          <w:tcPr>
            <w:tcW w:w="812" w:type="pct"/>
            <w:shd w:val="clear" w:color="auto" w:fill="auto"/>
          </w:tcPr>
          <w:p w14:paraId="70F0C77A"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$20,129.93</w:t>
            </w:r>
          </w:p>
        </w:tc>
        <w:tc>
          <w:tcPr>
            <w:tcW w:w="812" w:type="pct"/>
          </w:tcPr>
          <w:p w14:paraId="602191B9"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$4,369.88</w:t>
            </w:r>
          </w:p>
        </w:tc>
        <w:tc>
          <w:tcPr>
            <w:tcW w:w="812" w:type="pct"/>
          </w:tcPr>
          <w:p w14:paraId="02E05089"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$6,266.58</w:t>
            </w:r>
          </w:p>
        </w:tc>
        <w:tc>
          <w:tcPr>
            <w:tcW w:w="812" w:type="pct"/>
          </w:tcPr>
          <w:p w14:paraId="727E4194"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$11,799.72</w:t>
            </w:r>
          </w:p>
        </w:tc>
        <w:tc>
          <w:tcPr>
            <w:tcW w:w="813" w:type="pct"/>
          </w:tcPr>
          <w:p w14:paraId="70A6B23E"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$5,659.46</w:t>
            </w:r>
          </w:p>
        </w:tc>
      </w:tr>
      <w:tr w:rsidR="009424B8" w:rsidRPr="00C64D0B" w14:paraId="318A90CF" w14:textId="77777777" w:rsidTr="00313F8C">
        <w:tc>
          <w:tcPr>
            <w:tcW w:w="939" w:type="pct"/>
            <w:vAlign w:val="center"/>
          </w:tcPr>
          <w:p w14:paraId="1058FA0D"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Admin costs / 16 weeks</w:t>
            </w:r>
          </w:p>
        </w:tc>
        <w:tc>
          <w:tcPr>
            <w:tcW w:w="812" w:type="pct"/>
            <w:shd w:val="clear" w:color="auto" w:fill="auto"/>
          </w:tcPr>
          <w:p w14:paraId="407D6BD6"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w:t>
            </w:r>
          </w:p>
        </w:tc>
        <w:tc>
          <w:tcPr>
            <w:tcW w:w="812" w:type="pct"/>
          </w:tcPr>
          <w:p w14:paraId="269EC38A"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w:t>
            </w:r>
          </w:p>
        </w:tc>
        <w:tc>
          <w:tcPr>
            <w:tcW w:w="812" w:type="pct"/>
          </w:tcPr>
          <w:p w14:paraId="33C053F5"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w:t>
            </w:r>
          </w:p>
        </w:tc>
        <w:tc>
          <w:tcPr>
            <w:tcW w:w="812" w:type="pct"/>
          </w:tcPr>
          <w:p w14:paraId="7461BB23"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$319.00</w:t>
            </w:r>
          </w:p>
        </w:tc>
        <w:tc>
          <w:tcPr>
            <w:tcW w:w="813" w:type="pct"/>
          </w:tcPr>
          <w:p w14:paraId="64552573"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$407.60</w:t>
            </w:r>
          </w:p>
        </w:tc>
      </w:tr>
      <w:tr w:rsidR="009424B8" w:rsidRPr="00C64D0B" w14:paraId="272BD7E9" w14:textId="77777777" w:rsidTr="00313F8C">
        <w:tc>
          <w:tcPr>
            <w:tcW w:w="939" w:type="pct"/>
            <w:vAlign w:val="center"/>
          </w:tcPr>
          <w:p w14:paraId="2BE21B7C"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Total Cost / 16 weeks</w:t>
            </w:r>
          </w:p>
        </w:tc>
        <w:tc>
          <w:tcPr>
            <w:tcW w:w="812" w:type="pct"/>
            <w:shd w:val="clear" w:color="auto" w:fill="auto"/>
          </w:tcPr>
          <w:p w14:paraId="1C452610" w14:textId="77777777" w:rsidR="009424B8" w:rsidRPr="00CF3A1C" w:rsidRDefault="009424B8" w:rsidP="00C64D0B">
            <w:pPr>
              <w:keepNext/>
              <w:keepLines/>
              <w:jc w:val="center"/>
              <w:rPr>
                <w:rFonts w:ascii="Arial Narrow" w:eastAsiaTheme="minorEastAsia" w:hAnsi="Arial Narrow" w:cs="Times New Roman"/>
                <w:b/>
                <w:bCs/>
                <w:sz w:val="20"/>
                <w:szCs w:val="20"/>
                <w:lang w:eastAsia="en-US"/>
              </w:rPr>
            </w:pPr>
            <w:r w:rsidRPr="00CF3A1C">
              <w:rPr>
                <w:rFonts w:ascii="Arial Narrow" w:eastAsiaTheme="minorEastAsia" w:hAnsi="Arial Narrow" w:cs="Times New Roman"/>
                <w:sz w:val="20"/>
                <w:szCs w:val="20"/>
                <w:lang w:eastAsia="en-US"/>
              </w:rPr>
              <w:t>$20,129.93</w:t>
            </w:r>
          </w:p>
        </w:tc>
        <w:tc>
          <w:tcPr>
            <w:tcW w:w="812" w:type="pct"/>
          </w:tcPr>
          <w:p w14:paraId="23D1E844"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$4,369.88</w:t>
            </w:r>
          </w:p>
        </w:tc>
        <w:tc>
          <w:tcPr>
            <w:tcW w:w="812" w:type="pct"/>
          </w:tcPr>
          <w:p w14:paraId="46C831E0"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$6,266.58</w:t>
            </w:r>
          </w:p>
        </w:tc>
        <w:tc>
          <w:tcPr>
            <w:tcW w:w="812" w:type="pct"/>
          </w:tcPr>
          <w:p w14:paraId="092E288F"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$12,118.72</w:t>
            </w:r>
          </w:p>
        </w:tc>
        <w:tc>
          <w:tcPr>
            <w:tcW w:w="813" w:type="pct"/>
          </w:tcPr>
          <w:p w14:paraId="4AD6A2AE"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$6,067.06</w:t>
            </w:r>
          </w:p>
        </w:tc>
      </w:tr>
      <w:tr w:rsidR="009424B8" w:rsidRPr="00C64D0B" w14:paraId="273B802C" w14:textId="77777777" w:rsidTr="00CF3A1C">
        <w:tc>
          <w:tcPr>
            <w:tcW w:w="939" w:type="pct"/>
            <w:tcBorders>
              <w:top w:val="nil"/>
              <w:bottom w:val="nil"/>
            </w:tcBorders>
            <w:vAlign w:val="center"/>
          </w:tcPr>
          <w:p w14:paraId="5806D24C"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 Clinical remission</w:t>
            </w:r>
          </w:p>
        </w:tc>
        <w:tc>
          <w:tcPr>
            <w:tcW w:w="812" w:type="pct"/>
            <w:tcBorders>
              <w:top w:val="nil"/>
              <w:bottom w:val="nil"/>
            </w:tcBorders>
            <w:shd w:val="clear" w:color="auto" w:fill="auto"/>
          </w:tcPr>
          <w:p w14:paraId="18BE807C"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p>
        </w:tc>
        <w:tc>
          <w:tcPr>
            <w:tcW w:w="812" w:type="pct"/>
            <w:tcBorders>
              <w:top w:val="nil"/>
              <w:bottom w:val="nil"/>
            </w:tcBorders>
          </w:tcPr>
          <w:p w14:paraId="5F53C47A"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p>
        </w:tc>
        <w:tc>
          <w:tcPr>
            <w:tcW w:w="812" w:type="pct"/>
            <w:tcBorders>
              <w:top w:val="nil"/>
              <w:bottom w:val="nil"/>
            </w:tcBorders>
          </w:tcPr>
          <w:p w14:paraId="2BA55556"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p>
        </w:tc>
        <w:tc>
          <w:tcPr>
            <w:tcW w:w="812" w:type="pct"/>
            <w:tcBorders>
              <w:top w:val="nil"/>
              <w:bottom w:val="nil"/>
            </w:tcBorders>
          </w:tcPr>
          <w:p w14:paraId="00C795FE"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p>
        </w:tc>
        <w:tc>
          <w:tcPr>
            <w:tcW w:w="813" w:type="pct"/>
            <w:tcBorders>
              <w:top w:val="nil"/>
              <w:bottom w:val="nil"/>
            </w:tcBorders>
          </w:tcPr>
          <w:p w14:paraId="03D1EB46"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p>
        </w:tc>
      </w:tr>
      <w:tr w:rsidR="009424B8" w:rsidRPr="00C64D0B" w14:paraId="277EF100" w14:textId="77777777" w:rsidTr="00CF3A1C">
        <w:tc>
          <w:tcPr>
            <w:tcW w:w="939" w:type="pct"/>
            <w:tcBorders>
              <w:top w:val="nil"/>
              <w:bottom w:val="nil"/>
            </w:tcBorders>
            <w:vAlign w:val="center"/>
          </w:tcPr>
          <w:p w14:paraId="30B0EF9C" w14:textId="77777777" w:rsidR="009424B8" w:rsidRPr="00C64D0B" w:rsidRDefault="009424B8" w:rsidP="00C64D0B">
            <w:pPr>
              <w:keepNext/>
              <w:keepLines/>
              <w:ind w:left="106"/>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Active</w:t>
            </w:r>
          </w:p>
        </w:tc>
        <w:tc>
          <w:tcPr>
            <w:tcW w:w="812" w:type="pct"/>
            <w:tcBorders>
              <w:top w:val="nil"/>
              <w:bottom w:val="nil"/>
            </w:tcBorders>
            <w:shd w:val="clear" w:color="auto" w:fill="auto"/>
          </w:tcPr>
          <w:p w14:paraId="0EE50323"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24.7%</w:t>
            </w:r>
          </w:p>
        </w:tc>
        <w:tc>
          <w:tcPr>
            <w:tcW w:w="812" w:type="pct"/>
            <w:tcBorders>
              <w:top w:val="nil"/>
              <w:bottom w:val="nil"/>
            </w:tcBorders>
          </w:tcPr>
          <w:p w14:paraId="02B60E2D"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17.7%</w:t>
            </w:r>
          </w:p>
        </w:tc>
        <w:tc>
          <w:tcPr>
            <w:tcW w:w="812" w:type="pct"/>
            <w:tcBorders>
              <w:top w:val="nil"/>
              <w:bottom w:val="nil"/>
            </w:tcBorders>
          </w:tcPr>
          <w:p w14:paraId="1D4A95E0"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17.8%</w:t>
            </w:r>
          </w:p>
        </w:tc>
        <w:tc>
          <w:tcPr>
            <w:tcW w:w="812" w:type="pct"/>
            <w:tcBorders>
              <w:top w:val="nil"/>
              <w:bottom w:val="nil"/>
            </w:tcBorders>
          </w:tcPr>
          <w:p w14:paraId="51647314"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17.5%</w:t>
            </w:r>
          </w:p>
        </w:tc>
        <w:tc>
          <w:tcPr>
            <w:tcW w:w="813" w:type="pct"/>
            <w:tcBorders>
              <w:top w:val="nil"/>
              <w:bottom w:val="nil"/>
            </w:tcBorders>
          </w:tcPr>
          <w:p w14:paraId="159F9E0C"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32.5%</w:t>
            </w:r>
          </w:p>
        </w:tc>
      </w:tr>
      <w:tr w:rsidR="009424B8" w:rsidRPr="00C64D0B" w14:paraId="21689760" w14:textId="77777777" w:rsidTr="00CF3A1C">
        <w:tc>
          <w:tcPr>
            <w:tcW w:w="939" w:type="pct"/>
            <w:tcBorders>
              <w:top w:val="nil"/>
              <w:bottom w:val="nil"/>
            </w:tcBorders>
            <w:vAlign w:val="center"/>
          </w:tcPr>
          <w:p w14:paraId="4BF06125" w14:textId="77777777" w:rsidR="009424B8" w:rsidRPr="00C64D0B" w:rsidRDefault="009424B8" w:rsidP="00C64D0B">
            <w:pPr>
              <w:keepNext/>
              <w:keepLines/>
              <w:ind w:left="106"/>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PBO</w:t>
            </w:r>
          </w:p>
        </w:tc>
        <w:tc>
          <w:tcPr>
            <w:tcW w:w="812" w:type="pct"/>
            <w:tcBorders>
              <w:top w:val="nil"/>
              <w:bottom w:val="nil"/>
            </w:tcBorders>
            <w:shd w:val="clear" w:color="auto" w:fill="auto"/>
          </w:tcPr>
          <w:p w14:paraId="5FCBA19B"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2.1%</w:t>
            </w:r>
          </w:p>
        </w:tc>
        <w:tc>
          <w:tcPr>
            <w:tcW w:w="812" w:type="pct"/>
            <w:tcBorders>
              <w:top w:val="nil"/>
              <w:bottom w:val="nil"/>
            </w:tcBorders>
          </w:tcPr>
          <w:p w14:paraId="220396FF"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6.0%</w:t>
            </w:r>
          </w:p>
        </w:tc>
        <w:tc>
          <w:tcPr>
            <w:tcW w:w="812" w:type="pct"/>
            <w:tcBorders>
              <w:top w:val="nil"/>
              <w:bottom w:val="nil"/>
            </w:tcBorders>
          </w:tcPr>
          <w:p w14:paraId="7EC46663"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6.4%</w:t>
            </w:r>
          </w:p>
        </w:tc>
        <w:tc>
          <w:tcPr>
            <w:tcW w:w="812" w:type="pct"/>
            <w:tcBorders>
              <w:top w:val="nil"/>
              <w:bottom w:val="nil"/>
            </w:tcBorders>
          </w:tcPr>
          <w:p w14:paraId="4F98D52E"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7.8%</w:t>
            </w:r>
          </w:p>
        </w:tc>
        <w:tc>
          <w:tcPr>
            <w:tcW w:w="813" w:type="pct"/>
            <w:tcBorders>
              <w:top w:val="nil"/>
              <w:bottom w:val="nil"/>
            </w:tcBorders>
          </w:tcPr>
          <w:p w14:paraId="3537313C"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11.4%</w:t>
            </w:r>
          </w:p>
        </w:tc>
      </w:tr>
      <w:tr w:rsidR="009424B8" w:rsidRPr="00C64D0B" w14:paraId="68FD6C63" w14:textId="77777777" w:rsidTr="00CF3A1C">
        <w:tc>
          <w:tcPr>
            <w:tcW w:w="939" w:type="pct"/>
            <w:tcBorders>
              <w:top w:val="nil"/>
            </w:tcBorders>
            <w:vAlign w:val="center"/>
          </w:tcPr>
          <w:p w14:paraId="448409C7" w14:textId="77777777" w:rsidR="009424B8" w:rsidRPr="00C64D0B" w:rsidRDefault="009424B8" w:rsidP="00C64D0B">
            <w:pPr>
              <w:keepNext/>
              <w:keepLines/>
              <w:ind w:left="106"/>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Risk difference</w:t>
            </w:r>
          </w:p>
        </w:tc>
        <w:tc>
          <w:tcPr>
            <w:tcW w:w="812" w:type="pct"/>
            <w:tcBorders>
              <w:top w:val="nil"/>
            </w:tcBorders>
            <w:shd w:val="clear" w:color="auto" w:fill="auto"/>
          </w:tcPr>
          <w:p w14:paraId="1877F136" w14:textId="77777777" w:rsidR="009424B8" w:rsidRPr="00CF3A1C" w:rsidRDefault="009424B8" w:rsidP="00C64D0B">
            <w:pPr>
              <w:keepNext/>
              <w:keepLines/>
              <w:jc w:val="center"/>
              <w:rPr>
                <w:rFonts w:ascii="Arial Narrow" w:eastAsiaTheme="minorEastAsia" w:hAnsi="Arial Narrow" w:cs="Times New Roman"/>
                <w:bCs/>
                <w:sz w:val="20"/>
                <w:szCs w:val="20"/>
                <w:lang w:eastAsia="en-US"/>
              </w:rPr>
            </w:pPr>
            <w:r w:rsidRPr="00CF3A1C">
              <w:rPr>
                <w:rFonts w:ascii="Arial Narrow" w:eastAsiaTheme="minorEastAsia" w:hAnsi="Arial Narrow" w:cs="Times New Roman"/>
                <w:bCs/>
                <w:sz w:val="20"/>
                <w:szCs w:val="20"/>
                <w:lang w:eastAsia="en-US"/>
              </w:rPr>
              <w:t>22.0%</w:t>
            </w:r>
          </w:p>
        </w:tc>
        <w:tc>
          <w:tcPr>
            <w:tcW w:w="812" w:type="pct"/>
            <w:tcBorders>
              <w:top w:val="nil"/>
            </w:tcBorders>
          </w:tcPr>
          <w:p w14:paraId="4C6D56E5"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12.0%</w:t>
            </w:r>
          </w:p>
        </w:tc>
        <w:tc>
          <w:tcPr>
            <w:tcW w:w="812" w:type="pct"/>
            <w:tcBorders>
              <w:top w:val="nil"/>
            </w:tcBorders>
          </w:tcPr>
          <w:p w14:paraId="19AB6476"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11.4%</w:t>
            </w:r>
          </w:p>
        </w:tc>
        <w:tc>
          <w:tcPr>
            <w:tcW w:w="812" w:type="pct"/>
            <w:tcBorders>
              <w:top w:val="nil"/>
            </w:tcBorders>
          </w:tcPr>
          <w:p w14:paraId="5F39D177"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10.0%</w:t>
            </w:r>
          </w:p>
        </w:tc>
        <w:tc>
          <w:tcPr>
            <w:tcW w:w="813" w:type="pct"/>
            <w:tcBorders>
              <w:top w:val="nil"/>
            </w:tcBorders>
          </w:tcPr>
          <w:p w14:paraId="4825B0D3"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20.0%</w:t>
            </w:r>
          </w:p>
        </w:tc>
      </w:tr>
      <w:tr w:rsidR="009424B8" w:rsidRPr="00C64D0B" w14:paraId="5627C1BE" w14:textId="77777777" w:rsidTr="00313F8C">
        <w:tc>
          <w:tcPr>
            <w:tcW w:w="939" w:type="pct"/>
            <w:vAlign w:val="center"/>
          </w:tcPr>
          <w:p w14:paraId="5D33F4B8"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Incremental cost per responder versus PBO</w:t>
            </w:r>
          </w:p>
        </w:tc>
        <w:tc>
          <w:tcPr>
            <w:tcW w:w="812" w:type="pct"/>
            <w:shd w:val="clear" w:color="auto" w:fill="auto"/>
            <w:vAlign w:val="center"/>
          </w:tcPr>
          <w:p w14:paraId="2D40201F"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$91,500</w:t>
            </w:r>
          </w:p>
        </w:tc>
        <w:tc>
          <w:tcPr>
            <w:tcW w:w="812" w:type="pct"/>
            <w:vAlign w:val="center"/>
          </w:tcPr>
          <w:p w14:paraId="101D009C"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$36,416</w:t>
            </w:r>
          </w:p>
        </w:tc>
        <w:tc>
          <w:tcPr>
            <w:tcW w:w="812" w:type="pct"/>
            <w:vAlign w:val="center"/>
          </w:tcPr>
          <w:p w14:paraId="43AD0EC1"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$54,970</w:t>
            </w:r>
          </w:p>
        </w:tc>
        <w:tc>
          <w:tcPr>
            <w:tcW w:w="812" w:type="pct"/>
            <w:vAlign w:val="center"/>
          </w:tcPr>
          <w:p w14:paraId="611BD0C9"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$121,187</w:t>
            </w:r>
          </w:p>
        </w:tc>
        <w:tc>
          <w:tcPr>
            <w:tcW w:w="813" w:type="pct"/>
            <w:vAlign w:val="center"/>
          </w:tcPr>
          <w:p w14:paraId="0325A496" w14:textId="77777777" w:rsidR="009424B8" w:rsidRPr="00333F2D" w:rsidRDefault="009424B8" w:rsidP="00C64D0B">
            <w:pPr>
              <w:keepNext/>
              <w:keepLines/>
              <w:jc w:val="center"/>
              <w:rPr>
                <w:rFonts w:ascii="Arial Narrow" w:eastAsiaTheme="minorEastAsia" w:hAnsi="Arial Narrow" w:cs="Times New Roman"/>
                <w:bCs/>
                <w:sz w:val="20"/>
                <w:szCs w:val="20"/>
                <w:lang w:eastAsia="en-US"/>
              </w:rPr>
            </w:pPr>
            <w:r w:rsidRPr="00333F2D">
              <w:rPr>
                <w:rFonts w:ascii="Arial Narrow" w:eastAsiaTheme="minorEastAsia" w:hAnsi="Arial Narrow" w:cs="Times New Roman"/>
                <w:bCs/>
                <w:sz w:val="20"/>
                <w:szCs w:val="20"/>
                <w:lang w:eastAsia="en-US"/>
              </w:rPr>
              <w:t>$30,335</w:t>
            </w:r>
          </w:p>
        </w:tc>
      </w:tr>
      <w:tr w:rsidR="009424B8" w:rsidRPr="00C64D0B" w14:paraId="5581D442" w14:textId="77777777" w:rsidTr="00313F8C">
        <w:tc>
          <w:tcPr>
            <w:tcW w:w="939" w:type="pct"/>
            <w:vAlign w:val="center"/>
          </w:tcPr>
          <w:p w14:paraId="4E407928"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Derived UPA total cost (16 weeks)</w:t>
            </w:r>
            <w:r w:rsidRPr="00C64D0B">
              <w:rPr>
                <w:rFonts w:ascii="Arial Narrow" w:eastAsiaTheme="minorEastAsia" w:hAnsi="Arial Narrow" w:cs="Times New Roman"/>
                <w:sz w:val="20"/>
                <w:szCs w:val="20"/>
                <w:vertAlign w:val="superscript"/>
                <w:lang w:eastAsia="en-US"/>
              </w:rPr>
              <w:t>c</w:t>
            </w:r>
          </w:p>
        </w:tc>
        <w:tc>
          <w:tcPr>
            <w:tcW w:w="812" w:type="pct"/>
            <w:shd w:val="clear" w:color="auto" w:fill="auto"/>
            <w:vAlign w:val="center"/>
          </w:tcPr>
          <w:p w14:paraId="1A74C9ED"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$20,129.93</w:t>
            </w:r>
          </w:p>
        </w:tc>
        <w:tc>
          <w:tcPr>
            <w:tcW w:w="812" w:type="pct"/>
            <w:vAlign w:val="center"/>
          </w:tcPr>
          <w:p w14:paraId="0D734D23"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$8,011.45</w:t>
            </w:r>
          </w:p>
        </w:tc>
        <w:tc>
          <w:tcPr>
            <w:tcW w:w="812" w:type="pct"/>
            <w:vAlign w:val="center"/>
          </w:tcPr>
          <w:p w14:paraId="1B62E87F"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$12,093.40</w:t>
            </w:r>
          </w:p>
        </w:tc>
        <w:tc>
          <w:tcPr>
            <w:tcW w:w="812" w:type="pct"/>
            <w:vAlign w:val="center"/>
          </w:tcPr>
          <w:p w14:paraId="3C7E0D21"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$26,661.18</w:t>
            </w:r>
          </w:p>
        </w:tc>
        <w:tc>
          <w:tcPr>
            <w:tcW w:w="813" w:type="pct"/>
            <w:vAlign w:val="center"/>
          </w:tcPr>
          <w:p w14:paraId="4ACA7F48"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$6,673.77</w:t>
            </w:r>
          </w:p>
        </w:tc>
      </w:tr>
      <w:tr w:rsidR="009424B8" w:rsidRPr="00C64D0B" w14:paraId="36E2D6A8" w14:textId="77777777" w:rsidTr="00313F8C">
        <w:tc>
          <w:tcPr>
            <w:tcW w:w="939" w:type="pct"/>
            <w:vAlign w:val="center"/>
          </w:tcPr>
          <w:p w14:paraId="70B8BF6A"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Derived UPA AEMP</w:t>
            </w:r>
          </w:p>
        </w:tc>
        <w:tc>
          <w:tcPr>
            <w:tcW w:w="812" w:type="pct"/>
            <w:shd w:val="clear" w:color="auto" w:fill="auto"/>
          </w:tcPr>
          <w:p w14:paraId="7A9444BC"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NA</w:t>
            </w:r>
          </w:p>
        </w:tc>
        <w:tc>
          <w:tcPr>
            <w:tcW w:w="812" w:type="pct"/>
          </w:tcPr>
          <w:p w14:paraId="251DCA9F"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$2,022.86</w:t>
            </w:r>
          </w:p>
        </w:tc>
        <w:tc>
          <w:tcPr>
            <w:tcW w:w="812" w:type="pct"/>
          </w:tcPr>
          <w:p w14:paraId="02F30604"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$3,023.35</w:t>
            </w:r>
          </w:p>
        </w:tc>
        <w:tc>
          <w:tcPr>
            <w:tcW w:w="812" w:type="pct"/>
          </w:tcPr>
          <w:p w14:paraId="403A692C"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$6,665.30</w:t>
            </w:r>
          </w:p>
        </w:tc>
        <w:tc>
          <w:tcPr>
            <w:tcW w:w="813" w:type="pct"/>
          </w:tcPr>
          <w:p w14:paraId="1BE18CCA"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$1,668.44</w:t>
            </w:r>
          </w:p>
        </w:tc>
      </w:tr>
      <w:tr w:rsidR="009424B8" w:rsidRPr="00C64D0B" w14:paraId="0DB97D5A" w14:textId="77777777" w:rsidTr="00313F8C">
        <w:tc>
          <w:tcPr>
            <w:tcW w:w="939" w:type="pct"/>
            <w:vAlign w:val="center"/>
          </w:tcPr>
          <w:p w14:paraId="3751CA7E"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Market share: utilisation</w:t>
            </w:r>
          </w:p>
        </w:tc>
        <w:tc>
          <w:tcPr>
            <w:tcW w:w="812" w:type="pct"/>
            <w:shd w:val="clear" w:color="auto" w:fill="auto"/>
            <w:vAlign w:val="center"/>
          </w:tcPr>
          <w:p w14:paraId="57D206FC"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NA</w:t>
            </w:r>
          </w:p>
        </w:tc>
        <w:tc>
          <w:tcPr>
            <w:tcW w:w="812" w:type="pct"/>
          </w:tcPr>
          <w:p w14:paraId="2F62C8C4"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3.9%</w:t>
            </w:r>
          </w:p>
        </w:tc>
        <w:tc>
          <w:tcPr>
            <w:tcW w:w="812" w:type="pct"/>
          </w:tcPr>
          <w:p w14:paraId="7BBCCB29"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5.3%</w:t>
            </w:r>
          </w:p>
        </w:tc>
        <w:tc>
          <w:tcPr>
            <w:tcW w:w="812" w:type="pct"/>
          </w:tcPr>
          <w:p w14:paraId="14CADA6F"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65.6%</w:t>
            </w:r>
          </w:p>
        </w:tc>
        <w:tc>
          <w:tcPr>
            <w:tcW w:w="813" w:type="pct"/>
          </w:tcPr>
          <w:p w14:paraId="452A9596"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25.1%</w:t>
            </w:r>
          </w:p>
        </w:tc>
      </w:tr>
      <w:tr w:rsidR="009424B8" w:rsidRPr="00C64D0B" w14:paraId="054C5094" w14:textId="77777777" w:rsidTr="00313F8C">
        <w:tc>
          <w:tcPr>
            <w:tcW w:w="939" w:type="pct"/>
            <w:vAlign w:val="center"/>
          </w:tcPr>
          <w:p w14:paraId="200AA1B7" w14:textId="77777777" w:rsidR="009424B8" w:rsidRPr="00C64D0B" w:rsidRDefault="009424B8" w:rsidP="00C64D0B">
            <w:pPr>
              <w:keepNext/>
              <w:keepLines/>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Average UPA AEMP</w:t>
            </w:r>
          </w:p>
        </w:tc>
        <w:tc>
          <w:tcPr>
            <w:tcW w:w="812" w:type="pct"/>
            <w:shd w:val="clear" w:color="auto" w:fill="auto"/>
          </w:tcPr>
          <w:p w14:paraId="52EAAFEA" w14:textId="77777777" w:rsidR="009424B8" w:rsidRPr="00CF3A1C" w:rsidRDefault="009424B8" w:rsidP="00C64D0B">
            <w:pPr>
              <w:keepNext/>
              <w:keepLines/>
              <w:jc w:val="center"/>
              <w:rPr>
                <w:rFonts w:ascii="Arial Narrow" w:eastAsiaTheme="minorEastAsia" w:hAnsi="Arial Narrow" w:cs="Times New Roman"/>
                <w:sz w:val="20"/>
                <w:szCs w:val="20"/>
                <w:lang w:eastAsia="en-US"/>
              </w:rPr>
            </w:pPr>
            <w:r w:rsidRPr="00CF3A1C">
              <w:rPr>
                <w:rFonts w:ascii="Arial Narrow" w:eastAsiaTheme="minorEastAsia" w:hAnsi="Arial Narrow" w:cs="Times New Roman"/>
                <w:sz w:val="20"/>
                <w:szCs w:val="20"/>
                <w:lang w:eastAsia="en-US"/>
              </w:rPr>
              <w:t>$5,032.48</w:t>
            </w:r>
          </w:p>
        </w:tc>
        <w:tc>
          <w:tcPr>
            <w:tcW w:w="3248" w:type="pct"/>
            <w:gridSpan w:val="4"/>
            <w:vAlign w:val="center"/>
          </w:tcPr>
          <w:p w14:paraId="106B73F6" w14:textId="77777777" w:rsidR="009424B8" w:rsidRPr="00333F2D" w:rsidRDefault="009424B8" w:rsidP="00C64D0B">
            <w:pPr>
              <w:keepNext/>
              <w:keepLines/>
              <w:jc w:val="center"/>
              <w:rPr>
                <w:rFonts w:ascii="Arial Narrow" w:eastAsiaTheme="minorEastAsia" w:hAnsi="Arial Narrow" w:cs="Times New Roman"/>
                <w:sz w:val="20"/>
                <w:szCs w:val="20"/>
                <w:lang w:eastAsia="en-US"/>
              </w:rPr>
            </w:pPr>
            <w:r w:rsidRPr="00333F2D">
              <w:rPr>
                <w:rFonts w:ascii="Arial Narrow" w:eastAsiaTheme="minorEastAsia" w:hAnsi="Arial Narrow" w:cs="Times New Roman"/>
                <w:sz w:val="20"/>
                <w:szCs w:val="20"/>
                <w:lang w:eastAsia="en-US"/>
              </w:rPr>
              <w:t>$5,032.48</w:t>
            </w:r>
          </w:p>
        </w:tc>
      </w:tr>
    </w:tbl>
    <w:p w14:paraId="5BBBF7AF" w14:textId="77777777" w:rsidR="009424B8" w:rsidRPr="00C64D0B" w:rsidRDefault="009424B8" w:rsidP="00C64D0B">
      <w:pPr>
        <w:keepNext/>
        <w:keepLines/>
        <w:rPr>
          <w:rFonts w:ascii="Arial Narrow" w:eastAsiaTheme="minorEastAsia" w:hAnsi="Arial Narrow"/>
          <w:snapToGrid w:val="0"/>
          <w:sz w:val="18"/>
          <w:szCs w:val="18"/>
          <w:lang w:eastAsia="en-US"/>
        </w:rPr>
      </w:pPr>
      <w:r w:rsidRPr="00C64D0B">
        <w:rPr>
          <w:rFonts w:ascii="Arial Narrow" w:eastAsiaTheme="minorEastAsia" w:hAnsi="Arial Narrow"/>
          <w:snapToGrid w:val="0"/>
          <w:sz w:val="18"/>
          <w:szCs w:val="18"/>
          <w:lang w:eastAsia="en-US"/>
        </w:rPr>
        <w:t>Source: Table 3-6, p133 of the submission.</w:t>
      </w:r>
    </w:p>
    <w:p w14:paraId="5519DE13" w14:textId="77777777" w:rsidR="009424B8" w:rsidRPr="00C64D0B" w:rsidRDefault="009424B8" w:rsidP="00C64D0B">
      <w:pPr>
        <w:keepNext/>
        <w:keepLines/>
        <w:rPr>
          <w:rFonts w:ascii="Arial Narrow" w:eastAsiaTheme="minorEastAsia" w:hAnsi="Arial Narrow"/>
          <w:snapToGrid w:val="0"/>
          <w:sz w:val="18"/>
          <w:szCs w:val="18"/>
          <w:lang w:eastAsia="en-US"/>
        </w:rPr>
      </w:pPr>
      <w:r w:rsidRPr="00C64D0B">
        <w:rPr>
          <w:rFonts w:ascii="Arial Narrow" w:eastAsiaTheme="minorEastAsia" w:hAnsi="Arial Narrow"/>
          <w:snapToGrid w:val="0"/>
          <w:sz w:val="18"/>
          <w:szCs w:val="18"/>
          <w:lang w:eastAsia="en-US"/>
        </w:rPr>
        <w:t>Abbreviations: AEMP = approved ex-manufacturer price; BD=twice daily, GOL=golimumab; IFX=infliximab; PBO = placebo; QD=once daily, Qty=quantity, TOF=tofacitinib; UPA=upadacitinib; VDZ=vedolizumab.</w:t>
      </w:r>
    </w:p>
    <w:p w14:paraId="5C694F26" w14:textId="77777777" w:rsidR="009424B8" w:rsidRPr="002C74F5" w:rsidRDefault="009424B8" w:rsidP="00C64D0B">
      <w:pPr>
        <w:pStyle w:val="TableFigureFooter"/>
        <w:keepNext/>
        <w:keepLines/>
        <w:ind w:left="142" w:hanging="142"/>
        <w:rPr>
          <w:szCs w:val="18"/>
        </w:rPr>
      </w:pPr>
      <w:r w:rsidRPr="00C64D0B">
        <w:rPr>
          <w:szCs w:val="18"/>
          <w:vertAlign w:val="superscript"/>
        </w:rPr>
        <w:t>a</w:t>
      </w:r>
      <w:r w:rsidRPr="002C74F5">
        <w:rPr>
          <w:szCs w:val="18"/>
        </w:rPr>
        <w:tab/>
        <w:t>The PBS listing for GOL limits induction treatment to 14 weeks of treatment, consisting of 5 *100mg injections (2*100mg at Wk 0 and 1*100mg at Wks 2, 6 and 10). The submission included an additional 100mg injection at Week 14, with the next dose due Wk18.</w:t>
      </w:r>
    </w:p>
    <w:p w14:paraId="4F0E5340" w14:textId="77777777" w:rsidR="009424B8" w:rsidRPr="002C74F5" w:rsidRDefault="009424B8" w:rsidP="00C64D0B">
      <w:pPr>
        <w:pStyle w:val="TableFigureFooter"/>
        <w:keepNext/>
        <w:keepLines/>
        <w:ind w:left="142" w:hanging="142"/>
        <w:rPr>
          <w:szCs w:val="18"/>
        </w:rPr>
      </w:pPr>
      <w:r w:rsidRPr="002C74F5">
        <w:rPr>
          <w:szCs w:val="18"/>
          <w:vertAlign w:val="superscript"/>
        </w:rPr>
        <w:t>b</w:t>
      </w:r>
      <w:r w:rsidRPr="002C74F5">
        <w:rPr>
          <w:szCs w:val="18"/>
          <w:vertAlign w:val="superscript"/>
        </w:rPr>
        <w:tab/>
      </w:r>
      <w:r w:rsidRPr="002C74F5">
        <w:rPr>
          <w:szCs w:val="18"/>
        </w:rPr>
        <w:t>The PBS listings for VDZ IV and IFX IV limit induction treatment to 3 doses of treatment at Wk0, Wk2 and Wk6, which permits a maximum of 14 weeks of induction treatment. The submission included an additional dose at Wk14, with the next dose due Wk22.</w:t>
      </w:r>
    </w:p>
    <w:p w14:paraId="739C8E0C" w14:textId="77777777" w:rsidR="009424B8" w:rsidRPr="002C74F5" w:rsidRDefault="009424B8" w:rsidP="00C64D0B">
      <w:pPr>
        <w:pStyle w:val="TableFigureFooter"/>
        <w:keepNext/>
        <w:keepLines/>
        <w:ind w:left="142" w:hanging="142"/>
        <w:rPr>
          <w:szCs w:val="18"/>
        </w:rPr>
      </w:pPr>
      <w:r w:rsidRPr="002C74F5">
        <w:rPr>
          <w:szCs w:val="18"/>
          <w:vertAlign w:val="superscript"/>
        </w:rPr>
        <w:t>c</w:t>
      </w:r>
      <w:r w:rsidRPr="002C74F5">
        <w:rPr>
          <w:szCs w:val="18"/>
          <w:vertAlign w:val="superscript"/>
        </w:rPr>
        <w:tab/>
      </w:r>
      <w:r w:rsidRPr="002C74F5">
        <w:rPr>
          <w:szCs w:val="18"/>
        </w:rPr>
        <w:t>Derived as risk difference for UPA versus PBO x incremental cost per responder for comparator versus PBO (for each comparator).</w:t>
      </w:r>
    </w:p>
    <w:p w14:paraId="58024D5B" w14:textId="633E27F6" w:rsidR="009424B8" w:rsidRPr="002C74F5" w:rsidRDefault="009424B8" w:rsidP="00C64D0B">
      <w:pPr>
        <w:pStyle w:val="TableFigureFooter"/>
        <w:keepNext/>
        <w:keepLines/>
        <w:ind w:left="142" w:hanging="142"/>
        <w:rPr>
          <w:szCs w:val="18"/>
        </w:rPr>
      </w:pPr>
      <w:r w:rsidRPr="002C74F5">
        <w:rPr>
          <w:szCs w:val="18"/>
          <w:vertAlign w:val="superscript"/>
        </w:rPr>
        <w:t>d</w:t>
      </w:r>
      <w:r w:rsidRPr="002C74F5">
        <w:rPr>
          <w:szCs w:val="18"/>
          <w:vertAlign w:val="superscript"/>
        </w:rPr>
        <w:tab/>
      </w:r>
      <w:r w:rsidRPr="002C74F5">
        <w:rPr>
          <w:szCs w:val="18"/>
        </w:rPr>
        <w:t xml:space="preserve">The analysis assumed dosing for VDZ and IFX based on the IV </w:t>
      </w:r>
      <w:r w:rsidR="00F9756A" w:rsidRPr="002C74F5">
        <w:rPr>
          <w:szCs w:val="18"/>
        </w:rPr>
        <w:t xml:space="preserve">only regimens; </w:t>
      </w:r>
      <w:r w:rsidR="007B7F12" w:rsidRPr="002C74F5">
        <w:rPr>
          <w:szCs w:val="18"/>
        </w:rPr>
        <w:t xml:space="preserve">however, patients can switch to SC dosing of either VDZ or IFX from Week 6. </w:t>
      </w:r>
      <w:r w:rsidR="001201DA" w:rsidRPr="002C74F5">
        <w:rPr>
          <w:szCs w:val="18"/>
        </w:rPr>
        <w:t>The SC regimens were PBS-listed on a cost-minimisation basis to the IV regimen</w:t>
      </w:r>
      <w:r w:rsidR="00A925C9" w:rsidRPr="002C74F5">
        <w:rPr>
          <w:szCs w:val="18"/>
        </w:rPr>
        <w:t>s</w:t>
      </w:r>
      <w:r w:rsidR="001201DA" w:rsidRPr="002C74F5">
        <w:rPr>
          <w:szCs w:val="18"/>
        </w:rPr>
        <w:t xml:space="preserve">. In the cost per responder analysis, </w:t>
      </w:r>
      <w:r w:rsidRPr="002C74F5">
        <w:rPr>
          <w:szCs w:val="18"/>
        </w:rPr>
        <w:t xml:space="preserve">IV administration costs were included for VDZ and IFX, but </w:t>
      </w:r>
      <w:r w:rsidR="00131BF2" w:rsidRPr="002C74F5">
        <w:rPr>
          <w:szCs w:val="18"/>
        </w:rPr>
        <w:t xml:space="preserve">assumed no </w:t>
      </w:r>
      <w:r w:rsidRPr="002C74F5">
        <w:rPr>
          <w:szCs w:val="18"/>
        </w:rPr>
        <w:t>SC administration costs</w:t>
      </w:r>
      <w:r w:rsidR="007B7F12" w:rsidRPr="002C74F5">
        <w:rPr>
          <w:szCs w:val="18"/>
        </w:rPr>
        <w:t xml:space="preserve"> with GOL</w:t>
      </w:r>
      <w:r w:rsidRPr="002C74F5">
        <w:rPr>
          <w:szCs w:val="18"/>
        </w:rPr>
        <w:t xml:space="preserve">. </w:t>
      </w:r>
      <w:r w:rsidR="007B7F12" w:rsidRPr="002C74F5">
        <w:rPr>
          <w:szCs w:val="18"/>
        </w:rPr>
        <w:t>T</w:t>
      </w:r>
      <w:r w:rsidRPr="002C74F5">
        <w:rPr>
          <w:szCs w:val="18"/>
        </w:rPr>
        <w:t xml:space="preserve">he derivation of </w:t>
      </w:r>
      <w:r w:rsidR="007B7F12" w:rsidRPr="002C74F5">
        <w:rPr>
          <w:szCs w:val="18"/>
        </w:rPr>
        <w:t xml:space="preserve">comparator </w:t>
      </w:r>
      <w:r w:rsidRPr="002C74F5">
        <w:rPr>
          <w:szCs w:val="18"/>
        </w:rPr>
        <w:t>weight</w:t>
      </w:r>
      <w:r w:rsidR="007B7F12" w:rsidRPr="002C74F5">
        <w:rPr>
          <w:szCs w:val="18"/>
        </w:rPr>
        <w:t>s also</w:t>
      </w:r>
      <w:r w:rsidRPr="002C74F5">
        <w:rPr>
          <w:szCs w:val="18"/>
        </w:rPr>
        <w:t xml:space="preserve"> excluded PBS items numbers for VDZ SC but inconsistently included PBS item </w:t>
      </w:r>
      <w:r w:rsidR="00761A56" w:rsidRPr="002C74F5">
        <w:rPr>
          <w:szCs w:val="18"/>
        </w:rPr>
        <w:t>numbers for IFX SC (Remsima®).</w:t>
      </w:r>
    </w:p>
    <w:p w14:paraId="6B5E8495" w14:textId="5839D1AD" w:rsidR="009424B8" w:rsidRPr="0064550B" w:rsidRDefault="00E566A5" w:rsidP="009424B8">
      <w:pPr>
        <w:pStyle w:val="3-BodyText"/>
      </w:pPr>
      <w:bookmarkStart w:id="44" w:name="_Ref105575868"/>
      <w:r w:rsidRPr="0064550B">
        <w:t xml:space="preserve">Notwithstanding </w:t>
      </w:r>
      <w:r w:rsidR="009424B8" w:rsidRPr="0064550B">
        <w:t>the concerns related to the submission’s overall approach (or the use of published prices), the following key issues were identified with the cost per responder analysis:</w:t>
      </w:r>
      <w:bookmarkEnd w:id="44"/>
    </w:p>
    <w:p w14:paraId="241130E1" w14:textId="65D32D76" w:rsidR="009424B8" w:rsidRPr="00031EC8" w:rsidRDefault="009424B8" w:rsidP="00B63CEF">
      <w:pPr>
        <w:pStyle w:val="ListParagraph"/>
        <w:ind w:left="1134"/>
        <w:rPr>
          <w:i/>
        </w:rPr>
      </w:pPr>
      <w:r w:rsidRPr="0064550B">
        <w:t xml:space="preserve">The submission costed one too many doses of GOL, VDZ </w:t>
      </w:r>
      <w:r w:rsidR="000C51CE" w:rsidRPr="0064550B">
        <w:t xml:space="preserve">IV </w:t>
      </w:r>
      <w:r w:rsidRPr="0064550B">
        <w:t>and IFX</w:t>
      </w:r>
      <w:r w:rsidR="000C51CE" w:rsidRPr="0064550B">
        <w:t xml:space="preserve"> IV</w:t>
      </w:r>
      <w:r w:rsidRPr="0064550B">
        <w:t xml:space="preserve">. </w:t>
      </w:r>
      <w:r w:rsidR="00FC3CA4">
        <w:t>I</w:t>
      </w:r>
      <w:r w:rsidRPr="0064550B">
        <w:t>n</w:t>
      </w:r>
      <w:r w:rsidR="000C51CE" w:rsidRPr="0064550B">
        <w:t>itial</w:t>
      </w:r>
      <w:r w:rsidRPr="0064550B">
        <w:t xml:space="preserve"> treatment is limited to 14 weeks of treatment corresponding to a total of five SC injections with GOL or 3 IV infusions with VDZ and IFX. </w:t>
      </w:r>
      <w:r w:rsidR="00B63CEF" w:rsidRPr="0064550B">
        <w:t xml:space="preserve">Patients can receive up to 16 weeks of initial treatment with VDZ and IFX if they switch to the SC formulations, but the submission excluded the VDZ SC and IFX SC doses from the analysis. </w:t>
      </w:r>
      <w:r w:rsidRPr="0064550B">
        <w:t xml:space="preserve">By setting a time horizon of 16 weeks for all treatments rather than simply the duration of initial treatment on the PBS, the submission included the first dose of continuing treatment and hence overestimated costs for GOL, VDZ </w:t>
      </w:r>
      <w:r w:rsidR="000D3613" w:rsidRPr="0064550B">
        <w:t xml:space="preserve">IV </w:t>
      </w:r>
      <w:r w:rsidRPr="0064550B">
        <w:t>and IFX</w:t>
      </w:r>
      <w:r w:rsidR="000D3613" w:rsidRPr="0064550B">
        <w:t xml:space="preserve"> IV</w:t>
      </w:r>
      <w:r w:rsidRPr="0064550B">
        <w:t xml:space="preserve">. </w:t>
      </w:r>
      <w:bookmarkStart w:id="45" w:name="_Hlk103346280"/>
      <w:r w:rsidRPr="0064550B">
        <w:t xml:space="preserve">The submission </w:t>
      </w:r>
      <w:r w:rsidR="00131BF2" w:rsidRPr="0064550B">
        <w:t xml:space="preserve">also </w:t>
      </w:r>
      <w:r w:rsidRPr="0064550B">
        <w:t>assumed no administration costs for SC injections</w:t>
      </w:r>
      <w:r w:rsidRPr="0064550B">
        <w:rPr>
          <w:iCs/>
        </w:rPr>
        <w:t xml:space="preserve"> </w:t>
      </w:r>
      <w:r w:rsidR="000D3613" w:rsidRPr="0064550B">
        <w:rPr>
          <w:iCs/>
        </w:rPr>
        <w:t xml:space="preserve">with GOL </w:t>
      </w:r>
      <w:r w:rsidRPr="0064550B">
        <w:rPr>
          <w:iCs/>
        </w:rPr>
        <w:t xml:space="preserve">despite some </w:t>
      </w:r>
      <w:r w:rsidR="00731EA3" w:rsidRPr="0064550B">
        <w:rPr>
          <w:iCs/>
        </w:rPr>
        <w:t xml:space="preserve">10% </w:t>
      </w:r>
      <w:r w:rsidR="008470FA" w:rsidRPr="0064550B">
        <w:rPr>
          <w:iCs/>
        </w:rPr>
        <w:t xml:space="preserve">of </w:t>
      </w:r>
      <w:r w:rsidRPr="0064550B">
        <w:rPr>
          <w:iCs/>
        </w:rPr>
        <w:t>patients requiring medical assistance or training</w:t>
      </w:r>
      <w:r w:rsidR="00731EA3" w:rsidRPr="0064550B">
        <w:rPr>
          <w:iCs/>
        </w:rPr>
        <w:t xml:space="preserve"> (paragraph 7.16, VDZ PSD, November 2020)</w:t>
      </w:r>
      <w:r w:rsidRPr="0064550B">
        <w:rPr>
          <w:iCs/>
        </w:rPr>
        <w:t>.</w:t>
      </w:r>
      <w:bookmarkEnd w:id="45"/>
      <w:r w:rsidR="00592BB4">
        <w:rPr>
          <w:iCs/>
        </w:rPr>
        <w:t xml:space="preserve"> </w:t>
      </w:r>
      <w:r w:rsidR="00592BB4" w:rsidRPr="004626D3">
        <w:rPr>
          <w:iCs/>
        </w:rPr>
        <w:t xml:space="preserve">The PSCR acknowledged the evaluation’s calculation of the number of doses of GOL, VDZ IV and IFX IV due to the 16-week horizon and agreed it was </w:t>
      </w:r>
      <w:r w:rsidR="00F16365" w:rsidRPr="004626D3">
        <w:rPr>
          <w:iCs/>
        </w:rPr>
        <w:t>reasonable</w:t>
      </w:r>
      <w:r w:rsidR="00592BB4" w:rsidRPr="004626D3">
        <w:rPr>
          <w:iCs/>
        </w:rPr>
        <w:t xml:space="preserve"> to correct these.</w:t>
      </w:r>
    </w:p>
    <w:p w14:paraId="077D7FB7" w14:textId="2BB5CA5F" w:rsidR="00BF7AFC" w:rsidRPr="0064550B" w:rsidRDefault="00BF7AFC" w:rsidP="00BF7AFC">
      <w:pPr>
        <w:pStyle w:val="ListParagraph"/>
        <w:ind w:left="1134"/>
      </w:pPr>
      <w:r w:rsidRPr="0064550B">
        <w:rPr>
          <w:rFonts w:cstheme="minorHAnsi"/>
          <w:color w:val="222222"/>
          <w:shd w:val="clear" w:color="auto" w:fill="FFFFFF"/>
        </w:rPr>
        <w:t xml:space="preserve">The methodology for conducting the cost per responder analysis was inappropriate. The submission estimated the cost per responder for each treatment separately versus placebo, calculating the corresponding price for UPA assuming an equal cost per responder with each comparator, then finally combining these prices using utilisation weights. Under this approach, comparators with larger market shares are more heavily weighted without properly accounting for the corresponding number of responders. In contrast, </w:t>
      </w:r>
      <w:r w:rsidRPr="0064550B">
        <w:t>under a standard evaluation framework the analysis would estimate the cost per responder of a</w:t>
      </w:r>
      <w:r w:rsidRPr="0064550B">
        <w:rPr>
          <w:rFonts w:cstheme="minorHAnsi"/>
          <w:color w:val="222222"/>
          <w:shd w:val="clear" w:color="auto" w:fill="FFFFFF"/>
        </w:rPr>
        <w:t xml:space="preserve"> mixed treatment comparator taking account of both the relative effectiveness and proportional use of each comparator in the one step. </w:t>
      </w:r>
    </w:p>
    <w:p w14:paraId="121ABF30" w14:textId="77777777" w:rsidR="00225DD3" w:rsidRPr="0064550B" w:rsidRDefault="009424B8" w:rsidP="00225DD3">
      <w:pPr>
        <w:pStyle w:val="ListParagraph"/>
        <w:ind w:left="1134"/>
        <w:rPr>
          <w:iCs/>
        </w:rPr>
      </w:pPr>
      <w:r w:rsidRPr="0064550B">
        <w:rPr>
          <w:iCs/>
        </w:rPr>
        <w:t>The analysis used the point estimates of the RD statistic from the ITT populations of the corresponding trials, which ignores any uncertainty around the treatment effects and assumes that the absolute treatment effects are constant across trials. Given the PBO response rate in the UPA trials (2.1%) was different/lower than the other trials (range: 6.0% to 11.4%), indicating that there were likely prognostic differences across trials, the assumption of constant absolute effects across trials is less likely to be true.</w:t>
      </w:r>
    </w:p>
    <w:p w14:paraId="7953D193" w14:textId="65F8FC50" w:rsidR="009424B8" w:rsidRPr="0064550B" w:rsidRDefault="00225DD3" w:rsidP="00225DD3">
      <w:pPr>
        <w:pStyle w:val="ListParagraph"/>
        <w:ind w:left="1134"/>
        <w:rPr>
          <w:iCs/>
        </w:rPr>
      </w:pPr>
      <w:r w:rsidRPr="0064550B">
        <w:rPr>
          <w:iCs/>
        </w:rPr>
        <w:t>The rationale to exclude ADA from the analysis was unclear and may not be reasonable</w:t>
      </w:r>
      <w:r w:rsidR="00B7383D" w:rsidRPr="0064550B">
        <w:rPr>
          <w:iCs/>
        </w:rPr>
        <w:t>; the submission also excluded IFX SC and VDZ SC dosing regimens, which may have implications for total costs</w:t>
      </w:r>
      <w:r w:rsidRPr="0064550B">
        <w:rPr>
          <w:iCs/>
        </w:rPr>
        <w:t>.</w:t>
      </w:r>
    </w:p>
    <w:p w14:paraId="44DA3C82" w14:textId="718407C4" w:rsidR="00485625" w:rsidRPr="004626D3" w:rsidRDefault="00485625" w:rsidP="00485625">
      <w:pPr>
        <w:pStyle w:val="3-BodyText"/>
      </w:pPr>
      <w:r w:rsidRPr="004626D3">
        <w:t xml:space="preserve">The ESC advised there was sufficient clinical evidence to justify a cost minimisation approach to the least costly alternative therapy across both the induction and maintenance phases. As the ESC considered the cost per responder analysis was inappropriate as it attempted to capture benefits over only a short induction period for a treatment which is intended to be ongoing, the ESC advised that if a cost minimisation to the least costly alternative therapy were not accepted by the </w:t>
      </w:r>
      <w:r w:rsidR="00A950DF">
        <w:t>sponsor</w:t>
      </w:r>
      <w:r w:rsidRPr="004626D3">
        <w:t xml:space="preserve">, the new model would require evaluation in conjunction with further clinical analyses noted in paragraph </w:t>
      </w:r>
      <w:r w:rsidRPr="004626D3">
        <w:fldChar w:fldCharType="begin" w:fldLock="1"/>
      </w:r>
      <w:r w:rsidRPr="004626D3">
        <w:instrText xml:space="preserve"> REF _Ref105663661 \r \h </w:instrText>
      </w:r>
      <w:r w:rsidR="004626D3">
        <w:instrText xml:space="preserve"> \* MERGEFORMAT </w:instrText>
      </w:r>
      <w:r w:rsidRPr="004626D3">
        <w:fldChar w:fldCharType="separate"/>
      </w:r>
      <w:r w:rsidR="008664BD">
        <w:t>6.23</w:t>
      </w:r>
      <w:r w:rsidRPr="004626D3">
        <w:fldChar w:fldCharType="end"/>
      </w:r>
      <w:r w:rsidRPr="004626D3">
        <w:t>.</w:t>
      </w:r>
    </w:p>
    <w:p w14:paraId="5EC92388" w14:textId="712AECBA" w:rsidR="00D1611C" w:rsidRPr="004626D3" w:rsidRDefault="00D1611C" w:rsidP="00D1611C">
      <w:pPr>
        <w:pStyle w:val="3-BodyText"/>
      </w:pPr>
      <w:r w:rsidRPr="004626D3">
        <w:t>The PSCR argued the superiority of UPA in inducing remission in the induction phase was a clinically meaningful benefit and disagreed with the evaluation position that it was more important to consider the total costs and benefits over the induction and maintenance periods. The ESC agreed with the evaluation and considered, given the treatment objective of UPA in MSUC was the ongoing management of the condition over a long period, that if a claim of superior comparative effectiveness in the induction phase were accepted, a cost utility model over a longer time period would better capture the costs and benefits of UPA</w:t>
      </w:r>
      <w:r w:rsidR="00045343" w:rsidRPr="004626D3">
        <w:t xml:space="preserve"> over the full treatment period (induction and maintenance)</w:t>
      </w:r>
      <w:r w:rsidRPr="004626D3">
        <w:t xml:space="preserve">. The ESC noted the </w:t>
      </w:r>
      <w:r w:rsidR="00A950DF">
        <w:t>Sponsor</w:t>
      </w:r>
      <w:r w:rsidRPr="004626D3">
        <w:t xml:space="preserve"> had indicated it would be ‘impractical’ to undertake a formal cost utility analysis; however </w:t>
      </w:r>
      <w:r w:rsidR="00D73F73" w:rsidRPr="004626D3">
        <w:t xml:space="preserve">the ESC </w:t>
      </w:r>
      <w:r w:rsidRPr="004626D3">
        <w:t xml:space="preserve">considered that such an approach </w:t>
      </w:r>
      <w:r w:rsidR="00CB67E5" w:rsidRPr="004626D3">
        <w:t>would</w:t>
      </w:r>
      <w:r w:rsidRPr="004626D3">
        <w:t xml:space="preserve"> be more informative than the cost per responder approach used in the submission</w:t>
      </w:r>
      <w:r w:rsidR="00CB67E5" w:rsidRPr="004626D3">
        <w:t xml:space="preserve">, if a cost-minimisation analysis was not </w:t>
      </w:r>
      <w:r w:rsidR="006E0CDF" w:rsidRPr="004626D3">
        <w:t xml:space="preserve">accepted by the </w:t>
      </w:r>
      <w:r w:rsidR="00A950DF">
        <w:t>sponsor</w:t>
      </w:r>
      <w:r w:rsidRPr="004626D3">
        <w:t>.</w:t>
      </w:r>
      <w:r w:rsidR="00CB67E5" w:rsidRPr="004626D3">
        <w:t xml:space="preserve">  </w:t>
      </w:r>
    </w:p>
    <w:p w14:paraId="1F9BDD01" w14:textId="12F40FF2" w:rsidR="009424B8" w:rsidRPr="00CC1B13" w:rsidRDefault="00555FE2" w:rsidP="009424B8">
      <w:pPr>
        <w:pStyle w:val="3-BodyText"/>
        <w:rPr>
          <w:i/>
          <w:iCs/>
        </w:rPr>
      </w:pPr>
      <w:r>
        <w:fldChar w:fldCharType="begin" w:fldLock="1"/>
      </w:r>
      <w:r>
        <w:instrText xml:space="preserve"> REF _Ref103176495 \h </w:instrText>
      </w:r>
      <w:r w:rsidR="009A0F3E">
        <w:instrText xml:space="preserve"> \* MERGEFORMAT </w:instrText>
      </w:r>
      <w:r>
        <w:fldChar w:fldCharType="separate"/>
      </w:r>
      <w:r w:rsidR="008664BD" w:rsidRPr="008664BD">
        <w:t>Table 9</w:t>
      </w:r>
      <w:r>
        <w:fldChar w:fldCharType="end"/>
      </w:r>
      <w:r w:rsidR="009424B8" w:rsidRPr="00FC11C9">
        <w:t xml:space="preserve"> presents the results of the cost-minimisation analysis</w:t>
      </w:r>
      <w:r w:rsidR="009424B8">
        <w:t>,</w:t>
      </w:r>
      <w:r w:rsidR="009424B8" w:rsidRPr="00FC11C9">
        <w:t xml:space="preserve"> between UPA and TOF for maintenance treatment.</w:t>
      </w:r>
    </w:p>
    <w:p w14:paraId="397A38B8" w14:textId="3DDBD384" w:rsidR="009424B8" w:rsidRPr="00F9756A" w:rsidRDefault="0054173C" w:rsidP="00F9756A">
      <w:pPr>
        <w:pStyle w:val="Caption"/>
        <w:keepNext/>
        <w:spacing w:after="60"/>
        <w:rPr>
          <w:rFonts w:ascii="Arial Narrow" w:hAnsi="Arial Narrow"/>
          <w:color w:val="auto"/>
          <w:sz w:val="20"/>
          <w:szCs w:val="20"/>
        </w:rPr>
      </w:pPr>
      <w:bookmarkStart w:id="46" w:name="_Ref103176495"/>
      <w:r w:rsidRPr="00F9756A">
        <w:rPr>
          <w:rFonts w:ascii="Arial Narrow" w:hAnsi="Arial Narrow"/>
          <w:color w:val="auto"/>
          <w:sz w:val="20"/>
          <w:szCs w:val="20"/>
        </w:rPr>
        <w:t xml:space="preserve">Table </w:t>
      </w:r>
      <w:r w:rsidRPr="00F9756A">
        <w:rPr>
          <w:rFonts w:ascii="Arial Narrow" w:hAnsi="Arial Narrow"/>
          <w:color w:val="auto"/>
          <w:sz w:val="20"/>
          <w:szCs w:val="20"/>
        </w:rPr>
        <w:fldChar w:fldCharType="begin" w:fldLock="1"/>
      </w:r>
      <w:r w:rsidRPr="00F9756A">
        <w:rPr>
          <w:rFonts w:ascii="Arial Narrow" w:hAnsi="Arial Narrow"/>
          <w:color w:val="auto"/>
          <w:sz w:val="20"/>
          <w:szCs w:val="20"/>
        </w:rPr>
        <w:instrText xml:space="preserve"> SEQ Table \* ARABIC </w:instrText>
      </w:r>
      <w:r w:rsidRPr="00F9756A">
        <w:rPr>
          <w:rFonts w:ascii="Arial Narrow" w:hAnsi="Arial Narrow"/>
          <w:color w:val="auto"/>
          <w:sz w:val="20"/>
          <w:szCs w:val="20"/>
        </w:rPr>
        <w:fldChar w:fldCharType="separate"/>
      </w:r>
      <w:r w:rsidR="008664BD">
        <w:rPr>
          <w:rFonts w:ascii="Arial Narrow" w:hAnsi="Arial Narrow"/>
          <w:noProof/>
          <w:color w:val="auto"/>
          <w:sz w:val="20"/>
          <w:szCs w:val="20"/>
        </w:rPr>
        <w:t>9</w:t>
      </w:r>
      <w:r w:rsidRPr="00F9756A">
        <w:rPr>
          <w:rFonts w:ascii="Arial Narrow" w:hAnsi="Arial Narrow"/>
          <w:color w:val="auto"/>
          <w:sz w:val="20"/>
          <w:szCs w:val="20"/>
        </w:rPr>
        <w:fldChar w:fldCharType="end"/>
      </w:r>
      <w:bookmarkEnd w:id="46"/>
      <w:r w:rsidR="009424B8" w:rsidRPr="00F9756A">
        <w:rPr>
          <w:rFonts w:ascii="Arial Narrow" w:eastAsiaTheme="minorEastAsia" w:hAnsi="Arial Narrow"/>
          <w:snapToGrid w:val="0"/>
          <w:color w:val="auto"/>
          <w:sz w:val="20"/>
          <w:szCs w:val="20"/>
          <w:lang w:eastAsia="en-US"/>
        </w:rPr>
        <w:t xml:space="preserve">: Results of the cost-minimisation analysis for </w:t>
      </w:r>
      <w:r w:rsidR="009424B8" w:rsidRPr="00F9756A">
        <w:rPr>
          <w:rFonts w:ascii="Arial Narrow" w:eastAsiaTheme="minorEastAsia" w:hAnsi="Arial Narrow"/>
          <w:snapToGrid w:val="0"/>
          <w:color w:val="auto"/>
          <w:sz w:val="20"/>
          <w:szCs w:val="20"/>
          <w:u w:val="single"/>
          <w:lang w:eastAsia="en-US"/>
        </w:rPr>
        <w:t>maintenance</w:t>
      </w:r>
      <w:r w:rsidR="009424B8" w:rsidRPr="00F9756A">
        <w:rPr>
          <w:rFonts w:ascii="Arial Narrow" w:eastAsiaTheme="minorEastAsia" w:hAnsi="Arial Narrow"/>
          <w:snapToGrid w:val="0"/>
          <w:color w:val="auto"/>
          <w:sz w:val="20"/>
          <w:szCs w:val="20"/>
          <w:lang w:eastAsia="en-US"/>
        </w:rPr>
        <w:t xml:space="preserve"> treatment (based on published AEMP)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3"/>
        <w:gridCol w:w="1865"/>
        <w:gridCol w:w="1866"/>
        <w:gridCol w:w="1866"/>
        <w:gridCol w:w="1867"/>
      </w:tblGrid>
      <w:tr w:rsidR="009424B8" w:rsidRPr="00C64D0B" w14:paraId="2EE4E8F9" w14:textId="77777777" w:rsidTr="00313F8C">
        <w:tc>
          <w:tcPr>
            <w:tcW w:w="1553" w:type="dxa"/>
            <w:vMerge w:val="restart"/>
            <w:vAlign w:val="center"/>
          </w:tcPr>
          <w:p w14:paraId="20DEBE04" w14:textId="77777777" w:rsidR="009424B8" w:rsidRPr="00C64D0B" w:rsidRDefault="009424B8" w:rsidP="00313F8C">
            <w:pPr>
              <w:jc w:val="left"/>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Component</w:t>
            </w:r>
          </w:p>
        </w:tc>
        <w:tc>
          <w:tcPr>
            <w:tcW w:w="3731" w:type="dxa"/>
            <w:gridSpan w:val="2"/>
          </w:tcPr>
          <w:p w14:paraId="1C2C6AC2" w14:textId="77777777" w:rsidR="009424B8" w:rsidRPr="00C64D0B" w:rsidRDefault="009424B8" w:rsidP="00313F8C">
            <w:pPr>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UPA</w:t>
            </w:r>
          </w:p>
        </w:tc>
        <w:tc>
          <w:tcPr>
            <w:tcW w:w="3733" w:type="dxa"/>
            <w:gridSpan w:val="2"/>
          </w:tcPr>
          <w:p w14:paraId="6F085D01" w14:textId="77777777" w:rsidR="009424B8" w:rsidRPr="00C64D0B" w:rsidRDefault="009424B8" w:rsidP="00313F8C">
            <w:pPr>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TOF</w:t>
            </w:r>
          </w:p>
        </w:tc>
      </w:tr>
      <w:tr w:rsidR="009424B8" w:rsidRPr="00C64D0B" w14:paraId="3E6D72B8" w14:textId="77777777" w:rsidTr="00313F8C">
        <w:tc>
          <w:tcPr>
            <w:tcW w:w="1553" w:type="dxa"/>
            <w:vMerge/>
          </w:tcPr>
          <w:p w14:paraId="1ECA6ACE" w14:textId="77777777" w:rsidR="009424B8" w:rsidRPr="00C64D0B" w:rsidRDefault="009424B8" w:rsidP="00313F8C">
            <w:pPr>
              <w:jc w:val="left"/>
              <w:rPr>
                <w:rFonts w:ascii="Arial Narrow" w:eastAsiaTheme="minorEastAsia" w:hAnsi="Arial Narrow" w:cs="Times New Roman"/>
                <w:b/>
                <w:sz w:val="20"/>
                <w:szCs w:val="20"/>
                <w:lang w:eastAsia="en-US"/>
              </w:rPr>
            </w:pPr>
          </w:p>
        </w:tc>
        <w:tc>
          <w:tcPr>
            <w:tcW w:w="1865" w:type="dxa"/>
          </w:tcPr>
          <w:p w14:paraId="56702C36" w14:textId="77777777" w:rsidR="009424B8" w:rsidRPr="00C64D0B" w:rsidRDefault="009424B8" w:rsidP="00313F8C">
            <w:pPr>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15mg</w:t>
            </w:r>
          </w:p>
        </w:tc>
        <w:tc>
          <w:tcPr>
            <w:tcW w:w="1866" w:type="dxa"/>
          </w:tcPr>
          <w:p w14:paraId="285D097B" w14:textId="77777777" w:rsidR="009424B8" w:rsidRPr="00C64D0B" w:rsidDel="002D342D" w:rsidRDefault="009424B8" w:rsidP="00313F8C">
            <w:pPr>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30mg</w:t>
            </w:r>
          </w:p>
        </w:tc>
        <w:tc>
          <w:tcPr>
            <w:tcW w:w="1866" w:type="dxa"/>
          </w:tcPr>
          <w:p w14:paraId="144182D0" w14:textId="77777777" w:rsidR="009424B8" w:rsidRPr="00C64D0B" w:rsidRDefault="009424B8" w:rsidP="00313F8C">
            <w:pPr>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5mg</w:t>
            </w:r>
          </w:p>
        </w:tc>
        <w:tc>
          <w:tcPr>
            <w:tcW w:w="1867" w:type="dxa"/>
          </w:tcPr>
          <w:p w14:paraId="304411D9" w14:textId="77777777" w:rsidR="009424B8" w:rsidRPr="00C64D0B" w:rsidRDefault="009424B8" w:rsidP="00313F8C">
            <w:pPr>
              <w:jc w:val="center"/>
              <w:rPr>
                <w:rFonts w:ascii="Arial Narrow" w:eastAsiaTheme="minorEastAsia" w:hAnsi="Arial Narrow" w:cs="Times New Roman"/>
                <w:b/>
                <w:sz w:val="20"/>
                <w:szCs w:val="20"/>
                <w:lang w:eastAsia="en-US"/>
              </w:rPr>
            </w:pPr>
            <w:r w:rsidRPr="00C64D0B">
              <w:rPr>
                <w:rFonts w:ascii="Arial Narrow" w:eastAsiaTheme="minorEastAsia" w:hAnsi="Arial Narrow" w:cs="Times New Roman"/>
                <w:b/>
                <w:sz w:val="20"/>
                <w:szCs w:val="20"/>
                <w:lang w:eastAsia="en-US"/>
              </w:rPr>
              <w:t>10mg</w:t>
            </w:r>
          </w:p>
        </w:tc>
      </w:tr>
      <w:tr w:rsidR="009424B8" w:rsidRPr="00C64D0B" w14:paraId="4C5F78AF" w14:textId="77777777" w:rsidTr="00313F8C">
        <w:tc>
          <w:tcPr>
            <w:tcW w:w="1553" w:type="dxa"/>
          </w:tcPr>
          <w:p w14:paraId="07D6E23A" w14:textId="77777777" w:rsidR="009424B8" w:rsidRPr="00C64D0B" w:rsidRDefault="009424B8" w:rsidP="00313F8C">
            <w:pPr>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PBS item, max qty</w:t>
            </w:r>
          </w:p>
        </w:tc>
        <w:tc>
          <w:tcPr>
            <w:tcW w:w="1865" w:type="dxa"/>
            <w:tcBorders>
              <w:bottom w:val="single" w:sz="4" w:space="0" w:color="auto"/>
            </w:tcBorders>
            <w:vAlign w:val="center"/>
          </w:tcPr>
          <w:p w14:paraId="59B17554" w14:textId="77777777" w:rsidR="009424B8" w:rsidRPr="00C64D0B" w:rsidRDefault="009424B8" w:rsidP="00313F8C">
            <w:pPr>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15mg (1 pack / 28 tablets)</w:t>
            </w:r>
          </w:p>
        </w:tc>
        <w:tc>
          <w:tcPr>
            <w:tcW w:w="1866" w:type="dxa"/>
            <w:tcBorders>
              <w:bottom w:val="single" w:sz="4" w:space="0" w:color="auto"/>
            </w:tcBorders>
            <w:vAlign w:val="center"/>
          </w:tcPr>
          <w:p w14:paraId="07EF0271" w14:textId="77777777" w:rsidR="009424B8" w:rsidRPr="00C64D0B" w:rsidRDefault="009424B8" w:rsidP="00313F8C">
            <w:pPr>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30mg (1 pack / 28 tablets)</w:t>
            </w:r>
          </w:p>
        </w:tc>
        <w:tc>
          <w:tcPr>
            <w:tcW w:w="1866" w:type="dxa"/>
            <w:tcBorders>
              <w:bottom w:val="single" w:sz="4" w:space="0" w:color="auto"/>
            </w:tcBorders>
            <w:vAlign w:val="center"/>
          </w:tcPr>
          <w:p w14:paraId="773D643E" w14:textId="77777777" w:rsidR="009424B8" w:rsidRPr="00C64D0B" w:rsidRDefault="009424B8" w:rsidP="00313F8C">
            <w:pPr>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10mg (1 pack / 56 tablets)</w:t>
            </w:r>
          </w:p>
        </w:tc>
        <w:tc>
          <w:tcPr>
            <w:tcW w:w="1867" w:type="dxa"/>
            <w:tcBorders>
              <w:bottom w:val="single" w:sz="4" w:space="0" w:color="auto"/>
            </w:tcBorders>
            <w:vAlign w:val="center"/>
          </w:tcPr>
          <w:p w14:paraId="093B8B66" w14:textId="77777777" w:rsidR="009424B8" w:rsidRPr="00C64D0B" w:rsidRDefault="009424B8" w:rsidP="00313F8C">
            <w:pPr>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5mg (1 pack / 56 tablets)</w:t>
            </w:r>
          </w:p>
        </w:tc>
      </w:tr>
      <w:tr w:rsidR="009424B8" w:rsidRPr="00C64D0B" w14:paraId="5E1BE8B5" w14:textId="77777777" w:rsidTr="00313F8C">
        <w:tc>
          <w:tcPr>
            <w:tcW w:w="1553" w:type="dxa"/>
          </w:tcPr>
          <w:p w14:paraId="05A5A6FF" w14:textId="77777777" w:rsidR="009424B8" w:rsidRPr="00C64D0B" w:rsidRDefault="009424B8" w:rsidP="00313F8C">
            <w:pPr>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AEMP</w:t>
            </w:r>
          </w:p>
        </w:tc>
        <w:tc>
          <w:tcPr>
            <w:tcW w:w="3731" w:type="dxa"/>
            <w:gridSpan w:val="2"/>
            <w:tcBorders>
              <w:bottom w:val="single" w:sz="4" w:space="0" w:color="auto"/>
            </w:tcBorders>
            <w:vAlign w:val="center"/>
          </w:tcPr>
          <w:p w14:paraId="3F043ACF" w14:textId="77777777" w:rsidR="009424B8" w:rsidRPr="00C64D0B" w:rsidRDefault="009424B8" w:rsidP="00313F8C">
            <w:pPr>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w:t>
            </w:r>
            <w:r w:rsidRPr="009E5654">
              <w:rPr>
                <w:rFonts w:ascii="Arial Narrow" w:eastAsiaTheme="minorEastAsia" w:hAnsi="Arial Narrow" w:cs="Times New Roman"/>
                <w:sz w:val="20"/>
                <w:szCs w:val="20"/>
                <w:lang w:eastAsia="en-US"/>
              </w:rPr>
              <w:t>1,092.47</w:t>
            </w:r>
            <w:r w:rsidRPr="00C64D0B">
              <w:rPr>
                <w:rFonts w:ascii="Arial Narrow" w:eastAsiaTheme="minorEastAsia" w:hAnsi="Arial Narrow" w:cs="Times New Roman"/>
                <w:sz w:val="20"/>
                <w:szCs w:val="20"/>
                <w:lang w:eastAsia="en-US"/>
              </w:rPr>
              <w:t xml:space="preserve"> (flat pricing proposed)</w:t>
            </w:r>
          </w:p>
        </w:tc>
        <w:tc>
          <w:tcPr>
            <w:tcW w:w="3733" w:type="dxa"/>
            <w:gridSpan w:val="2"/>
            <w:vAlign w:val="center"/>
          </w:tcPr>
          <w:p w14:paraId="2050FD8E" w14:textId="77777777" w:rsidR="009424B8" w:rsidRPr="00C64D0B" w:rsidRDefault="009424B8" w:rsidP="00313F8C">
            <w:pPr>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w:t>
            </w:r>
            <w:r w:rsidRPr="00541884">
              <w:rPr>
                <w:rFonts w:ascii="Arial Narrow" w:eastAsiaTheme="minorEastAsia" w:hAnsi="Arial Narrow" w:cs="Times New Roman"/>
                <w:sz w:val="20"/>
                <w:szCs w:val="20"/>
                <w:lang w:eastAsia="en-US"/>
              </w:rPr>
              <w:t>1,092.47</w:t>
            </w:r>
            <w:r w:rsidRPr="00C64D0B">
              <w:rPr>
                <w:rFonts w:ascii="Arial Narrow" w:eastAsiaTheme="minorEastAsia" w:hAnsi="Arial Narrow" w:cs="Times New Roman"/>
                <w:sz w:val="20"/>
                <w:szCs w:val="20"/>
                <w:lang w:eastAsia="en-US"/>
              </w:rPr>
              <w:t xml:space="preserve"> (flat priced)</w:t>
            </w:r>
          </w:p>
        </w:tc>
      </w:tr>
      <w:tr w:rsidR="009424B8" w:rsidRPr="00C64D0B" w14:paraId="52D2F895" w14:textId="77777777" w:rsidTr="00313F8C">
        <w:tc>
          <w:tcPr>
            <w:tcW w:w="1553" w:type="dxa"/>
          </w:tcPr>
          <w:p w14:paraId="6FBB4377" w14:textId="77777777" w:rsidR="009424B8" w:rsidRPr="00C64D0B" w:rsidRDefault="009424B8" w:rsidP="00313F8C">
            <w:pPr>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Units / 88 weeks</w:t>
            </w:r>
          </w:p>
        </w:tc>
        <w:tc>
          <w:tcPr>
            <w:tcW w:w="3731" w:type="dxa"/>
            <w:gridSpan w:val="2"/>
            <w:vAlign w:val="center"/>
          </w:tcPr>
          <w:p w14:paraId="7E1812A7" w14:textId="77777777" w:rsidR="009424B8" w:rsidRPr="00C64D0B" w:rsidRDefault="009424B8" w:rsidP="00313F8C">
            <w:pPr>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22 packs</w:t>
            </w:r>
          </w:p>
        </w:tc>
        <w:tc>
          <w:tcPr>
            <w:tcW w:w="3733" w:type="dxa"/>
            <w:gridSpan w:val="2"/>
            <w:vAlign w:val="center"/>
          </w:tcPr>
          <w:p w14:paraId="7C909C8E" w14:textId="77777777" w:rsidR="009424B8" w:rsidRPr="00C64D0B" w:rsidRDefault="009424B8" w:rsidP="00313F8C">
            <w:pPr>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22 packs</w:t>
            </w:r>
          </w:p>
        </w:tc>
      </w:tr>
      <w:tr w:rsidR="009424B8" w:rsidRPr="00C64D0B" w14:paraId="1865DB6E" w14:textId="77777777" w:rsidTr="00313F8C">
        <w:tc>
          <w:tcPr>
            <w:tcW w:w="1553" w:type="dxa"/>
          </w:tcPr>
          <w:p w14:paraId="029755DB" w14:textId="77777777" w:rsidR="009424B8" w:rsidRPr="00C64D0B" w:rsidRDefault="009424B8" w:rsidP="00313F8C">
            <w:pPr>
              <w:jc w:val="left"/>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Total Cost / 88 weeks</w:t>
            </w:r>
          </w:p>
        </w:tc>
        <w:tc>
          <w:tcPr>
            <w:tcW w:w="3731" w:type="dxa"/>
            <w:gridSpan w:val="2"/>
          </w:tcPr>
          <w:p w14:paraId="02C5715A" w14:textId="77777777" w:rsidR="009424B8" w:rsidRPr="00C64D0B" w:rsidRDefault="009424B8" w:rsidP="00313F8C">
            <w:pPr>
              <w:jc w:val="center"/>
              <w:rPr>
                <w:rFonts w:ascii="Arial Narrow" w:eastAsiaTheme="minorEastAsia" w:hAnsi="Arial Narrow" w:cs="Times New Roman"/>
                <w:sz w:val="20"/>
                <w:szCs w:val="20"/>
                <w:lang w:eastAsia="en-US"/>
              </w:rPr>
            </w:pPr>
            <w:r w:rsidRPr="009E5654">
              <w:rPr>
                <w:rFonts w:ascii="Arial Narrow" w:eastAsiaTheme="minorEastAsia" w:hAnsi="Arial Narrow" w:cs="Times New Roman"/>
                <w:sz w:val="20"/>
                <w:szCs w:val="20"/>
                <w:lang w:eastAsia="en-US"/>
              </w:rPr>
              <w:t>$24,034.34</w:t>
            </w:r>
          </w:p>
        </w:tc>
        <w:tc>
          <w:tcPr>
            <w:tcW w:w="3733" w:type="dxa"/>
            <w:gridSpan w:val="2"/>
          </w:tcPr>
          <w:p w14:paraId="6B9A456A" w14:textId="77777777" w:rsidR="009424B8" w:rsidRPr="00C64D0B" w:rsidRDefault="009424B8" w:rsidP="00313F8C">
            <w:pPr>
              <w:jc w:val="center"/>
              <w:rPr>
                <w:rFonts w:ascii="Arial Narrow" w:eastAsiaTheme="minorEastAsia" w:hAnsi="Arial Narrow" w:cs="Times New Roman"/>
                <w:sz w:val="20"/>
                <w:szCs w:val="20"/>
                <w:lang w:eastAsia="en-US"/>
              </w:rPr>
            </w:pPr>
            <w:r w:rsidRPr="00C64D0B">
              <w:rPr>
                <w:rFonts w:ascii="Arial Narrow" w:eastAsiaTheme="minorEastAsia" w:hAnsi="Arial Narrow" w:cs="Times New Roman"/>
                <w:sz w:val="20"/>
                <w:szCs w:val="20"/>
                <w:lang w:eastAsia="en-US"/>
              </w:rPr>
              <w:t>$</w:t>
            </w:r>
            <w:r w:rsidRPr="00541884">
              <w:rPr>
                <w:rFonts w:ascii="Arial Narrow" w:eastAsiaTheme="minorEastAsia" w:hAnsi="Arial Narrow" w:cs="Times New Roman"/>
                <w:sz w:val="20"/>
                <w:szCs w:val="20"/>
                <w:lang w:eastAsia="en-US"/>
              </w:rPr>
              <w:t>24,034.34</w:t>
            </w:r>
          </w:p>
        </w:tc>
      </w:tr>
    </w:tbl>
    <w:p w14:paraId="169FDAC3" w14:textId="77777777" w:rsidR="009424B8" w:rsidRPr="00C64D0B" w:rsidRDefault="009424B8" w:rsidP="009424B8">
      <w:pPr>
        <w:rPr>
          <w:rFonts w:ascii="Arial Narrow" w:eastAsiaTheme="minorEastAsia" w:hAnsi="Arial Narrow"/>
          <w:snapToGrid w:val="0"/>
          <w:sz w:val="18"/>
          <w:szCs w:val="18"/>
          <w:lang w:eastAsia="en-US"/>
        </w:rPr>
      </w:pPr>
      <w:r w:rsidRPr="00C64D0B">
        <w:rPr>
          <w:rFonts w:ascii="Arial Narrow" w:eastAsiaTheme="minorEastAsia" w:hAnsi="Arial Narrow"/>
          <w:snapToGrid w:val="0"/>
          <w:sz w:val="18"/>
          <w:szCs w:val="18"/>
          <w:lang w:eastAsia="en-US"/>
        </w:rPr>
        <w:t>Source: Table 3-7, p134 of the submission.</w:t>
      </w:r>
    </w:p>
    <w:p w14:paraId="0D982F7A" w14:textId="77777777" w:rsidR="009424B8" w:rsidRPr="00C64D0B" w:rsidRDefault="009424B8" w:rsidP="009424B8">
      <w:pPr>
        <w:spacing w:after="120"/>
        <w:rPr>
          <w:rFonts w:ascii="Arial Narrow" w:eastAsiaTheme="minorEastAsia" w:hAnsi="Arial Narrow"/>
          <w:snapToGrid w:val="0"/>
          <w:sz w:val="18"/>
          <w:szCs w:val="18"/>
          <w:lang w:eastAsia="en-US"/>
        </w:rPr>
      </w:pPr>
      <w:r w:rsidRPr="00C64D0B">
        <w:rPr>
          <w:rFonts w:ascii="Arial Narrow" w:eastAsiaTheme="minorEastAsia" w:hAnsi="Arial Narrow"/>
          <w:snapToGrid w:val="0"/>
          <w:sz w:val="18"/>
          <w:szCs w:val="18"/>
          <w:lang w:eastAsia="en-US"/>
        </w:rPr>
        <w:t>Abbreviations: AEMP = approved ex-manufacturer price; BD=twice daily, QD = once daily, Qty=quantity, TOF=tofacitinib; UPA=upadacitinib.</w:t>
      </w:r>
    </w:p>
    <w:p w14:paraId="32BE9EFC" w14:textId="16C88599" w:rsidR="00F333C9" w:rsidRPr="00724302" w:rsidRDefault="00F55EB0" w:rsidP="009424B8">
      <w:pPr>
        <w:pStyle w:val="3-BodyText"/>
      </w:pPr>
      <w:r>
        <w:t xml:space="preserve">The Pre-PBAC Response reiterated the </w:t>
      </w:r>
      <w:r w:rsidR="00A950DF">
        <w:t>sponsor</w:t>
      </w:r>
      <w:r>
        <w:t xml:space="preserve">’s view that the evidence demonstrated UPA was of superior comparative effectiveness to other PBS listed therapies in the induction phase, however also acknowledged the challenges in valuing the benefits UPA offered over alternative therapies. The </w:t>
      </w:r>
      <w:r w:rsidR="00A950DF">
        <w:t>sponsor</w:t>
      </w:r>
      <w:r>
        <w:t xml:space="preserve"> indicated it was amenable to accepting the listing of UPA on a cost minimisation basis with IFX, TOF or VDZ</w:t>
      </w:r>
      <w:r w:rsidR="00B1453D">
        <w:t xml:space="preserve">, however argued ADA and GOL would be inappropriate comparators due to inferior efficacy, based on the PBAC’s prior advice that IFX, TOF and VDZ should be treated as interchangeable on an individual patient basis, but not ADA or GOL (paragraph 4.17, </w:t>
      </w:r>
      <w:r w:rsidR="00A950DF">
        <w:t>TOF</w:t>
      </w:r>
      <w:r w:rsidR="00B1453D">
        <w:t xml:space="preserve"> interchangeability </w:t>
      </w:r>
      <w:r w:rsidR="00A950DF">
        <w:t>PSD</w:t>
      </w:r>
      <w:r w:rsidR="00B1453D">
        <w:t xml:space="preserve">, November 2020). </w:t>
      </w:r>
    </w:p>
    <w:p w14:paraId="2911E06F" w14:textId="77777777" w:rsidR="009424B8" w:rsidRDefault="009424B8" w:rsidP="009424B8">
      <w:pPr>
        <w:pStyle w:val="4-SubsectionHeading"/>
      </w:pPr>
      <w:bookmarkStart w:id="47" w:name="_Toc22897646"/>
      <w:bookmarkStart w:id="48" w:name="_Toc103774343"/>
      <w:r w:rsidRPr="002C2775">
        <w:t>Dru</w:t>
      </w:r>
      <w:r>
        <w:t>g</w:t>
      </w:r>
      <w:r w:rsidRPr="002C2775">
        <w:t xml:space="preserve"> cost/patient/year</w:t>
      </w:r>
      <w:bookmarkEnd w:id="47"/>
      <w:bookmarkEnd w:id="48"/>
    </w:p>
    <w:p w14:paraId="2DDBD99E" w14:textId="7B198E67" w:rsidR="009424B8" w:rsidRPr="0064550B" w:rsidRDefault="009424B8" w:rsidP="009424B8">
      <w:pPr>
        <w:pStyle w:val="3-BodyText"/>
      </w:pPr>
      <w:r w:rsidRPr="00616B77">
        <w:rPr>
          <w:snapToGrid/>
          <w:lang w:val="en-US"/>
        </w:rPr>
        <w:t>Based on the proposed indicative effective prices</w:t>
      </w:r>
      <w:r w:rsidR="00C92AE5" w:rsidRPr="00616B77">
        <w:rPr>
          <w:snapToGrid/>
          <w:lang w:val="en-US"/>
        </w:rPr>
        <w:t xml:space="preserve"> from </w:t>
      </w:r>
      <w:r w:rsidR="008A1466" w:rsidRPr="00616B77">
        <w:rPr>
          <w:snapToGrid/>
          <w:lang w:val="en-US"/>
        </w:rPr>
        <w:t>economic</w:t>
      </w:r>
      <w:r w:rsidR="00C92AE5" w:rsidRPr="00616B77">
        <w:rPr>
          <w:snapToGrid/>
          <w:lang w:val="en-US"/>
        </w:rPr>
        <w:t xml:space="preserve"> analyses</w:t>
      </w:r>
      <w:r w:rsidR="00F4734B" w:rsidRPr="00616B77">
        <w:rPr>
          <w:snapToGrid/>
          <w:lang w:val="en-US"/>
        </w:rPr>
        <w:t xml:space="preserve"> ($5,032.48 in induction, and $1,092.47 in maintenance)</w:t>
      </w:r>
      <w:r w:rsidRPr="00616B77">
        <w:rPr>
          <w:snapToGrid/>
          <w:lang w:val="en-US"/>
        </w:rPr>
        <w:t>, the drug cost for UPA per patient over the first year of treatment is $29,962, assuming $20,130 for initial treatment (Week 0 to 16) and $9,832 for</w:t>
      </w:r>
      <w:r>
        <w:rPr>
          <w:snapToGrid/>
          <w:lang w:val="en-US"/>
        </w:rPr>
        <w:t xml:space="preserve"> continuing treatment (Week 16 to 52)</w:t>
      </w:r>
      <w:r w:rsidRPr="00624EDD">
        <w:rPr>
          <w:snapToGrid/>
          <w:lang w:val="en-US"/>
        </w:rPr>
        <w:t>.</w:t>
      </w:r>
      <w:r>
        <w:rPr>
          <w:i/>
          <w:iCs/>
          <w:snapToGrid/>
          <w:lang w:val="en-US"/>
        </w:rPr>
        <w:t xml:space="preserve"> </w:t>
      </w:r>
      <w:r w:rsidRPr="0064550B">
        <w:rPr>
          <w:snapToGrid/>
          <w:lang w:val="en-US"/>
        </w:rPr>
        <w:t xml:space="preserve">This is likely an overestimate given the </w:t>
      </w:r>
      <w:r w:rsidR="00E566A5" w:rsidRPr="0064550B">
        <w:rPr>
          <w:snapToGrid/>
          <w:lang w:val="en-US"/>
        </w:rPr>
        <w:t>calculat</w:t>
      </w:r>
      <w:r w:rsidR="002C1F25" w:rsidRPr="0064550B">
        <w:rPr>
          <w:snapToGrid/>
          <w:lang w:val="en-US"/>
        </w:rPr>
        <w:t>ions</w:t>
      </w:r>
      <w:r w:rsidR="00E566A5" w:rsidRPr="0064550B">
        <w:rPr>
          <w:snapToGrid/>
          <w:lang w:val="en-US"/>
        </w:rPr>
        <w:t xml:space="preserve"> were based on the </w:t>
      </w:r>
      <w:r w:rsidRPr="0064550B">
        <w:rPr>
          <w:snapToGrid/>
          <w:lang w:val="en-US"/>
        </w:rPr>
        <w:t>published prices of the comparators.</w:t>
      </w:r>
    </w:p>
    <w:p w14:paraId="66384D53" w14:textId="77777777" w:rsidR="009424B8" w:rsidRPr="00C9624D" w:rsidRDefault="009424B8" w:rsidP="009424B8">
      <w:pPr>
        <w:pStyle w:val="4-SubsectionHeading"/>
      </w:pPr>
      <w:bookmarkStart w:id="49" w:name="_Toc22897647"/>
      <w:bookmarkStart w:id="50" w:name="_Toc103774344"/>
      <w:r w:rsidRPr="00C9624D">
        <w:t>Estimated PBS usage &amp; financial implications</w:t>
      </w:r>
      <w:bookmarkEnd w:id="49"/>
      <w:bookmarkEnd w:id="50"/>
    </w:p>
    <w:p w14:paraId="18FB5B92" w14:textId="09D65B3E" w:rsidR="009424B8" w:rsidRPr="008010B1" w:rsidRDefault="009424B8" w:rsidP="009424B8">
      <w:pPr>
        <w:pStyle w:val="3-BodyText"/>
      </w:pPr>
      <w:bookmarkStart w:id="51" w:name="_Toc22897648"/>
      <w:r w:rsidRPr="008010B1">
        <w:t xml:space="preserve">This submission </w:t>
      </w:r>
      <w:r w:rsidR="00910686">
        <w:t xml:space="preserve">was not </w:t>
      </w:r>
      <w:r w:rsidRPr="008010B1">
        <w:t xml:space="preserve">considered by DUSC. The submission </w:t>
      </w:r>
      <w:r w:rsidR="00973B86">
        <w:t>used</w:t>
      </w:r>
      <w:r w:rsidRPr="008010B1">
        <w:t xml:space="preserve"> a market share approach to the financial estimates</w:t>
      </w:r>
      <w:r>
        <w:t xml:space="preserve"> based on the published prices of the nominated comparators and the proposed published prices for UPA</w:t>
      </w:r>
      <w:r w:rsidRPr="008010B1">
        <w:t xml:space="preserve">. </w:t>
      </w:r>
      <w:r w:rsidR="00CD1B53" w:rsidRPr="00577D96">
        <w:rPr>
          <w:rFonts w:cstheme="minorHAnsi"/>
        </w:rPr>
        <w:fldChar w:fldCharType="begin" w:fldLock="1"/>
      </w:r>
      <w:r w:rsidR="00CD1B53" w:rsidRPr="00577D96">
        <w:rPr>
          <w:rFonts w:cstheme="minorHAnsi"/>
        </w:rPr>
        <w:instrText xml:space="preserve"> REF _Ref103176553 \h </w:instrText>
      </w:r>
      <w:r w:rsidR="009A0F3E" w:rsidRPr="00577D96">
        <w:rPr>
          <w:rFonts w:cstheme="minorHAnsi"/>
        </w:rPr>
        <w:instrText xml:space="preserve"> \* MERGEFORMAT </w:instrText>
      </w:r>
      <w:r w:rsidR="00CD1B53" w:rsidRPr="00577D96">
        <w:rPr>
          <w:rFonts w:cstheme="minorHAnsi"/>
        </w:rPr>
      </w:r>
      <w:r w:rsidR="00CD1B53" w:rsidRPr="00577D96">
        <w:rPr>
          <w:rFonts w:cstheme="minorHAnsi"/>
        </w:rPr>
        <w:fldChar w:fldCharType="separate"/>
      </w:r>
      <w:r w:rsidR="008664BD" w:rsidRPr="00577D96">
        <w:rPr>
          <w:rFonts w:cstheme="minorHAnsi"/>
        </w:rPr>
        <w:t xml:space="preserve">Table </w:t>
      </w:r>
      <w:r w:rsidR="008664BD" w:rsidRPr="00577D96">
        <w:rPr>
          <w:rFonts w:cstheme="minorHAnsi"/>
          <w:noProof/>
        </w:rPr>
        <w:t>10</w:t>
      </w:r>
      <w:r w:rsidR="00CD1B53" w:rsidRPr="00577D96">
        <w:rPr>
          <w:rFonts w:cstheme="minorHAnsi"/>
        </w:rPr>
        <w:fldChar w:fldCharType="end"/>
      </w:r>
      <w:r w:rsidRPr="00577D96">
        <w:rPr>
          <w:rFonts w:cstheme="minorHAnsi"/>
        </w:rPr>
        <w:t xml:space="preserve"> s</w:t>
      </w:r>
      <w:r w:rsidRPr="008010B1">
        <w:t>ummarises the inputs used for the financial estimates.</w:t>
      </w:r>
    </w:p>
    <w:p w14:paraId="1C74A8B4" w14:textId="77777777" w:rsidR="00056CCE" w:rsidRDefault="00056CCE">
      <w:pPr>
        <w:jc w:val="left"/>
        <w:rPr>
          <w:rFonts w:ascii="Arial Narrow" w:hAnsi="Arial Narrow"/>
          <w:b/>
          <w:bCs/>
          <w:sz w:val="20"/>
          <w:szCs w:val="20"/>
        </w:rPr>
      </w:pPr>
      <w:bookmarkStart w:id="52" w:name="_Ref103176553"/>
      <w:r>
        <w:rPr>
          <w:rFonts w:ascii="Arial Narrow" w:hAnsi="Arial Narrow"/>
          <w:sz w:val="20"/>
          <w:szCs w:val="20"/>
        </w:rPr>
        <w:br w:type="page"/>
      </w:r>
    </w:p>
    <w:p w14:paraId="7DF4B186" w14:textId="2E2A00FD" w:rsidR="009424B8" w:rsidRPr="00F9756A" w:rsidRDefault="0035295B" w:rsidP="00F9756A">
      <w:pPr>
        <w:pStyle w:val="Caption"/>
        <w:keepNext/>
        <w:spacing w:after="60"/>
        <w:rPr>
          <w:rStyle w:val="CommentReference"/>
          <w:b/>
          <w:color w:val="auto"/>
          <w:szCs w:val="20"/>
        </w:rPr>
      </w:pPr>
      <w:r w:rsidRPr="00F9756A">
        <w:rPr>
          <w:rFonts w:ascii="Arial Narrow" w:hAnsi="Arial Narrow"/>
          <w:color w:val="auto"/>
          <w:sz w:val="20"/>
          <w:szCs w:val="20"/>
        </w:rPr>
        <w:t xml:space="preserve">Table </w:t>
      </w:r>
      <w:r w:rsidRPr="00F9756A">
        <w:rPr>
          <w:rFonts w:ascii="Arial Narrow" w:hAnsi="Arial Narrow"/>
          <w:color w:val="auto"/>
          <w:sz w:val="20"/>
          <w:szCs w:val="20"/>
        </w:rPr>
        <w:fldChar w:fldCharType="begin" w:fldLock="1"/>
      </w:r>
      <w:r w:rsidRPr="00F9756A">
        <w:rPr>
          <w:rFonts w:ascii="Arial Narrow" w:hAnsi="Arial Narrow"/>
          <w:color w:val="auto"/>
          <w:sz w:val="20"/>
          <w:szCs w:val="20"/>
        </w:rPr>
        <w:instrText xml:space="preserve"> SEQ Table \* ARABIC </w:instrText>
      </w:r>
      <w:r w:rsidRPr="00F9756A">
        <w:rPr>
          <w:rFonts w:ascii="Arial Narrow" w:hAnsi="Arial Narrow"/>
          <w:color w:val="auto"/>
          <w:sz w:val="20"/>
          <w:szCs w:val="20"/>
        </w:rPr>
        <w:fldChar w:fldCharType="separate"/>
      </w:r>
      <w:r w:rsidR="008664BD">
        <w:rPr>
          <w:rFonts w:ascii="Arial Narrow" w:hAnsi="Arial Narrow"/>
          <w:noProof/>
          <w:color w:val="auto"/>
          <w:sz w:val="20"/>
          <w:szCs w:val="20"/>
        </w:rPr>
        <w:t>10</w:t>
      </w:r>
      <w:r w:rsidRPr="00F9756A">
        <w:rPr>
          <w:rFonts w:ascii="Arial Narrow" w:hAnsi="Arial Narrow"/>
          <w:color w:val="auto"/>
          <w:sz w:val="20"/>
          <w:szCs w:val="20"/>
        </w:rPr>
        <w:fldChar w:fldCharType="end"/>
      </w:r>
      <w:bookmarkEnd w:id="52"/>
      <w:r w:rsidR="009424B8" w:rsidRPr="00F9756A">
        <w:rPr>
          <w:rStyle w:val="CommentReference"/>
          <w:b/>
          <w:color w:val="auto"/>
          <w:szCs w:val="20"/>
        </w:rPr>
        <w:t>: Key inputs for financial estimates</w:t>
      </w:r>
    </w:p>
    <w:tbl>
      <w:tblPr>
        <w:tblStyle w:val="Summarybox2"/>
        <w:tblW w:w="5000" w:type="pct"/>
        <w:tblLook w:val="04A0" w:firstRow="1" w:lastRow="0" w:firstColumn="1" w:lastColumn="0" w:noHBand="0" w:noVBand="1"/>
      </w:tblPr>
      <w:tblGrid>
        <w:gridCol w:w="1670"/>
        <w:gridCol w:w="7347"/>
      </w:tblGrid>
      <w:tr w:rsidR="009424B8" w:rsidRPr="008010B1" w14:paraId="4A4102F7" w14:textId="77777777" w:rsidTr="00313F8C">
        <w:trPr>
          <w:tblHeader/>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B5871" w14:textId="77777777" w:rsidR="009424B8" w:rsidRPr="008010B1" w:rsidRDefault="009424B8" w:rsidP="00313F8C">
            <w:pPr>
              <w:widowControl w:val="0"/>
              <w:jc w:val="left"/>
              <w:rPr>
                <w:rFonts w:ascii="Arial Narrow" w:hAnsi="Arial Narrow"/>
                <w:b/>
                <w:sz w:val="20"/>
                <w:szCs w:val="20"/>
              </w:rPr>
            </w:pPr>
            <w:r w:rsidRPr="008010B1">
              <w:rPr>
                <w:rFonts w:ascii="Arial Narrow" w:hAnsi="Arial Narrow"/>
                <w:b/>
                <w:sz w:val="20"/>
                <w:szCs w:val="20"/>
              </w:rPr>
              <w:t>Component</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CBD24" w14:textId="77777777" w:rsidR="009424B8" w:rsidRPr="008010B1" w:rsidRDefault="009424B8" w:rsidP="00313F8C">
            <w:pPr>
              <w:widowControl w:val="0"/>
              <w:jc w:val="center"/>
              <w:rPr>
                <w:rFonts w:ascii="Arial Narrow" w:hAnsi="Arial Narrow"/>
                <w:b/>
                <w:sz w:val="20"/>
                <w:szCs w:val="20"/>
              </w:rPr>
            </w:pPr>
            <w:r w:rsidRPr="008010B1">
              <w:rPr>
                <w:rFonts w:ascii="Arial Narrow" w:hAnsi="Arial Narrow"/>
                <w:b/>
                <w:sz w:val="20"/>
                <w:szCs w:val="20"/>
              </w:rPr>
              <w:t>Data source</w:t>
            </w:r>
          </w:p>
        </w:tc>
      </w:tr>
      <w:tr w:rsidR="009424B8" w:rsidRPr="008010B1" w14:paraId="2EA375EB" w14:textId="77777777" w:rsidTr="00313F8C">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1BA55B" w14:textId="77777777" w:rsidR="009424B8" w:rsidRPr="008010B1" w:rsidRDefault="009424B8" w:rsidP="00313F8C">
            <w:pPr>
              <w:widowControl w:val="0"/>
              <w:jc w:val="left"/>
              <w:rPr>
                <w:rFonts w:ascii="Arial Narrow" w:hAnsi="Arial Narrow"/>
                <w:b/>
                <w:sz w:val="20"/>
                <w:szCs w:val="20"/>
              </w:rPr>
            </w:pPr>
            <w:r w:rsidRPr="008010B1">
              <w:rPr>
                <w:rFonts w:ascii="Arial Narrow" w:hAnsi="Arial Narrow"/>
                <w:b/>
                <w:sz w:val="20"/>
                <w:szCs w:val="20"/>
              </w:rPr>
              <w:t>Market share</w:t>
            </w:r>
          </w:p>
        </w:tc>
      </w:tr>
      <w:tr w:rsidR="009424B8" w:rsidRPr="008010B1" w14:paraId="4E516772" w14:textId="77777777" w:rsidTr="00313F8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4FEF7463" w14:textId="77777777" w:rsidR="009424B8" w:rsidRPr="008010B1" w:rsidRDefault="009424B8" w:rsidP="00313F8C">
            <w:pPr>
              <w:widowControl w:val="0"/>
              <w:jc w:val="left"/>
              <w:rPr>
                <w:rFonts w:ascii="Arial Narrow" w:hAnsi="Arial Narrow"/>
                <w:sz w:val="20"/>
                <w:szCs w:val="20"/>
              </w:rPr>
            </w:pPr>
            <w:r w:rsidRPr="008010B1">
              <w:rPr>
                <w:rFonts w:ascii="Arial Narrow" w:hAnsi="Arial Narrow"/>
                <w:sz w:val="20"/>
                <w:szCs w:val="20"/>
              </w:rPr>
              <w:t>Current market</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3050E6C3" w14:textId="249E1EAD" w:rsidR="009424B8" w:rsidRPr="0064550B" w:rsidRDefault="009424B8" w:rsidP="00313F8C">
            <w:pPr>
              <w:widowControl w:val="0"/>
              <w:jc w:val="left"/>
              <w:rPr>
                <w:rFonts w:ascii="Arial Narrow" w:hAnsi="Arial Narrow"/>
                <w:sz w:val="20"/>
                <w:szCs w:val="20"/>
              </w:rPr>
            </w:pPr>
            <w:r w:rsidRPr="008010B1">
              <w:rPr>
                <w:rFonts w:ascii="Arial Narrow" w:hAnsi="Arial Narrow"/>
                <w:sz w:val="20"/>
                <w:szCs w:val="20"/>
                <w:u w:val="single"/>
              </w:rPr>
              <w:t>Usage of TOF, GOL, VDZ, IFX and ADA</w:t>
            </w:r>
            <w:r w:rsidRPr="008010B1">
              <w:rPr>
                <w:rFonts w:ascii="Arial Narrow" w:hAnsi="Arial Narrow"/>
                <w:sz w:val="20"/>
                <w:szCs w:val="20"/>
              </w:rPr>
              <w:t>: Medicare</w:t>
            </w:r>
            <w:r w:rsidR="0031550E">
              <w:rPr>
                <w:rFonts w:ascii="Arial Narrow" w:hAnsi="Arial Narrow"/>
                <w:sz w:val="20"/>
                <w:szCs w:val="20"/>
              </w:rPr>
              <w:t xml:space="preserve"> (PBS)</w:t>
            </w:r>
            <w:r w:rsidRPr="008010B1">
              <w:rPr>
                <w:rFonts w:ascii="Arial Narrow" w:hAnsi="Arial Narrow"/>
                <w:sz w:val="20"/>
                <w:szCs w:val="20"/>
              </w:rPr>
              <w:t xml:space="preserve"> statistics for 2017 to 2021. </w:t>
            </w:r>
            <w:r w:rsidRPr="0064550B">
              <w:rPr>
                <w:rFonts w:ascii="Arial Narrow" w:hAnsi="Arial Narrow"/>
                <w:sz w:val="20"/>
                <w:szCs w:val="20"/>
              </w:rPr>
              <w:t xml:space="preserve">This was reasonable. </w:t>
            </w:r>
          </w:p>
          <w:p w14:paraId="32A3BB33" w14:textId="410F1DAE" w:rsidR="009424B8" w:rsidRPr="000E3D20" w:rsidRDefault="009424B8" w:rsidP="00271A9D">
            <w:pPr>
              <w:widowControl w:val="0"/>
              <w:jc w:val="left"/>
              <w:rPr>
                <w:rFonts w:ascii="Arial Narrow" w:hAnsi="Arial Narrow"/>
                <w:i/>
                <w:iCs/>
                <w:sz w:val="20"/>
                <w:szCs w:val="20"/>
              </w:rPr>
            </w:pPr>
            <w:r w:rsidRPr="008010B1">
              <w:rPr>
                <w:rFonts w:ascii="Arial Narrow" w:hAnsi="Arial Narrow"/>
                <w:sz w:val="20"/>
                <w:szCs w:val="20"/>
                <w:u w:val="single"/>
              </w:rPr>
              <w:t>Projected script usage for substituted treatments</w:t>
            </w:r>
            <w:r w:rsidRPr="008010B1">
              <w:rPr>
                <w:rFonts w:ascii="Arial Narrow" w:hAnsi="Arial Narrow"/>
                <w:sz w:val="20"/>
                <w:szCs w:val="20"/>
              </w:rPr>
              <w:t>: The submission indicated that since there are more than 40 items on the PBS for treatment of MSUC, where possible and appropriate, the submission combined individual items. Similarly, as some item numbers include initiation and continuing treatment, the submission disaggregated combined items into scripts for initiation only and continuing only to model the substitution</w:t>
            </w:r>
            <w:r w:rsidR="00226451">
              <w:rPr>
                <w:rFonts w:ascii="Arial Narrow" w:hAnsi="Arial Narrow"/>
                <w:sz w:val="20"/>
                <w:szCs w:val="20"/>
              </w:rPr>
              <w:t xml:space="preserve">. </w:t>
            </w:r>
            <w:r w:rsidRPr="008010B1">
              <w:rPr>
                <w:rFonts w:ascii="Arial Narrow" w:hAnsi="Arial Narrow"/>
                <w:sz w:val="20"/>
                <w:szCs w:val="20"/>
              </w:rPr>
              <w:t xml:space="preserve">It was </w:t>
            </w:r>
            <w:r w:rsidR="00226451">
              <w:rPr>
                <w:rFonts w:ascii="Arial Narrow" w:hAnsi="Arial Narrow"/>
                <w:sz w:val="20"/>
                <w:szCs w:val="20"/>
              </w:rPr>
              <w:t xml:space="preserve">also </w:t>
            </w:r>
            <w:r w:rsidRPr="008010B1">
              <w:rPr>
                <w:rFonts w:ascii="Arial Narrow" w:hAnsi="Arial Narrow"/>
                <w:sz w:val="20"/>
                <w:szCs w:val="20"/>
              </w:rPr>
              <w:t>assumed that usage would follow a linear trend of growth reflecting 2017 to 2021 usage</w:t>
            </w:r>
            <w:r w:rsidR="00F527E8">
              <w:rPr>
                <w:rFonts w:ascii="Arial Narrow" w:hAnsi="Arial Narrow"/>
                <w:sz w:val="20"/>
                <w:szCs w:val="20"/>
              </w:rPr>
              <w:t>, and that UPA would not impact on the current growth of the market</w:t>
            </w:r>
            <w:r w:rsidRPr="008010B1">
              <w:rPr>
                <w:rFonts w:ascii="Arial Narrow" w:hAnsi="Arial Narrow"/>
                <w:sz w:val="20"/>
                <w:szCs w:val="20"/>
              </w:rPr>
              <w:t xml:space="preserve">. </w:t>
            </w:r>
            <w:r w:rsidR="000E3D20" w:rsidRPr="008010B1">
              <w:rPr>
                <w:rFonts w:ascii="Arial Narrow" w:hAnsi="Arial Narrow"/>
                <w:sz w:val="20"/>
                <w:szCs w:val="20"/>
              </w:rPr>
              <w:t xml:space="preserve">The current market was estimated to be </w:t>
            </w:r>
            <w:r w:rsidR="00035272" w:rsidRPr="00F13064">
              <w:rPr>
                <w:rFonts w:ascii="Arial Narrow" w:hAnsi="Arial Narrow"/>
                <w:color w:val="000000"/>
                <w:spacing w:val="53"/>
                <w:sz w:val="20"/>
                <w:szCs w:val="20"/>
                <w:shd w:val="solid" w:color="000000" w:fill="000000"/>
                <w:fitText w:val="330" w:id="-1436812543"/>
                <w14:textFill>
                  <w14:solidFill>
                    <w14:srgbClr w14:val="000000">
                      <w14:alpha w14:val="100000"/>
                    </w14:srgbClr>
                  </w14:solidFill>
                </w14:textFill>
              </w:rPr>
              <w:t>|||</w:t>
            </w:r>
            <w:r w:rsidR="00035272" w:rsidRPr="00F13064">
              <w:rPr>
                <w:rFonts w:ascii="Arial Narrow" w:hAnsi="Arial Narrow"/>
                <w:color w:val="000000"/>
                <w:spacing w:val="1"/>
                <w:sz w:val="20"/>
                <w:szCs w:val="20"/>
                <w:shd w:val="solid" w:color="000000" w:fill="000000"/>
                <w:fitText w:val="330" w:id="-1436812543"/>
                <w14:textFill>
                  <w14:solidFill>
                    <w14:srgbClr w14:val="000000">
                      <w14:alpha w14:val="100000"/>
                    </w14:srgbClr>
                  </w14:solidFill>
                </w14:textFill>
              </w:rPr>
              <w:t>|</w:t>
            </w:r>
            <w:r w:rsidR="00F13064" w:rsidRPr="00F13064">
              <w:rPr>
                <w:rFonts w:ascii="Arial Narrow" w:hAnsi="Arial Narrow"/>
                <w:iCs/>
                <w:snapToGrid w:val="0"/>
                <w:sz w:val="18"/>
                <w:szCs w:val="18"/>
                <w:vertAlign w:val="superscript"/>
              </w:rPr>
              <w:t>1</w:t>
            </w:r>
            <w:r w:rsidR="00F13064">
              <w:rPr>
                <w:rFonts w:ascii="Arial Narrow" w:hAnsi="Arial Narrow"/>
                <w:i/>
                <w:snapToGrid w:val="0"/>
                <w:sz w:val="18"/>
                <w:szCs w:val="18"/>
                <w:vertAlign w:val="superscript"/>
              </w:rPr>
              <w:t xml:space="preserve"> </w:t>
            </w:r>
            <w:r w:rsidR="000E3D20" w:rsidRPr="008010B1">
              <w:rPr>
                <w:rFonts w:ascii="Arial Narrow" w:hAnsi="Arial Narrow"/>
                <w:sz w:val="20"/>
                <w:szCs w:val="20"/>
              </w:rPr>
              <w:t xml:space="preserve">scripts in Year 1, increasing to </w:t>
            </w:r>
            <w:r w:rsidR="00035272" w:rsidRPr="00F13064">
              <w:rPr>
                <w:rFonts w:ascii="Arial Narrow" w:hAnsi="Arial Narrow"/>
                <w:color w:val="000000"/>
                <w:spacing w:val="53"/>
                <w:sz w:val="20"/>
                <w:szCs w:val="20"/>
                <w:shd w:val="solid" w:color="000000" w:fill="000000"/>
                <w:fitText w:val="330" w:id="-1436812542"/>
                <w14:textFill>
                  <w14:solidFill>
                    <w14:srgbClr w14:val="000000">
                      <w14:alpha w14:val="100000"/>
                    </w14:srgbClr>
                  </w14:solidFill>
                </w14:textFill>
              </w:rPr>
              <w:t>|||</w:t>
            </w:r>
            <w:r w:rsidR="00035272" w:rsidRPr="00F13064">
              <w:rPr>
                <w:rFonts w:ascii="Arial Narrow" w:hAnsi="Arial Narrow"/>
                <w:color w:val="000000"/>
                <w:spacing w:val="1"/>
                <w:sz w:val="20"/>
                <w:szCs w:val="20"/>
                <w:shd w:val="solid" w:color="000000" w:fill="000000"/>
                <w:fitText w:val="330" w:id="-1436812542"/>
                <w14:textFill>
                  <w14:solidFill>
                    <w14:srgbClr w14:val="000000">
                      <w14:alpha w14:val="100000"/>
                    </w14:srgbClr>
                  </w14:solidFill>
                </w14:textFill>
              </w:rPr>
              <w:t>|</w:t>
            </w:r>
            <w:r w:rsidR="00F13064" w:rsidRPr="00F13064">
              <w:rPr>
                <w:rFonts w:ascii="Arial Narrow" w:hAnsi="Arial Narrow"/>
                <w:iCs/>
                <w:snapToGrid w:val="0"/>
                <w:sz w:val="18"/>
                <w:szCs w:val="18"/>
                <w:vertAlign w:val="superscript"/>
              </w:rPr>
              <w:t>2</w:t>
            </w:r>
            <w:r w:rsidR="000E3D20" w:rsidRPr="008010B1">
              <w:rPr>
                <w:rFonts w:ascii="Arial Narrow" w:hAnsi="Arial Narrow"/>
                <w:sz w:val="20"/>
                <w:szCs w:val="20"/>
              </w:rPr>
              <w:t xml:space="preserve"> scripts in Year 6.</w:t>
            </w:r>
            <w:r w:rsidR="000E3D20">
              <w:rPr>
                <w:rFonts w:ascii="Arial Narrow" w:hAnsi="Arial Narrow"/>
                <w:sz w:val="20"/>
                <w:szCs w:val="20"/>
              </w:rPr>
              <w:t xml:space="preserve"> </w:t>
            </w:r>
            <w:r w:rsidR="00271A9D" w:rsidRPr="004F7CC8">
              <w:rPr>
                <w:rFonts w:ascii="Arial Narrow" w:hAnsi="Arial Narrow"/>
                <w:sz w:val="20"/>
                <w:szCs w:val="20"/>
              </w:rPr>
              <w:t>G</w:t>
            </w:r>
            <w:r w:rsidRPr="004F7CC8">
              <w:rPr>
                <w:rFonts w:ascii="Arial Narrow" w:hAnsi="Arial Narrow"/>
                <w:sz w:val="20"/>
                <w:szCs w:val="20"/>
              </w:rPr>
              <w:t>iven the claim of superior effectiveness for initiation treatment, it is possible that UPA may delay the average time to treatment failure and hence delay the time to the mandatory break from PBS listed treatment. This would have the effect of growing the total market in the years after listing.</w:t>
            </w:r>
          </w:p>
        </w:tc>
      </w:tr>
      <w:tr w:rsidR="009424B8" w:rsidRPr="008010B1" w14:paraId="46EEE349" w14:textId="77777777" w:rsidTr="00313F8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23FA6B0A" w14:textId="77777777" w:rsidR="009424B8" w:rsidRPr="008010B1" w:rsidRDefault="009424B8" w:rsidP="00313F8C">
            <w:pPr>
              <w:widowControl w:val="0"/>
              <w:jc w:val="left"/>
              <w:rPr>
                <w:rFonts w:ascii="Arial Narrow" w:hAnsi="Arial Narrow"/>
                <w:sz w:val="20"/>
                <w:szCs w:val="20"/>
              </w:rPr>
            </w:pPr>
            <w:r w:rsidRPr="008010B1">
              <w:rPr>
                <w:rFonts w:ascii="Arial Narrow" w:hAnsi="Arial Narrow"/>
                <w:sz w:val="20"/>
                <w:szCs w:val="20"/>
              </w:rPr>
              <w:t>Substitution</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58E92451" w14:textId="35EF6EEA" w:rsidR="009424B8" w:rsidRPr="0064550B" w:rsidRDefault="009424B8" w:rsidP="00313F8C">
            <w:pPr>
              <w:widowControl w:val="0"/>
              <w:tabs>
                <w:tab w:val="left" w:pos="250"/>
              </w:tabs>
              <w:jc w:val="left"/>
              <w:rPr>
                <w:rFonts w:ascii="Arial Narrow" w:hAnsi="Arial Narrow"/>
                <w:sz w:val="20"/>
                <w:szCs w:val="20"/>
                <w:u w:val="single"/>
              </w:rPr>
            </w:pPr>
            <w:r w:rsidRPr="008010B1">
              <w:rPr>
                <w:rFonts w:ascii="Arial Narrow" w:hAnsi="Arial Narrow"/>
                <w:sz w:val="20"/>
                <w:szCs w:val="20"/>
                <w:u w:val="single"/>
              </w:rPr>
              <w:t>Substitution rate</w:t>
            </w:r>
            <w:r w:rsidRPr="008010B1">
              <w:rPr>
                <w:rFonts w:ascii="Arial Narrow" w:hAnsi="Arial Narrow"/>
                <w:sz w:val="20"/>
                <w:szCs w:val="20"/>
              </w:rPr>
              <w:t xml:space="preserve">: The submission assumed a substitution rate of 10% in Year 1, 12% in Year 2, 14% in Year 3, 16% in Year 4, 18% in Year 5 and 20% in Year 6. The same rate of substitution was used for all treatments. </w:t>
            </w:r>
            <w:r w:rsidRPr="0064550B">
              <w:rPr>
                <w:rFonts w:ascii="Arial Narrow" w:hAnsi="Arial Narrow"/>
                <w:sz w:val="20"/>
                <w:szCs w:val="20"/>
              </w:rPr>
              <w:t>This did not concur with the submission’s claim  that UPA would be used preferentially among patients who would otherwise be prescribed TOF, and therefore relatively limited substitution with other treatments was expected.</w:t>
            </w:r>
          </w:p>
          <w:p w14:paraId="64F28540" w14:textId="55435386" w:rsidR="009424B8" w:rsidRPr="008010B1" w:rsidRDefault="009424B8" w:rsidP="00F527E8">
            <w:pPr>
              <w:widowControl w:val="0"/>
              <w:tabs>
                <w:tab w:val="left" w:pos="250"/>
              </w:tabs>
              <w:jc w:val="left"/>
              <w:rPr>
                <w:rFonts w:ascii="Arial Narrow" w:hAnsi="Arial Narrow"/>
                <w:sz w:val="20"/>
                <w:szCs w:val="20"/>
              </w:rPr>
            </w:pPr>
            <w:r w:rsidRPr="0064550B">
              <w:rPr>
                <w:rFonts w:ascii="Arial Narrow" w:hAnsi="Arial Narrow"/>
                <w:sz w:val="20"/>
                <w:szCs w:val="20"/>
                <w:u w:val="single"/>
              </w:rPr>
              <w:t>Determination of script equivalence</w:t>
            </w:r>
            <w:r w:rsidRPr="0064550B">
              <w:rPr>
                <w:rFonts w:ascii="Arial Narrow" w:hAnsi="Arial Narrow"/>
                <w:sz w:val="20"/>
                <w:szCs w:val="20"/>
              </w:rPr>
              <w:t xml:space="preserve">: dosing regimens for UPA and those in the </w:t>
            </w:r>
            <w:r w:rsidRPr="008010B1">
              <w:rPr>
                <w:rFonts w:ascii="Arial Narrow" w:hAnsi="Arial Narrow"/>
                <w:sz w:val="20"/>
                <w:szCs w:val="20"/>
              </w:rPr>
              <w:t xml:space="preserve">PBS listings for TOF, GOL, IFX, VDZ and ADA were assessed by the submission, along with existing therapeutic relativities and dosing information </w:t>
            </w:r>
            <w:r w:rsidR="00F527E8">
              <w:rPr>
                <w:rFonts w:ascii="Arial Narrow" w:hAnsi="Arial Narrow"/>
                <w:sz w:val="20"/>
                <w:szCs w:val="20"/>
              </w:rPr>
              <w:t>in the PIs. The submission estimated script equivalence separately for initial and continuing script.</w:t>
            </w:r>
          </w:p>
        </w:tc>
      </w:tr>
      <w:tr w:rsidR="009424B8" w:rsidRPr="008010B1" w14:paraId="660AA1CB" w14:textId="77777777" w:rsidTr="00313F8C">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923BBD" w14:textId="77777777" w:rsidR="009424B8" w:rsidRPr="008010B1" w:rsidRDefault="009424B8" w:rsidP="00313F8C">
            <w:pPr>
              <w:widowControl w:val="0"/>
              <w:jc w:val="left"/>
              <w:rPr>
                <w:rFonts w:ascii="Arial Narrow" w:hAnsi="Arial Narrow"/>
                <w:b/>
                <w:sz w:val="20"/>
                <w:szCs w:val="20"/>
              </w:rPr>
            </w:pPr>
            <w:r w:rsidRPr="008010B1">
              <w:rPr>
                <w:rFonts w:ascii="Arial Narrow" w:hAnsi="Arial Narrow"/>
                <w:b/>
                <w:sz w:val="20"/>
                <w:szCs w:val="20"/>
              </w:rPr>
              <w:t>Utilisation</w:t>
            </w:r>
          </w:p>
        </w:tc>
      </w:tr>
      <w:tr w:rsidR="009424B8" w:rsidRPr="008010B1" w14:paraId="11EDDEA6" w14:textId="77777777" w:rsidTr="00313F8C">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DC44F" w14:textId="77777777" w:rsidR="009424B8" w:rsidRPr="008010B1" w:rsidRDefault="009424B8" w:rsidP="00313F8C">
            <w:pPr>
              <w:widowControl w:val="0"/>
              <w:jc w:val="left"/>
              <w:rPr>
                <w:rFonts w:ascii="Arial Narrow" w:hAnsi="Arial Narrow"/>
                <w:sz w:val="20"/>
                <w:szCs w:val="20"/>
              </w:rPr>
            </w:pPr>
            <w:r w:rsidRPr="008010B1">
              <w:rPr>
                <w:rFonts w:ascii="Arial Narrow" w:hAnsi="Arial Narrow"/>
                <w:sz w:val="20"/>
                <w:szCs w:val="20"/>
              </w:rPr>
              <w:t>Number of scripts</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7C90E330" w14:textId="77777777" w:rsidR="009424B8" w:rsidRPr="008010B1" w:rsidRDefault="009424B8" w:rsidP="00313F8C">
            <w:pPr>
              <w:widowControl w:val="0"/>
              <w:jc w:val="left"/>
              <w:rPr>
                <w:rFonts w:ascii="Arial Narrow" w:hAnsi="Arial Narrow"/>
                <w:sz w:val="20"/>
                <w:szCs w:val="20"/>
              </w:rPr>
            </w:pPr>
            <w:r w:rsidRPr="008010B1">
              <w:rPr>
                <w:rFonts w:ascii="Arial Narrow" w:hAnsi="Arial Narrow"/>
                <w:sz w:val="20"/>
                <w:szCs w:val="20"/>
                <w:u w:val="single"/>
              </w:rPr>
              <w:t>Reconfiguration of initiation/continuation scripts</w:t>
            </w:r>
            <w:r w:rsidRPr="008010B1">
              <w:rPr>
                <w:rFonts w:ascii="Arial Narrow" w:hAnsi="Arial Narrow"/>
                <w:sz w:val="20"/>
                <w:szCs w:val="20"/>
              </w:rPr>
              <w:t>: The submission indicated that the proportion of initiation packs in overall usage would be greater in the early years of listing, and then gradually overtaken by continuation packs as more patients stay on treatment over time. To account for this, reconfiguration of the initiation/continuation usage split was done, based on ADA data. The reconfiguration assumed that in Year 1, 32% of scripts were for initiation, decreasing to 18% in Year 2, 12% in Year 3, and 10% in Years 4 to 6.</w:t>
            </w:r>
          </w:p>
          <w:p w14:paraId="5D689622" w14:textId="58E0BE54" w:rsidR="009424B8" w:rsidRPr="008010B1" w:rsidRDefault="009424B8" w:rsidP="00313F8C">
            <w:pPr>
              <w:widowControl w:val="0"/>
              <w:jc w:val="left"/>
              <w:rPr>
                <w:rFonts w:ascii="Arial Narrow" w:hAnsi="Arial Narrow"/>
                <w:sz w:val="20"/>
                <w:szCs w:val="20"/>
              </w:rPr>
            </w:pPr>
            <w:r w:rsidRPr="008010B1">
              <w:rPr>
                <w:rFonts w:ascii="Arial Narrow" w:hAnsi="Arial Narrow"/>
                <w:sz w:val="20"/>
                <w:szCs w:val="20"/>
                <w:u w:val="single"/>
              </w:rPr>
              <w:t>Number of UPA scripts:</w:t>
            </w:r>
            <w:r w:rsidRPr="008010B1">
              <w:rPr>
                <w:rFonts w:ascii="Arial Narrow" w:hAnsi="Arial Narrow"/>
                <w:sz w:val="20"/>
                <w:szCs w:val="20"/>
              </w:rPr>
              <w:t xml:space="preserve"> Estimated UPA script numbers were: </w:t>
            </w:r>
            <w:r w:rsidR="00035272" w:rsidRPr="00F13064">
              <w:rPr>
                <w:rFonts w:ascii="Arial Narrow" w:hAnsi="Arial Narrow"/>
                <w:color w:val="000000"/>
                <w:spacing w:val="53"/>
                <w:sz w:val="20"/>
                <w:szCs w:val="20"/>
                <w:shd w:val="solid" w:color="000000" w:fill="000000"/>
                <w:fitText w:val="330" w:id="-1436812541"/>
                <w14:textFill>
                  <w14:solidFill>
                    <w14:srgbClr w14:val="000000">
                      <w14:alpha w14:val="100000"/>
                    </w14:srgbClr>
                  </w14:solidFill>
                </w14:textFill>
              </w:rPr>
              <w:t>|||</w:t>
            </w:r>
            <w:r w:rsidR="00035272" w:rsidRPr="00F13064">
              <w:rPr>
                <w:rFonts w:ascii="Arial Narrow" w:hAnsi="Arial Narrow"/>
                <w:color w:val="000000"/>
                <w:spacing w:val="1"/>
                <w:sz w:val="20"/>
                <w:szCs w:val="20"/>
                <w:shd w:val="solid" w:color="000000" w:fill="000000"/>
                <w:fitText w:val="330" w:id="-1436812541"/>
                <w14:textFill>
                  <w14:solidFill>
                    <w14:srgbClr w14:val="000000">
                      <w14:alpha w14:val="100000"/>
                    </w14:srgbClr>
                  </w14:solidFill>
                </w14:textFill>
              </w:rPr>
              <w:t>|</w:t>
            </w:r>
            <w:r w:rsidR="00F13064" w:rsidRPr="00F13064">
              <w:rPr>
                <w:rFonts w:ascii="Arial Narrow" w:hAnsi="Arial Narrow"/>
                <w:sz w:val="20"/>
                <w:szCs w:val="20"/>
                <w:vertAlign w:val="superscript"/>
              </w:rPr>
              <w:t>3</w:t>
            </w:r>
            <w:r w:rsidR="00F13064">
              <w:rPr>
                <w:rFonts w:ascii="Arial Narrow" w:hAnsi="Arial Narrow"/>
                <w:sz w:val="20"/>
                <w:szCs w:val="20"/>
              </w:rPr>
              <w:t xml:space="preserve"> </w:t>
            </w:r>
            <w:r w:rsidRPr="008010B1">
              <w:rPr>
                <w:rFonts w:ascii="Arial Narrow" w:hAnsi="Arial Narrow"/>
                <w:sz w:val="20"/>
                <w:szCs w:val="20"/>
              </w:rPr>
              <w:t xml:space="preserve">in Year 1; </w:t>
            </w:r>
            <w:r w:rsidR="00035272" w:rsidRPr="00F13064">
              <w:rPr>
                <w:rFonts w:ascii="Arial Narrow" w:hAnsi="Arial Narrow"/>
                <w:color w:val="000000"/>
                <w:spacing w:val="53"/>
                <w:sz w:val="20"/>
                <w:szCs w:val="20"/>
                <w:shd w:val="solid" w:color="000000" w:fill="000000"/>
                <w:fitText w:val="330" w:id="-1436812540"/>
                <w14:textFill>
                  <w14:solidFill>
                    <w14:srgbClr w14:val="000000">
                      <w14:alpha w14:val="100000"/>
                    </w14:srgbClr>
                  </w14:solidFill>
                </w14:textFill>
              </w:rPr>
              <w:t>|||</w:t>
            </w:r>
            <w:r w:rsidR="00035272" w:rsidRPr="00F13064">
              <w:rPr>
                <w:rFonts w:ascii="Arial Narrow" w:hAnsi="Arial Narrow"/>
                <w:color w:val="000000"/>
                <w:spacing w:val="1"/>
                <w:sz w:val="20"/>
                <w:szCs w:val="20"/>
                <w:shd w:val="solid" w:color="000000" w:fill="000000"/>
                <w:fitText w:val="330" w:id="-1436812540"/>
                <w14:textFill>
                  <w14:solidFill>
                    <w14:srgbClr w14:val="000000">
                      <w14:alpha w14:val="100000"/>
                    </w14:srgbClr>
                  </w14:solidFill>
                </w14:textFill>
              </w:rPr>
              <w:t>|</w:t>
            </w:r>
            <w:r w:rsidR="00F13064">
              <w:rPr>
                <w:rFonts w:ascii="Arial Narrow" w:hAnsi="Arial Narrow"/>
                <w:sz w:val="20"/>
                <w:szCs w:val="20"/>
                <w:vertAlign w:val="superscript"/>
              </w:rPr>
              <w:t>4</w:t>
            </w:r>
            <w:r w:rsidRPr="008010B1">
              <w:rPr>
                <w:rFonts w:ascii="Arial Narrow" w:hAnsi="Arial Narrow"/>
                <w:sz w:val="20"/>
                <w:szCs w:val="20"/>
              </w:rPr>
              <w:t xml:space="preserve"> in Year 2, </w:t>
            </w:r>
            <w:r w:rsidR="00035272" w:rsidRPr="00F13064">
              <w:rPr>
                <w:rFonts w:ascii="Arial Narrow" w:hAnsi="Arial Narrow"/>
                <w:color w:val="000000"/>
                <w:spacing w:val="53"/>
                <w:sz w:val="20"/>
                <w:szCs w:val="20"/>
                <w:shd w:val="solid" w:color="000000" w:fill="000000"/>
                <w:fitText w:val="330" w:id="-1436812539"/>
                <w14:textFill>
                  <w14:solidFill>
                    <w14:srgbClr w14:val="000000">
                      <w14:alpha w14:val="100000"/>
                    </w14:srgbClr>
                  </w14:solidFill>
                </w14:textFill>
              </w:rPr>
              <w:t>|||</w:t>
            </w:r>
            <w:r w:rsidR="00035272" w:rsidRPr="00F13064">
              <w:rPr>
                <w:rFonts w:ascii="Arial Narrow" w:hAnsi="Arial Narrow"/>
                <w:color w:val="000000"/>
                <w:spacing w:val="1"/>
                <w:sz w:val="20"/>
                <w:szCs w:val="20"/>
                <w:shd w:val="solid" w:color="000000" w:fill="000000"/>
                <w:fitText w:val="330" w:id="-1436812539"/>
                <w14:textFill>
                  <w14:solidFill>
                    <w14:srgbClr w14:val="000000">
                      <w14:alpha w14:val="100000"/>
                    </w14:srgbClr>
                  </w14:solidFill>
                </w14:textFill>
              </w:rPr>
              <w:t>|</w:t>
            </w:r>
            <w:r w:rsidR="00F13064">
              <w:rPr>
                <w:rFonts w:ascii="Arial Narrow" w:hAnsi="Arial Narrow"/>
                <w:sz w:val="20"/>
                <w:szCs w:val="20"/>
                <w:vertAlign w:val="superscript"/>
              </w:rPr>
              <w:t>4</w:t>
            </w:r>
            <w:r w:rsidR="00F13064" w:rsidRPr="00F13064">
              <w:rPr>
                <w:rFonts w:ascii="Arial Narrow" w:hAnsi="Arial Narrow"/>
                <w:sz w:val="20"/>
                <w:szCs w:val="20"/>
              </w:rPr>
              <w:t xml:space="preserve"> </w:t>
            </w:r>
            <w:r w:rsidRPr="008010B1">
              <w:rPr>
                <w:rFonts w:ascii="Arial Narrow" w:hAnsi="Arial Narrow"/>
                <w:sz w:val="20"/>
                <w:szCs w:val="20"/>
              </w:rPr>
              <w:t>in Year 3;</w:t>
            </w:r>
            <w:r w:rsidR="00035272" w:rsidRPr="00035272">
              <w:rPr>
                <w:rFonts w:ascii="Arial Narrow" w:hAnsi="Arial Narrow"/>
                <w:sz w:val="20"/>
                <w:szCs w:val="20"/>
              </w:rPr>
              <w:t xml:space="preserve"> </w:t>
            </w:r>
            <w:r w:rsidR="00035272" w:rsidRPr="00F13064">
              <w:rPr>
                <w:rFonts w:ascii="Arial Narrow" w:hAnsi="Arial Narrow"/>
                <w:color w:val="000000"/>
                <w:spacing w:val="53"/>
                <w:sz w:val="20"/>
                <w:szCs w:val="20"/>
                <w:shd w:val="solid" w:color="000000" w:fill="000000"/>
                <w:fitText w:val="330" w:id="-1436812538"/>
                <w14:textFill>
                  <w14:solidFill>
                    <w14:srgbClr w14:val="000000">
                      <w14:alpha w14:val="100000"/>
                    </w14:srgbClr>
                  </w14:solidFill>
                </w14:textFill>
              </w:rPr>
              <w:t>|||</w:t>
            </w:r>
            <w:r w:rsidR="00035272" w:rsidRPr="00F13064">
              <w:rPr>
                <w:rFonts w:ascii="Arial Narrow" w:hAnsi="Arial Narrow"/>
                <w:color w:val="000000"/>
                <w:spacing w:val="1"/>
                <w:sz w:val="20"/>
                <w:szCs w:val="20"/>
                <w:shd w:val="solid" w:color="000000" w:fill="000000"/>
                <w:fitText w:val="330" w:id="-1436812538"/>
                <w14:textFill>
                  <w14:solidFill>
                    <w14:srgbClr w14:val="000000">
                      <w14:alpha w14:val="100000"/>
                    </w14:srgbClr>
                  </w14:solidFill>
                </w14:textFill>
              </w:rPr>
              <w:t>|</w:t>
            </w:r>
            <w:r w:rsidR="00F13064">
              <w:rPr>
                <w:rFonts w:ascii="Arial Narrow" w:hAnsi="Arial Narrow"/>
                <w:sz w:val="20"/>
                <w:szCs w:val="20"/>
                <w:vertAlign w:val="superscript"/>
              </w:rPr>
              <w:t>5</w:t>
            </w:r>
            <w:r w:rsidR="00F13064" w:rsidRPr="00F13064">
              <w:rPr>
                <w:rFonts w:ascii="Arial Narrow" w:hAnsi="Arial Narrow"/>
                <w:sz w:val="20"/>
                <w:szCs w:val="20"/>
              </w:rPr>
              <w:t xml:space="preserve"> </w:t>
            </w:r>
            <w:r w:rsidRPr="008010B1">
              <w:rPr>
                <w:rFonts w:ascii="Arial Narrow" w:hAnsi="Arial Narrow"/>
                <w:sz w:val="20"/>
                <w:szCs w:val="20"/>
              </w:rPr>
              <w:t xml:space="preserve">in Year 4; </w:t>
            </w:r>
            <w:r w:rsidR="00035272" w:rsidRPr="00F13064">
              <w:rPr>
                <w:rFonts w:ascii="Arial Narrow" w:hAnsi="Arial Narrow"/>
                <w:color w:val="000000"/>
                <w:spacing w:val="53"/>
                <w:sz w:val="20"/>
                <w:szCs w:val="20"/>
                <w:shd w:val="solid" w:color="000000" w:fill="000000"/>
                <w:fitText w:val="330" w:id="-1436812537"/>
                <w14:textFill>
                  <w14:solidFill>
                    <w14:srgbClr w14:val="000000">
                      <w14:alpha w14:val="100000"/>
                    </w14:srgbClr>
                  </w14:solidFill>
                </w14:textFill>
              </w:rPr>
              <w:t>|||</w:t>
            </w:r>
            <w:r w:rsidR="00035272" w:rsidRPr="00F13064">
              <w:rPr>
                <w:rFonts w:ascii="Arial Narrow" w:hAnsi="Arial Narrow"/>
                <w:color w:val="000000"/>
                <w:spacing w:val="1"/>
                <w:sz w:val="20"/>
                <w:szCs w:val="20"/>
                <w:shd w:val="solid" w:color="000000" w:fill="000000"/>
                <w:fitText w:val="330" w:id="-1436812537"/>
                <w14:textFill>
                  <w14:solidFill>
                    <w14:srgbClr w14:val="000000">
                      <w14:alpha w14:val="100000"/>
                    </w14:srgbClr>
                  </w14:solidFill>
                </w14:textFill>
              </w:rPr>
              <w:t>|</w:t>
            </w:r>
            <w:r w:rsidR="00F13064">
              <w:rPr>
                <w:rFonts w:ascii="Arial Narrow" w:hAnsi="Arial Narrow"/>
                <w:sz w:val="20"/>
                <w:szCs w:val="20"/>
                <w:vertAlign w:val="superscript"/>
              </w:rPr>
              <w:t>5</w:t>
            </w:r>
            <w:r w:rsidRPr="008010B1">
              <w:rPr>
                <w:rFonts w:ascii="Arial Narrow" w:hAnsi="Arial Narrow"/>
                <w:sz w:val="20"/>
                <w:szCs w:val="20"/>
              </w:rPr>
              <w:t xml:space="preserve"> in Year 5; and </w:t>
            </w:r>
            <w:r w:rsidR="00035272" w:rsidRPr="00F13064">
              <w:rPr>
                <w:rFonts w:ascii="Arial Narrow" w:hAnsi="Arial Narrow"/>
                <w:color w:val="000000"/>
                <w:spacing w:val="49"/>
                <w:sz w:val="20"/>
                <w:szCs w:val="20"/>
                <w:shd w:val="solid" w:color="000000" w:fill="000000"/>
                <w:fitText w:val="320" w:id="-1436812536"/>
                <w14:textFill>
                  <w14:solidFill>
                    <w14:srgbClr w14:val="000000">
                      <w14:alpha w14:val="100000"/>
                    </w14:srgbClr>
                  </w14:solidFill>
                </w14:textFill>
              </w:rPr>
              <w:t>|||</w:t>
            </w:r>
            <w:r w:rsidR="00035272" w:rsidRPr="00F13064">
              <w:rPr>
                <w:rFonts w:ascii="Arial Narrow" w:hAnsi="Arial Narrow"/>
                <w:color w:val="000000"/>
                <w:spacing w:val="3"/>
                <w:sz w:val="20"/>
                <w:szCs w:val="20"/>
                <w:shd w:val="solid" w:color="000000" w:fill="000000"/>
                <w:fitText w:val="320" w:id="-1436812536"/>
                <w14:textFill>
                  <w14:solidFill>
                    <w14:srgbClr w14:val="000000">
                      <w14:alpha w14:val="100000"/>
                    </w14:srgbClr>
                  </w14:solidFill>
                </w14:textFill>
              </w:rPr>
              <w:t>|</w:t>
            </w:r>
            <w:r w:rsidR="00F13064">
              <w:rPr>
                <w:rFonts w:ascii="Arial Narrow" w:hAnsi="Arial Narrow"/>
                <w:sz w:val="20"/>
                <w:szCs w:val="20"/>
                <w:vertAlign w:val="superscript"/>
              </w:rPr>
              <w:t>6</w:t>
            </w:r>
            <w:r w:rsidRPr="008010B1">
              <w:rPr>
                <w:rFonts w:ascii="Arial Narrow" w:hAnsi="Arial Narrow"/>
                <w:sz w:val="20"/>
                <w:szCs w:val="20"/>
              </w:rPr>
              <w:t xml:space="preserve"> in Year 6.</w:t>
            </w:r>
          </w:p>
          <w:p w14:paraId="10546D32" w14:textId="3FCE1453" w:rsidR="009424B8" w:rsidRPr="008010B1" w:rsidRDefault="009424B8" w:rsidP="00313F8C">
            <w:pPr>
              <w:widowControl w:val="0"/>
              <w:jc w:val="left"/>
              <w:rPr>
                <w:rFonts w:ascii="Arial Narrow" w:hAnsi="Arial Narrow"/>
                <w:sz w:val="20"/>
                <w:szCs w:val="20"/>
              </w:rPr>
            </w:pPr>
            <w:r w:rsidRPr="008010B1">
              <w:rPr>
                <w:rFonts w:ascii="Arial Narrow" w:hAnsi="Arial Narrow"/>
                <w:sz w:val="20"/>
                <w:szCs w:val="20"/>
                <w:u w:val="single"/>
              </w:rPr>
              <w:t>Grandfathered patients</w:t>
            </w:r>
            <w:r w:rsidRPr="008010B1">
              <w:rPr>
                <w:rFonts w:ascii="Arial Narrow" w:hAnsi="Arial Narrow"/>
                <w:sz w:val="20"/>
                <w:szCs w:val="20"/>
              </w:rPr>
              <w:t xml:space="preserve">: The submission stated  that the </w:t>
            </w:r>
            <w:r w:rsidR="00A950DF">
              <w:rPr>
                <w:rFonts w:ascii="Arial Narrow" w:hAnsi="Arial Narrow"/>
                <w:sz w:val="20"/>
                <w:szCs w:val="20"/>
              </w:rPr>
              <w:t>sponsor</w:t>
            </w:r>
            <w:r w:rsidRPr="008010B1">
              <w:rPr>
                <w:rFonts w:ascii="Arial Narrow" w:hAnsi="Arial Narrow"/>
                <w:sz w:val="20"/>
                <w:szCs w:val="20"/>
              </w:rPr>
              <w:t xml:space="preserve"> requested a grandfather clause to allow approximately </w:t>
            </w:r>
            <w:r w:rsidR="00035272" w:rsidRPr="00F13064">
              <w:rPr>
                <w:rFonts w:ascii="Arial Narrow" w:hAnsi="Arial Narrow"/>
                <w:color w:val="000000"/>
                <w:spacing w:val="53"/>
                <w:sz w:val="20"/>
                <w:szCs w:val="20"/>
                <w:shd w:val="solid" w:color="000000" w:fill="000000"/>
                <w:fitText w:val="330" w:id="-1436812535"/>
                <w14:textFill>
                  <w14:solidFill>
                    <w14:srgbClr w14:val="000000">
                      <w14:alpha w14:val="100000"/>
                    </w14:srgbClr>
                  </w14:solidFill>
                </w14:textFill>
              </w:rPr>
              <w:t>|||</w:t>
            </w:r>
            <w:r w:rsidR="00035272" w:rsidRPr="00F13064">
              <w:rPr>
                <w:rFonts w:ascii="Arial Narrow" w:hAnsi="Arial Narrow"/>
                <w:color w:val="000000"/>
                <w:spacing w:val="1"/>
                <w:sz w:val="20"/>
                <w:szCs w:val="20"/>
                <w:shd w:val="solid" w:color="000000" w:fill="000000"/>
                <w:fitText w:val="330" w:id="-1436812535"/>
                <w14:textFill>
                  <w14:solidFill>
                    <w14:srgbClr w14:val="000000">
                      <w14:alpha w14:val="100000"/>
                    </w14:srgbClr>
                  </w14:solidFill>
                </w14:textFill>
              </w:rPr>
              <w:t>|</w:t>
            </w:r>
            <w:r w:rsidR="00F13064">
              <w:rPr>
                <w:rFonts w:ascii="Arial Narrow" w:hAnsi="Arial Narrow"/>
                <w:sz w:val="20"/>
                <w:szCs w:val="20"/>
                <w:vertAlign w:val="superscript"/>
              </w:rPr>
              <w:t>7</w:t>
            </w:r>
            <w:r w:rsidRPr="008010B1">
              <w:rPr>
                <w:rFonts w:ascii="Arial Narrow" w:hAnsi="Arial Narrow"/>
                <w:sz w:val="20"/>
                <w:szCs w:val="20"/>
              </w:rPr>
              <w:t xml:space="preserve"> patients from a patient familiarisation program and </w:t>
            </w:r>
            <w:r w:rsidR="00035272" w:rsidRPr="00F13064">
              <w:rPr>
                <w:rFonts w:ascii="Arial Narrow" w:hAnsi="Arial Narrow"/>
                <w:color w:val="000000"/>
                <w:spacing w:val="53"/>
                <w:sz w:val="20"/>
                <w:szCs w:val="20"/>
                <w:shd w:val="solid" w:color="000000" w:fill="000000"/>
                <w:fitText w:val="330" w:id="-1436812534"/>
                <w14:textFill>
                  <w14:solidFill>
                    <w14:srgbClr w14:val="000000">
                      <w14:alpha w14:val="100000"/>
                    </w14:srgbClr>
                  </w14:solidFill>
                </w14:textFill>
              </w:rPr>
              <w:t>|||</w:t>
            </w:r>
            <w:r w:rsidR="00035272" w:rsidRPr="00F13064">
              <w:rPr>
                <w:rFonts w:ascii="Arial Narrow" w:hAnsi="Arial Narrow"/>
                <w:color w:val="000000"/>
                <w:spacing w:val="1"/>
                <w:sz w:val="20"/>
                <w:szCs w:val="20"/>
                <w:shd w:val="solid" w:color="000000" w:fill="000000"/>
                <w:fitText w:val="330" w:id="-1436812534"/>
                <w14:textFill>
                  <w14:solidFill>
                    <w14:srgbClr w14:val="000000">
                      <w14:alpha w14:val="100000"/>
                    </w14:srgbClr>
                  </w14:solidFill>
                </w14:textFill>
              </w:rPr>
              <w:t>|</w:t>
            </w:r>
            <w:r w:rsidR="00F13064">
              <w:rPr>
                <w:rFonts w:ascii="Arial Narrow" w:hAnsi="Arial Narrow"/>
                <w:sz w:val="20"/>
                <w:szCs w:val="20"/>
                <w:vertAlign w:val="superscript"/>
              </w:rPr>
              <w:t>7</w:t>
            </w:r>
            <w:r w:rsidRPr="008010B1">
              <w:rPr>
                <w:rFonts w:ascii="Arial Narrow" w:hAnsi="Arial Narrow"/>
                <w:sz w:val="20"/>
                <w:szCs w:val="20"/>
              </w:rPr>
              <w:t xml:space="preserve"> patients in the OL extension trial to transition to PBS-subsidised UPA. </w:t>
            </w:r>
            <w:r w:rsidRPr="0064550B">
              <w:rPr>
                <w:rFonts w:ascii="Arial Narrow" w:hAnsi="Arial Narrow"/>
                <w:sz w:val="20"/>
                <w:szCs w:val="20"/>
              </w:rPr>
              <w:t>The estimates presented by the submission did not include these patients and their estimated script usage.</w:t>
            </w:r>
          </w:p>
        </w:tc>
      </w:tr>
      <w:tr w:rsidR="009424B8" w:rsidRPr="008010B1" w14:paraId="5FF02C72" w14:textId="77777777" w:rsidTr="00313F8C">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344B8" w14:textId="77777777" w:rsidR="009424B8" w:rsidRPr="008010B1" w:rsidRDefault="009424B8" w:rsidP="00313F8C">
            <w:pPr>
              <w:widowControl w:val="0"/>
              <w:jc w:val="left"/>
              <w:rPr>
                <w:rFonts w:ascii="Arial Narrow" w:hAnsi="Arial Narrow"/>
                <w:b/>
                <w:sz w:val="20"/>
                <w:szCs w:val="20"/>
              </w:rPr>
            </w:pPr>
            <w:r w:rsidRPr="008010B1">
              <w:rPr>
                <w:rFonts w:ascii="Arial Narrow" w:hAnsi="Arial Narrow"/>
                <w:b/>
                <w:sz w:val="20"/>
                <w:szCs w:val="20"/>
              </w:rPr>
              <w:t xml:space="preserve">Cost of medicines </w:t>
            </w:r>
          </w:p>
        </w:tc>
      </w:tr>
      <w:tr w:rsidR="009424B8" w:rsidRPr="008010B1" w14:paraId="7970C6D9" w14:textId="77777777" w:rsidTr="00313F8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1A0ED9E" w14:textId="0AFA4D46" w:rsidR="00271A9D" w:rsidRDefault="00271A9D" w:rsidP="00313F8C">
            <w:pPr>
              <w:widowControl w:val="0"/>
              <w:jc w:val="left"/>
              <w:rPr>
                <w:rFonts w:ascii="Arial Narrow" w:hAnsi="Arial Narrow"/>
                <w:sz w:val="20"/>
                <w:szCs w:val="20"/>
              </w:rPr>
            </w:pPr>
            <w:r>
              <w:rPr>
                <w:rFonts w:ascii="Arial Narrow" w:hAnsi="Arial Narrow"/>
                <w:sz w:val="20"/>
                <w:szCs w:val="20"/>
              </w:rPr>
              <w:t>UPA, TOF, GOL, VDZ, IFX and ADA</w:t>
            </w:r>
          </w:p>
          <w:p w14:paraId="1BE5F6F2" w14:textId="2CD18BF7" w:rsidR="009424B8" w:rsidRPr="008010B1" w:rsidRDefault="00271A9D" w:rsidP="00313F8C">
            <w:pPr>
              <w:widowControl w:val="0"/>
              <w:jc w:val="left"/>
              <w:rPr>
                <w:rFonts w:ascii="Arial Narrow" w:hAnsi="Arial Narrow"/>
                <w:sz w:val="20"/>
                <w:szCs w:val="20"/>
              </w:rPr>
            </w:pPr>
            <w:r>
              <w:rPr>
                <w:rFonts w:ascii="Arial Narrow" w:hAnsi="Arial Narrow"/>
                <w:sz w:val="20"/>
                <w:szCs w:val="20"/>
              </w:rPr>
              <w:t>(published prices)</w:t>
            </w:r>
          </w:p>
        </w:tc>
        <w:tc>
          <w:tcPr>
            <w:tcW w:w="4074" w:type="pct"/>
            <w:tcBorders>
              <w:top w:val="single" w:sz="4" w:space="0" w:color="auto"/>
              <w:left w:val="single" w:sz="4" w:space="0" w:color="auto"/>
              <w:bottom w:val="single" w:sz="4" w:space="0" w:color="auto"/>
              <w:right w:val="single" w:sz="4" w:space="0" w:color="auto"/>
            </w:tcBorders>
            <w:shd w:val="clear" w:color="auto" w:fill="auto"/>
          </w:tcPr>
          <w:p w14:paraId="48269249" w14:textId="733C1E76" w:rsidR="009424B8" w:rsidRPr="00577D96" w:rsidRDefault="00271A9D" w:rsidP="00271A9D">
            <w:pPr>
              <w:widowControl w:val="0"/>
              <w:jc w:val="left"/>
              <w:rPr>
                <w:rFonts w:ascii="Arial Narrow" w:hAnsi="Arial Narrow" w:cstheme="minorBidi"/>
                <w:sz w:val="20"/>
                <w:szCs w:val="20"/>
                <w:lang w:eastAsia="en-GB"/>
              </w:rPr>
            </w:pPr>
            <w:r w:rsidRPr="00577D96">
              <w:rPr>
                <w:rFonts w:ascii="Arial Narrow" w:hAnsi="Arial Narrow" w:cstheme="minorHAnsi"/>
                <w:sz w:val="20"/>
                <w:szCs w:val="20"/>
                <w:lang w:eastAsia="en-GB"/>
              </w:rPr>
              <w:t xml:space="preserve">UPA: </w:t>
            </w:r>
            <w:r w:rsidRPr="00577D96">
              <w:rPr>
                <w:rFonts w:ascii="Arial Narrow" w:hAnsi="Arial Narrow"/>
                <w:color w:val="000000"/>
                <w:sz w:val="20"/>
                <w:szCs w:val="20"/>
                <w:lang w:eastAsia="en-GB"/>
              </w:rPr>
              <w:t>requested published DPMQs</w:t>
            </w:r>
            <w:r w:rsidRPr="00577D96">
              <w:rPr>
                <w:rFonts w:ascii="Arial Narrow" w:hAnsi="Arial Narrow" w:cstheme="minorHAnsi"/>
                <w:sz w:val="20"/>
                <w:szCs w:val="20"/>
                <w:lang w:eastAsia="en-GB"/>
              </w:rPr>
              <w:t xml:space="preserve"> (</w:t>
            </w:r>
            <w:r w:rsidR="009424B8" w:rsidRPr="00577D96">
              <w:rPr>
                <w:rFonts w:ascii="Arial Narrow" w:hAnsi="Arial Narrow" w:cstheme="minorHAnsi"/>
                <w:sz w:val="20"/>
                <w:szCs w:val="20"/>
                <w:lang w:eastAsia="en-GB"/>
              </w:rPr>
              <w:t>UPA 15 mg $</w:t>
            </w:r>
            <w:r w:rsidR="009424B8" w:rsidRPr="00577D96">
              <w:rPr>
                <w:rFonts w:ascii="Arial Narrow" w:hAnsi="Arial Narrow" w:cstheme="minorHAnsi"/>
                <w:sz w:val="20"/>
                <w:szCs w:val="20"/>
                <w:shd w:val="clear" w:color="auto" w:fill="FFFFFF" w:themeFill="background1"/>
                <w:lang w:eastAsia="en-GB"/>
              </w:rPr>
              <w:t>1,271.40</w:t>
            </w:r>
            <w:r w:rsidR="009424B8" w:rsidRPr="00577D96">
              <w:rPr>
                <w:rFonts w:ascii="Arial Narrow" w:hAnsi="Arial Narrow" w:cstheme="minorHAnsi"/>
                <w:sz w:val="20"/>
                <w:szCs w:val="20"/>
                <w:lang w:eastAsia="en-GB"/>
              </w:rPr>
              <w:t xml:space="preserve">; UPA </w:t>
            </w:r>
            <w:r w:rsidR="009424B8" w:rsidRPr="00577D96">
              <w:rPr>
                <w:rFonts w:ascii="Arial Narrow" w:hAnsi="Arial Narrow"/>
                <w:color w:val="000000"/>
                <w:sz w:val="20"/>
                <w:szCs w:val="20"/>
                <w:lang w:eastAsia="en-GB"/>
              </w:rPr>
              <w:t xml:space="preserve">30 mg </w:t>
            </w:r>
            <w:r w:rsidR="009424B8" w:rsidRPr="00577D96">
              <w:rPr>
                <w:rFonts w:ascii="Arial Narrow" w:hAnsi="Arial Narrow" w:cstheme="minorHAnsi"/>
                <w:sz w:val="20"/>
                <w:szCs w:val="20"/>
                <w:lang w:eastAsia="en-GB"/>
              </w:rPr>
              <w:t xml:space="preserve">$2,076.38; UPA </w:t>
            </w:r>
            <w:r w:rsidR="009424B8" w:rsidRPr="00577D96">
              <w:rPr>
                <w:rFonts w:ascii="Arial Narrow" w:hAnsi="Arial Narrow"/>
                <w:color w:val="000000"/>
                <w:sz w:val="20"/>
                <w:szCs w:val="20"/>
                <w:lang w:eastAsia="en-GB"/>
              </w:rPr>
              <w:t>45 mg $</w:t>
            </w:r>
            <w:r w:rsidR="00035272" w:rsidRPr="00035272">
              <w:rPr>
                <w:rFonts w:ascii="Arial Narrow" w:hAnsi="Arial Narrow"/>
                <w:color w:val="000000"/>
                <w:sz w:val="20"/>
                <w:szCs w:val="20"/>
                <w:lang w:eastAsia="en-GB"/>
              </w:rPr>
              <w:t xml:space="preserve"> </w:t>
            </w:r>
            <w:r w:rsidR="00035272" w:rsidRPr="00157006">
              <w:rPr>
                <w:rFonts w:ascii="Arial Narrow" w:hAnsi="Arial Narrow"/>
                <w:color w:val="000000"/>
                <w:spacing w:val="53"/>
                <w:sz w:val="20"/>
                <w:szCs w:val="20"/>
                <w:shd w:val="solid" w:color="000000" w:fill="000000"/>
                <w:fitText w:val="330" w:id="-1436812533"/>
                <w:lang w:eastAsia="en-GB"/>
                <w14:textFill>
                  <w14:solidFill>
                    <w14:srgbClr w14:val="000000">
                      <w14:alpha w14:val="100000"/>
                    </w14:srgbClr>
                  </w14:solidFill>
                </w14:textFill>
              </w:rPr>
              <w:t>|||</w:t>
            </w:r>
            <w:r w:rsidR="00035272" w:rsidRPr="00157006">
              <w:rPr>
                <w:rFonts w:ascii="Arial Narrow" w:hAnsi="Arial Narrow"/>
                <w:color w:val="000000"/>
                <w:spacing w:val="1"/>
                <w:sz w:val="20"/>
                <w:szCs w:val="20"/>
                <w:shd w:val="solid" w:color="000000" w:fill="000000"/>
                <w:fitText w:val="330" w:id="-1436812533"/>
                <w:lang w:eastAsia="en-GB"/>
                <w14:textFill>
                  <w14:solidFill>
                    <w14:srgbClr w14:val="000000">
                      <w14:alpha w14:val="100000"/>
                    </w14:srgbClr>
                  </w14:solidFill>
                </w14:textFill>
              </w:rPr>
              <w:t>|</w:t>
            </w:r>
            <w:r w:rsidRPr="00577D96">
              <w:rPr>
                <w:rFonts w:ascii="Arial Narrow" w:hAnsi="Arial Narrow"/>
                <w:color w:val="000000"/>
                <w:sz w:val="20"/>
                <w:szCs w:val="20"/>
                <w:lang w:eastAsia="en-GB"/>
              </w:rPr>
              <w:t>)</w:t>
            </w:r>
            <w:r w:rsidR="009424B8" w:rsidRPr="00577D96">
              <w:rPr>
                <w:rFonts w:ascii="Arial Narrow" w:hAnsi="Arial Narrow"/>
                <w:color w:val="000000"/>
                <w:sz w:val="20"/>
                <w:szCs w:val="20"/>
                <w:lang w:eastAsia="en-GB"/>
              </w:rPr>
              <w:t>.</w:t>
            </w:r>
            <w:r w:rsidR="00A950DF" w:rsidRPr="00577D96">
              <w:rPr>
                <w:rFonts w:ascii="Arial Narrow" w:hAnsi="Arial Narrow"/>
                <w:color w:val="000000"/>
                <w:sz w:val="20"/>
                <w:szCs w:val="20"/>
                <w:lang w:eastAsia="en-GB"/>
              </w:rPr>
              <w:t xml:space="preserve"> Errors with mark-ups in the Section 4 Excel workbook were identified during the evaluation and corrected numbers are presented in this section. C</w:t>
            </w:r>
            <w:r w:rsidR="009424B8" w:rsidRPr="00577D96">
              <w:rPr>
                <w:rFonts w:ascii="Arial Narrow" w:hAnsi="Arial Narrow" w:cstheme="minorBidi"/>
                <w:sz w:val="20"/>
                <w:szCs w:val="20"/>
                <w:lang w:eastAsia="en-GB"/>
              </w:rPr>
              <w:t>osts presented in the commentary are based on the requested DPMQs for UPA 15 mg, 30 mg and 45 mg formulations.</w:t>
            </w:r>
          </w:p>
          <w:p w14:paraId="603F5A1C" w14:textId="5114382C" w:rsidR="00271A9D" w:rsidRPr="00577D96" w:rsidRDefault="00271A9D" w:rsidP="00271A9D">
            <w:pPr>
              <w:widowControl w:val="0"/>
              <w:jc w:val="left"/>
              <w:rPr>
                <w:rFonts w:ascii="Arial Narrow" w:hAnsi="Arial Narrow"/>
                <w:sz w:val="20"/>
                <w:szCs w:val="20"/>
              </w:rPr>
            </w:pPr>
            <w:r w:rsidRPr="00577D96">
              <w:rPr>
                <w:rFonts w:ascii="Arial Narrow" w:hAnsi="Arial Narrow" w:cstheme="minorBidi"/>
                <w:sz w:val="20"/>
                <w:szCs w:val="20"/>
                <w:lang w:eastAsia="en-GB"/>
              </w:rPr>
              <w:t>TOF, GOL, VDZ, IFX, ADA: published DPMQs</w:t>
            </w:r>
          </w:p>
        </w:tc>
      </w:tr>
      <w:tr w:rsidR="009424B8" w:rsidRPr="008010B1" w14:paraId="644CC699" w14:textId="77777777" w:rsidTr="00313F8C">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3D5758" w14:textId="77777777" w:rsidR="009424B8" w:rsidRPr="008010B1" w:rsidRDefault="009424B8" w:rsidP="00313F8C">
            <w:pPr>
              <w:widowControl w:val="0"/>
              <w:jc w:val="left"/>
              <w:rPr>
                <w:rFonts w:ascii="Arial Narrow" w:hAnsi="Arial Narrow"/>
                <w:b/>
                <w:sz w:val="20"/>
                <w:szCs w:val="20"/>
              </w:rPr>
            </w:pPr>
            <w:r w:rsidRPr="008010B1">
              <w:rPr>
                <w:rFonts w:ascii="Arial Narrow" w:hAnsi="Arial Narrow"/>
                <w:b/>
                <w:sz w:val="20"/>
                <w:szCs w:val="20"/>
              </w:rPr>
              <w:t>Impact on other medicines</w:t>
            </w:r>
          </w:p>
        </w:tc>
      </w:tr>
      <w:tr w:rsidR="009424B8" w:rsidRPr="008010B1" w14:paraId="63094B05" w14:textId="77777777" w:rsidTr="00313F8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706BD0B1" w14:textId="77777777" w:rsidR="009424B8" w:rsidRPr="008010B1" w:rsidRDefault="009424B8" w:rsidP="00313F8C">
            <w:pPr>
              <w:widowControl w:val="0"/>
              <w:jc w:val="left"/>
              <w:rPr>
                <w:rFonts w:ascii="Arial Narrow" w:hAnsi="Arial Narrow" w:cstheme="minorHAnsi"/>
                <w:sz w:val="20"/>
                <w:szCs w:val="20"/>
              </w:rPr>
            </w:pPr>
            <w:r w:rsidRPr="008010B1">
              <w:rPr>
                <w:rFonts w:ascii="Arial Narrow" w:hAnsi="Arial Narrow" w:cstheme="minorHAnsi"/>
                <w:sz w:val="20"/>
                <w:szCs w:val="20"/>
              </w:rPr>
              <w:t>Other agents</w:t>
            </w:r>
          </w:p>
        </w:tc>
        <w:tc>
          <w:tcPr>
            <w:tcW w:w="4074" w:type="pct"/>
            <w:tcBorders>
              <w:top w:val="single" w:sz="4" w:space="0" w:color="auto"/>
              <w:left w:val="single" w:sz="4" w:space="0" w:color="auto"/>
              <w:right w:val="single" w:sz="4" w:space="0" w:color="auto"/>
            </w:tcBorders>
            <w:shd w:val="clear" w:color="auto" w:fill="auto"/>
            <w:vAlign w:val="center"/>
          </w:tcPr>
          <w:p w14:paraId="733212D4" w14:textId="35A83B4D" w:rsidR="009424B8" w:rsidRPr="008010B1" w:rsidRDefault="009424B8" w:rsidP="00313F8C">
            <w:pPr>
              <w:widowControl w:val="0"/>
              <w:jc w:val="left"/>
              <w:rPr>
                <w:rFonts w:ascii="Arial Narrow" w:hAnsi="Arial Narrow"/>
                <w:sz w:val="20"/>
                <w:szCs w:val="20"/>
              </w:rPr>
            </w:pPr>
            <w:r w:rsidRPr="008010B1">
              <w:rPr>
                <w:rFonts w:ascii="Arial Narrow" w:hAnsi="Arial Narrow"/>
                <w:sz w:val="20"/>
                <w:szCs w:val="20"/>
              </w:rPr>
              <w:t>Cost offsets for TOF, GOL, VD</w:t>
            </w:r>
            <w:r w:rsidR="00445901">
              <w:rPr>
                <w:rFonts w:ascii="Arial Narrow" w:hAnsi="Arial Narrow"/>
                <w:sz w:val="20"/>
                <w:szCs w:val="20"/>
              </w:rPr>
              <w:t>Z</w:t>
            </w:r>
            <w:r w:rsidRPr="008010B1">
              <w:rPr>
                <w:rFonts w:ascii="Arial Narrow" w:hAnsi="Arial Narrow"/>
                <w:sz w:val="20"/>
                <w:szCs w:val="20"/>
              </w:rPr>
              <w:t>, IFX and ADA were applied, based on the substitution rates listed above and published prices for each agent.</w:t>
            </w:r>
          </w:p>
        </w:tc>
      </w:tr>
      <w:tr w:rsidR="009424B8" w:rsidRPr="008010B1" w14:paraId="0B03CDD7" w14:textId="77777777" w:rsidTr="00313F8C">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FF054" w14:textId="77777777" w:rsidR="009424B8" w:rsidRPr="008010B1" w:rsidRDefault="009424B8" w:rsidP="00313F8C">
            <w:pPr>
              <w:widowControl w:val="0"/>
              <w:jc w:val="left"/>
              <w:rPr>
                <w:rFonts w:ascii="Arial Narrow" w:hAnsi="Arial Narrow"/>
                <w:b/>
                <w:sz w:val="20"/>
                <w:szCs w:val="20"/>
              </w:rPr>
            </w:pPr>
            <w:r w:rsidRPr="008010B1">
              <w:rPr>
                <w:rFonts w:ascii="Arial Narrow" w:hAnsi="Arial Narrow"/>
                <w:b/>
                <w:sz w:val="20"/>
                <w:szCs w:val="20"/>
              </w:rPr>
              <w:t>MBS usage and costs</w:t>
            </w:r>
          </w:p>
        </w:tc>
      </w:tr>
      <w:tr w:rsidR="009424B8" w:rsidRPr="008010B1" w14:paraId="0006743E" w14:textId="77777777" w:rsidTr="00313F8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2BFC6662" w14:textId="77777777" w:rsidR="009424B8" w:rsidRPr="008010B1" w:rsidRDefault="009424B8" w:rsidP="00313F8C">
            <w:pPr>
              <w:widowControl w:val="0"/>
              <w:jc w:val="left"/>
              <w:rPr>
                <w:rFonts w:ascii="Arial Narrow" w:hAnsi="Arial Narrow"/>
                <w:sz w:val="20"/>
                <w:szCs w:val="20"/>
              </w:rPr>
            </w:pPr>
            <w:r w:rsidRPr="008010B1">
              <w:rPr>
                <w:rFonts w:ascii="Arial Narrow" w:hAnsi="Arial Narrow"/>
                <w:sz w:val="20"/>
                <w:szCs w:val="20"/>
              </w:rPr>
              <w:t>MBS items</w:t>
            </w:r>
          </w:p>
        </w:tc>
        <w:tc>
          <w:tcPr>
            <w:tcW w:w="4074" w:type="pct"/>
            <w:tcBorders>
              <w:top w:val="single" w:sz="4" w:space="0" w:color="auto"/>
              <w:left w:val="single" w:sz="4" w:space="0" w:color="auto"/>
              <w:bottom w:val="single" w:sz="4" w:space="0" w:color="auto"/>
              <w:right w:val="single" w:sz="4" w:space="0" w:color="auto"/>
            </w:tcBorders>
            <w:shd w:val="clear" w:color="auto" w:fill="auto"/>
            <w:vAlign w:val="center"/>
          </w:tcPr>
          <w:p w14:paraId="0CF076B3" w14:textId="77777777" w:rsidR="009424B8" w:rsidRPr="008010B1" w:rsidRDefault="009424B8" w:rsidP="00313F8C">
            <w:pPr>
              <w:widowControl w:val="0"/>
              <w:jc w:val="left"/>
              <w:rPr>
                <w:rFonts w:ascii="Arial Narrow" w:hAnsi="Arial Narrow"/>
                <w:sz w:val="20"/>
                <w:szCs w:val="20"/>
              </w:rPr>
            </w:pPr>
            <w:r w:rsidRPr="008010B1">
              <w:rPr>
                <w:rFonts w:ascii="Arial Narrow" w:hAnsi="Arial Narrow"/>
                <w:sz w:val="20"/>
                <w:szCs w:val="20"/>
              </w:rPr>
              <w:t>The submission indicated that the IV formulations of IFX and VDZ require MBS-funded administration procedures, and provided estimates of cost offsets for these infusion costs. MBS item 14245 for IV infusion of IFX and item 116 for VDZ infusion were used, at 80% benefit ($</w:t>
            </w:r>
            <w:r w:rsidRPr="00577D96">
              <w:rPr>
                <w:rFonts w:ascii="Arial Narrow" w:hAnsi="Arial Narrow"/>
                <w:sz w:val="20"/>
                <w:szCs w:val="20"/>
              </w:rPr>
              <w:t>81.52 and $63.80,</w:t>
            </w:r>
            <w:r w:rsidRPr="008010B1">
              <w:rPr>
                <w:rFonts w:ascii="Arial Narrow" w:hAnsi="Arial Narrow"/>
                <w:sz w:val="20"/>
                <w:szCs w:val="20"/>
              </w:rPr>
              <w:t xml:space="preserve"> respectively).</w:t>
            </w:r>
          </w:p>
        </w:tc>
      </w:tr>
    </w:tbl>
    <w:p w14:paraId="12A61F61" w14:textId="77777777" w:rsidR="009424B8" w:rsidRPr="008010B1" w:rsidRDefault="009424B8" w:rsidP="009424B8">
      <w:pPr>
        <w:pStyle w:val="TableFigureFooter"/>
      </w:pPr>
      <w:r w:rsidRPr="008010B1">
        <w:t xml:space="preserve">Source: Table 4-16, p152; Table 4-20, p154; </w:t>
      </w:r>
      <w:r w:rsidRPr="008010B1">
        <w:rPr>
          <w:szCs w:val="18"/>
        </w:rPr>
        <w:t xml:space="preserve">Table 4-21, p155; </w:t>
      </w:r>
      <w:r w:rsidRPr="008010B1">
        <w:t>Section 4.1.2, p142-143 of the submission; worksheet ‘7. Net changes – MBS’ of the Excel workbook ‘Attachment 4 Workbook section 4’.</w:t>
      </w:r>
    </w:p>
    <w:p w14:paraId="0A0E9034" w14:textId="4AA1916D" w:rsidR="009424B8" w:rsidRDefault="009424B8" w:rsidP="009424B8">
      <w:pPr>
        <w:pStyle w:val="TableFigureFooter"/>
      </w:pPr>
      <w:r w:rsidRPr="008010B1">
        <w:t>ADA = adalimumab; GOL = golimumab; IFX = infliximab; PI = product information; TOF = tofacitinib; UPA = upadacitinib; VDZ = vedolizumab</w:t>
      </w:r>
    </w:p>
    <w:p w14:paraId="55589EEA" w14:textId="77777777" w:rsidR="00F13064" w:rsidRPr="00157006" w:rsidRDefault="00F13064" w:rsidP="00F13064">
      <w:pPr>
        <w:pStyle w:val="TableFigureFooter"/>
        <w:keepNext/>
        <w:spacing w:after="0"/>
        <w:contextualSpacing w:val="0"/>
        <w:rPr>
          <w:i/>
        </w:rPr>
      </w:pPr>
      <w:r w:rsidRPr="00157006">
        <w:rPr>
          <w:i/>
        </w:rPr>
        <w:t>The redacted values correspond to the following ranges:</w:t>
      </w:r>
    </w:p>
    <w:p w14:paraId="43D56B5F" w14:textId="54F1BDAD" w:rsidR="00F13064" w:rsidRPr="00157006" w:rsidRDefault="00F13064" w:rsidP="00F13064">
      <w:pPr>
        <w:ind w:right="147"/>
        <w:rPr>
          <w:rFonts w:ascii="Arial Narrow" w:hAnsi="Arial Narrow"/>
          <w:i/>
          <w:snapToGrid w:val="0"/>
          <w:sz w:val="18"/>
          <w:szCs w:val="18"/>
        </w:rPr>
      </w:pPr>
      <w:r w:rsidRPr="00157006">
        <w:rPr>
          <w:rFonts w:ascii="Arial Narrow" w:hAnsi="Arial Narrow"/>
          <w:i/>
          <w:snapToGrid w:val="0"/>
          <w:sz w:val="18"/>
          <w:szCs w:val="18"/>
          <w:vertAlign w:val="superscript"/>
        </w:rPr>
        <w:t xml:space="preserve">1 </w:t>
      </w:r>
      <w:r w:rsidRPr="00157006">
        <w:rPr>
          <w:rFonts w:ascii="Arial Narrow" w:hAnsi="Arial Narrow"/>
          <w:i/>
          <w:snapToGrid w:val="0"/>
          <w:sz w:val="18"/>
          <w:szCs w:val="18"/>
        </w:rPr>
        <w:t>60,000 to &lt; 70,000</w:t>
      </w:r>
    </w:p>
    <w:p w14:paraId="6D84F8B8" w14:textId="20C8F60F" w:rsidR="00F13064" w:rsidRPr="00157006" w:rsidRDefault="00F13064" w:rsidP="00F13064">
      <w:pPr>
        <w:ind w:right="147"/>
        <w:rPr>
          <w:rFonts w:ascii="Arial Narrow" w:hAnsi="Arial Narrow"/>
          <w:i/>
          <w:snapToGrid w:val="0"/>
          <w:sz w:val="18"/>
          <w:szCs w:val="18"/>
        </w:rPr>
      </w:pPr>
      <w:r w:rsidRPr="00157006">
        <w:rPr>
          <w:rFonts w:ascii="Arial Narrow" w:hAnsi="Arial Narrow"/>
          <w:i/>
          <w:snapToGrid w:val="0"/>
          <w:sz w:val="18"/>
          <w:szCs w:val="18"/>
          <w:vertAlign w:val="superscript"/>
        </w:rPr>
        <w:t>2</w:t>
      </w:r>
      <w:r w:rsidRPr="00157006">
        <w:rPr>
          <w:rFonts w:ascii="Arial Narrow" w:hAnsi="Arial Narrow"/>
          <w:i/>
          <w:snapToGrid w:val="0"/>
          <w:sz w:val="18"/>
          <w:szCs w:val="18"/>
        </w:rPr>
        <w:t>100,000 to &lt; 200,000</w:t>
      </w:r>
    </w:p>
    <w:p w14:paraId="2146A98D" w14:textId="77777777" w:rsidR="00F13064" w:rsidRPr="00157006" w:rsidRDefault="00F13064" w:rsidP="00F13064">
      <w:pPr>
        <w:pStyle w:val="TableFigureFooter"/>
        <w:rPr>
          <w:i/>
          <w:szCs w:val="18"/>
        </w:rPr>
      </w:pPr>
      <w:r w:rsidRPr="00157006">
        <w:rPr>
          <w:i/>
          <w:szCs w:val="18"/>
          <w:vertAlign w:val="superscript"/>
        </w:rPr>
        <w:t xml:space="preserve">3 </w:t>
      </w:r>
      <w:r w:rsidRPr="00157006">
        <w:rPr>
          <w:i/>
          <w:szCs w:val="18"/>
        </w:rPr>
        <w:t>5,000 to &lt; 10,000</w:t>
      </w:r>
    </w:p>
    <w:p w14:paraId="2EE33FB2" w14:textId="77777777" w:rsidR="00F13064" w:rsidRPr="00157006" w:rsidRDefault="00F13064" w:rsidP="00F13064">
      <w:pPr>
        <w:pStyle w:val="TableFigureFooter"/>
        <w:rPr>
          <w:i/>
          <w:szCs w:val="18"/>
        </w:rPr>
      </w:pPr>
      <w:r w:rsidRPr="00157006">
        <w:rPr>
          <w:i/>
          <w:szCs w:val="18"/>
          <w:vertAlign w:val="superscript"/>
        </w:rPr>
        <w:t xml:space="preserve">4 </w:t>
      </w:r>
      <w:r w:rsidRPr="00157006">
        <w:rPr>
          <w:i/>
          <w:szCs w:val="18"/>
        </w:rPr>
        <w:t>10,000 to &lt; 20,000</w:t>
      </w:r>
    </w:p>
    <w:p w14:paraId="5F0F4F5A" w14:textId="77777777" w:rsidR="00F13064" w:rsidRPr="00157006" w:rsidRDefault="00F13064" w:rsidP="00F13064">
      <w:pPr>
        <w:pStyle w:val="TableFigureFooter"/>
        <w:rPr>
          <w:i/>
        </w:rPr>
      </w:pPr>
      <w:r w:rsidRPr="00157006">
        <w:rPr>
          <w:i/>
          <w:vertAlign w:val="superscript"/>
        </w:rPr>
        <w:t xml:space="preserve">5 </w:t>
      </w:r>
      <w:r w:rsidRPr="00157006">
        <w:rPr>
          <w:i/>
        </w:rPr>
        <w:t>20,000 to &lt; 30,000</w:t>
      </w:r>
    </w:p>
    <w:p w14:paraId="69AB3DBE" w14:textId="77777777" w:rsidR="00F13064" w:rsidRPr="00157006" w:rsidRDefault="00F13064" w:rsidP="009424B8">
      <w:pPr>
        <w:pStyle w:val="TableFigureFooter"/>
        <w:rPr>
          <w:i/>
        </w:rPr>
      </w:pPr>
      <w:r w:rsidRPr="00157006">
        <w:rPr>
          <w:i/>
          <w:vertAlign w:val="superscript"/>
        </w:rPr>
        <w:t xml:space="preserve">6 </w:t>
      </w:r>
      <w:r w:rsidRPr="00157006">
        <w:rPr>
          <w:i/>
        </w:rPr>
        <w:t>30,000 to &lt; 40,000</w:t>
      </w:r>
    </w:p>
    <w:p w14:paraId="3A30E677" w14:textId="64698A5A" w:rsidR="00A56BDE" w:rsidRPr="00157006" w:rsidRDefault="00F13064" w:rsidP="009424B8">
      <w:pPr>
        <w:pStyle w:val="TableFigureFooter"/>
        <w:rPr>
          <w:i/>
        </w:rPr>
      </w:pPr>
      <w:r w:rsidRPr="00157006">
        <w:rPr>
          <w:i/>
          <w:vertAlign w:val="superscript"/>
        </w:rPr>
        <w:t xml:space="preserve">7 </w:t>
      </w:r>
      <w:r w:rsidRPr="00157006">
        <w:rPr>
          <w:i/>
        </w:rPr>
        <w:t>&lt; 500</w:t>
      </w:r>
    </w:p>
    <w:p w14:paraId="6BBED25B" w14:textId="751CB95F" w:rsidR="009424B8" w:rsidRPr="00DA6117" w:rsidRDefault="00445901" w:rsidP="003E6B9E">
      <w:pPr>
        <w:pStyle w:val="3-BodyText"/>
      </w:pPr>
      <w:r>
        <w:t>T</w:t>
      </w:r>
      <w:r w:rsidR="009424B8" w:rsidRPr="008010B1">
        <w:t>he estimated script numbers and costs for the PBS listing of UPA for the treatment of MSUC in adult patients</w:t>
      </w:r>
      <w:r>
        <w:t xml:space="preserve"> are </w:t>
      </w:r>
      <w:r w:rsidRPr="009A0F3E">
        <w:t xml:space="preserve">presented in </w:t>
      </w:r>
      <w:r w:rsidR="00D055DA" w:rsidRPr="009A0F3E">
        <w:fldChar w:fldCharType="begin" w:fldLock="1"/>
      </w:r>
      <w:r w:rsidR="00D055DA" w:rsidRPr="009A0F3E">
        <w:instrText xml:space="preserve"> REF _Ref103176653 \h </w:instrText>
      </w:r>
      <w:r w:rsidR="009A0F3E">
        <w:instrText xml:space="preserve"> \* MERGEFORMAT </w:instrText>
      </w:r>
      <w:r w:rsidR="00D055DA" w:rsidRPr="009A0F3E">
        <w:fldChar w:fldCharType="separate"/>
      </w:r>
      <w:r w:rsidR="008664BD" w:rsidRPr="008664BD">
        <w:t>Table 11</w:t>
      </w:r>
      <w:r w:rsidR="00D055DA" w:rsidRPr="009A0F3E">
        <w:fldChar w:fldCharType="end"/>
      </w:r>
      <w:r w:rsidR="009424B8" w:rsidRPr="009A0F3E">
        <w:t>.</w:t>
      </w:r>
      <w:r w:rsidR="009424B8">
        <w:t xml:space="preserve"> </w:t>
      </w:r>
      <w:r w:rsidR="003E6B9E" w:rsidRPr="0064550B">
        <w:t xml:space="preserve">The table reflects updated results that correct for three programming/parameter errors identified in the </w:t>
      </w:r>
      <w:r w:rsidR="009424B8" w:rsidRPr="0064550B">
        <w:rPr>
          <w:rFonts w:cs="Times New Roman"/>
          <w:lang w:eastAsia="en-GB"/>
        </w:rPr>
        <w:t>submission’s Section 4 Excel workbook</w:t>
      </w:r>
      <w:r w:rsidR="003E6B9E" w:rsidRPr="0064550B">
        <w:rPr>
          <w:rFonts w:cs="Times New Roman"/>
          <w:lang w:eastAsia="en-GB"/>
        </w:rPr>
        <w:t xml:space="preserve"> (see table footnotes for details).</w:t>
      </w:r>
    </w:p>
    <w:p w14:paraId="1A8C3742" w14:textId="5DB3890F" w:rsidR="009424B8" w:rsidRPr="00F9756A" w:rsidRDefault="00F67728" w:rsidP="00271A9D">
      <w:pPr>
        <w:pStyle w:val="Caption"/>
        <w:keepNext/>
        <w:spacing w:after="60"/>
        <w:jc w:val="left"/>
        <w:rPr>
          <w:rFonts w:ascii="Arial Narrow" w:hAnsi="Arial Narrow"/>
          <w:color w:val="auto"/>
          <w:sz w:val="20"/>
          <w:szCs w:val="20"/>
        </w:rPr>
      </w:pPr>
      <w:bookmarkStart w:id="53" w:name="_Ref103176653"/>
      <w:r w:rsidRPr="00F9756A">
        <w:rPr>
          <w:rFonts w:ascii="Arial Narrow" w:hAnsi="Arial Narrow"/>
          <w:color w:val="auto"/>
          <w:sz w:val="20"/>
          <w:szCs w:val="20"/>
        </w:rPr>
        <w:t xml:space="preserve">Table </w:t>
      </w:r>
      <w:r w:rsidRPr="00F9756A">
        <w:rPr>
          <w:rFonts w:ascii="Arial Narrow" w:hAnsi="Arial Narrow"/>
          <w:color w:val="auto"/>
          <w:sz w:val="20"/>
          <w:szCs w:val="20"/>
        </w:rPr>
        <w:fldChar w:fldCharType="begin" w:fldLock="1"/>
      </w:r>
      <w:r w:rsidRPr="00F9756A">
        <w:rPr>
          <w:rFonts w:ascii="Arial Narrow" w:hAnsi="Arial Narrow"/>
          <w:color w:val="auto"/>
          <w:sz w:val="20"/>
          <w:szCs w:val="20"/>
        </w:rPr>
        <w:instrText xml:space="preserve"> SEQ Table \* ARABIC </w:instrText>
      </w:r>
      <w:r w:rsidRPr="00F9756A">
        <w:rPr>
          <w:rFonts w:ascii="Arial Narrow" w:hAnsi="Arial Narrow"/>
          <w:color w:val="auto"/>
          <w:sz w:val="20"/>
          <w:szCs w:val="20"/>
        </w:rPr>
        <w:fldChar w:fldCharType="separate"/>
      </w:r>
      <w:r w:rsidR="008664BD">
        <w:rPr>
          <w:rFonts w:ascii="Arial Narrow" w:hAnsi="Arial Narrow"/>
          <w:noProof/>
          <w:color w:val="auto"/>
          <w:sz w:val="20"/>
          <w:szCs w:val="20"/>
        </w:rPr>
        <w:t>11</w:t>
      </w:r>
      <w:r w:rsidRPr="00F9756A">
        <w:rPr>
          <w:rFonts w:ascii="Arial Narrow" w:hAnsi="Arial Narrow"/>
          <w:color w:val="auto"/>
          <w:sz w:val="20"/>
          <w:szCs w:val="20"/>
        </w:rPr>
        <w:fldChar w:fldCharType="end"/>
      </w:r>
      <w:bookmarkEnd w:id="53"/>
      <w:r w:rsidR="009424B8" w:rsidRPr="00F9756A">
        <w:rPr>
          <w:rStyle w:val="CommentReference"/>
          <w:b/>
          <w:color w:val="auto"/>
          <w:szCs w:val="20"/>
        </w:rPr>
        <w:t>: Estimated use and financial implications</w:t>
      </w:r>
      <w:r w:rsidR="00271A9D">
        <w:rPr>
          <w:rStyle w:val="CommentReference"/>
          <w:b/>
          <w:color w:val="auto"/>
          <w:szCs w:val="20"/>
        </w:rPr>
        <w:t xml:space="preserve"> (updated for programming errors*)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9424B8" w:rsidRPr="002609E0" w14:paraId="2B96BC68" w14:textId="77777777" w:rsidTr="00313F8C">
        <w:trPr>
          <w:tblHeader/>
        </w:trPr>
        <w:tc>
          <w:tcPr>
            <w:tcW w:w="1116" w:type="pct"/>
            <w:shd w:val="clear" w:color="auto" w:fill="auto"/>
            <w:vAlign w:val="center"/>
          </w:tcPr>
          <w:p w14:paraId="1030B0F4" w14:textId="77777777" w:rsidR="009424B8" w:rsidRPr="002609E0" w:rsidRDefault="009424B8" w:rsidP="00313F8C">
            <w:pPr>
              <w:pStyle w:val="In-tableHeading"/>
              <w:jc w:val="center"/>
              <w:rPr>
                <w:lang w:val="en-AU"/>
              </w:rPr>
            </w:pPr>
          </w:p>
        </w:tc>
        <w:tc>
          <w:tcPr>
            <w:tcW w:w="647" w:type="pct"/>
            <w:shd w:val="clear" w:color="auto" w:fill="auto"/>
            <w:vAlign w:val="center"/>
          </w:tcPr>
          <w:p w14:paraId="3701292D" w14:textId="77777777" w:rsidR="009424B8" w:rsidRPr="002609E0" w:rsidRDefault="009424B8" w:rsidP="00313F8C">
            <w:pPr>
              <w:pStyle w:val="In-tableHeading"/>
              <w:jc w:val="center"/>
              <w:rPr>
                <w:lang w:val="en-AU"/>
              </w:rPr>
            </w:pPr>
            <w:r w:rsidRPr="002609E0">
              <w:rPr>
                <w:lang w:val="en-AU"/>
              </w:rPr>
              <w:t>Year 1</w:t>
            </w:r>
          </w:p>
        </w:tc>
        <w:tc>
          <w:tcPr>
            <w:tcW w:w="647" w:type="pct"/>
            <w:shd w:val="clear" w:color="auto" w:fill="auto"/>
            <w:vAlign w:val="center"/>
          </w:tcPr>
          <w:p w14:paraId="42958774" w14:textId="77777777" w:rsidR="009424B8" w:rsidRPr="002609E0" w:rsidRDefault="009424B8" w:rsidP="00313F8C">
            <w:pPr>
              <w:pStyle w:val="In-tableHeading"/>
              <w:jc w:val="center"/>
              <w:rPr>
                <w:lang w:val="en-AU"/>
              </w:rPr>
            </w:pPr>
            <w:r w:rsidRPr="002609E0">
              <w:rPr>
                <w:lang w:val="en-AU"/>
              </w:rPr>
              <w:t>Year 2</w:t>
            </w:r>
          </w:p>
        </w:tc>
        <w:tc>
          <w:tcPr>
            <w:tcW w:w="647" w:type="pct"/>
            <w:shd w:val="clear" w:color="auto" w:fill="auto"/>
            <w:vAlign w:val="center"/>
          </w:tcPr>
          <w:p w14:paraId="7D7A3A63" w14:textId="77777777" w:rsidR="009424B8" w:rsidRPr="002609E0" w:rsidRDefault="009424B8" w:rsidP="00313F8C">
            <w:pPr>
              <w:pStyle w:val="In-tableHeading"/>
              <w:jc w:val="center"/>
              <w:rPr>
                <w:lang w:val="en-AU"/>
              </w:rPr>
            </w:pPr>
            <w:r w:rsidRPr="002609E0">
              <w:rPr>
                <w:lang w:val="en-AU"/>
              </w:rPr>
              <w:t>Year 3</w:t>
            </w:r>
          </w:p>
        </w:tc>
        <w:tc>
          <w:tcPr>
            <w:tcW w:w="647" w:type="pct"/>
            <w:shd w:val="clear" w:color="auto" w:fill="auto"/>
            <w:vAlign w:val="center"/>
          </w:tcPr>
          <w:p w14:paraId="551EF295" w14:textId="77777777" w:rsidR="009424B8" w:rsidRPr="002609E0" w:rsidRDefault="009424B8" w:rsidP="00313F8C">
            <w:pPr>
              <w:pStyle w:val="In-tableHeading"/>
              <w:jc w:val="center"/>
              <w:rPr>
                <w:lang w:val="en-AU"/>
              </w:rPr>
            </w:pPr>
            <w:r w:rsidRPr="002609E0">
              <w:rPr>
                <w:lang w:val="en-AU"/>
              </w:rPr>
              <w:t>Year 4</w:t>
            </w:r>
          </w:p>
        </w:tc>
        <w:tc>
          <w:tcPr>
            <w:tcW w:w="647" w:type="pct"/>
            <w:shd w:val="clear" w:color="auto" w:fill="auto"/>
            <w:vAlign w:val="center"/>
          </w:tcPr>
          <w:p w14:paraId="1F4D1978" w14:textId="77777777" w:rsidR="009424B8" w:rsidRPr="002609E0" w:rsidRDefault="009424B8" w:rsidP="00313F8C">
            <w:pPr>
              <w:pStyle w:val="In-tableHeading"/>
              <w:jc w:val="center"/>
              <w:rPr>
                <w:lang w:val="en-AU"/>
              </w:rPr>
            </w:pPr>
            <w:r w:rsidRPr="002609E0">
              <w:rPr>
                <w:lang w:val="en-AU"/>
              </w:rPr>
              <w:t>Year 5</w:t>
            </w:r>
          </w:p>
        </w:tc>
        <w:tc>
          <w:tcPr>
            <w:tcW w:w="649" w:type="pct"/>
          </w:tcPr>
          <w:p w14:paraId="6BD6D42D" w14:textId="77777777" w:rsidR="009424B8" w:rsidRPr="002609E0" w:rsidRDefault="009424B8" w:rsidP="00313F8C">
            <w:pPr>
              <w:pStyle w:val="In-tableHeading"/>
              <w:jc w:val="center"/>
              <w:rPr>
                <w:lang w:val="en-AU"/>
              </w:rPr>
            </w:pPr>
            <w:r w:rsidRPr="002609E0">
              <w:rPr>
                <w:lang w:val="en-AU"/>
              </w:rPr>
              <w:t>Year 6</w:t>
            </w:r>
          </w:p>
        </w:tc>
      </w:tr>
      <w:tr w:rsidR="009424B8" w:rsidRPr="002609E0" w14:paraId="727D5B6A" w14:textId="77777777" w:rsidTr="00313F8C">
        <w:tc>
          <w:tcPr>
            <w:tcW w:w="5000" w:type="pct"/>
            <w:gridSpan w:val="7"/>
            <w:shd w:val="clear" w:color="auto" w:fill="auto"/>
            <w:vAlign w:val="center"/>
          </w:tcPr>
          <w:p w14:paraId="50C6B793" w14:textId="77777777" w:rsidR="009424B8" w:rsidRPr="002609E0" w:rsidRDefault="009424B8" w:rsidP="00313F8C">
            <w:pPr>
              <w:pStyle w:val="In-tableHeading"/>
              <w:rPr>
                <w:bCs/>
                <w:lang w:val="en-AU"/>
              </w:rPr>
            </w:pPr>
            <w:r w:rsidRPr="002609E0">
              <w:rPr>
                <w:bCs/>
                <w:lang w:val="en-AU"/>
              </w:rPr>
              <w:t>Estimated extent of use</w:t>
            </w:r>
          </w:p>
        </w:tc>
      </w:tr>
      <w:tr w:rsidR="009424B8" w:rsidRPr="002609E0" w14:paraId="375AF7CC" w14:textId="77777777" w:rsidTr="00313F8C">
        <w:tc>
          <w:tcPr>
            <w:tcW w:w="1116" w:type="pct"/>
            <w:tcBorders>
              <w:bottom w:val="single" w:sz="4" w:space="0" w:color="auto"/>
            </w:tcBorders>
            <w:shd w:val="clear" w:color="auto" w:fill="auto"/>
            <w:vAlign w:val="center"/>
          </w:tcPr>
          <w:p w14:paraId="4E28E99E" w14:textId="77777777" w:rsidR="009424B8" w:rsidRPr="002609E0" w:rsidRDefault="009424B8" w:rsidP="00313F8C">
            <w:pPr>
              <w:pStyle w:val="TableText0"/>
            </w:pPr>
            <w:r w:rsidRPr="002609E0">
              <w:t>Initiation scripts 45 mg</w:t>
            </w:r>
          </w:p>
        </w:tc>
        <w:tc>
          <w:tcPr>
            <w:tcW w:w="647" w:type="pct"/>
            <w:tcBorders>
              <w:bottom w:val="single" w:sz="4" w:space="0" w:color="auto"/>
            </w:tcBorders>
            <w:shd w:val="clear" w:color="auto" w:fill="auto"/>
            <w:vAlign w:val="center"/>
          </w:tcPr>
          <w:p w14:paraId="129732D6" w14:textId="5F3A542E" w:rsidR="009424B8" w:rsidRPr="001A6445" w:rsidRDefault="00035272" w:rsidP="00313F8C">
            <w:pPr>
              <w:pStyle w:val="TableText0"/>
              <w:jc w:val="center"/>
              <w:rPr>
                <w:highlight w:val="darkGray"/>
              </w:rPr>
            </w:pPr>
            <w:r w:rsidRPr="00035272">
              <w:t xml:space="preserve"> </w:t>
            </w:r>
            <w:r w:rsidRPr="00BD21C5">
              <w:rPr>
                <w:rFonts w:hint="eastAsia"/>
                <w:color w:val="000000"/>
                <w:spacing w:val="20"/>
                <w:w w:val="15"/>
                <w:shd w:val="solid" w:color="000000" w:fill="000000"/>
                <w:fitText w:val="50" w:id="-1436812532"/>
                <w14:textFill>
                  <w14:solidFill>
                    <w14:srgbClr w14:val="000000">
                      <w14:alpha w14:val="100000"/>
                    </w14:srgbClr>
                  </w14:solidFill>
                </w14:textFill>
              </w:rPr>
              <w:t xml:space="preserve">　</w:t>
            </w:r>
            <w:r w:rsidR="001A6445" w:rsidRPr="00B74ED8">
              <w:rPr>
                <w:vertAlign w:val="superscript"/>
              </w:rPr>
              <w:t>1</w:t>
            </w:r>
            <w:r w:rsidR="009424B8" w:rsidRPr="00B74ED8">
              <w:t xml:space="preserve"> </w:t>
            </w:r>
          </w:p>
        </w:tc>
        <w:tc>
          <w:tcPr>
            <w:tcW w:w="647" w:type="pct"/>
            <w:tcBorders>
              <w:bottom w:val="single" w:sz="4" w:space="0" w:color="auto"/>
            </w:tcBorders>
            <w:shd w:val="clear" w:color="auto" w:fill="auto"/>
            <w:vAlign w:val="center"/>
          </w:tcPr>
          <w:p w14:paraId="4D85E673" w14:textId="359AEC58"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50" w:id="-1436812531"/>
                <w14:textFill>
                  <w14:solidFill>
                    <w14:srgbClr w14:val="000000">
                      <w14:alpha w14:val="100000"/>
                    </w14:srgbClr>
                  </w14:solidFill>
                </w14:textFill>
              </w:rPr>
              <w:t xml:space="preserve">　</w:t>
            </w:r>
            <w:r w:rsidRPr="00035272">
              <w:rPr>
                <w:color w:val="000000"/>
                <w:w w:val="15"/>
                <w:shd w:val="solid" w:color="000000" w:fill="000000"/>
                <w:fitText w:val="50" w:id="-1436812531"/>
                <w14:textFill>
                  <w14:solidFill>
                    <w14:srgbClr w14:val="000000">
                      <w14:alpha w14:val="100000"/>
                    </w14:srgbClr>
                  </w14:solidFill>
                </w14:textFill>
              </w:rPr>
              <w:t>|</w:t>
            </w:r>
            <w:r w:rsidRPr="00035272">
              <w:rPr>
                <w:rFonts w:hint="eastAsia"/>
                <w:color w:val="000000"/>
                <w:spacing w:val="-15"/>
                <w:w w:val="15"/>
                <w:shd w:val="solid" w:color="000000" w:fill="000000"/>
                <w:fitText w:val="50" w:id="-1436812531"/>
                <w14:textFill>
                  <w14:solidFill>
                    <w14:srgbClr w14:val="000000">
                      <w14:alpha w14:val="100000"/>
                    </w14:srgbClr>
                  </w14:solidFill>
                </w14:textFill>
              </w:rPr>
              <w:t xml:space="preserve">　</w:t>
            </w:r>
            <w:r w:rsidR="00B74ED8" w:rsidRPr="00B74ED8">
              <w:rPr>
                <w:vertAlign w:val="superscript"/>
              </w:rPr>
              <w:t>1</w:t>
            </w:r>
          </w:p>
        </w:tc>
        <w:tc>
          <w:tcPr>
            <w:tcW w:w="647" w:type="pct"/>
            <w:tcBorders>
              <w:bottom w:val="single" w:sz="4" w:space="0" w:color="auto"/>
            </w:tcBorders>
            <w:shd w:val="clear" w:color="auto" w:fill="auto"/>
            <w:vAlign w:val="center"/>
          </w:tcPr>
          <w:p w14:paraId="24E6B826" w14:textId="59396052"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30"/>
                <w14:textFill>
                  <w14:solidFill>
                    <w14:srgbClr w14:val="000000">
                      <w14:alpha w14:val="100000"/>
                    </w14:srgbClr>
                  </w14:solidFill>
                </w14:textFill>
              </w:rPr>
              <w:t>|||</w:t>
            </w:r>
            <w:r w:rsidRPr="00035272">
              <w:rPr>
                <w:color w:val="000000"/>
                <w:spacing w:val="2"/>
                <w:shd w:val="solid" w:color="000000" w:fill="000000"/>
                <w:fitText w:val="310" w:id="-1436812530"/>
                <w14:textFill>
                  <w14:solidFill>
                    <w14:srgbClr w14:val="000000">
                      <w14:alpha w14:val="100000"/>
                    </w14:srgbClr>
                  </w14:solidFill>
                </w14:textFill>
              </w:rPr>
              <w:t>|</w:t>
            </w:r>
            <w:r w:rsidR="00B74ED8" w:rsidRPr="00B74ED8">
              <w:rPr>
                <w:vertAlign w:val="superscript"/>
              </w:rPr>
              <w:t>1</w:t>
            </w:r>
            <w:r w:rsidR="00B74ED8" w:rsidRPr="00B74ED8">
              <w:t xml:space="preserve"> </w:t>
            </w:r>
            <w:r w:rsidRPr="00035272">
              <w:t xml:space="preserve"> </w:t>
            </w:r>
          </w:p>
        </w:tc>
        <w:tc>
          <w:tcPr>
            <w:tcW w:w="647" w:type="pct"/>
            <w:tcBorders>
              <w:bottom w:val="single" w:sz="4" w:space="0" w:color="auto"/>
            </w:tcBorders>
            <w:shd w:val="clear" w:color="auto" w:fill="auto"/>
            <w:vAlign w:val="center"/>
          </w:tcPr>
          <w:p w14:paraId="423352A3" w14:textId="13AEB629"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28"/>
                <w14:textFill>
                  <w14:solidFill>
                    <w14:srgbClr w14:val="000000">
                      <w14:alpha w14:val="100000"/>
                    </w14:srgbClr>
                  </w14:solidFill>
                </w14:textFill>
              </w:rPr>
              <w:t>|||</w:t>
            </w:r>
            <w:r w:rsidRPr="00035272">
              <w:rPr>
                <w:color w:val="000000"/>
                <w:spacing w:val="2"/>
                <w:shd w:val="solid" w:color="000000" w:fill="000000"/>
                <w:fitText w:val="310" w:id="-1436812528"/>
                <w14:textFill>
                  <w14:solidFill>
                    <w14:srgbClr w14:val="000000">
                      <w14:alpha w14:val="100000"/>
                    </w14:srgbClr>
                  </w14:solidFill>
                </w14:textFill>
              </w:rPr>
              <w:t>|</w:t>
            </w:r>
            <w:r w:rsidR="00B74ED8" w:rsidRPr="00B74ED8">
              <w:rPr>
                <w:vertAlign w:val="superscript"/>
              </w:rPr>
              <w:t>1</w:t>
            </w:r>
            <w:r w:rsidR="00B74ED8" w:rsidRPr="00B74ED8">
              <w:t xml:space="preserve"> </w:t>
            </w:r>
            <w:r w:rsidRPr="00035272">
              <w:t xml:space="preserve"> </w:t>
            </w:r>
          </w:p>
        </w:tc>
        <w:tc>
          <w:tcPr>
            <w:tcW w:w="647" w:type="pct"/>
            <w:tcBorders>
              <w:bottom w:val="single" w:sz="4" w:space="0" w:color="auto"/>
            </w:tcBorders>
            <w:shd w:val="clear" w:color="auto" w:fill="auto"/>
            <w:vAlign w:val="center"/>
          </w:tcPr>
          <w:p w14:paraId="45F5FFF8" w14:textId="29DF4E8D"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43"/>
                <w14:textFill>
                  <w14:solidFill>
                    <w14:srgbClr w14:val="000000">
                      <w14:alpha w14:val="100000"/>
                    </w14:srgbClr>
                  </w14:solidFill>
                </w14:textFill>
              </w:rPr>
              <w:t>|||</w:t>
            </w:r>
            <w:r w:rsidRPr="00035272">
              <w:rPr>
                <w:color w:val="000000"/>
                <w:spacing w:val="2"/>
                <w:shd w:val="solid" w:color="000000" w:fill="000000"/>
                <w:fitText w:val="310" w:id="-1436812543"/>
                <w14:textFill>
                  <w14:solidFill>
                    <w14:srgbClr w14:val="000000">
                      <w14:alpha w14:val="100000"/>
                    </w14:srgbClr>
                  </w14:solidFill>
                </w14:textFill>
              </w:rPr>
              <w:t>|</w:t>
            </w:r>
            <w:r w:rsidR="00B74ED8" w:rsidRPr="00B74ED8">
              <w:rPr>
                <w:vertAlign w:val="superscript"/>
              </w:rPr>
              <w:t>1</w:t>
            </w:r>
            <w:r w:rsidR="00B74ED8" w:rsidRPr="00B74ED8">
              <w:t xml:space="preserve"> </w:t>
            </w:r>
            <w:r w:rsidRPr="00035272">
              <w:t xml:space="preserve"> </w:t>
            </w:r>
          </w:p>
        </w:tc>
        <w:tc>
          <w:tcPr>
            <w:tcW w:w="649" w:type="pct"/>
            <w:tcBorders>
              <w:bottom w:val="single" w:sz="4" w:space="0" w:color="auto"/>
            </w:tcBorders>
            <w:vAlign w:val="center"/>
          </w:tcPr>
          <w:p w14:paraId="0969B53F" w14:textId="6D6E5CEA" w:rsidR="009424B8" w:rsidRPr="001A6445" w:rsidRDefault="00035272" w:rsidP="00313F8C">
            <w:pPr>
              <w:pStyle w:val="TableText0"/>
              <w:jc w:val="center"/>
              <w:rPr>
                <w:highlight w:val="darkGray"/>
              </w:rPr>
            </w:pPr>
            <w:r w:rsidRPr="00035272">
              <w:t xml:space="preserve"> </w:t>
            </w:r>
            <w:r w:rsidRPr="00035272">
              <w:rPr>
                <w:color w:val="000000"/>
                <w:spacing w:val="214"/>
                <w:shd w:val="solid" w:color="000000" w:fill="000000"/>
                <w:fitText w:val="300" w:id="-1436812541"/>
                <w14:textFill>
                  <w14:solidFill>
                    <w14:srgbClr w14:val="000000">
                      <w14:alpha w14:val="100000"/>
                    </w14:srgbClr>
                  </w14:solidFill>
                </w14:textFill>
              </w:rPr>
              <w:t>|</w:t>
            </w:r>
            <w:r w:rsidRPr="00035272">
              <w:rPr>
                <w:color w:val="000000"/>
                <w:spacing w:val="1"/>
                <w:shd w:val="solid" w:color="000000" w:fill="000000"/>
                <w:fitText w:val="300" w:id="-1436812541"/>
                <w14:textFill>
                  <w14:solidFill>
                    <w14:srgbClr w14:val="000000">
                      <w14:alpha w14:val="100000"/>
                    </w14:srgbClr>
                  </w14:solidFill>
                </w14:textFill>
              </w:rPr>
              <w:t>|</w:t>
            </w:r>
            <w:r w:rsidR="00B74ED8" w:rsidRPr="00B74ED8">
              <w:rPr>
                <w:vertAlign w:val="superscript"/>
              </w:rPr>
              <w:t>1</w:t>
            </w:r>
            <w:r w:rsidR="00B74ED8" w:rsidRPr="00B74ED8">
              <w:t xml:space="preserve"> </w:t>
            </w:r>
          </w:p>
        </w:tc>
      </w:tr>
      <w:tr w:rsidR="009424B8" w:rsidRPr="002609E0" w14:paraId="416A9786" w14:textId="77777777" w:rsidTr="00313F8C">
        <w:tc>
          <w:tcPr>
            <w:tcW w:w="1116" w:type="pct"/>
            <w:tcBorders>
              <w:bottom w:val="single" w:sz="4" w:space="0" w:color="auto"/>
            </w:tcBorders>
            <w:shd w:val="clear" w:color="auto" w:fill="auto"/>
            <w:vAlign w:val="center"/>
          </w:tcPr>
          <w:p w14:paraId="37E112A5" w14:textId="77777777" w:rsidR="009424B8" w:rsidRPr="002609E0" w:rsidRDefault="009424B8" w:rsidP="00313F8C">
            <w:pPr>
              <w:pStyle w:val="TableText0"/>
            </w:pPr>
            <w:r w:rsidRPr="002609E0">
              <w:t xml:space="preserve">Continuation scripts 15 mg </w:t>
            </w:r>
          </w:p>
        </w:tc>
        <w:tc>
          <w:tcPr>
            <w:tcW w:w="647" w:type="pct"/>
            <w:tcBorders>
              <w:bottom w:val="single" w:sz="4" w:space="0" w:color="auto"/>
            </w:tcBorders>
            <w:shd w:val="clear" w:color="auto" w:fill="auto"/>
            <w:vAlign w:val="center"/>
          </w:tcPr>
          <w:p w14:paraId="50950CFF" w14:textId="76C7E378"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39"/>
                <w14:textFill>
                  <w14:solidFill>
                    <w14:srgbClr w14:val="000000">
                      <w14:alpha w14:val="100000"/>
                    </w14:srgbClr>
                  </w14:solidFill>
                </w14:textFill>
              </w:rPr>
              <w:t>|||</w:t>
            </w:r>
            <w:r w:rsidRPr="00035272">
              <w:rPr>
                <w:color w:val="000000"/>
                <w:spacing w:val="2"/>
                <w:shd w:val="solid" w:color="000000" w:fill="000000"/>
                <w:fitText w:val="310" w:id="-1436812539"/>
                <w14:textFill>
                  <w14:solidFill>
                    <w14:srgbClr w14:val="000000">
                      <w14:alpha w14:val="100000"/>
                    </w14:srgbClr>
                  </w14:solidFill>
                </w14:textFill>
              </w:rPr>
              <w:t>|</w:t>
            </w:r>
            <w:r w:rsidR="00577D96" w:rsidRPr="00B74ED8">
              <w:rPr>
                <w:vertAlign w:val="superscript"/>
              </w:rPr>
              <w:t>1</w:t>
            </w:r>
            <w:r w:rsidR="00577D96" w:rsidRPr="00B74ED8">
              <w:t xml:space="preserve"> </w:t>
            </w:r>
          </w:p>
        </w:tc>
        <w:tc>
          <w:tcPr>
            <w:tcW w:w="647" w:type="pct"/>
            <w:tcBorders>
              <w:bottom w:val="single" w:sz="4" w:space="0" w:color="auto"/>
            </w:tcBorders>
            <w:shd w:val="clear" w:color="auto" w:fill="auto"/>
            <w:vAlign w:val="center"/>
          </w:tcPr>
          <w:p w14:paraId="0120704D" w14:textId="53D194C0"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50" w:id="-1436812537"/>
                <w14:textFill>
                  <w14:solidFill>
                    <w14:srgbClr w14:val="000000">
                      <w14:alpha w14:val="100000"/>
                    </w14:srgbClr>
                  </w14:solidFill>
                </w14:textFill>
              </w:rPr>
              <w:t xml:space="preserve">　</w:t>
            </w:r>
            <w:r w:rsidRPr="00035272">
              <w:rPr>
                <w:color w:val="000000"/>
                <w:w w:val="15"/>
                <w:shd w:val="solid" w:color="000000" w:fill="000000"/>
                <w:fitText w:val="50" w:id="-1436812537"/>
                <w14:textFill>
                  <w14:solidFill>
                    <w14:srgbClr w14:val="000000">
                      <w14:alpha w14:val="100000"/>
                    </w14:srgbClr>
                  </w14:solidFill>
                </w14:textFill>
              </w:rPr>
              <w:t>|</w:t>
            </w:r>
            <w:r w:rsidRPr="00035272">
              <w:rPr>
                <w:rFonts w:hint="eastAsia"/>
                <w:color w:val="000000"/>
                <w:spacing w:val="-15"/>
                <w:w w:val="15"/>
                <w:shd w:val="solid" w:color="000000" w:fill="000000"/>
                <w:fitText w:val="50" w:id="-1436812537"/>
                <w14:textFill>
                  <w14:solidFill>
                    <w14:srgbClr w14:val="000000">
                      <w14:alpha w14:val="100000"/>
                    </w14:srgbClr>
                  </w14:solidFill>
                </w14:textFill>
              </w:rPr>
              <w:t xml:space="preserve">　</w:t>
            </w:r>
            <w:r w:rsidR="00577D96" w:rsidRPr="00151C13">
              <w:rPr>
                <w:vertAlign w:val="superscript"/>
              </w:rPr>
              <w:t>2</w:t>
            </w:r>
            <w:r w:rsidR="009424B8" w:rsidRPr="00151C13">
              <w:t xml:space="preserve"> </w:t>
            </w:r>
          </w:p>
        </w:tc>
        <w:tc>
          <w:tcPr>
            <w:tcW w:w="647" w:type="pct"/>
            <w:tcBorders>
              <w:bottom w:val="single" w:sz="4" w:space="0" w:color="auto"/>
            </w:tcBorders>
            <w:shd w:val="clear" w:color="auto" w:fill="auto"/>
            <w:vAlign w:val="center"/>
          </w:tcPr>
          <w:p w14:paraId="5480EF65" w14:textId="3FE2CB08"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50" w:id="-1436812536"/>
                <w14:textFill>
                  <w14:solidFill>
                    <w14:srgbClr w14:val="000000">
                      <w14:alpha w14:val="100000"/>
                    </w14:srgbClr>
                  </w14:solidFill>
                </w14:textFill>
              </w:rPr>
              <w:t xml:space="preserve">　</w:t>
            </w:r>
            <w:r w:rsidRPr="00035272">
              <w:rPr>
                <w:color w:val="000000"/>
                <w:w w:val="15"/>
                <w:shd w:val="solid" w:color="000000" w:fill="000000"/>
                <w:fitText w:val="50" w:id="-1436812536"/>
                <w14:textFill>
                  <w14:solidFill>
                    <w14:srgbClr w14:val="000000">
                      <w14:alpha w14:val="100000"/>
                    </w14:srgbClr>
                  </w14:solidFill>
                </w14:textFill>
              </w:rPr>
              <w:t>|</w:t>
            </w:r>
            <w:r w:rsidRPr="00035272">
              <w:rPr>
                <w:rFonts w:hint="eastAsia"/>
                <w:color w:val="000000"/>
                <w:spacing w:val="-15"/>
                <w:w w:val="15"/>
                <w:shd w:val="solid" w:color="000000" w:fill="000000"/>
                <w:fitText w:val="50" w:id="-1436812536"/>
                <w14:textFill>
                  <w14:solidFill>
                    <w14:srgbClr w14:val="000000">
                      <w14:alpha w14:val="100000"/>
                    </w14:srgbClr>
                  </w14:solidFill>
                </w14:textFill>
              </w:rPr>
              <w:t xml:space="preserve">　</w:t>
            </w:r>
            <w:r w:rsidR="00577D96" w:rsidRPr="00151C13">
              <w:rPr>
                <w:vertAlign w:val="superscript"/>
              </w:rPr>
              <w:t>3</w:t>
            </w:r>
            <w:r w:rsidR="009424B8" w:rsidRPr="00151C13">
              <w:t xml:space="preserve"> </w:t>
            </w:r>
          </w:p>
        </w:tc>
        <w:tc>
          <w:tcPr>
            <w:tcW w:w="647" w:type="pct"/>
            <w:tcBorders>
              <w:bottom w:val="single" w:sz="4" w:space="0" w:color="auto"/>
            </w:tcBorders>
            <w:shd w:val="clear" w:color="auto" w:fill="auto"/>
            <w:vAlign w:val="center"/>
          </w:tcPr>
          <w:p w14:paraId="716CE316" w14:textId="0D4BAEEE"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50" w:id="-1436812535"/>
                <w14:textFill>
                  <w14:solidFill>
                    <w14:srgbClr w14:val="000000">
                      <w14:alpha w14:val="100000"/>
                    </w14:srgbClr>
                  </w14:solidFill>
                </w14:textFill>
              </w:rPr>
              <w:t xml:space="preserve">　</w:t>
            </w:r>
            <w:r w:rsidRPr="00035272">
              <w:rPr>
                <w:color w:val="000000"/>
                <w:w w:val="15"/>
                <w:shd w:val="solid" w:color="000000" w:fill="000000"/>
                <w:fitText w:val="50" w:id="-1436812535"/>
                <w14:textFill>
                  <w14:solidFill>
                    <w14:srgbClr w14:val="000000">
                      <w14:alpha w14:val="100000"/>
                    </w14:srgbClr>
                  </w14:solidFill>
                </w14:textFill>
              </w:rPr>
              <w:t>|</w:t>
            </w:r>
            <w:r w:rsidRPr="00035272">
              <w:rPr>
                <w:rFonts w:hint="eastAsia"/>
                <w:color w:val="000000"/>
                <w:spacing w:val="-15"/>
                <w:w w:val="15"/>
                <w:shd w:val="solid" w:color="000000" w:fill="000000"/>
                <w:fitText w:val="50" w:id="-1436812535"/>
                <w14:textFill>
                  <w14:solidFill>
                    <w14:srgbClr w14:val="000000">
                      <w14:alpha w14:val="100000"/>
                    </w14:srgbClr>
                  </w14:solidFill>
                </w14:textFill>
              </w:rPr>
              <w:t xml:space="preserve">　</w:t>
            </w:r>
            <w:r w:rsidR="00577D96" w:rsidRPr="00151C13">
              <w:rPr>
                <w:vertAlign w:val="superscript"/>
              </w:rPr>
              <w:t>3</w:t>
            </w:r>
            <w:r w:rsidR="00577D96" w:rsidRPr="00151C13">
              <w:t xml:space="preserve"> </w:t>
            </w:r>
            <w:r w:rsidR="009424B8" w:rsidRPr="00151C13">
              <w:t xml:space="preserve"> </w:t>
            </w:r>
          </w:p>
        </w:tc>
        <w:tc>
          <w:tcPr>
            <w:tcW w:w="647" w:type="pct"/>
            <w:tcBorders>
              <w:bottom w:val="single" w:sz="4" w:space="0" w:color="auto"/>
            </w:tcBorders>
            <w:shd w:val="clear" w:color="auto" w:fill="auto"/>
            <w:vAlign w:val="center"/>
          </w:tcPr>
          <w:p w14:paraId="7950AFC9" w14:textId="7065A68D"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34"/>
                <w14:textFill>
                  <w14:solidFill>
                    <w14:srgbClr w14:val="000000">
                      <w14:alpha w14:val="100000"/>
                    </w14:srgbClr>
                  </w14:solidFill>
                </w14:textFill>
              </w:rPr>
              <w:t>|||</w:t>
            </w:r>
            <w:r w:rsidRPr="00035272">
              <w:rPr>
                <w:color w:val="000000"/>
                <w:spacing w:val="2"/>
                <w:shd w:val="solid" w:color="000000" w:fill="000000"/>
                <w:fitText w:val="310" w:id="-1436812534"/>
                <w14:textFill>
                  <w14:solidFill>
                    <w14:srgbClr w14:val="000000">
                      <w14:alpha w14:val="100000"/>
                    </w14:srgbClr>
                  </w14:solidFill>
                </w14:textFill>
              </w:rPr>
              <w:t>|</w:t>
            </w:r>
            <w:r w:rsidR="00577D96" w:rsidRPr="00151C13">
              <w:rPr>
                <w:shd w:val="clear" w:color="auto" w:fill="FFFFFF" w:themeFill="background1"/>
                <w:vertAlign w:val="superscript"/>
              </w:rPr>
              <w:t>3</w:t>
            </w:r>
            <w:r w:rsidR="00577D96" w:rsidRPr="00151C13">
              <w:rPr>
                <w:shd w:val="clear" w:color="auto" w:fill="FFFFFF" w:themeFill="background1"/>
              </w:rPr>
              <w:t xml:space="preserve"> </w:t>
            </w:r>
            <w:r w:rsidRPr="00035272">
              <w:t xml:space="preserve"> </w:t>
            </w:r>
          </w:p>
        </w:tc>
        <w:tc>
          <w:tcPr>
            <w:tcW w:w="649" w:type="pct"/>
            <w:tcBorders>
              <w:bottom w:val="single" w:sz="4" w:space="0" w:color="auto"/>
            </w:tcBorders>
            <w:vAlign w:val="center"/>
          </w:tcPr>
          <w:p w14:paraId="2774A855" w14:textId="2F1514FD"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40" w:id="-1436812532"/>
                <w14:textFill>
                  <w14:solidFill>
                    <w14:srgbClr w14:val="000000">
                      <w14:alpha w14:val="100000"/>
                    </w14:srgbClr>
                  </w14:solidFill>
                </w14:textFill>
              </w:rPr>
              <w:t xml:space="preserve">　</w:t>
            </w:r>
            <w:r w:rsidRPr="00035272">
              <w:rPr>
                <w:color w:val="000000"/>
                <w:w w:val="15"/>
                <w:shd w:val="solid" w:color="000000" w:fill="000000"/>
                <w:fitText w:val="40" w:id="-1436812532"/>
                <w14:textFill>
                  <w14:solidFill>
                    <w14:srgbClr w14:val="000000">
                      <w14:alpha w14:val="100000"/>
                    </w14:srgbClr>
                  </w14:solidFill>
                </w14:textFill>
              </w:rPr>
              <w:t>|</w:t>
            </w:r>
            <w:r w:rsidRPr="00035272">
              <w:rPr>
                <w:rFonts w:hint="eastAsia"/>
                <w:color w:val="000000"/>
                <w:spacing w:val="-25"/>
                <w:w w:val="15"/>
                <w:shd w:val="solid" w:color="000000" w:fill="000000"/>
                <w:fitText w:val="40" w:id="-1436812532"/>
                <w14:textFill>
                  <w14:solidFill>
                    <w14:srgbClr w14:val="000000">
                      <w14:alpha w14:val="100000"/>
                    </w14:srgbClr>
                  </w14:solidFill>
                </w14:textFill>
              </w:rPr>
              <w:t xml:space="preserve">　</w:t>
            </w:r>
            <w:r w:rsidR="00577D96" w:rsidRPr="00151C13">
              <w:rPr>
                <w:vertAlign w:val="superscript"/>
              </w:rPr>
              <w:t>3</w:t>
            </w:r>
            <w:r w:rsidR="00577D96" w:rsidRPr="00151C13">
              <w:t xml:space="preserve"> </w:t>
            </w:r>
            <w:r w:rsidR="009424B8" w:rsidRPr="00151C13">
              <w:t xml:space="preserve"> </w:t>
            </w:r>
          </w:p>
        </w:tc>
      </w:tr>
      <w:tr w:rsidR="009424B8" w:rsidRPr="002609E0" w14:paraId="5B25A98D" w14:textId="77777777" w:rsidTr="00313F8C">
        <w:tc>
          <w:tcPr>
            <w:tcW w:w="1116" w:type="pct"/>
            <w:tcBorders>
              <w:bottom w:val="single" w:sz="4" w:space="0" w:color="auto"/>
            </w:tcBorders>
            <w:shd w:val="clear" w:color="auto" w:fill="auto"/>
            <w:vAlign w:val="center"/>
          </w:tcPr>
          <w:p w14:paraId="3143D6EF" w14:textId="77777777" w:rsidR="009424B8" w:rsidRPr="002609E0" w:rsidRDefault="009424B8" w:rsidP="00313F8C">
            <w:pPr>
              <w:pStyle w:val="TableText0"/>
            </w:pPr>
            <w:r w:rsidRPr="002609E0">
              <w:t xml:space="preserve">Continuation scripts 30 mg </w:t>
            </w:r>
          </w:p>
        </w:tc>
        <w:tc>
          <w:tcPr>
            <w:tcW w:w="647" w:type="pct"/>
            <w:tcBorders>
              <w:bottom w:val="single" w:sz="4" w:space="0" w:color="auto"/>
            </w:tcBorders>
            <w:shd w:val="clear" w:color="auto" w:fill="auto"/>
            <w:vAlign w:val="center"/>
          </w:tcPr>
          <w:p w14:paraId="12994DD8" w14:textId="6CA5A5BB"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31"/>
                <w14:textFill>
                  <w14:solidFill>
                    <w14:srgbClr w14:val="000000">
                      <w14:alpha w14:val="100000"/>
                    </w14:srgbClr>
                  </w14:solidFill>
                </w14:textFill>
              </w:rPr>
              <w:t>|||</w:t>
            </w:r>
            <w:r w:rsidRPr="00035272">
              <w:rPr>
                <w:color w:val="000000"/>
                <w:spacing w:val="2"/>
                <w:shd w:val="solid" w:color="000000" w:fill="000000"/>
                <w:fitText w:val="310" w:id="-1436812531"/>
                <w14:textFill>
                  <w14:solidFill>
                    <w14:srgbClr w14:val="000000">
                      <w14:alpha w14:val="100000"/>
                    </w14:srgbClr>
                  </w14:solidFill>
                </w14:textFill>
              </w:rPr>
              <w:t>|</w:t>
            </w:r>
            <w:r w:rsidR="00577D96" w:rsidRPr="00B74ED8">
              <w:rPr>
                <w:vertAlign w:val="superscript"/>
              </w:rPr>
              <w:t>1</w:t>
            </w:r>
            <w:r w:rsidR="00577D96" w:rsidRPr="00B74ED8">
              <w:t xml:space="preserve"> </w:t>
            </w:r>
            <w:r w:rsidRPr="00035272">
              <w:t xml:space="preserve"> </w:t>
            </w:r>
          </w:p>
        </w:tc>
        <w:tc>
          <w:tcPr>
            <w:tcW w:w="647" w:type="pct"/>
            <w:tcBorders>
              <w:bottom w:val="single" w:sz="4" w:space="0" w:color="auto"/>
            </w:tcBorders>
            <w:shd w:val="clear" w:color="auto" w:fill="auto"/>
            <w:vAlign w:val="center"/>
          </w:tcPr>
          <w:p w14:paraId="1E4C01BB" w14:textId="43B9EBAA"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29"/>
                <w14:textFill>
                  <w14:solidFill>
                    <w14:srgbClr w14:val="000000">
                      <w14:alpha w14:val="100000"/>
                    </w14:srgbClr>
                  </w14:solidFill>
                </w14:textFill>
              </w:rPr>
              <w:t>|||</w:t>
            </w:r>
            <w:r w:rsidRPr="00035272">
              <w:rPr>
                <w:color w:val="000000"/>
                <w:spacing w:val="2"/>
                <w:shd w:val="solid" w:color="000000" w:fill="000000"/>
                <w:fitText w:val="310" w:id="-1436812529"/>
                <w14:textFill>
                  <w14:solidFill>
                    <w14:srgbClr w14:val="000000">
                      <w14:alpha w14:val="100000"/>
                    </w14:srgbClr>
                  </w14:solidFill>
                </w14:textFill>
              </w:rPr>
              <w:t>|</w:t>
            </w:r>
            <w:r w:rsidR="00577D96" w:rsidRPr="00B74ED8">
              <w:rPr>
                <w:vertAlign w:val="superscript"/>
              </w:rPr>
              <w:t>1</w:t>
            </w:r>
            <w:r w:rsidR="00577D96" w:rsidRPr="00B74ED8">
              <w:t xml:space="preserve"> </w:t>
            </w:r>
            <w:r w:rsidRPr="00035272">
              <w:t xml:space="preserve"> </w:t>
            </w:r>
          </w:p>
        </w:tc>
        <w:tc>
          <w:tcPr>
            <w:tcW w:w="647" w:type="pct"/>
            <w:tcBorders>
              <w:bottom w:val="single" w:sz="4" w:space="0" w:color="auto"/>
            </w:tcBorders>
            <w:shd w:val="clear" w:color="auto" w:fill="auto"/>
            <w:vAlign w:val="center"/>
          </w:tcPr>
          <w:p w14:paraId="64EB277E" w14:textId="45F9C7E3"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44"/>
                <w14:textFill>
                  <w14:solidFill>
                    <w14:srgbClr w14:val="000000">
                      <w14:alpha w14:val="100000"/>
                    </w14:srgbClr>
                  </w14:solidFill>
                </w14:textFill>
              </w:rPr>
              <w:t>|||</w:t>
            </w:r>
            <w:r w:rsidRPr="00035272">
              <w:rPr>
                <w:color w:val="000000"/>
                <w:spacing w:val="2"/>
                <w:shd w:val="solid" w:color="000000" w:fill="000000"/>
                <w:fitText w:val="310" w:id="-1436812544"/>
                <w14:textFill>
                  <w14:solidFill>
                    <w14:srgbClr w14:val="000000">
                      <w14:alpha w14:val="100000"/>
                    </w14:srgbClr>
                  </w14:solidFill>
                </w14:textFill>
              </w:rPr>
              <w:t>|</w:t>
            </w:r>
            <w:r w:rsidR="00577D96" w:rsidRPr="00B74ED8">
              <w:rPr>
                <w:vertAlign w:val="superscript"/>
              </w:rPr>
              <w:t>1</w:t>
            </w:r>
            <w:r w:rsidR="00577D96" w:rsidRPr="00B74ED8">
              <w:t xml:space="preserve"> </w:t>
            </w:r>
          </w:p>
        </w:tc>
        <w:tc>
          <w:tcPr>
            <w:tcW w:w="647" w:type="pct"/>
            <w:tcBorders>
              <w:bottom w:val="single" w:sz="4" w:space="0" w:color="auto"/>
            </w:tcBorders>
            <w:shd w:val="clear" w:color="auto" w:fill="auto"/>
            <w:vAlign w:val="center"/>
          </w:tcPr>
          <w:p w14:paraId="2C56EE55" w14:textId="0840D5F9" w:rsidR="009424B8" w:rsidRPr="001A6445" w:rsidRDefault="00035272" w:rsidP="00313F8C">
            <w:pPr>
              <w:pStyle w:val="TableText0"/>
              <w:jc w:val="center"/>
              <w:rPr>
                <w:highlight w:val="darkGray"/>
              </w:rPr>
            </w:pPr>
            <w:r w:rsidRPr="00035272">
              <w:t xml:space="preserve"> </w:t>
            </w:r>
            <w:r w:rsidRPr="00035272">
              <w:rPr>
                <w:color w:val="000000"/>
                <w:spacing w:val="204"/>
                <w:shd w:val="solid" w:color="000000" w:fill="000000"/>
                <w:fitText w:val="290" w:id="-1436812542"/>
                <w14:textFill>
                  <w14:solidFill>
                    <w14:srgbClr w14:val="000000">
                      <w14:alpha w14:val="100000"/>
                    </w14:srgbClr>
                  </w14:solidFill>
                </w14:textFill>
              </w:rPr>
              <w:t>|</w:t>
            </w:r>
            <w:r w:rsidRPr="00035272">
              <w:rPr>
                <w:color w:val="000000"/>
                <w:spacing w:val="1"/>
                <w:shd w:val="solid" w:color="000000" w:fill="000000"/>
                <w:fitText w:val="290" w:id="-1436812542"/>
                <w14:textFill>
                  <w14:solidFill>
                    <w14:srgbClr w14:val="000000">
                      <w14:alpha w14:val="100000"/>
                    </w14:srgbClr>
                  </w14:solidFill>
                </w14:textFill>
              </w:rPr>
              <w:t>|</w:t>
            </w:r>
            <w:r w:rsidR="00577D96" w:rsidRPr="00151C13">
              <w:rPr>
                <w:vertAlign w:val="superscript"/>
              </w:rPr>
              <w:t>2</w:t>
            </w:r>
          </w:p>
        </w:tc>
        <w:tc>
          <w:tcPr>
            <w:tcW w:w="647" w:type="pct"/>
            <w:tcBorders>
              <w:bottom w:val="single" w:sz="4" w:space="0" w:color="auto"/>
            </w:tcBorders>
            <w:shd w:val="clear" w:color="auto" w:fill="auto"/>
            <w:vAlign w:val="center"/>
          </w:tcPr>
          <w:p w14:paraId="1E01F964" w14:textId="69955026"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50" w:id="-1436812540"/>
                <w14:textFill>
                  <w14:solidFill>
                    <w14:srgbClr w14:val="000000">
                      <w14:alpha w14:val="100000"/>
                    </w14:srgbClr>
                  </w14:solidFill>
                </w14:textFill>
              </w:rPr>
              <w:t xml:space="preserve">　</w:t>
            </w:r>
            <w:r w:rsidRPr="00035272">
              <w:rPr>
                <w:color w:val="000000"/>
                <w:w w:val="15"/>
                <w:shd w:val="solid" w:color="000000" w:fill="000000"/>
                <w:fitText w:val="50" w:id="-1436812540"/>
                <w14:textFill>
                  <w14:solidFill>
                    <w14:srgbClr w14:val="000000">
                      <w14:alpha w14:val="100000"/>
                    </w14:srgbClr>
                  </w14:solidFill>
                </w14:textFill>
              </w:rPr>
              <w:t>|</w:t>
            </w:r>
            <w:r w:rsidRPr="00035272">
              <w:rPr>
                <w:rFonts w:hint="eastAsia"/>
                <w:color w:val="000000"/>
                <w:spacing w:val="-15"/>
                <w:w w:val="15"/>
                <w:shd w:val="solid" w:color="000000" w:fill="000000"/>
                <w:fitText w:val="50" w:id="-1436812540"/>
                <w14:textFill>
                  <w14:solidFill>
                    <w14:srgbClr w14:val="000000">
                      <w14:alpha w14:val="100000"/>
                    </w14:srgbClr>
                  </w14:solidFill>
                </w14:textFill>
              </w:rPr>
              <w:t xml:space="preserve">　</w:t>
            </w:r>
            <w:r w:rsidR="00577D96" w:rsidRPr="00151C13">
              <w:rPr>
                <w:vertAlign w:val="superscript"/>
              </w:rPr>
              <w:t>2</w:t>
            </w:r>
            <w:r w:rsidR="009424B8" w:rsidRPr="00151C13">
              <w:t xml:space="preserve"> </w:t>
            </w:r>
          </w:p>
        </w:tc>
        <w:tc>
          <w:tcPr>
            <w:tcW w:w="649" w:type="pct"/>
            <w:tcBorders>
              <w:bottom w:val="single" w:sz="4" w:space="0" w:color="auto"/>
            </w:tcBorders>
            <w:vAlign w:val="center"/>
          </w:tcPr>
          <w:p w14:paraId="4CC921E2" w14:textId="0607A0A5"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40" w:id="-1436812539"/>
                <w14:textFill>
                  <w14:solidFill>
                    <w14:srgbClr w14:val="000000">
                      <w14:alpha w14:val="100000"/>
                    </w14:srgbClr>
                  </w14:solidFill>
                </w14:textFill>
              </w:rPr>
              <w:t xml:space="preserve">　</w:t>
            </w:r>
            <w:r w:rsidRPr="00035272">
              <w:rPr>
                <w:color w:val="000000"/>
                <w:w w:val="15"/>
                <w:shd w:val="solid" w:color="000000" w:fill="000000"/>
                <w:fitText w:val="40" w:id="-1436812539"/>
                <w14:textFill>
                  <w14:solidFill>
                    <w14:srgbClr w14:val="000000">
                      <w14:alpha w14:val="100000"/>
                    </w14:srgbClr>
                  </w14:solidFill>
                </w14:textFill>
              </w:rPr>
              <w:t>|</w:t>
            </w:r>
            <w:r w:rsidRPr="00035272">
              <w:rPr>
                <w:rFonts w:hint="eastAsia"/>
                <w:color w:val="000000"/>
                <w:spacing w:val="-25"/>
                <w:w w:val="15"/>
                <w:shd w:val="solid" w:color="000000" w:fill="000000"/>
                <w:fitText w:val="40" w:id="-1436812539"/>
                <w14:textFill>
                  <w14:solidFill>
                    <w14:srgbClr w14:val="000000">
                      <w14:alpha w14:val="100000"/>
                    </w14:srgbClr>
                  </w14:solidFill>
                </w14:textFill>
              </w:rPr>
              <w:t xml:space="preserve">　</w:t>
            </w:r>
            <w:r w:rsidR="00577D96" w:rsidRPr="00151C13">
              <w:rPr>
                <w:shd w:val="clear" w:color="auto" w:fill="FFFFFF" w:themeFill="background1"/>
                <w:vertAlign w:val="superscript"/>
              </w:rPr>
              <w:t>2</w:t>
            </w:r>
            <w:r w:rsidR="009424B8" w:rsidRPr="00151C13">
              <w:rPr>
                <w:shd w:val="clear" w:color="auto" w:fill="FFFFFF" w:themeFill="background1"/>
              </w:rPr>
              <w:t xml:space="preserve"> </w:t>
            </w:r>
          </w:p>
        </w:tc>
      </w:tr>
      <w:tr w:rsidR="009424B8" w:rsidRPr="002609E0" w14:paraId="0D9A4A81" w14:textId="77777777" w:rsidTr="00313F8C">
        <w:tc>
          <w:tcPr>
            <w:tcW w:w="1116" w:type="pct"/>
            <w:tcBorders>
              <w:bottom w:val="single" w:sz="4" w:space="0" w:color="auto"/>
            </w:tcBorders>
            <w:shd w:val="clear" w:color="auto" w:fill="auto"/>
            <w:vAlign w:val="center"/>
          </w:tcPr>
          <w:p w14:paraId="4EE666E1" w14:textId="77777777" w:rsidR="009424B8" w:rsidRPr="002609E0" w:rsidRDefault="009424B8" w:rsidP="00313F8C">
            <w:pPr>
              <w:pStyle w:val="TableText0"/>
              <w:rPr>
                <w:rFonts w:ascii="Times" w:hAnsi="Times"/>
              </w:rPr>
            </w:pPr>
            <w:r w:rsidRPr="002609E0">
              <w:t>Total number of scripts dispensed</w:t>
            </w:r>
            <w:r w:rsidRPr="002609E0">
              <w:rPr>
                <w:vertAlign w:val="superscript"/>
              </w:rPr>
              <w:t>a</w:t>
            </w:r>
          </w:p>
        </w:tc>
        <w:tc>
          <w:tcPr>
            <w:tcW w:w="647" w:type="pct"/>
            <w:tcBorders>
              <w:bottom w:val="single" w:sz="4" w:space="0" w:color="auto"/>
            </w:tcBorders>
            <w:shd w:val="clear" w:color="auto" w:fill="auto"/>
            <w:vAlign w:val="center"/>
          </w:tcPr>
          <w:p w14:paraId="7805ABB6" w14:textId="0D472004"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50" w:id="-1436812538"/>
                <w14:textFill>
                  <w14:solidFill>
                    <w14:srgbClr w14:val="000000">
                      <w14:alpha w14:val="100000"/>
                    </w14:srgbClr>
                  </w14:solidFill>
                </w14:textFill>
              </w:rPr>
              <w:t xml:space="preserve">　</w:t>
            </w:r>
            <w:r w:rsidRPr="00035272">
              <w:rPr>
                <w:color w:val="000000"/>
                <w:w w:val="15"/>
                <w:shd w:val="solid" w:color="000000" w:fill="000000"/>
                <w:fitText w:val="50" w:id="-1436812538"/>
                <w14:textFill>
                  <w14:solidFill>
                    <w14:srgbClr w14:val="000000">
                      <w14:alpha w14:val="100000"/>
                    </w14:srgbClr>
                  </w14:solidFill>
                </w14:textFill>
              </w:rPr>
              <w:t>|</w:t>
            </w:r>
            <w:r w:rsidRPr="00035272">
              <w:rPr>
                <w:rFonts w:hint="eastAsia"/>
                <w:color w:val="000000"/>
                <w:spacing w:val="-15"/>
                <w:w w:val="15"/>
                <w:shd w:val="solid" w:color="000000" w:fill="000000"/>
                <w:fitText w:val="50" w:id="-1436812538"/>
                <w14:textFill>
                  <w14:solidFill>
                    <w14:srgbClr w14:val="000000">
                      <w14:alpha w14:val="100000"/>
                    </w14:srgbClr>
                  </w14:solidFill>
                </w14:textFill>
              </w:rPr>
              <w:t xml:space="preserve">　</w:t>
            </w:r>
            <w:r w:rsidR="000C017A" w:rsidRPr="00151C13">
              <w:rPr>
                <w:vertAlign w:val="superscript"/>
              </w:rPr>
              <w:t>2</w:t>
            </w:r>
            <w:r w:rsidR="009424B8" w:rsidRPr="00151C13">
              <w:t xml:space="preserve"> </w:t>
            </w:r>
          </w:p>
        </w:tc>
        <w:tc>
          <w:tcPr>
            <w:tcW w:w="647" w:type="pct"/>
            <w:tcBorders>
              <w:bottom w:val="single" w:sz="4" w:space="0" w:color="auto"/>
            </w:tcBorders>
            <w:shd w:val="clear" w:color="auto" w:fill="auto"/>
            <w:vAlign w:val="center"/>
          </w:tcPr>
          <w:p w14:paraId="0C996D7D" w14:textId="4CA7F04F" w:rsidR="009424B8" w:rsidRPr="001A6445" w:rsidRDefault="00035272" w:rsidP="00313F8C">
            <w:pPr>
              <w:pStyle w:val="TableText0"/>
              <w:jc w:val="center"/>
              <w:rPr>
                <w:highlight w:val="darkGray"/>
              </w:rPr>
            </w:pPr>
            <w:r w:rsidRPr="00035272">
              <w:t xml:space="preserve"> </w:t>
            </w:r>
            <w:r w:rsidRPr="00035272">
              <w:rPr>
                <w:color w:val="000000"/>
                <w:spacing w:val="204"/>
                <w:shd w:val="solid" w:color="000000" w:fill="000000"/>
                <w:fitText w:val="290" w:id="-1436812537"/>
                <w14:textFill>
                  <w14:solidFill>
                    <w14:srgbClr w14:val="000000">
                      <w14:alpha w14:val="100000"/>
                    </w14:srgbClr>
                  </w14:solidFill>
                </w14:textFill>
              </w:rPr>
              <w:t>|</w:t>
            </w:r>
            <w:r w:rsidRPr="00035272">
              <w:rPr>
                <w:color w:val="000000"/>
                <w:spacing w:val="1"/>
                <w:shd w:val="solid" w:color="000000" w:fill="000000"/>
                <w:fitText w:val="290" w:id="-1436812537"/>
                <w14:textFill>
                  <w14:solidFill>
                    <w14:srgbClr w14:val="000000">
                      <w14:alpha w14:val="100000"/>
                    </w14:srgbClr>
                  </w14:solidFill>
                </w14:textFill>
              </w:rPr>
              <w:t>|</w:t>
            </w:r>
            <w:r w:rsidR="000C017A" w:rsidRPr="00151C13">
              <w:rPr>
                <w:shd w:val="clear" w:color="auto" w:fill="FFFFFF" w:themeFill="background1"/>
                <w:vertAlign w:val="superscript"/>
              </w:rPr>
              <w:t>3</w:t>
            </w:r>
          </w:p>
        </w:tc>
        <w:tc>
          <w:tcPr>
            <w:tcW w:w="647" w:type="pct"/>
            <w:tcBorders>
              <w:bottom w:val="single" w:sz="4" w:space="0" w:color="auto"/>
            </w:tcBorders>
            <w:shd w:val="clear" w:color="auto" w:fill="auto"/>
            <w:vAlign w:val="center"/>
          </w:tcPr>
          <w:p w14:paraId="750A1E5D" w14:textId="3C507B09"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35"/>
                <w14:textFill>
                  <w14:solidFill>
                    <w14:srgbClr w14:val="000000">
                      <w14:alpha w14:val="100000"/>
                    </w14:srgbClr>
                  </w14:solidFill>
                </w14:textFill>
              </w:rPr>
              <w:t>|||</w:t>
            </w:r>
            <w:r w:rsidRPr="00035272">
              <w:rPr>
                <w:color w:val="000000"/>
                <w:spacing w:val="2"/>
                <w:shd w:val="solid" w:color="000000" w:fill="000000"/>
                <w:fitText w:val="310" w:id="-1436812535"/>
                <w14:textFill>
                  <w14:solidFill>
                    <w14:srgbClr w14:val="000000">
                      <w14:alpha w14:val="100000"/>
                    </w14:srgbClr>
                  </w14:solidFill>
                </w14:textFill>
              </w:rPr>
              <w:t>|</w:t>
            </w:r>
            <w:r w:rsidR="000C017A" w:rsidRPr="00151C13">
              <w:rPr>
                <w:vertAlign w:val="superscript"/>
              </w:rPr>
              <w:t>3</w:t>
            </w:r>
            <w:r w:rsidR="000C017A" w:rsidRPr="00151C13">
              <w:t xml:space="preserve"> </w:t>
            </w:r>
          </w:p>
        </w:tc>
        <w:tc>
          <w:tcPr>
            <w:tcW w:w="647" w:type="pct"/>
            <w:tcBorders>
              <w:bottom w:val="single" w:sz="4" w:space="0" w:color="auto"/>
            </w:tcBorders>
            <w:shd w:val="clear" w:color="auto" w:fill="auto"/>
            <w:vAlign w:val="center"/>
          </w:tcPr>
          <w:p w14:paraId="203BBA57" w14:textId="32DB2FE1"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50" w:id="-1436812533"/>
                <w14:textFill>
                  <w14:solidFill>
                    <w14:srgbClr w14:val="000000">
                      <w14:alpha w14:val="100000"/>
                    </w14:srgbClr>
                  </w14:solidFill>
                </w14:textFill>
              </w:rPr>
              <w:t xml:space="preserve">　</w:t>
            </w:r>
            <w:r w:rsidRPr="00035272">
              <w:rPr>
                <w:color w:val="000000"/>
                <w:w w:val="15"/>
                <w:shd w:val="solid" w:color="000000" w:fill="000000"/>
                <w:fitText w:val="50" w:id="-1436812533"/>
                <w14:textFill>
                  <w14:solidFill>
                    <w14:srgbClr w14:val="000000">
                      <w14:alpha w14:val="100000"/>
                    </w14:srgbClr>
                  </w14:solidFill>
                </w14:textFill>
              </w:rPr>
              <w:t>|</w:t>
            </w:r>
            <w:r w:rsidRPr="00035272">
              <w:rPr>
                <w:rFonts w:hint="eastAsia"/>
                <w:color w:val="000000"/>
                <w:spacing w:val="-15"/>
                <w:w w:val="15"/>
                <w:shd w:val="solid" w:color="000000" w:fill="000000"/>
                <w:fitText w:val="50" w:id="-1436812533"/>
                <w14:textFill>
                  <w14:solidFill>
                    <w14:srgbClr w14:val="000000">
                      <w14:alpha w14:val="100000"/>
                    </w14:srgbClr>
                  </w14:solidFill>
                </w14:textFill>
              </w:rPr>
              <w:t xml:space="preserve">　</w:t>
            </w:r>
            <w:r w:rsidR="000C017A" w:rsidRPr="00151C13">
              <w:rPr>
                <w:vertAlign w:val="superscript"/>
              </w:rPr>
              <w:t>4</w:t>
            </w:r>
            <w:r w:rsidR="009424B8" w:rsidRPr="00151C13">
              <w:t xml:space="preserve"> </w:t>
            </w:r>
          </w:p>
        </w:tc>
        <w:tc>
          <w:tcPr>
            <w:tcW w:w="647" w:type="pct"/>
            <w:tcBorders>
              <w:bottom w:val="single" w:sz="4" w:space="0" w:color="auto"/>
            </w:tcBorders>
            <w:shd w:val="clear" w:color="auto" w:fill="auto"/>
            <w:vAlign w:val="center"/>
          </w:tcPr>
          <w:p w14:paraId="2E686C74" w14:textId="2B1D0D7C" w:rsidR="009424B8" w:rsidRPr="001A6445" w:rsidRDefault="00035272" w:rsidP="00313F8C">
            <w:pPr>
              <w:pStyle w:val="TableText0"/>
              <w:jc w:val="center"/>
              <w:rPr>
                <w:highlight w:val="darkGray"/>
              </w:rPr>
            </w:pPr>
            <w:r w:rsidRPr="00035272">
              <w:t xml:space="preserve"> </w:t>
            </w:r>
            <w:r w:rsidRPr="00035272">
              <w:rPr>
                <w:color w:val="000000"/>
                <w:spacing w:val="46"/>
                <w:shd w:val="solid" w:color="000000" w:fill="000000"/>
                <w:fitText w:val="310" w:id="-1436812532"/>
                <w14:textFill>
                  <w14:solidFill>
                    <w14:srgbClr w14:val="000000">
                      <w14:alpha w14:val="100000"/>
                    </w14:srgbClr>
                  </w14:solidFill>
                </w14:textFill>
              </w:rPr>
              <w:t>|||</w:t>
            </w:r>
            <w:r w:rsidRPr="00035272">
              <w:rPr>
                <w:color w:val="000000"/>
                <w:spacing w:val="2"/>
                <w:shd w:val="solid" w:color="000000" w:fill="000000"/>
                <w:fitText w:val="310" w:id="-1436812532"/>
                <w14:textFill>
                  <w14:solidFill>
                    <w14:srgbClr w14:val="000000">
                      <w14:alpha w14:val="100000"/>
                    </w14:srgbClr>
                  </w14:solidFill>
                </w14:textFill>
              </w:rPr>
              <w:t>|</w:t>
            </w:r>
            <w:r w:rsidR="000C017A" w:rsidRPr="00151C13">
              <w:rPr>
                <w:vertAlign w:val="superscript"/>
              </w:rPr>
              <w:t>4</w:t>
            </w:r>
            <w:r w:rsidR="000C017A" w:rsidRPr="00151C13">
              <w:t xml:space="preserve"> </w:t>
            </w:r>
            <w:r w:rsidRPr="00035272">
              <w:t xml:space="preserve"> </w:t>
            </w:r>
          </w:p>
        </w:tc>
        <w:tc>
          <w:tcPr>
            <w:tcW w:w="649" w:type="pct"/>
            <w:tcBorders>
              <w:bottom w:val="single" w:sz="4" w:space="0" w:color="auto"/>
            </w:tcBorders>
            <w:vAlign w:val="center"/>
          </w:tcPr>
          <w:p w14:paraId="7715779A" w14:textId="6617D188" w:rsidR="009424B8" w:rsidRPr="001A6445" w:rsidRDefault="00035272" w:rsidP="00313F8C">
            <w:pPr>
              <w:pStyle w:val="TableText0"/>
              <w:jc w:val="center"/>
              <w:rPr>
                <w:highlight w:val="darkGray"/>
              </w:rPr>
            </w:pPr>
            <w:r w:rsidRPr="00035272">
              <w:t xml:space="preserve"> </w:t>
            </w:r>
            <w:r w:rsidRPr="00035272">
              <w:rPr>
                <w:rFonts w:hint="eastAsia"/>
                <w:color w:val="000000"/>
                <w:w w:val="15"/>
                <w:shd w:val="solid" w:color="000000" w:fill="000000"/>
                <w:fitText w:val="40" w:id="-1436812530"/>
                <w14:textFill>
                  <w14:solidFill>
                    <w14:srgbClr w14:val="000000">
                      <w14:alpha w14:val="100000"/>
                    </w14:srgbClr>
                  </w14:solidFill>
                </w14:textFill>
              </w:rPr>
              <w:t xml:space="preserve">　</w:t>
            </w:r>
            <w:r w:rsidRPr="00035272">
              <w:rPr>
                <w:color w:val="000000"/>
                <w:w w:val="15"/>
                <w:shd w:val="solid" w:color="000000" w:fill="000000"/>
                <w:fitText w:val="40" w:id="-1436812530"/>
                <w14:textFill>
                  <w14:solidFill>
                    <w14:srgbClr w14:val="000000">
                      <w14:alpha w14:val="100000"/>
                    </w14:srgbClr>
                  </w14:solidFill>
                </w14:textFill>
              </w:rPr>
              <w:t>|</w:t>
            </w:r>
            <w:r w:rsidRPr="00035272">
              <w:rPr>
                <w:rFonts w:hint="eastAsia"/>
                <w:color w:val="000000"/>
                <w:spacing w:val="-25"/>
                <w:w w:val="15"/>
                <w:shd w:val="solid" w:color="000000" w:fill="000000"/>
                <w:fitText w:val="40" w:id="-1436812530"/>
                <w14:textFill>
                  <w14:solidFill>
                    <w14:srgbClr w14:val="000000">
                      <w14:alpha w14:val="100000"/>
                    </w14:srgbClr>
                  </w14:solidFill>
                </w14:textFill>
              </w:rPr>
              <w:t xml:space="preserve">　</w:t>
            </w:r>
            <w:r w:rsidR="000C017A" w:rsidRPr="00151C13">
              <w:rPr>
                <w:vertAlign w:val="superscript"/>
              </w:rPr>
              <w:t>5</w:t>
            </w:r>
            <w:r w:rsidR="009424B8" w:rsidRPr="00151C13">
              <w:t xml:space="preserve"> </w:t>
            </w:r>
          </w:p>
        </w:tc>
      </w:tr>
      <w:tr w:rsidR="009424B8" w:rsidRPr="002609E0" w14:paraId="06BAFA5D" w14:textId="77777777" w:rsidTr="00313F8C">
        <w:tc>
          <w:tcPr>
            <w:tcW w:w="5000" w:type="pct"/>
            <w:gridSpan w:val="7"/>
            <w:shd w:val="clear" w:color="auto" w:fill="auto"/>
            <w:vAlign w:val="center"/>
          </w:tcPr>
          <w:p w14:paraId="7328FE91" w14:textId="77777777" w:rsidR="009424B8" w:rsidRPr="002609E0" w:rsidRDefault="009424B8" w:rsidP="00313F8C">
            <w:pPr>
              <w:pStyle w:val="In-tableHeading"/>
              <w:rPr>
                <w:lang w:val="en-AU"/>
              </w:rPr>
            </w:pPr>
            <w:r w:rsidRPr="002609E0">
              <w:rPr>
                <w:lang w:val="en-AU"/>
              </w:rPr>
              <w:t>Estimated financial implications of upadacitinib for MSUC</w:t>
            </w:r>
          </w:p>
        </w:tc>
      </w:tr>
      <w:tr w:rsidR="009424B8" w:rsidRPr="002609E0" w14:paraId="380B1185" w14:textId="77777777" w:rsidTr="00313F8C">
        <w:tc>
          <w:tcPr>
            <w:tcW w:w="1116" w:type="pct"/>
            <w:tcBorders>
              <w:bottom w:val="single" w:sz="4" w:space="0" w:color="auto"/>
            </w:tcBorders>
            <w:shd w:val="clear" w:color="auto" w:fill="auto"/>
            <w:vAlign w:val="center"/>
          </w:tcPr>
          <w:p w14:paraId="4E2374A9" w14:textId="77777777" w:rsidR="009424B8" w:rsidRPr="002609E0" w:rsidRDefault="009424B8" w:rsidP="00313F8C">
            <w:pPr>
              <w:pStyle w:val="TableText0"/>
              <w:rPr>
                <w:sz w:val="19"/>
                <w:szCs w:val="19"/>
              </w:rPr>
            </w:pPr>
            <w:r w:rsidRPr="002609E0">
              <w:rPr>
                <w:sz w:val="19"/>
                <w:szCs w:val="19"/>
              </w:rPr>
              <w:t>Cost to PBS/RPBS less copayments</w:t>
            </w:r>
          </w:p>
        </w:tc>
        <w:tc>
          <w:tcPr>
            <w:tcW w:w="647" w:type="pct"/>
            <w:tcBorders>
              <w:bottom w:val="single" w:sz="4" w:space="0" w:color="auto"/>
            </w:tcBorders>
            <w:shd w:val="clear" w:color="auto" w:fill="auto"/>
            <w:vAlign w:val="center"/>
          </w:tcPr>
          <w:p w14:paraId="413F5E0C" w14:textId="2857C882" w:rsidR="009424B8" w:rsidRPr="00E3162E" w:rsidRDefault="009424B8" w:rsidP="00313F8C">
            <w:pPr>
              <w:pStyle w:val="TableText0"/>
              <w:jc w:val="center"/>
              <w:rPr>
                <w:bCs w:val="0"/>
                <w:vertAlign w:val="superscript"/>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0"/>
                <w:szCs w:val="20"/>
                <w:shd w:val="solid" w:color="000000" w:fill="000000"/>
                <w:fitText w:val="90" w:id="-1436812529"/>
                <w14:textFill>
                  <w14:solidFill>
                    <w14:srgbClr w14:val="000000">
                      <w14:alpha w14:val="100000"/>
                    </w14:srgbClr>
                  </w14:solidFill>
                </w14:textFill>
              </w:rPr>
              <w:t xml:space="preserve">　</w:t>
            </w:r>
            <w:r w:rsidR="00035272" w:rsidRPr="00035272">
              <w:rPr>
                <w:rFonts w:cs="Arial"/>
                <w:bCs w:val="0"/>
                <w:color w:val="000000"/>
                <w:w w:val="20"/>
                <w:szCs w:val="20"/>
                <w:shd w:val="solid" w:color="000000" w:fill="000000"/>
                <w:fitText w:val="90" w:id="-1436812529"/>
                <w14:textFill>
                  <w14:solidFill>
                    <w14:srgbClr w14:val="000000">
                      <w14:alpha w14:val="100000"/>
                    </w14:srgbClr>
                  </w14:solidFill>
                </w14:textFill>
              </w:rPr>
              <w:t>|</w:t>
            </w:r>
            <w:r w:rsidR="00035272" w:rsidRPr="00035272">
              <w:rPr>
                <w:rFonts w:cs="Arial" w:hint="eastAsia"/>
                <w:bCs w:val="0"/>
                <w:color w:val="000000"/>
                <w:spacing w:val="3"/>
                <w:w w:val="20"/>
                <w:szCs w:val="20"/>
                <w:shd w:val="solid" w:color="000000" w:fill="000000"/>
                <w:fitText w:val="90" w:id="-1436812529"/>
                <w14:textFill>
                  <w14:solidFill>
                    <w14:srgbClr w14:val="000000">
                      <w14:alpha w14:val="100000"/>
                    </w14:srgbClr>
                  </w14:solidFill>
                </w14:textFill>
              </w:rPr>
              <w:t xml:space="preserve">　</w:t>
            </w:r>
            <w:r w:rsidR="00E3162E">
              <w:rPr>
                <w:rFonts w:cs="Arial"/>
                <w:bCs w:val="0"/>
                <w:szCs w:val="20"/>
                <w:vertAlign w:val="superscript"/>
              </w:rPr>
              <w:t>6</w:t>
            </w:r>
          </w:p>
        </w:tc>
        <w:tc>
          <w:tcPr>
            <w:tcW w:w="647" w:type="pct"/>
            <w:tcBorders>
              <w:bottom w:val="single" w:sz="4" w:space="0" w:color="auto"/>
            </w:tcBorders>
            <w:shd w:val="clear" w:color="auto" w:fill="auto"/>
            <w:vAlign w:val="center"/>
          </w:tcPr>
          <w:p w14:paraId="3707C65B" w14:textId="794B4BB5" w:rsidR="009424B8" w:rsidRPr="00E3162E" w:rsidRDefault="009424B8" w:rsidP="00313F8C">
            <w:pPr>
              <w:pStyle w:val="TableText0"/>
              <w:jc w:val="center"/>
              <w:rPr>
                <w:bCs w:val="0"/>
                <w:vertAlign w:val="superscript"/>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0"/>
                <w:szCs w:val="20"/>
                <w:shd w:val="solid" w:color="000000" w:fill="000000"/>
                <w:fitText w:val="90" w:id="-1436812528"/>
                <w14:textFill>
                  <w14:solidFill>
                    <w14:srgbClr w14:val="000000">
                      <w14:alpha w14:val="100000"/>
                    </w14:srgbClr>
                  </w14:solidFill>
                </w14:textFill>
              </w:rPr>
              <w:t xml:space="preserve">　</w:t>
            </w:r>
            <w:r w:rsidR="00035272" w:rsidRPr="00035272">
              <w:rPr>
                <w:rFonts w:cs="Arial"/>
                <w:bCs w:val="0"/>
                <w:color w:val="000000"/>
                <w:w w:val="20"/>
                <w:szCs w:val="20"/>
                <w:shd w:val="solid" w:color="000000" w:fill="000000"/>
                <w:fitText w:val="90" w:id="-1436812528"/>
                <w14:textFill>
                  <w14:solidFill>
                    <w14:srgbClr w14:val="000000">
                      <w14:alpha w14:val="100000"/>
                    </w14:srgbClr>
                  </w14:solidFill>
                </w14:textFill>
              </w:rPr>
              <w:t>|</w:t>
            </w:r>
            <w:r w:rsidR="00035272" w:rsidRPr="00035272">
              <w:rPr>
                <w:rFonts w:cs="Arial" w:hint="eastAsia"/>
                <w:bCs w:val="0"/>
                <w:color w:val="000000"/>
                <w:spacing w:val="3"/>
                <w:w w:val="20"/>
                <w:szCs w:val="20"/>
                <w:shd w:val="solid" w:color="000000" w:fill="000000"/>
                <w:fitText w:val="90" w:id="-1436812528"/>
                <w14:textFill>
                  <w14:solidFill>
                    <w14:srgbClr w14:val="000000">
                      <w14:alpha w14:val="100000"/>
                    </w14:srgbClr>
                  </w14:solidFill>
                </w14:textFill>
              </w:rPr>
              <w:t xml:space="preserve">　</w:t>
            </w:r>
            <w:r w:rsidR="00E3162E">
              <w:rPr>
                <w:rFonts w:cs="Arial"/>
                <w:bCs w:val="0"/>
                <w:szCs w:val="20"/>
                <w:vertAlign w:val="superscript"/>
              </w:rPr>
              <w:t>7</w:t>
            </w:r>
          </w:p>
        </w:tc>
        <w:tc>
          <w:tcPr>
            <w:tcW w:w="647" w:type="pct"/>
            <w:tcBorders>
              <w:bottom w:val="single" w:sz="4" w:space="0" w:color="auto"/>
            </w:tcBorders>
            <w:shd w:val="clear" w:color="auto" w:fill="auto"/>
            <w:vAlign w:val="center"/>
          </w:tcPr>
          <w:p w14:paraId="40515C49" w14:textId="122F0D48"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0"/>
                <w:szCs w:val="20"/>
                <w:shd w:val="solid" w:color="000000" w:fill="000000"/>
                <w:fitText w:val="90" w:id="-1436812544"/>
                <w14:textFill>
                  <w14:solidFill>
                    <w14:srgbClr w14:val="000000">
                      <w14:alpha w14:val="100000"/>
                    </w14:srgbClr>
                  </w14:solidFill>
                </w14:textFill>
              </w:rPr>
              <w:t xml:space="preserve">　</w:t>
            </w:r>
            <w:r w:rsidR="00035272" w:rsidRPr="00035272">
              <w:rPr>
                <w:rFonts w:cs="Arial"/>
                <w:bCs w:val="0"/>
                <w:color w:val="000000"/>
                <w:w w:val="20"/>
                <w:szCs w:val="20"/>
                <w:shd w:val="solid" w:color="000000" w:fill="000000"/>
                <w:fitText w:val="90" w:id="-1436812544"/>
                <w14:textFill>
                  <w14:solidFill>
                    <w14:srgbClr w14:val="000000">
                      <w14:alpha w14:val="100000"/>
                    </w14:srgbClr>
                  </w14:solidFill>
                </w14:textFill>
              </w:rPr>
              <w:t>|</w:t>
            </w:r>
            <w:r w:rsidR="00035272" w:rsidRPr="00035272">
              <w:rPr>
                <w:rFonts w:cs="Arial" w:hint="eastAsia"/>
                <w:bCs w:val="0"/>
                <w:color w:val="000000"/>
                <w:spacing w:val="3"/>
                <w:w w:val="20"/>
                <w:szCs w:val="20"/>
                <w:shd w:val="solid" w:color="000000" w:fill="000000"/>
                <w:fitText w:val="90" w:id="-1436812544"/>
                <w14:textFill>
                  <w14:solidFill>
                    <w14:srgbClr w14:val="000000">
                      <w14:alpha w14:val="100000"/>
                    </w14:srgbClr>
                  </w14:solidFill>
                </w14:textFill>
              </w:rPr>
              <w:t xml:space="preserve">　</w:t>
            </w:r>
            <w:r w:rsidR="00E3162E">
              <w:rPr>
                <w:rFonts w:cs="Arial"/>
                <w:bCs w:val="0"/>
                <w:szCs w:val="20"/>
                <w:vertAlign w:val="superscript"/>
              </w:rPr>
              <w:t>7</w:t>
            </w:r>
          </w:p>
        </w:tc>
        <w:tc>
          <w:tcPr>
            <w:tcW w:w="647" w:type="pct"/>
            <w:tcBorders>
              <w:bottom w:val="single" w:sz="4" w:space="0" w:color="auto"/>
            </w:tcBorders>
            <w:shd w:val="clear" w:color="auto" w:fill="auto"/>
            <w:vAlign w:val="center"/>
          </w:tcPr>
          <w:p w14:paraId="0C4E4473" w14:textId="4458F869" w:rsidR="009424B8" w:rsidRPr="00E3162E" w:rsidRDefault="009424B8" w:rsidP="00313F8C">
            <w:pPr>
              <w:pStyle w:val="TableText0"/>
              <w:jc w:val="center"/>
              <w:rPr>
                <w:bCs w:val="0"/>
                <w:vertAlign w:val="superscript"/>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0"/>
                <w:szCs w:val="20"/>
                <w:shd w:val="solid" w:color="000000" w:fill="000000"/>
                <w:fitText w:val="90" w:id="-1436812543"/>
                <w14:textFill>
                  <w14:solidFill>
                    <w14:srgbClr w14:val="000000">
                      <w14:alpha w14:val="100000"/>
                    </w14:srgbClr>
                  </w14:solidFill>
                </w14:textFill>
              </w:rPr>
              <w:t xml:space="preserve">　</w:t>
            </w:r>
            <w:r w:rsidR="00035272" w:rsidRPr="00035272">
              <w:rPr>
                <w:rFonts w:cs="Arial"/>
                <w:bCs w:val="0"/>
                <w:color w:val="000000"/>
                <w:w w:val="20"/>
                <w:szCs w:val="20"/>
                <w:shd w:val="solid" w:color="000000" w:fill="000000"/>
                <w:fitText w:val="90" w:id="-1436812543"/>
                <w14:textFill>
                  <w14:solidFill>
                    <w14:srgbClr w14:val="000000">
                      <w14:alpha w14:val="100000"/>
                    </w14:srgbClr>
                  </w14:solidFill>
                </w14:textFill>
              </w:rPr>
              <w:t>|</w:t>
            </w:r>
            <w:r w:rsidR="00035272" w:rsidRPr="00035272">
              <w:rPr>
                <w:rFonts w:cs="Arial" w:hint="eastAsia"/>
                <w:bCs w:val="0"/>
                <w:color w:val="000000"/>
                <w:spacing w:val="3"/>
                <w:w w:val="20"/>
                <w:szCs w:val="20"/>
                <w:shd w:val="solid" w:color="000000" w:fill="000000"/>
                <w:fitText w:val="90" w:id="-1436812543"/>
                <w14:textFill>
                  <w14:solidFill>
                    <w14:srgbClr w14:val="000000">
                      <w14:alpha w14:val="100000"/>
                    </w14:srgbClr>
                  </w14:solidFill>
                </w14:textFill>
              </w:rPr>
              <w:t xml:space="preserve">　</w:t>
            </w:r>
            <w:r w:rsidR="00E3162E">
              <w:rPr>
                <w:rFonts w:cs="Arial"/>
                <w:bCs w:val="0"/>
                <w:szCs w:val="20"/>
                <w:vertAlign w:val="superscript"/>
              </w:rPr>
              <w:t>8</w:t>
            </w:r>
          </w:p>
        </w:tc>
        <w:tc>
          <w:tcPr>
            <w:tcW w:w="647" w:type="pct"/>
            <w:tcBorders>
              <w:bottom w:val="single" w:sz="4" w:space="0" w:color="auto"/>
            </w:tcBorders>
            <w:shd w:val="clear" w:color="auto" w:fill="auto"/>
            <w:vAlign w:val="center"/>
          </w:tcPr>
          <w:p w14:paraId="31A4A0C8" w14:textId="000EDBBF" w:rsidR="009424B8" w:rsidRPr="00E3162E" w:rsidRDefault="009424B8" w:rsidP="00313F8C">
            <w:pPr>
              <w:pStyle w:val="TableText0"/>
              <w:jc w:val="center"/>
              <w:rPr>
                <w:bCs w:val="0"/>
                <w:vertAlign w:val="superscript"/>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0"/>
                <w:szCs w:val="20"/>
                <w:shd w:val="solid" w:color="000000" w:fill="000000"/>
                <w:fitText w:val="90" w:id="-1436812542"/>
                <w14:textFill>
                  <w14:solidFill>
                    <w14:srgbClr w14:val="000000">
                      <w14:alpha w14:val="100000"/>
                    </w14:srgbClr>
                  </w14:solidFill>
                </w14:textFill>
              </w:rPr>
              <w:t xml:space="preserve">　</w:t>
            </w:r>
            <w:r w:rsidR="00035272" w:rsidRPr="00035272">
              <w:rPr>
                <w:rFonts w:cs="Arial"/>
                <w:bCs w:val="0"/>
                <w:color w:val="000000"/>
                <w:w w:val="20"/>
                <w:szCs w:val="20"/>
                <w:shd w:val="solid" w:color="000000" w:fill="000000"/>
                <w:fitText w:val="90" w:id="-1436812542"/>
                <w14:textFill>
                  <w14:solidFill>
                    <w14:srgbClr w14:val="000000">
                      <w14:alpha w14:val="100000"/>
                    </w14:srgbClr>
                  </w14:solidFill>
                </w14:textFill>
              </w:rPr>
              <w:t>|</w:t>
            </w:r>
            <w:r w:rsidR="00035272" w:rsidRPr="00035272">
              <w:rPr>
                <w:rFonts w:cs="Arial" w:hint="eastAsia"/>
                <w:bCs w:val="0"/>
                <w:color w:val="000000"/>
                <w:spacing w:val="3"/>
                <w:w w:val="20"/>
                <w:szCs w:val="20"/>
                <w:shd w:val="solid" w:color="000000" w:fill="000000"/>
                <w:fitText w:val="90" w:id="-1436812542"/>
                <w14:textFill>
                  <w14:solidFill>
                    <w14:srgbClr w14:val="000000">
                      <w14:alpha w14:val="100000"/>
                    </w14:srgbClr>
                  </w14:solidFill>
                </w14:textFill>
              </w:rPr>
              <w:t xml:space="preserve">　</w:t>
            </w:r>
            <w:r w:rsidR="00E3162E">
              <w:rPr>
                <w:rFonts w:cs="Arial"/>
                <w:bCs w:val="0"/>
                <w:szCs w:val="20"/>
                <w:vertAlign w:val="superscript"/>
              </w:rPr>
              <w:t>9</w:t>
            </w:r>
          </w:p>
        </w:tc>
        <w:tc>
          <w:tcPr>
            <w:tcW w:w="649" w:type="pct"/>
            <w:tcBorders>
              <w:bottom w:val="single" w:sz="4" w:space="0" w:color="auto"/>
            </w:tcBorders>
            <w:vAlign w:val="center"/>
          </w:tcPr>
          <w:p w14:paraId="13B8EA8E" w14:textId="21ADE09A" w:rsidR="009424B8" w:rsidRPr="00E3162E" w:rsidRDefault="009424B8" w:rsidP="00313F8C">
            <w:pPr>
              <w:pStyle w:val="TableText0"/>
              <w:jc w:val="center"/>
              <w:rPr>
                <w:bCs w:val="0"/>
                <w:vertAlign w:val="superscript"/>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18"/>
                <w:szCs w:val="20"/>
                <w:shd w:val="solid" w:color="000000" w:fill="000000"/>
                <w:fitText w:val="80" w:id="-1436812541"/>
                <w14:textFill>
                  <w14:solidFill>
                    <w14:srgbClr w14:val="000000">
                      <w14:alpha w14:val="100000"/>
                    </w14:srgbClr>
                  </w14:solidFill>
                </w14:textFill>
              </w:rPr>
              <w:t xml:space="preserve">　</w:t>
            </w:r>
            <w:r w:rsidR="00035272" w:rsidRPr="00035272">
              <w:rPr>
                <w:rFonts w:cs="Arial"/>
                <w:bCs w:val="0"/>
                <w:color w:val="000000"/>
                <w:w w:val="18"/>
                <w:szCs w:val="20"/>
                <w:shd w:val="solid" w:color="000000" w:fill="000000"/>
                <w:fitText w:val="80" w:id="-1436812541"/>
                <w14:textFill>
                  <w14:solidFill>
                    <w14:srgbClr w14:val="000000">
                      <w14:alpha w14:val="100000"/>
                    </w14:srgbClr>
                  </w14:solidFill>
                </w14:textFill>
              </w:rPr>
              <w:t>|</w:t>
            </w:r>
            <w:r w:rsidR="00035272" w:rsidRPr="00035272">
              <w:rPr>
                <w:rFonts w:cs="Arial" w:hint="eastAsia"/>
                <w:bCs w:val="0"/>
                <w:color w:val="000000"/>
                <w:w w:val="18"/>
                <w:szCs w:val="20"/>
                <w:shd w:val="solid" w:color="000000" w:fill="000000"/>
                <w:fitText w:val="80" w:id="-1436812541"/>
                <w14:textFill>
                  <w14:solidFill>
                    <w14:srgbClr w14:val="000000">
                      <w14:alpha w14:val="100000"/>
                    </w14:srgbClr>
                  </w14:solidFill>
                </w14:textFill>
              </w:rPr>
              <w:t xml:space="preserve">　</w:t>
            </w:r>
            <w:r w:rsidR="00E3162E">
              <w:rPr>
                <w:rFonts w:cs="Arial"/>
                <w:bCs w:val="0"/>
                <w:szCs w:val="20"/>
                <w:vertAlign w:val="superscript"/>
              </w:rPr>
              <w:t>9</w:t>
            </w:r>
          </w:p>
        </w:tc>
      </w:tr>
      <w:tr w:rsidR="009424B8" w:rsidRPr="002609E0" w14:paraId="2B50FA97" w14:textId="77777777" w:rsidTr="00313F8C">
        <w:tc>
          <w:tcPr>
            <w:tcW w:w="5000" w:type="pct"/>
            <w:gridSpan w:val="7"/>
            <w:tcBorders>
              <w:bottom w:val="single" w:sz="4" w:space="0" w:color="auto"/>
            </w:tcBorders>
            <w:shd w:val="clear" w:color="auto" w:fill="auto"/>
            <w:vAlign w:val="center"/>
          </w:tcPr>
          <w:p w14:paraId="1BABDD2E" w14:textId="77777777" w:rsidR="009424B8" w:rsidRPr="002609E0" w:rsidRDefault="009424B8" w:rsidP="00313F8C">
            <w:pPr>
              <w:pStyle w:val="TableText0"/>
              <w:rPr>
                <w:b/>
              </w:rPr>
            </w:pPr>
            <w:r w:rsidRPr="002609E0">
              <w:rPr>
                <w:b/>
              </w:rPr>
              <w:t>Estimated financial implications of ADA, VDZ, TOF, IFX and GOL</w:t>
            </w:r>
          </w:p>
        </w:tc>
      </w:tr>
      <w:tr w:rsidR="009424B8" w:rsidRPr="002609E0" w14:paraId="469D3113" w14:textId="77777777" w:rsidTr="00313F8C">
        <w:tc>
          <w:tcPr>
            <w:tcW w:w="1116" w:type="pct"/>
            <w:tcBorders>
              <w:bottom w:val="single" w:sz="4" w:space="0" w:color="auto"/>
            </w:tcBorders>
            <w:shd w:val="clear" w:color="auto" w:fill="auto"/>
            <w:vAlign w:val="center"/>
          </w:tcPr>
          <w:p w14:paraId="5CAA3444" w14:textId="77777777" w:rsidR="009424B8" w:rsidRPr="002609E0" w:rsidRDefault="009424B8" w:rsidP="00313F8C">
            <w:pPr>
              <w:pStyle w:val="TableText0"/>
              <w:rPr>
                <w:sz w:val="19"/>
                <w:szCs w:val="19"/>
              </w:rPr>
            </w:pPr>
            <w:r w:rsidRPr="002609E0">
              <w:rPr>
                <w:sz w:val="19"/>
                <w:szCs w:val="19"/>
              </w:rPr>
              <w:t>Cost to PBS/RPBS less copayments</w:t>
            </w:r>
          </w:p>
        </w:tc>
        <w:tc>
          <w:tcPr>
            <w:tcW w:w="647" w:type="pct"/>
            <w:tcBorders>
              <w:bottom w:val="single" w:sz="4" w:space="0" w:color="auto"/>
            </w:tcBorders>
            <w:shd w:val="clear" w:color="auto" w:fill="auto"/>
            <w:vAlign w:val="center"/>
          </w:tcPr>
          <w:p w14:paraId="08A40480" w14:textId="50AF81AC" w:rsidR="009424B8" w:rsidRPr="00577D96" w:rsidRDefault="009424B8" w:rsidP="00313F8C">
            <w:pPr>
              <w:pStyle w:val="TableText0"/>
              <w:jc w:val="center"/>
              <w:rPr>
                <w:bCs w:val="0"/>
              </w:rPr>
            </w:pPr>
            <w:r w:rsidRPr="00577D96">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40"/>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40"/>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40"/>
                <w14:textFill>
                  <w14:solidFill>
                    <w14:srgbClr w14:val="000000">
                      <w14:alpha w14:val="100000"/>
                    </w14:srgbClr>
                  </w14:solidFill>
                </w14:textFill>
              </w:rPr>
              <w:t xml:space="preserve">　</w:t>
            </w:r>
            <w:r w:rsidR="00151C13">
              <w:rPr>
                <w:rFonts w:cs="Arial"/>
                <w:bCs w:val="0"/>
                <w:szCs w:val="20"/>
                <w:vertAlign w:val="superscript"/>
              </w:rPr>
              <w:t>6</w:t>
            </w:r>
          </w:p>
        </w:tc>
        <w:tc>
          <w:tcPr>
            <w:tcW w:w="647" w:type="pct"/>
            <w:tcBorders>
              <w:bottom w:val="single" w:sz="4" w:space="0" w:color="auto"/>
            </w:tcBorders>
            <w:shd w:val="clear" w:color="auto" w:fill="auto"/>
            <w:vAlign w:val="center"/>
          </w:tcPr>
          <w:p w14:paraId="174D5647" w14:textId="12751F98" w:rsidR="009424B8" w:rsidRPr="00577D96" w:rsidRDefault="009424B8" w:rsidP="00313F8C">
            <w:pPr>
              <w:pStyle w:val="TableText0"/>
              <w:jc w:val="center"/>
              <w:rPr>
                <w:bCs w:val="0"/>
              </w:rPr>
            </w:pPr>
            <w:r w:rsidRPr="00577D96">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39"/>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39"/>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39"/>
                <w14:textFill>
                  <w14:solidFill>
                    <w14:srgbClr w14:val="000000">
                      <w14:alpha w14:val="100000"/>
                    </w14:srgbClr>
                  </w14:solidFill>
                </w14:textFill>
              </w:rPr>
              <w:t xml:space="preserve">　</w:t>
            </w:r>
            <w:r w:rsidR="00151C13">
              <w:rPr>
                <w:rFonts w:cs="Arial"/>
                <w:bCs w:val="0"/>
                <w:szCs w:val="20"/>
                <w:vertAlign w:val="superscript"/>
              </w:rPr>
              <w:t>6</w:t>
            </w:r>
          </w:p>
        </w:tc>
        <w:tc>
          <w:tcPr>
            <w:tcW w:w="647" w:type="pct"/>
            <w:tcBorders>
              <w:bottom w:val="single" w:sz="4" w:space="0" w:color="auto"/>
            </w:tcBorders>
            <w:shd w:val="clear" w:color="auto" w:fill="auto"/>
            <w:vAlign w:val="center"/>
          </w:tcPr>
          <w:p w14:paraId="0CF3A8FA" w14:textId="73D4BFED" w:rsidR="009424B8" w:rsidRPr="00577D96" w:rsidRDefault="009424B8" w:rsidP="00313F8C">
            <w:pPr>
              <w:pStyle w:val="TableText0"/>
              <w:jc w:val="center"/>
              <w:rPr>
                <w:bCs w:val="0"/>
              </w:rPr>
            </w:pPr>
            <w:r w:rsidRPr="00577D96">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38"/>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38"/>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38"/>
                <w14:textFill>
                  <w14:solidFill>
                    <w14:srgbClr w14:val="000000">
                      <w14:alpha w14:val="100000"/>
                    </w14:srgbClr>
                  </w14:solidFill>
                </w14:textFill>
              </w:rPr>
              <w:t xml:space="preserve">　</w:t>
            </w:r>
            <w:r w:rsidR="00151C13">
              <w:rPr>
                <w:rFonts w:cs="Arial"/>
                <w:bCs w:val="0"/>
                <w:szCs w:val="20"/>
                <w:vertAlign w:val="superscript"/>
              </w:rPr>
              <w:t>7</w:t>
            </w:r>
          </w:p>
        </w:tc>
        <w:tc>
          <w:tcPr>
            <w:tcW w:w="647" w:type="pct"/>
            <w:tcBorders>
              <w:bottom w:val="single" w:sz="4" w:space="0" w:color="auto"/>
            </w:tcBorders>
            <w:shd w:val="clear" w:color="auto" w:fill="auto"/>
            <w:vAlign w:val="center"/>
          </w:tcPr>
          <w:p w14:paraId="7AA647B9" w14:textId="6B6919BC" w:rsidR="009424B8" w:rsidRPr="00577D96" w:rsidRDefault="009424B8" w:rsidP="00313F8C">
            <w:pPr>
              <w:pStyle w:val="TableText0"/>
              <w:jc w:val="center"/>
              <w:rPr>
                <w:bCs w:val="0"/>
              </w:rPr>
            </w:pPr>
            <w:r w:rsidRPr="00577D96">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37"/>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37"/>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37"/>
                <w14:textFill>
                  <w14:solidFill>
                    <w14:srgbClr w14:val="000000">
                      <w14:alpha w14:val="100000"/>
                    </w14:srgbClr>
                  </w14:solidFill>
                </w14:textFill>
              </w:rPr>
              <w:t xml:space="preserve">　</w:t>
            </w:r>
            <w:r w:rsidR="00151C13">
              <w:rPr>
                <w:rFonts w:cs="Arial"/>
                <w:bCs w:val="0"/>
                <w:szCs w:val="20"/>
                <w:vertAlign w:val="superscript"/>
              </w:rPr>
              <w:t>7</w:t>
            </w:r>
          </w:p>
        </w:tc>
        <w:tc>
          <w:tcPr>
            <w:tcW w:w="647" w:type="pct"/>
            <w:tcBorders>
              <w:bottom w:val="single" w:sz="4" w:space="0" w:color="auto"/>
            </w:tcBorders>
            <w:shd w:val="clear" w:color="auto" w:fill="auto"/>
            <w:vAlign w:val="center"/>
          </w:tcPr>
          <w:p w14:paraId="581A7A4B" w14:textId="0585B95E" w:rsidR="009424B8" w:rsidRPr="00577D96" w:rsidRDefault="009424B8" w:rsidP="00313F8C">
            <w:pPr>
              <w:pStyle w:val="TableText0"/>
              <w:jc w:val="center"/>
              <w:rPr>
                <w:bCs w:val="0"/>
              </w:rPr>
            </w:pPr>
            <w:r w:rsidRPr="00577D96">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36"/>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36"/>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36"/>
                <w14:textFill>
                  <w14:solidFill>
                    <w14:srgbClr w14:val="000000">
                      <w14:alpha w14:val="100000"/>
                    </w14:srgbClr>
                  </w14:solidFill>
                </w14:textFill>
              </w:rPr>
              <w:t xml:space="preserve">　</w:t>
            </w:r>
            <w:r w:rsidR="00151C13">
              <w:rPr>
                <w:rFonts w:cs="Arial"/>
                <w:bCs w:val="0"/>
                <w:szCs w:val="20"/>
                <w:vertAlign w:val="superscript"/>
              </w:rPr>
              <w:t>8</w:t>
            </w:r>
          </w:p>
        </w:tc>
        <w:tc>
          <w:tcPr>
            <w:tcW w:w="649" w:type="pct"/>
            <w:tcBorders>
              <w:bottom w:val="single" w:sz="4" w:space="0" w:color="auto"/>
            </w:tcBorders>
            <w:vAlign w:val="center"/>
          </w:tcPr>
          <w:p w14:paraId="0AD27347" w14:textId="135851C4" w:rsidR="009424B8" w:rsidRPr="00577D96" w:rsidRDefault="009424B8" w:rsidP="00313F8C">
            <w:pPr>
              <w:pStyle w:val="TableText0"/>
              <w:jc w:val="center"/>
              <w:rPr>
                <w:bCs w:val="0"/>
              </w:rPr>
            </w:pPr>
            <w:r w:rsidRPr="00577D96">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35"/>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35"/>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35"/>
                <w14:textFill>
                  <w14:solidFill>
                    <w14:srgbClr w14:val="000000">
                      <w14:alpha w14:val="100000"/>
                    </w14:srgbClr>
                  </w14:solidFill>
                </w14:textFill>
              </w:rPr>
              <w:t xml:space="preserve">　</w:t>
            </w:r>
            <w:r w:rsidR="00151C13">
              <w:rPr>
                <w:rFonts w:cs="Arial"/>
                <w:bCs w:val="0"/>
                <w:szCs w:val="20"/>
                <w:vertAlign w:val="superscript"/>
              </w:rPr>
              <w:t>8</w:t>
            </w:r>
          </w:p>
        </w:tc>
      </w:tr>
      <w:tr w:rsidR="009424B8" w:rsidRPr="002609E0" w14:paraId="540F149B" w14:textId="77777777" w:rsidTr="00313F8C">
        <w:tc>
          <w:tcPr>
            <w:tcW w:w="5000" w:type="pct"/>
            <w:gridSpan w:val="7"/>
            <w:shd w:val="clear" w:color="auto" w:fill="auto"/>
            <w:vAlign w:val="center"/>
          </w:tcPr>
          <w:p w14:paraId="17708E48" w14:textId="77777777" w:rsidR="009424B8" w:rsidRPr="002609E0" w:rsidRDefault="009424B8" w:rsidP="00313F8C">
            <w:pPr>
              <w:pStyle w:val="In-tableHeading"/>
              <w:rPr>
                <w:lang w:val="en-AU"/>
              </w:rPr>
            </w:pPr>
            <w:r w:rsidRPr="002609E0">
              <w:rPr>
                <w:lang w:val="en-AU"/>
              </w:rPr>
              <w:t>Net financial implications</w:t>
            </w:r>
          </w:p>
        </w:tc>
      </w:tr>
      <w:tr w:rsidR="009424B8" w:rsidRPr="002609E0" w14:paraId="322078AE" w14:textId="77777777" w:rsidTr="00313F8C">
        <w:tc>
          <w:tcPr>
            <w:tcW w:w="1116" w:type="pct"/>
            <w:shd w:val="clear" w:color="auto" w:fill="auto"/>
            <w:vAlign w:val="center"/>
          </w:tcPr>
          <w:p w14:paraId="61965DD7" w14:textId="77777777" w:rsidR="009424B8" w:rsidRPr="002609E0" w:rsidRDefault="009424B8" w:rsidP="00313F8C">
            <w:pPr>
              <w:pStyle w:val="TableText0"/>
              <w:rPr>
                <w:sz w:val="19"/>
                <w:szCs w:val="19"/>
              </w:rPr>
            </w:pPr>
            <w:r w:rsidRPr="002609E0">
              <w:rPr>
                <w:sz w:val="19"/>
                <w:szCs w:val="19"/>
              </w:rPr>
              <w:t>Net cost to PBS/RPBS</w:t>
            </w:r>
          </w:p>
        </w:tc>
        <w:tc>
          <w:tcPr>
            <w:tcW w:w="647" w:type="pct"/>
            <w:shd w:val="clear" w:color="auto" w:fill="auto"/>
            <w:vAlign w:val="center"/>
          </w:tcPr>
          <w:p w14:paraId="609AF1A5" w14:textId="31C2B7DD"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34"/>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34"/>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34"/>
                <w14:textFill>
                  <w14:solidFill>
                    <w14:srgbClr w14:val="000000">
                      <w14:alpha w14:val="100000"/>
                    </w14:srgbClr>
                  </w14:solidFill>
                </w14:textFill>
              </w:rPr>
              <w:t xml:space="preserve">　</w:t>
            </w:r>
            <w:r w:rsidR="00151C13">
              <w:rPr>
                <w:sz w:val="18"/>
                <w:szCs w:val="18"/>
                <w:vertAlign w:val="superscript"/>
              </w:rPr>
              <w:t>10</w:t>
            </w:r>
          </w:p>
        </w:tc>
        <w:tc>
          <w:tcPr>
            <w:tcW w:w="647" w:type="pct"/>
            <w:shd w:val="clear" w:color="auto" w:fill="auto"/>
            <w:vAlign w:val="center"/>
          </w:tcPr>
          <w:p w14:paraId="33354067" w14:textId="5C9C3706"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33"/>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33"/>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33"/>
                <w14:textFill>
                  <w14:solidFill>
                    <w14:srgbClr w14:val="000000">
                      <w14:alpha w14:val="100000"/>
                    </w14:srgbClr>
                  </w14:solidFill>
                </w14:textFill>
              </w:rPr>
              <w:t xml:space="preserve">　</w:t>
            </w:r>
            <w:r w:rsidR="00151C13">
              <w:rPr>
                <w:sz w:val="18"/>
                <w:szCs w:val="18"/>
                <w:vertAlign w:val="superscript"/>
              </w:rPr>
              <w:t>10</w:t>
            </w:r>
          </w:p>
        </w:tc>
        <w:tc>
          <w:tcPr>
            <w:tcW w:w="647" w:type="pct"/>
            <w:shd w:val="clear" w:color="auto" w:fill="auto"/>
            <w:vAlign w:val="center"/>
          </w:tcPr>
          <w:p w14:paraId="1CF473C1" w14:textId="0854781E"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32"/>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32"/>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32"/>
                <w14:textFill>
                  <w14:solidFill>
                    <w14:srgbClr w14:val="000000">
                      <w14:alpha w14:val="100000"/>
                    </w14:srgbClr>
                  </w14:solidFill>
                </w14:textFill>
              </w:rPr>
              <w:t xml:space="preserve">　</w:t>
            </w:r>
            <w:r w:rsidR="00151C13">
              <w:rPr>
                <w:sz w:val="18"/>
                <w:szCs w:val="18"/>
                <w:vertAlign w:val="superscript"/>
              </w:rPr>
              <w:t>10</w:t>
            </w:r>
          </w:p>
        </w:tc>
        <w:tc>
          <w:tcPr>
            <w:tcW w:w="647" w:type="pct"/>
            <w:shd w:val="clear" w:color="auto" w:fill="auto"/>
            <w:vAlign w:val="center"/>
          </w:tcPr>
          <w:p w14:paraId="69097FC3" w14:textId="267C2CF3"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7"/>
                <w:szCs w:val="20"/>
                <w:shd w:val="solid" w:color="000000" w:fill="000000"/>
                <w:fitText w:val="120" w:id="-1436812531"/>
                <w14:textFill>
                  <w14:solidFill>
                    <w14:srgbClr w14:val="000000">
                      <w14:alpha w14:val="100000"/>
                    </w14:srgbClr>
                  </w14:solidFill>
                </w14:textFill>
              </w:rPr>
              <w:t xml:space="preserve">　</w:t>
            </w:r>
            <w:r w:rsidR="00035272" w:rsidRPr="00035272">
              <w:rPr>
                <w:rFonts w:cs="Arial"/>
                <w:bCs w:val="0"/>
                <w:color w:val="000000"/>
                <w:w w:val="27"/>
                <w:szCs w:val="20"/>
                <w:shd w:val="solid" w:color="000000" w:fill="000000"/>
                <w:fitText w:val="120" w:id="-1436812531"/>
                <w14:textFill>
                  <w14:solidFill>
                    <w14:srgbClr w14:val="000000">
                      <w14:alpha w14:val="100000"/>
                    </w14:srgbClr>
                  </w14:solidFill>
                </w14:textFill>
              </w:rPr>
              <w:t>|</w:t>
            </w:r>
            <w:r w:rsidR="00035272" w:rsidRPr="00035272">
              <w:rPr>
                <w:rFonts w:cs="Arial" w:hint="eastAsia"/>
                <w:bCs w:val="0"/>
                <w:color w:val="000000"/>
                <w:spacing w:val="2"/>
                <w:w w:val="27"/>
                <w:szCs w:val="20"/>
                <w:shd w:val="solid" w:color="000000" w:fill="000000"/>
                <w:fitText w:val="120" w:id="-1436812531"/>
                <w14:textFill>
                  <w14:solidFill>
                    <w14:srgbClr w14:val="000000">
                      <w14:alpha w14:val="100000"/>
                    </w14:srgbClr>
                  </w14:solidFill>
                </w14:textFill>
              </w:rPr>
              <w:t xml:space="preserve">　</w:t>
            </w:r>
            <w:r w:rsidR="00151C13">
              <w:rPr>
                <w:sz w:val="18"/>
                <w:szCs w:val="18"/>
                <w:vertAlign w:val="superscript"/>
              </w:rPr>
              <w:t>10</w:t>
            </w:r>
          </w:p>
        </w:tc>
        <w:tc>
          <w:tcPr>
            <w:tcW w:w="647" w:type="pct"/>
            <w:shd w:val="clear" w:color="auto" w:fill="auto"/>
            <w:vAlign w:val="center"/>
          </w:tcPr>
          <w:p w14:paraId="2C775513" w14:textId="7C3BF4E7"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0"/>
                <w:szCs w:val="20"/>
                <w:shd w:val="solid" w:color="000000" w:fill="000000"/>
                <w:fitText w:val="90" w:id="-1436812530"/>
                <w14:textFill>
                  <w14:solidFill>
                    <w14:srgbClr w14:val="000000">
                      <w14:alpha w14:val="100000"/>
                    </w14:srgbClr>
                  </w14:solidFill>
                </w14:textFill>
              </w:rPr>
              <w:t xml:space="preserve">　</w:t>
            </w:r>
            <w:r w:rsidR="00035272" w:rsidRPr="00035272">
              <w:rPr>
                <w:rFonts w:cs="Arial"/>
                <w:bCs w:val="0"/>
                <w:color w:val="000000"/>
                <w:w w:val="20"/>
                <w:szCs w:val="20"/>
                <w:shd w:val="solid" w:color="000000" w:fill="000000"/>
                <w:fitText w:val="90" w:id="-1436812530"/>
                <w14:textFill>
                  <w14:solidFill>
                    <w14:srgbClr w14:val="000000">
                      <w14:alpha w14:val="100000"/>
                    </w14:srgbClr>
                  </w14:solidFill>
                </w14:textFill>
              </w:rPr>
              <w:t>|</w:t>
            </w:r>
            <w:r w:rsidR="00035272" w:rsidRPr="00035272">
              <w:rPr>
                <w:rFonts w:cs="Arial" w:hint="eastAsia"/>
                <w:bCs w:val="0"/>
                <w:color w:val="000000"/>
                <w:spacing w:val="3"/>
                <w:w w:val="20"/>
                <w:szCs w:val="20"/>
                <w:shd w:val="solid" w:color="000000" w:fill="000000"/>
                <w:fitText w:val="90" w:id="-1436812530"/>
                <w14:textFill>
                  <w14:solidFill>
                    <w14:srgbClr w14:val="000000">
                      <w14:alpha w14:val="100000"/>
                    </w14:srgbClr>
                  </w14:solidFill>
                </w14:textFill>
              </w:rPr>
              <w:t xml:space="preserve">　</w:t>
            </w:r>
            <w:r w:rsidR="00151C13" w:rsidRPr="0030308D">
              <w:rPr>
                <w:i/>
                <w:sz w:val="18"/>
                <w:szCs w:val="18"/>
                <w:vertAlign w:val="superscript"/>
              </w:rPr>
              <w:t>6</w:t>
            </w:r>
          </w:p>
        </w:tc>
        <w:tc>
          <w:tcPr>
            <w:tcW w:w="649" w:type="pct"/>
            <w:vAlign w:val="center"/>
          </w:tcPr>
          <w:p w14:paraId="79078FB1" w14:textId="7B3AF142"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20"/>
                <w:szCs w:val="20"/>
                <w:shd w:val="solid" w:color="000000" w:fill="000000"/>
                <w:fitText w:val="90" w:id="-1436812529"/>
                <w14:textFill>
                  <w14:solidFill>
                    <w14:srgbClr w14:val="000000">
                      <w14:alpha w14:val="100000"/>
                    </w14:srgbClr>
                  </w14:solidFill>
                </w14:textFill>
              </w:rPr>
              <w:t xml:space="preserve">　</w:t>
            </w:r>
            <w:r w:rsidR="00035272" w:rsidRPr="00035272">
              <w:rPr>
                <w:rFonts w:cs="Arial"/>
                <w:bCs w:val="0"/>
                <w:color w:val="000000"/>
                <w:w w:val="20"/>
                <w:szCs w:val="20"/>
                <w:shd w:val="solid" w:color="000000" w:fill="000000"/>
                <w:fitText w:val="90" w:id="-1436812529"/>
                <w14:textFill>
                  <w14:solidFill>
                    <w14:srgbClr w14:val="000000">
                      <w14:alpha w14:val="100000"/>
                    </w14:srgbClr>
                  </w14:solidFill>
                </w14:textFill>
              </w:rPr>
              <w:t>|</w:t>
            </w:r>
            <w:r w:rsidR="00035272" w:rsidRPr="00035272">
              <w:rPr>
                <w:rFonts w:cs="Arial" w:hint="eastAsia"/>
                <w:bCs w:val="0"/>
                <w:color w:val="000000"/>
                <w:spacing w:val="3"/>
                <w:w w:val="20"/>
                <w:szCs w:val="20"/>
                <w:shd w:val="solid" w:color="000000" w:fill="000000"/>
                <w:fitText w:val="90" w:id="-1436812529"/>
                <w14:textFill>
                  <w14:solidFill>
                    <w14:srgbClr w14:val="000000">
                      <w14:alpha w14:val="100000"/>
                    </w14:srgbClr>
                  </w14:solidFill>
                </w14:textFill>
              </w:rPr>
              <w:t xml:space="preserve">　</w:t>
            </w:r>
            <w:r w:rsidR="00151C13" w:rsidRPr="0030308D">
              <w:rPr>
                <w:i/>
                <w:sz w:val="18"/>
                <w:szCs w:val="18"/>
                <w:vertAlign w:val="superscript"/>
              </w:rPr>
              <w:t>6</w:t>
            </w:r>
          </w:p>
        </w:tc>
      </w:tr>
      <w:tr w:rsidR="009424B8" w:rsidRPr="002609E0" w14:paraId="2BD726C7" w14:textId="77777777" w:rsidTr="00313F8C">
        <w:tc>
          <w:tcPr>
            <w:tcW w:w="1116" w:type="pct"/>
            <w:shd w:val="clear" w:color="auto" w:fill="auto"/>
            <w:vAlign w:val="center"/>
          </w:tcPr>
          <w:p w14:paraId="22C27CF6" w14:textId="77777777" w:rsidR="009424B8" w:rsidRPr="002609E0" w:rsidRDefault="009424B8" w:rsidP="00313F8C">
            <w:pPr>
              <w:pStyle w:val="TableText0"/>
              <w:rPr>
                <w:rFonts w:ascii="Times" w:hAnsi="Times"/>
              </w:rPr>
            </w:pPr>
            <w:r w:rsidRPr="002609E0">
              <w:rPr>
                <w:sz w:val="19"/>
                <w:szCs w:val="19"/>
              </w:rPr>
              <w:t>Net cost to MBS</w:t>
            </w:r>
          </w:p>
        </w:tc>
        <w:tc>
          <w:tcPr>
            <w:tcW w:w="647" w:type="pct"/>
            <w:shd w:val="clear" w:color="auto" w:fill="auto"/>
            <w:vAlign w:val="center"/>
          </w:tcPr>
          <w:p w14:paraId="1A40A35D" w14:textId="389787D7"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31"/>
                <w:szCs w:val="20"/>
                <w:shd w:val="solid" w:color="000000" w:fill="000000"/>
                <w:fitText w:val="140" w:id="-1436812528"/>
                <w14:textFill>
                  <w14:solidFill>
                    <w14:srgbClr w14:val="000000">
                      <w14:alpha w14:val="100000"/>
                    </w14:srgbClr>
                  </w14:solidFill>
                </w14:textFill>
              </w:rPr>
              <w:t xml:space="preserve">　</w:t>
            </w:r>
            <w:r w:rsidR="00035272" w:rsidRPr="00035272">
              <w:rPr>
                <w:rFonts w:cs="Arial"/>
                <w:bCs w:val="0"/>
                <w:color w:val="000000"/>
                <w:w w:val="31"/>
                <w:szCs w:val="20"/>
                <w:shd w:val="solid" w:color="000000" w:fill="000000"/>
                <w:fitText w:val="140" w:id="-1436812528"/>
                <w14:textFill>
                  <w14:solidFill>
                    <w14:srgbClr w14:val="000000">
                      <w14:alpha w14:val="100000"/>
                    </w14:srgbClr>
                  </w14:solidFill>
                </w14:textFill>
              </w:rPr>
              <w:t>|</w:t>
            </w:r>
            <w:r w:rsidR="00035272" w:rsidRPr="00035272">
              <w:rPr>
                <w:rFonts w:cs="Arial" w:hint="eastAsia"/>
                <w:bCs w:val="0"/>
                <w:color w:val="000000"/>
                <w:spacing w:val="4"/>
                <w:w w:val="31"/>
                <w:szCs w:val="20"/>
                <w:shd w:val="solid" w:color="000000" w:fill="000000"/>
                <w:fitText w:val="140" w:id="-1436812528"/>
                <w14:textFill>
                  <w14:solidFill>
                    <w14:srgbClr w14:val="000000">
                      <w14:alpha w14:val="100000"/>
                    </w14:srgbClr>
                  </w14:solidFill>
                </w14:textFill>
              </w:rPr>
              <w:t xml:space="preserve">　</w:t>
            </w:r>
            <w:r w:rsidR="00151C13">
              <w:rPr>
                <w:sz w:val="18"/>
                <w:szCs w:val="18"/>
                <w:vertAlign w:val="superscript"/>
              </w:rPr>
              <w:t>10</w:t>
            </w:r>
          </w:p>
        </w:tc>
        <w:tc>
          <w:tcPr>
            <w:tcW w:w="647" w:type="pct"/>
            <w:shd w:val="clear" w:color="auto" w:fill="auto"/>
            <w:vAlign w:val="center"/>
          </w:tcPr>
          <w:p w14:paraId="3CC7F0E4" w14:textId="1799A47D"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31"/>
                <w:szCs w:val="20"/>
                <w:shd w:val="solid" w:color="000000" w:fill="000000"/>
                <w:fitText w:val="140" w:id="-1436812544"/>
                <w14:textFill>
                  <w14:solidFill>
                    <w14:srgbClr w14:val="000000">
                      <w14:alpha w14:val="100000"/>
                    </w14:srgbClr>
                  </w14:solidFill>
                </w14:textFill>
              </w:rPr>
              <w:t xml:space="preserve">　</w:t>
            </w:r>
            <w:r w:rsidR="00035272" w:rsidRPr="00035272">
              <w:rPr>
                <w:rFonts w:cs="Arial"/>
                <w:bCs w:val="0"/>
                <w:color w:val="000000"/>
                <w:w w:val="31"/>
                <w:szCs w:val="20"/>
                <w:shd w:val="solid" w:color="000000" w:fill="000000"/>
                <w:fitText w:val="140" w:id="-1436812544"/>
                <w14:textFill>
                  <w14:solidFill>
                    <w14:srgbClr w14:val="000000">
                      <w14:alpha w14:val="100000"/>
                    </w14:srgbClr>
                  </w14:solidFill>
                </w14:textFill>
              </w:rPr>
              <w:t>|</w:t>
            </w:r>
            <w:r w:rsidR="00035272" w:rsidRPr="00035272">
              <w:rPr>
                <w:rFonts w:cs="Arial" w:hint="eastAsia"/>
                <w:bCs w:val="0"/>
                <w:color w:val="000000"/>
                <w:spacing w:val="4"/>
                <w:w w:val="31"/>
                <w:szCs w:val="20"/>
                <w:shd w:val="solid" w:color="000000" w:fill="000000"/>
                <w:fitText w:val="140" w:id="-1436812544"/>
                <w14:textFill>
                  <w14:solidFill>
                    <w14:srgbClr w14:val="000000">
                      <w14:alpha w14:val="100000"/>
                    </w14:srgbClr>
                  </w14:solidFill>
                </w14:textFill>
              </w:rPr>
              <w:t xml:space="preserve">　</w:t>
            </w:r>
            <w:r w:rsidR="00151C13">
              <w:rPr>
                <w:sz w:val="18"/>
                <w:szCs w:val="18"/>
                <w:vertAlign w:val="superscript"/>
              </w:rPr>
              <w:t>10</w:t>
            </w:r>
          </w:p>
        </w:tc>
        <w:tc>
          <w:tcPr>
            <w:tcW w:w="647" w:type="pct"/>
            <w:shd w:val="clear" w:color="auto" w:fill="auto"/>
            <w:vAlign w:val="center"/>
          </w:tcPr>
          <w:p w14:paraId="5D7126F4" w14:textId="317361EE"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31"/>
                <w:szCs w:val="20"/>
                <w:shd w:val="solid" w:color="000000" w:fill="000000"/>
                <w:fitText w:val="140" w:id="-1436812543"/>
                <w14:textFill>
                  <w14:solidFill>
                    <w14:srgbClr w14:val="000000">
                      <w14:alpha w14:val="100000"/>
                    </w14:srgbClr>
                  </w14:solidFill>
                </w14:textFill>
              </w:rPr>
              <w:t xml:space="preserve">　</w:t>
            </w:r>
            <w:r w:rsidR="00035272" w:rsidRPr="00035272">
              <w:rPr>
                <w:rFonts w:cs="Arial"/>
                <w:bCs w:val="0"/>
                <w:color w:val="000000"/>
                <w:w w:val="31"/>
                <w:szCs w:val="20"/>
                <w:shd w:val="solid" w:color="000000" w:fill="000000"/>
                <w:fitText w:val="140" w:id="-1436812543"/>
                <w14:textFill>
                  <w14:solidFill>
                    <w14:srgbClr w14:val="000000">
                      <w14:alpha w14:val="100000"/>
                    </w14:srgbClr>
                  </w14:solidFill>
                </w14:textFill>
              </w:rPr>
              <w:t>|</w:t>
            </w:r>
            <w:r w:rsidR="00035272" w:rsidRPr="00035272">
              <w:rPr>
                <w:rFonts w:cs="Arial" w:hint="eastAsia"/>
                <w:bCs w:val="0"/>
                <w:color w:val="000000"/>
                <w:spacing w:val="4"/>
                <w:w w:val="31"/>
                <w:szCs w:val="20"/>
                <w:shd w:val="solid" w:color="000000" w:fill="000000"/>
                <w:fitText w:val="140" w:id="-1436812543"/>
                <w14:textFill>
                  <w14:solidFill>
                    <w14:srgbClr w14:val="000000">
                      <w14:alpha w14:val="100000"/>
                    </w14:srgbClr>
                  </w14:solidFill>
                </w14:textFill>
              </w:rPr>
              <w:t xml:space="preserve">　</w:t>
            </w:r>
            <w:r w:rsidR="00151C13">
              <w:rPr>
                <w:sz w:val="18"/>
                <w:szCs w:val="18"/>
                <w:vertAlign w:val="superscript"/>
              </w:rPr>
              <w:t>10</w:t>
            </w:r>
          </w:p>
        </w:tc>
        <w:tc>
          <w:tcPr>
            <w:tcW w:w="647" w:type="pct"/>
            <w:shd w:val="clear" w:color="auto" w:fill="auto"/>
            <w:vAlign w:val="center"/>
          </w:tcPr>
          <w:p w14:paraId="58F04D75" w14:textId="5C776006"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31"/>
                <w:szCs w:val="20"/>
                <w:shd w:val="solid" w:color="000000" w:fill="000000"/>
                <w:fitText w:val="140" w:id="-1436812542"/>
                <w14:textFill>
                  <w14:solidFill>
                    <w14:srgbClr w14:val="000000">
                      <w14:alpha w14:val="100000"/>
                    </w14:srgbClr>
                  </w14:solidFill>
                </w14:textFill>
              </w:rPr>
              <w:t xml:space="preserve">　</w:t>
            </w:r>
            <w:r w:rsidR="00035272" w:rsidRPr="00035272">
              <w:rPr>
                <w:rFonts w:cs="Arial"/>
                <w:bCs w:val="0"/>
                <w:color w:val="000000"/>
                <w:w w:val="31"/>
                <w:szCs w:val="20"/>
                <w:shd w:val="solid" w:color="000000" w:fill="000000"/>
                <w:fitText w:val="140" w:id="-1436812542"/>
                <w14:textFill>
                  <w14:solidFill>
                    <w14:srgbClr w14:val="000000">
                      <w14:alpha w14:val="100000"/>
                    </w14:srgbClr>
                  </w14:solidFill>
                </w14:textFill>
              </w:rPr>
              <w:t>|</w:t>
            </w:r>
            <w:r w:rsidR="00035272" w:rsidRPr="00035272">
              <w:rPr>
                <w:rFonts w:cs="Arial" w:hint="eastAsia"/>
                <w:bCs w:val="0"/>
                <w:color w:val="000000"/>
                <w:spacing w:val="4"/>
                <w:w w:val="31"/>
                <w:szCs w:val="20"/>
                <w:shd w:val="solid" w:color="000000" w:fill="000000"/>
                <w:fitText w:val="140" w:id="-1436812542"/>
                <w14:textFill>
                  <w14:solidFill>
                    <w14:srgbClr w14:val="000000">
                      <w14:alpha w14:val="100000"/>
                    </w14:srgbClr>
                  </w14:solidFill>
                </w14:textFill>
              </w:rPr>
              <w:t xml:space="preserve">　</w:t>
            </w:r>
            <w:r w:rsidR="00151C13">
              <w:rPr>
                <w:sz w:val="18"/>
                <w:szCs w:val="18"/>
                <w:vertAlign w:val="superscript"/>
              </w:rPr>
              <w:t>10</w:t>
            </w:r>
          </w:p>
        </w:tc>
        <w:tc>
          <w:tcPr>
            <w:tcW w:w="647" w:type="pct"/>
            <w:shd w:val="clear" w:color="auto" w:fill="auto"/>
            <w:vAlign w:val="center"/>
          </w:tcPr>
          <w:p w14:paraId="15D87426" w14:textId="14C19970"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31"/>
                <w:szCs w:val="20"/>
                <w:shd w:val="solid" w:color="000000" w:fill="000000"/>
                <w:fitText w:val="140" w:id="-1436812541"/>
                <w14:textFill>
                  <w14:solidFill>
                    <w14:srgbClr w14:val="000000">
                      <w14:alpha w14:val="100000"/>
                    </w14:srgbClr>
                  </w14:solidFill>
                </w14:textFill>
              </w:rPr>
              <w:t xml:space="preserve">　</w:t>
            </w:r>
            <w:r w:rsidR="00035272" w:rsidRPr="00035272">
              <w:rPr>
                <w:rFonts w:cs="Arial"/>
                <w:bCs w:val="0"/>
                <w:color w:val="000000"/>
                <w:w w:val="31"/>
                <w:szCs w:val="20"/>
                <w:shd w:val="solid" w:color="000000" w:fill="000000"/>
                <w:fitText w:val="140" w:id="-1436812541"/>
                <w14:textFill>
                  <w14:solidFill>
                    <w14:srgbClr w14:val="000000">
                      <w14:alpha w14:val="100000"/>
                    </w14:srgbClr>
                  </w14:solidFill>
                </w14:textFill>
              </w:rPr>
              <w:t>|</w:t>
            </w:r>
            <w:r w:rsidR="00035272" w:rsidRPr="00035272">
              <w:rPr>
                <w:rFonts w:cs="Arial" w:hint="eastAsia"/>
                <w:bCs w:val="0"/>
                <w:color w:val="000000"/>
                <w:spacing w:val="4"/>
                <w:w w:val="31"/>
                <w:szCs w:val="20"/>
                <w:shd w:val="solid" w:color="000000" w:fill="000000"/>
                <w:fitText w:val="140" w:id="-1436812541"/>
                <w14:textFill>
                  <w14:solidFill>
                    <w14:srgbClr w14:val="000000">
                      <w14:alpha w14:val="100000"/>
                    </w14:srgbClr>
                  </w14:solidFill>
                </w14:textFill>
              </w:rPr>
              <w:t xml:space="preserve">　</w:t>
            </w:r>
            <w:r w:rsidR="00151C13">
              <w:rPr>
                <w:sz w:val="18"/>
                <w:szCs w:val="18"/>
                <w:vertAlign w:val="superscript"/>
              </w:rPr>
              <w:t>10</w:t>
            </w:r>
          </w:p>
        </w:tc>
        <w:tc>
          <w:tcPr>
            <w:tcW w:w="649" w:type="pct"/>
            <w:vAlign w:val="center"/>
          </w:tcPr>
          <w:p w14:paraId="2BEC85D6" w14:textId="46BF8CA0" w:rsidR="009424B8" w:rsidRPr="002609E0" w:rsidRDefault="009424B8" w:rsidP="00313F8C">
            <w:pPr>
              <w:pStyle w:val="TableText0"/>
              <w:jc w:val="center"/>
              <w:rPr>
                <w:bCs w:val="0"/>
              </w:rPr>
            </w:pPr>
            <w:r w:rsidRPr="002609E0">
              <w:rPr>
                <w:rFonts w:cs="Arial"/>
                <w:bCs w:val="0"/>
                <w:szCs w:val="20"/>
              </w:rPr>
              <w:t>-$</w:t>
            </w:r>
            <w:r w:rsidR="00035272" w:rsidRPr="00035272">
              <w:rPr>
                <w:rFonts w:cs="Arial"/>
                <w:bCs w:val="0"/>
                <w:szCs w:val="20"/>
              </w:rPr>
              <w:t xml:space="preserve"> </w:t>
            </w:r>
            <w:r w:rsidR="00035272" w:rsidRPr="00035272">
              <w:rPr>
                <w:rFonts w:cs="Arial" w:hint="eastAsia"/>
                <w:bCs w:val="0"/>
                <w:color w:val="000000"/>
                <w:w w:val="31"/>
                <w:szCs w:val="20"/>
                <w:shd w:val="solid" w:color="000000" w:fill="000000"/>
                <w:fitText w:val="140" w:id="-1436812540"/>
                <w14:textFill>
                  <w14:solidFill>
                    <w14:srgbClr w14:val="000000">
                      <w14:alpha w14:val="100000"/>
                    </w14:srgbClr>
                  </w14:solidFill>
                </w14:textFill>
              </w:rPr>
              <w:t xml:space="preserve">　</w:t>
            </w:r>
            <w:r w:rsidR="00035272" w:rsidRPr="00035272">
              <w:rPr>
                <w:rFonts w:cs="Arial"/>
                <w:bCs w:val="0"/>
                <w:color w:val="000000"/>
                <w:w w:val="31"/>
                <w:szCs w:val="20"/>
                <w:shd w:val="solid" w:color="000000" w:fill="000000"/>
                <w:fitText w:val="140" w:id="-1436812540"/>
                <w14:textFill>
                  <w14:solidFill>
                    <w14:srgbClr w14:val="000000">
                      <w14:alpha w14:val="100000"/>
                    </w14:srgbClr>
                  </w14:solidFill>
                </w14:textFill>
              </w:rPr>
              <w:t>|</w:t>
            </w:r>
            <w:r w:rsidR="00035272" w:rsidRPr="00035272">
              <w:rPr>
                <w:rFonts w:cs="Arial" w:hint="eastAsia"/>
                <w:bCs w:val="0"/>
                <w:color w:val="000000"/>
                <w:spacing w:val="4"/>
                <w:w w:val="31"/>
                <w:szCs w:val="20"/>
                <w:shd w:val="solid" w:color="000000" w:fill="000000"/>
                <w:fitText w:val="140" w:id="-1436812540"/>
                <w14:textFill>
                  <w14:solidFill>
                    <w14:srgbClr w14:val="000000">
                      <w14:alpha w14:val="100000"/>
                    </w14:srgbClr>
                  </w14:solidFill>
                </w14:textFill>
              </w:rPr>
              <w:t xml:space="preserve">　</w:t>
            </w:r>
            <w:r w:rsidR="00151C13">
              <w:rPr>
                <w:sz w:val="18"/>
                <w:szCs w:val="18"/>
                <w:vertAlign w:val="superscript"/>
              </w:rPr>
              <w:t>10</w:t>
            </w:r>
          </w:p>
        </w:tc>
      </w:tr>
      <w:tr w:rsidR="009424B8" w:rsidRPr="002609E0" w14:paraId="1C26BC26" w14:textId="77777777" w:rsidTr="00313F8C">
        <w:tc>
          <w:tcPr>
            <w:tcW w:w="1116" w:type="pct"/>
            <w:shd w:val="clear" w:color="auto" w:fill="auto"/>
            <w:vAlign w:val="center"/>
          </w:tcPr>
          <w:p w14:paraId="77F7776E" w14:textId="77777777" w:rsidR="009424B8" w:rsidRPr="002609E0" w:rsidRDefault="009424B8" w:rsidP="00313F8C">
            <w:pPr>
              <w:pStyle w:val="TableText0"/>
              <w:rPr>
                <w:b/>
                <w:bCs w:val="0"/>
                <w:sz w:val="19"/>
                <w:szCs w:val="19"/>
              </w:rPr>
            </w:pPr>
            <w:r w:rsidRPr="002609E0">
              <w:rPr>
                <w:b/>
                <w:bCs w:val="0"/>
                <w:sz w:val="19"/>
                <w:szCs w:val="19"/>
              </w:rPr>
              <w:t>Net cost to Government</w:t>
            </w:r>
          </w:p>
        </w:tc>
        <w:tc>
          <w:tcPr>
            <w:tcW w:w="647" w:type="pct"/>
            <w:shd w:val="clear" w:color="auto" w:fill="auto"/>
            <w:vAlign w:val="center"/>
          </w:tcPr>
          <w:p w14:paraId="6BADC0AD" w14:textId="5C617579" w:rsidR="009424B8" w:rsidRPr="002609E0" w:rsidRDefault="009424B8" w:rsidP="00313F8C">
            <w:pPr>
              <w:pStyle w:val="TableText0"/>
              <w:jc w:val="center"/>
              <w:rPr>
                <w:b/>
              </w:rPr>
            </w:pPr>
            <w:r w:rsidRPr="002609E0">
              <w:rPr>
                <w:rFonts w:cs="Arial"/>
                <w:b/>
                <w:szCs w:val="20"/>
              </w:rPr>
              <w:t>$</w:t>
            </w:r>
            <w:r w:rsidR="00035272" w:rsidRPr="00035272">
              <w:rPr>
                <w:rFonts w:cs="Arial"/>
                <w:b/>
                <w:szCs w:val="20"/>
              </w:rPr>
              <w:t xml:space="preserve"> </w:t>
            </w:r>
            <w:r w:rsidR="00035272" w:rsidRPr="00035272">
              <w:rPr>
                <w:rFonts w:cs="Arial"/>
                <w:b/>
                <w:color w:val="000000"/>
                <w:spacing w:val="68"/>
                <w:szCs w:val="20"/>
                <w:shd w:val="solid" w:color="000000" w:fill="000000"/>
                <w:fitText w:val="160" w:id="-1436812539"/>
                <w14:textFill>
                  <w14:solidFill>
                    <w14:srgbClr w14:val="000000">
                      <w14:alpha w14:val="100000"/>
                    </w14:srgbClr>
                  </w14:solidFill>
                </w14:textFill>
              </w:rPr>
              <w:t>|</w:t>
            </w:r>
            <w:r w:rsidR="00035272" w:rsidRPr="00035272">
              <w:rPr>
                <w:rFonts w:cs="Arial"/>
                <w:b/>
                <w:color w:val="000000"/>
                <w:spacing w:val="1"/>
                <w:szCs w:val="20"/>
                <w:shd w:val="solid" w:color="000000" w:fill="000000"/>
                <w:fitText w:val="160" w:id="-1436812539"/>
                <w14:textFill>
                  <w14:solidFill>
                    <w14:srgbClr w14:val="000000">
                      <w14:alpha w14:val="100000"/>
                    </w14:srgbClr>
                  </w14:solidFill>
                </w14:textFill>
              </w:rPr>
              <w:t>|</w:t>
            </w:r>
            <w:r w:rsidR="00151C13">
              <w:rPr>
                <w:sz w:val="18"/>
                <w:szCs w:val="18"/>
                <w:vertAlign w:val="superscript"/>
              </w:rPr>
              <w:t>10</w:t>
            </w:r>
          </w:p>
        </w:tc>
        <w:tc>
          <w:tcPr>
            <w:tcW w:w="647" w:type="pct"/>
            <w:shd w:val="clear" w:color="auto" w:fill="auto"/>
            <w:vAlign w:val="center"/>
          </w:tcPr>
          <w:p w14:paraId="03C5A7A9" w14:textId="22837538" w:rsidR="009424B8" w:rsidRPr="002609E0" w:rsidRDefault="009424B8" w:rsidP="00313F8C">
            <w:pPr>
              <w:pStyle w:val="TableText0"/>
              <w:jc w:val="center"/>
              <w:rPr>
                <w:b/>
              </w:rPr>
            </w:pPr>
            <w:r w:rsidRPr="002609E0">
              <w:rPr>
                <w:rFonts w:cs="Arial"/>
                <w:b/>
                <w:szCs w:val="20"/>
              </w:rPr>
              <w:t>$</w:t>
            </w:r>
            <w:r w:rsidR="00035272" w:rsidRPr="00035272">
              <w:rPr>
                <w:rFonts w:cs="Arial"/>
                <w:b/>
                <w:szCs w:val="20"/>
              </w:rPr>
              <w:t xml:space="preserve"> </w:t>
            </w:r>
            <w:r w:rsidR="00035272" w:rsidRPr="00035272">
              <w:rPr>
                <w:rFonts w:cs="Arial"/>
                <w:b/>
                <w:color w:val="000000"/>
                <w:spacing w:val="68"/>
                <w:szCs w:val="20"/>
                <w:shd w:val="solid" w:color="000000" w:fill="000000"/>
                <w:fitText w:val="160" w:id="-1436812538"/>
                <w14:textFill>
                  <w14:solidFill>
                    <w14:srgbClr w14:val="000000">
                      <w14:alpha w14:val="100000"/>
                    </w14:srgbClr>
                  </w14:solidFill>
                </w14:textFill>
              </w:rPr>
              <w:t>|</w:t>
            </w:r>
            <w:r w:rsidR="00035272" w:rsidRPr="00035272">
              <w:rPr>
                <w:rFonts w:cs="Arial"/>
                <w:b/>
                <w:color w:val="000000"/>
                <w:spacing w:val="1"/>
                <w:szCs w:val="20"/>
                <w:shd w:val="solid" w:color="000000" w:fill="000000"/>
                <w:fitText w:val="160" w:id="-1436812538"/>
                <w14:textFill>
                  <w14:solidFill>
                    <w14:srgbClr w14:val="000000">
                      <w14:alpha w14:val="100000"/>
                    </w14:srgbClr>
                  </w14:solidFill>
                </w14:textFill>
              </w:rPr>
              <w:t>|</w:t>
            </w:r>
            <w:r w:rsidR="00151C13">
              <w:rPr>
                <w:sz w:val="18"/>
                <w:szCs w:val="18"/>
                <w:vertAlign w:val="superscript"/>
              </w:rPr>
              <w:t>10</w:t>
            </w:r>
          </w:p>
        </w:tc>
        <w:tc>
          <w:tcPr>
            <w:tcW w:w="647" w:type="pct"/>
            <w:shd w:val="clear" w:color="auto" w:fill="auto"/>
            <w:vAlign w:val="center"/>
          </w:tcPr>
          <w:p w14:paraId="50BDA6C8" w14:textId="6B9754DF" w:rsidR="009424B8" w:rsidRPr="002609E0" w:rsidRDefault="009424B8" w:rsidP="00313F8C">
            <w:pPr>
              <w:pStyle w:val="TableText0"/>
              <w:jc w:val="center"/>
              <w:rPr>
                <w:b/>
              </w:rPr>
            </w:pPr>
            <w:r w:rsidRPr="002609E0">
              <w:rPr>
                <w:rFonts w:cs="Arial"/>
                <w:b/>
                <w:szCs w:val="20"/>
              </w:rPr>
              <w:t>$</w:t>
            </w:r>
            <w:r w:rsidR="00035272" w:rsidRPr="00035272">
              <w:rPr>
                <w:rFonts w:cs="Arial"/>
                <w:b/>
                <w:szCs w:val="20"/>
              </w:rPr>
              <w:t xml:space="preserve"> </w:t>
            </w:r>
            <w:r w:rsidR="00035272" w:rsidRPr="00035272">
              <w:rPr>
                <w:rFonts w:cs="Arial"/>
                <w:b/>
                <w:color w:val="000000"/>
                <w:spacing w:val="68"/>
                <w:szCs w:val="20"/>
                <w:shd w:val="solid" w:color="000000" w:fill="000000"/>
                <w:fitText w:val="160" w:id="-1436812537"/>
                <w14:textFill>
                  <w14:solidFill>
                    <w14:srgbClr w14:val="000000">
                      <w14:alpha w14:val="100000"/>
                    </w14:srgbClr>
                  </w14:solidFill>
                </w14:textFill>
              </w:rPr>
              <w:t>|</w:t>
            </w:r>
            <w:r w:rsidR="00035272" w:rsidRPr="00035272">
              <w:rPr>
                <w:rFonts w:cs="Arial"/>
                <w:b/>
                <w:color w:val="000000"/>
                <w:spacing w:val="1"/>
                <w:szCs w:val="20"/>
                <w:shd w:val="solid" w:color="000000" w:fill="000000"/>
                <w:fitText w:val="160" w:id="-1436812537"/>
                <w14:textFill>
                  <w14:solidFill>
                    <w14:srgbClr w14:val="000000">
                      <w14:alpha w14:val="100000"/>
                    </w14:srgbClr>
                  </w14:solidFill>
                </w14:textFill>
              </w:rPr>
              <w:t>|</w:t>
            </w:r>
            <w:r w:rsidR="00151C13">
              <w:rPr>
                <w:sz w:val="18"/>
                <w:szCs w:val="18"/>
                <w:vertAlign w:val="superscript"/>
              </w:rPr>
              <w:t>10</w:t>
            </w:r>
          </w:p>
        </w:tc>
        <w:tc>
          <w:tcPr>
            <w:tcW w:w="647" w:type="pct"/>
            <w:shd w:val="clear" w:color="auto" w:fill="auto"/>
            <w:vAlign w:val="center"/>
          </w:tcPr>
          <w:p w14:paraId="16B41CD4" w14:textId="66E69B99" w:rsidR="009424B8" w:rsidRPr="002609E0" w:rsidRDefault="009424B8" w:rsidP="00313F8C">
            <w:pPr>
              <w:pStyle w:val="TableText0"/>
              <w:jc w:val="center"/>
              <w:rPr>
                <w:b/>
              </w:rPr>
            </w:pPr>
            <w:r w:rsidRPr="002609E0">
              <w:rPr>
                <w:rFonts w:cs="Arial"/>
                <w:b/>
                <w:szCs w:val="20"/>
              </w:rPr>
              <w:t>$</w:t>
            </w:r>
            <w:r w:rsidR="00035272" w:rsidRPr="00035272">
              <w:rPr>
                <w:rFonts w:cs="Arial"/>
                <w:b/>
                <w:szCs w:val="20"/>
              </w:rPr>
              <w:t xml:space="preserve"> </w:t>
            </w:r>
            <w:r w:rsidR="00035272" w:rsidRPr="00035272">
              <w:rPr>
                <w:rFonts w:cs="Arial"/>
                <w:b/>
                <w:color w:val="000000"/>
                <w:spacing w:val="68"/>
                <w:szCs w:val="20"/>
                <w:shd w:val="solid" w:color="000000" w:fill="000000"/>
                <w:fitText w:val="160" w:id="-1436812536"/>
                <w14:textFill>
                  <w14:solidFill>
                    <w14:srgbClr w14:val="000000">
                      <w14:alpha w14:val="100000"/>
                    </w14:srgbClr>
                  </w14:solidFill>
                </w14:textFill>
              </w:rPr>
              <w:t>|</w:t>
            </w:r>
            <w:r w:rsidR="00035272" w:rsidRPr="00035272">
              <w:rPr>
                <w:rFonts w:cs="Arial"/>
                <w:b/>
                <w:color w:val="000000"/>
                <w:spacing w:val="1"/>
                <w:szCs w:val="20"/>
                <w:shd w:val="solid" w:color="000000" w:fill="000000"/>
                <w:fitText w:val="160" w:id="-1436812536"/>
                <w14:textFill>
                  <w14:solidFill>
                    <w14:srgbClr w14:val="000000">
                      <w14:alpha w14:val="100000"/>
                    </w14:srgbClr>
                  </w14:solidFill>
                </w14:textFill>
              </w:rPr>
              <w:t>|</w:t>
            </w:r>
            <w:r w:rsidR="00151C13">
              <w:rPr>
                <w:sz w:val="18"/>
                <w:szCs w:val="18"/>
                <w:vertAlign w:val="superscript"/>
              </w:rPr>
              <w:t>10</w:t>
            </w:r>
          </w:p>
        </w:tc>
        <w:tc>
          <w:tcPr>
            <w:tcW w:w="647" w:type="pct"/>
            <w:shd w:val="clear" w:color="auto" w:fill="auto"/>
            <w:vAlign w:val="center"/>
          </w:tcPr>
          <w:p w14:paraId="16C2A026" w14:textId="5AB94F5B" w:rsidR="009424B8" w:rsidRPr="002609E0" w:rsidRDefault="009424B8" w:rsidP="00313F8C">
            <w:pPr>
              <w:pStyle w:val="TableText0"/>
              <w:jc w:val="center"/>
              <w:rPr>
                <w:b/>
              </w:rPr>
            </w:pPr>
            <w:r w:rsidRPr="002609E0">
              <w:rPr>
                <w:rFonts w:cs="Arial"/>
                <w:b/>
                <w:szCs w:val="20"/>
              </w:rPr>
              <w:t>$</w:t>
            </w:r>
            <w:r w:rsidR="00035272" w:rsidRPr="00035272">
              <w:rPr>
                <w:rFonts w:cs="Arial"/>
                <w:b/>
                <w:szCs w:val="20"/>
              </w:rPr>
              <w:t xml:space="preserve"> </w:t>
            </w:r>
            <w:r w:rsidR="00035272" w:rsidRPr="00035272">
              <w:rPr>
                <w:rFonts w:cs="Arial"/>
                <w:b/>
                <w:color w:val="000000"/>
                <w:spacing w:val="68"/>
                <w:szCs w:val="20"/>
                <w:shd w:val="solid" w:color="000000" w:fill="000000"/>
                <w:fitText w:val="160" w:id="-1436812535"/>
                <w14:textFill>
                  <w14:solidFill>
                    <w14:srgbClr w14:val="000000">
                      <w14:alpha w14:val="100000"/>
                    </w14:srgbClr>
                  </w14:solidFill>
                </w14:textFill>
              </w:rPr>
              <w:t>|</w:t>
            </w:r>
            <w:r w:rsidR="00035272" w:rsidRPr="00035272">
              <w:rPr>
                <w:rFonts w:cs="Arial"/>
                <w:b/>
                <w:color w:val="000000"/>
                <w:spacing w:val="1"/>
                <w:szCs w:val="20"/>
                <w:shd w:val="solid" w:color="000000" w:fill="000000"/>
                <w:fitText w:val="160" w:id="-1436812535"/>
                <w14:textFill>
                  <w14:solidFill>
                    <w14:srgbClr w14:val="000000">
                      <w14:alpha w14:val="100000"/>
                    </w14:srgbClr>
                  </w14:solidFill>
                </w14:textFill>
              </w:rPr>
              <w:t>|</w:t>
            </w:r>
            <w:r w:rsidR="00934ED6">
              <w:rPr>
                <w:sz w:val="18"/>
                <w:szCs w:val="18"/>
                <w:vertAlign w:val="superscript"/>
              </w:rPr>
              <w:t>10</w:t>
            </w:r>
          </w:p>
        </w:tc>
        <w:tc>
          <w:tcPr>
            <w:tcW w:w="649" w:type="pct"/>
            <w:vAlign w:val="center"/>
          </w:tcPr>
          <w:p w14:paraId="43868EF2" w14:textId="50293FE5" w:rsidR="009424B8" w:rsidRPr="002609E0" w:rsidRDefault="009424B8" w:rsidP="00313F8C">
            <w:pPr>
              <w:pStyle w:val="TableText0"/>
              <w:jc w:val="center"/>
              <w:rPr>
                <w:b/>
              </w:rPr>
            </w:pPr>
            <w:r w:rsidRPr="002609E0">
              <w:rPr>
                <w:rFonts w:cs="Arial"/>
                <w:b/>
                <w:szCs w:val="20"/>
              </w:rPr>
              <w:t>$</w:t>
            </w:r>
            <w:r w:rsidR="00035272" w:rsidRPr="00035272">
              <w:rPr>
                <w:rFonts w:cs="Arial"/>
                <w:b/>
                <w:szCs w:val="20"/>
              </w:rPr>
              <w:t xml:space="preserve"> </w:t>
            </w:r>
            <w:r w:rsidR="00035272" w:rsidRPr="00035272">
              <w:rPr>
                <w:rFonts w:cs="Arial" w:hint="eastAsia"/>
                <w:b/>
                <w:color w:val="000000"/>
                <w:w w:val="29"/>
                <w:szCs w:val="20"/>
                <w:shd w:val="solid" w:color="000000" w:fill="000000"/>
                <w:fitText w:val="130" w:id="-1436812534"/>
                <w14:textFill>
                  <w14:solidFill>
                    <w14:srgbClr w14:val="000000">
                      <w14:alpha w14:val="100000"/>
                    </w14:srgbClr>
                  </w14:solidFill>
                </w14:textFill>
              </w:rPr>
              <w:t xml:space="preserve">　</w:t>
            </w:r>
            <w:r w:rsidR="00035272" w:rsidRPr="00035272">
              <w:rPr>
                <w:rFonts w:cs="Arial"/>
                <w:b/>
                <w:color w:val="000000"/>
                <w:w w:val="29"/>
                <w:szCs w:val="20"/>
                <w:shd w:val="solid" w:color="000000" w:fill="000000"/>
                <w:fitText w:val="130" w:id="-1436812534"/>
                <w14:textFill>
                  <w14:solidFill>
                    <w14:srgbClr w14:val="000000">
                      <w14:alpha w14:val="100000"/>
                    </w14:srgbClr>
                  </w14:solidFill>
                </w14:textFill>
              </w:rPr>
              <w:t>|</w:t>
            </w:r>
            <w:r w:rsidR="00035272" w:rsidRPr="00035272">
              <w:rPr>
                <w:rFonts w:cs="Arial" w:hint="eastAsia"/>
                <w:b/>
                <w:color w:val="000000"/>
                <w:spacing w:val="1"/>
                <w:w w:val="29"/>
                <w:szCs w:val="20"/>
                <w:shd w:val="solid" w:color="000000" w:fill="000000"/>
                <w:fitText w:val="130" w:id="-1436812534"/>
                <w14:textFill>
                  <w14:solidFill>
                    <w14:srgbClr w14:val="000000">
                      <w14:alpha w14:val="100000"/>
                    </w14:srgbClr>
                  </w14:solidFill>
                </w14:textFill>
              </w:rPr>
              <w:t xml:space="preserve">　</w:t>
            </w:r>
            <w:r w:rsidR="00934ED6" w:rsidRPr="0030308D">
              <w:rPr>
                <w:i/>
                <w:sz w:val="18"/>
                <w:szCs w:val="18"/>
                <w:vertAlign w:val="superscript"/>
              </w:rPr>
              <w:t>6</w:t>
            </w:r>
          </w:p>
        </w:tc>
      </w:tr>
    </w:tbl>
    <w:p w14:paraId="150CB64E" w14:textId="77777777" w:rsidR="009424B8" w:rsidRPr="008010B1" w:rsidRDefault="009424B8" w:rsidP="009424B8">
      <w:pPr>
        <w:pStyle w:val="TableFooter"/>
        <w:keepNext/>
        <w:keepLines/>
      </w:pPr>
      <w:r w:rsidRPr="008010B1">
        <w:t xml:space="preserve">Source: Table 4-20, p154; worksheet ‘5. Impact - net’; worksheet ‘7. Net changes - MBS’ of the Excel workbook ‘Attachment 4 Workbook section 4’. </w:t>
      </w:r>
    </w:p>
    <w:p w14:paraId="23BA802A" w14:textId="77777777" w:rsidR="009424B8" w:rsidRPr="008010B1" w:rsidRDefault="009424B8" w:rsidP="009424B8">
      <w:pPr>
        <w:pStyle w:val="TableFooter"/>
        <w:rPr>
          <w:rStyle w:val="CommentReference"/>
          <w:b w:val="0"/>
          <w:sz w:val="18"/>
          <w:szCs w:val="18"/>
        </w:rPr>
      </w:pPr>
      <w:r w:rsidRPr="008010B1">
        <w:rPr>
          <w:szCs w:val="18"/>
        </w:rPr>
        <w:t xml:space="preserve">ADA = adalimumab; GOL = golimumab; IFX = infliximab; MSUC = moderate to severe ulcerative colitis; TOF = tofacitinib; VDZ = vedolizumab </w:t>
      </w:r>
    </w:p>
    <w:p w14:paraId="765148AF" w14:textId="6DF7C731" w:rsidR="003E6B9E" w:rsidRPr="00271A9D" w:rsidRDefault="003E6B9E" w:rsidP="003E6B9E">
      <w:pPr>
        <w:pStyle w:val="TableFigureFooter"/>
        <w:tabs>
          <w:tab w:val="left" w:pos="142"/>
        </w:tabs>
        <w:ind w:left="142" w:hanging="142"/>
      </w:pPr>
      <w:r>
        <w:rPr>
          <w:vertAlign w:val="superscript"/>
        </w:rPr>
        <w:t>*</w:t>
      </w:r>
      <w:r>
        <w:rPr>
          <w:vertAlign w:val="superscript"/>
        </w:rPr>
        <w:tab/>
      </w:r>
      <w:r>
        <w:t>Updated results correct for three programming/parameter errors: t</w:t>
      </w:r>
      <w:r w:rsidRPr="00271A9D">
        <w:t xml:space="preserve">he published price for UPA 45 mg (the submission assumed a published price of </w:t>
      </w:r>
      <w:r w:rsidRPr="009E5654">
        <w:t>$</w:t>
      </w:r>
      <w:r w:rsidR="00035272" w:rsidRPr="00035272">
        <w:t xml:space="preserve"> </w:t>
      </w:r>
      <w:r w:rsidR="00035272" w:rsidRPr="00035272">
        <w:rPr>
          <w:color w:val="000000"/>
          <w:w w:val="59"/>
          <w:shd w:val="solid" w:color="000000" w:fill="000000"/>
          <w:fitText w:val="140" w:id="-1436812533"/>
          <w14:textFill>
            <w14:solidFill>
              <w14:srgbClr w14:val="000000">
                <w14:alpha w14:val="100000"/>
              </w14:srgbClr>
            </w14:solidFill>
          </w14:textFill>
        </w:rPr>
        <w:t>||  |</w:t>
      </w:r>
      <w:r w:rsidR="00035272" w:rsidRPr="00035272">
        <w:rPr>
          <w:color w:val="000000"/>
          <w:spacing w:val="1"/>
          <w:w w:val="59"/>
          <w:shd w:val="solid" w:color="000000" w:fill="000000"/>
          <w:fitText w:val="140" w:id="-1436812533"/>
          <w14:textFill>
            <w14:solidFill>
              <w14:srgbClr w14:val="000000">
                <w14:alpha w14:val="100000"/>
              </w14:srgbClr>
            </w14:solidFill>
          </w14:textFill>
        </w:rPr>
        <w:t>|</w:t>
      </w:r>
      <w:r w:rsidRPr="00271A9D">
        <w:t xml:space="preserve"> instead of the requested published price of $</w:t>
      </w:r>
      <w:r w:rsidR="00035272" w:rsidRPr="00035272">
        <w:t xml:space="preserve"> </w:t>
      </w:r>
      <w:r w:rsidR="00035272" w:rsidRPr="00035272">
        <w:rPr>
          <w:color w:val="000000"/>
          <w:w w:val="59"/>
          <w:shd w:val="solid" w:color="000000" w:fill="000000"/>
          <w:fitText w:val="140" w:id="-1436812532"/>
          <w14:textFill>
            <w14:solidFill>
              <w14:srgbClr w14:val="000000">
                <w14:alpha w14:val="100000"/>
              </w14:srgbClr>
            </w14:solidFill>
          </w14:textFill>
        </w:rPr>
        <w:t>||  |</w:t>
      </w:r>
      <w:r w:rsidR="00035272" w:rsidRPr="00035272">
        <w:rPr>
          <w:color w:val="000000"/>
          <w:spacing w:val="1"/>
          <w:w w:val="59"/>
          <w:shd w:val="solid" w:color="000000" w:fill="000000"/>
          <w:fitText w:val="140" w:id="-1436812532"/>
          <w14:textFill>
            <w14:solidFill>
              <w14:srgbClr w14:val="000000">
                <w14:alpha w14:val="100000"/>
              </w14:srgbClr>
            </w14:solidFill>
          </w14:textFill>
        </w:rPr>
        <w:t>|</w:t>
      </w:r>
      <w:r w:rsidRPr="00271A9D">
        <w:t>)</w:t>
      </w:r>
      <w:r>
        <w:t>; t</w:t>
      </w:r>
      <w:r w:rsidRPr="00271A9D">
        <w:t>he published prices for UPA 15 mg and 30 mg (the submission applied the requested published price for UPA 15 mg to UPA 30 mg scripts, and vice versa);</w:t>
      </w:r>
      <w:r>
        <w:t xml:space="preserve"> t</w:t>
      </w:r>
      <w:r w:rsidRPr="00271A9D">
        <w:t xml:space="preserve">he patient copayment values (the submission did not use the current values). </w:t>
      </w:r>
    </w:p>
    <w:p w14:paraId="7F30DE9B" w14:textId="25B9F2F5" w:rsidR="006947B0" w:rsidRDefault="009424B8" w:rsidP="00BB2C89">
      <w:pPr>
        <w:pStyle w:val="TableFigureFooter"/>
        <w:tabs>
          <w:tab w:val="left" w:pos="142"/>
        </w:tabs>
        <w:ind w:left="142" w:hanging="142"/>
      </w:pPr>
      <w:r w:rsidRPr="008010B1">
        <w:rPr>
          <w:vertAlign w:val="superscript"/>
        </w:rPr>
        <w:t>a</w:t>
      </w:r>
      <w:r w:rsidRPr="008010B1">
        <w:tab/>
        <w:t>As the proportion of initiation packs in overall usage would be greater during the early years of listing, and then use of continuation packs would increase as more patients stay on treatment over time, the submission reconfigured the initiation/continuation split to address this. For continuation it was assumed that 70% of scripts would be for the 15 mg, and 30% for the 30 mg.</w:t>
      </w:r>
    </w:p>
    <w:p w14:paraId="29BB885C" w14:textId="77777777" w:rsidR="006947B0" w:rsidRPr="0030308D" w:rsidRDefault="006947B0" w:rsidP="006947B0">
      <w:pPr>
        <w:pStyle w:val="TableFigureFooter"/>
        <w:keepNext/>
        <w:spacing w:after="0"/>
        <w:contextualSpacing w:val="0"/>
        <w:rPr>
          <w:i/>
        </w:rPr>
      </w:pPr>
      <w:r w:rsidRPr="0030308D">
        <w:rPr>
          <w:i/>
        </w:rPr>
        <w:t>The redacted values correspond to the following ranges:</w:t>
      </w:r>
    </w:p>
    <w:p w14:paraId="1A6AED38" w14:textId="77ED2318" w:rsidR="006947B0" w:rsidRPr="0030308D" w:rsidRDefault="006947B0" w:rsidP="006947B0">
      <w:pPr>
        <w:pStyle w:val="TableFigureFooter"/>
        <w:keepNext/>
        <w:spacing w:after="0"/>
        <w:contextualSpacing w:val="0"/>
      </w:pPr>
      <w:r w:rsidRPr="0030308D">
        <w:rPr>
          <w:i/>
          <w:szCs w:val="18"/>
          <w:vertAlign w:val="superscript"/>
        </w:rPr>
        <w:t>1</w:t>
      </w:r>
      <w:r w:rsidRPr="0030308D">
        <w:rPr>
          <w:i/>
          <w:szCs w:val="18"/>
        </w:rPr>
        <w:t xml:space="preserve"> 500</w:t>
      </w:r>
      <w:r w:rsidR="0030308D">
        <w:rPr>
          <w:i/>
          <w:szCs w:val="18"/>
        </w:rPr>
        <w:t xml:space="preserve"> to</w:t>
      </w:r>
      <w:r w:rsidRPr="0030308D">
        <w:rPr>
          <w:i/>
          <w:szCs w:val="18"/>
        </w:rPr>
        <w:t xml:space="preserve"> &lt;</w:t>
      </w:r>
      <w:r w:rsidR="005A1C45">
        <w:rPr>
          <w:i/>
          <w:szCs w:val="18"/>
        </w:rPr>
        <w:t xml:space="preserve"> </w:t>
      </w:r>
      <w:r w:rsidRPr="0030308D">
        <w:rPr>
          <w:i/>
          <w:szCs w:val="18"/>
        </w:rPr>
        <w:t>5,000</w:t>
      </w:r>
    </w:p>
    <w:p w14:paraId="131B2EE0" w14:textId="5F685504" w:rsidR="006947B0" w:rsidRPr="0030308D" w:rsidRDefault="006947B0" w:rsidP="006947B0">
      <w:pPr>
        <w:rPr>
          <w:rFonts w:ascii="Arial Narrow" w:hAnsi="Arial Narrow"/>
          <w:i/>
          <w:sz w:val="18"/>
          <w:szCs w:val="18"/>
        </w:rPr>
      </w:pPr>
      <w:r w:rsidRPr="0030308D">
        <w:rPr>
          <w:rFonts w:ascii="Arial Narrow" w:hAnsi="Arial Narrow"/>
          <w:i/>
          <w:sz w:val="18"/>
          <w:szCs w:val="18"/>
          <w:vertAlign w:val="superscript"/>
        </w:rPr>
        <w:t>2</w:t>
      </w:r>
      <w:r w:rsidRPr="0030308D">
        <w:rPr>
          <w:rFonts w:ascii="Arial Narrow" w:hAnsi="Arial Narrow"/>
          <w:i/>
          <w:sz w:val="18"/>
          <w:szCs w:val="18"/>
        </w:rPr>
        <w:t xml:space="preserve"> </w:t>
      </w:r>
      <w:r w:rsidR="00BD28B6" w:rsidRPr="0030308D">
        <w:rPr>
          <w:rFonts w:ascii="Arial Narrow" w:hAnsi="Arial Narrow"/>
          <w:i/>
          <w:sz w:val="18"/>
          <w:szCs w:val="18"/>
        </w:rPr>
        <w:t>5,000 to &lt;</w:t>
      </w:r>
      <w:r w:rsidR="005A1C45">
        <w:rPr>
          <w:rFonts w:ascii="Arial Narrow" w:hAnsi="Arial Narrow"/>
          <w:i/>
          <w:sz w:val="18"/>
          <w:szCs w:val="18"/>
        </w:rPr>
        <w:t xml:space="preserve"> </w:t>
      </w:r>
      <w:r w:rsidR="00BD28B6" w:rsidRPr="0030308D">
        <w:rPr>
          <w:rFonts w:ascii="Arial Narrow" w:hAnsi="Arial Narrow"/>
          <w:i/>
          <w:sz w:val="18"/>
          <w:szCs w:val="18"/>
        </w:rPr>
        <w:t>10,000</w:t>
      </w:r>
    </w:p>
    <w:p w14:paraId="14E1FD54" w14:textId="409259B0" w:rsidR="006947B0" w:rsidRPr="0030308D" w:rsidRDefault="006947B0" w:rsidP="006947B0">
      <w:pPr>
        <w:rPr>
          <w:rFonts w:ascii="Arial Narrow" w:hAnsi="Arial Narrow"/>
          <w:i/>
          <w:sz w:val="18"/>
          <w:szCs w:val="18"/>
        </w:rPr>
      </w:pPr>
      <w:r w:rsidRPr="0030308D">
        <w:rPr>
          <w:rFonts w:ascii="Arial Narrow" w:hAnsi="Arial Narrow"/>
          <w:i/>
          <w:sz w:val="18"/>
          <w:szCs w:val="18"/>
          <w:vertAlign w:val="superscript"/>
        </w:rPr>
        <w:t xml:space="preserve">3 </w:t>
      </w:r>
      <w:r w:rsidRPr="0030308D">
        <w:rPr>
          <w:rFonts w:ascii="Arial Narrow" w:hAnsi="Arial Narrow"/>
          <w:i/>
          <w:sz w:val="18"/>
          <w:szCs w:val="18"/>
        </w:rPr>
        <w:t>10,000 to &lt;</w:t>
      </w:r>
      <w:r w:rsidR="005A1C45">
        <w:rPr>
          <w:rFonts w:ascii="Arial Narrow" w:hAnsi="Arial Narrow"/>
          <w:i/>
          <w:sz w:val="18"/>
          <w:szCs w:val="18"/>
        </w:rPr>
        <w:t xml:space="preserve"> </w:t>
      </w:r>
      <w:r w:rsidRPr="0030308D">
        <w:rPr>
          <w:rFonts w:ascii="Arial Narrow" w:hAnsi="Arial Narrow"/>
          <w:i/>
          <w:sz w:val="18"/>
          <w:szCs w:val="18"/>
        </w:rPr>
        <w:t>20,000</w:t>
      </w:r>
    </w:p>
    <w:p w14:paraId="3CC02A9A" w14:textId="4987899B" w:rsidR="006947B0" w:rsidRPr="0030308D" w:rsidRDefault="006947B0" w:rsidP="006947B0">
      <w:pPr>
        <w:rPr>
          <w:rFonts w:ascii="Arial Narrow" w:hAnsi="Arial Narrow"/>
          <w:i/>
          <w:sz w:val="18"/>
          <w:szCs w:val="18"/>
        </w:rPr>
      </w:pPr>
      <w:r w:rsidRPr="0030308D">
        <w:rPr>
          <w:rFonts w:ascii="Arial Narrow" w:hAnsi="Arial Narrow"/>
          <w:i/>
          <w:sz w:val="18"/>
          <w:szCs w:val="18"/>
          <w:vertAlign w:val="superscript"/>
        </w:rPr>
        <w:t xml:space="preserve">4 </w:t>
      </w:r>
      <w:r w:rsidR="00BD28B6" w:rsidRPr="0030308D">
        <w:rPr>
          <w:rFonts w:ascii="Arial Narrow" w:hAnsi="Arial Narrow"/>
          <w:i/>
          <w:sz w:val="18"/>
          <w:szCs w:val="18"/>
        </w:rPr>
        <w:t>20,000 to &lt;</w:t>
      </w:r>
      <w:r w:rsidR="005A1C45">
        <w:rPr>
          <w:rFonts w:ascii="Arial Narrow" w:hAnsi="Arial Narrow"/>
          <w:i/>
          <w:sz w:val="18"/>
          <w:szCs w:val="18"/>
        </w:rPr>
        <w:t xml:space="preserve"> </w:t>
      </w:r>
      <w:r w:rsidR="00BD28B6" w:rsidRPr="0030308D">
        <w:rPr>
          <w:rFonts w:ascii="Arial Narrow" w:hAnsi="Arial Narrow"/>
          <w:i/>
          <w:sz w:val="18"/>
          <w:szCs w:val="18"/>
        </w:rPr>
        <w:t>30,000</w:t>
      </w:r>
    </w:p>
    <w:p w14:paraId="332F1A6E" w14:textId="6FB6E2E3" w:rsidR="006947B0" w:rsidRPr="0030308D" w:rsidRDefault="006947B0" w:rsidP="006947B0">
      <w:pPr>
        <w:rPr>
          <w:rFonts w:ascii="Arial Narrow" w:hAnsi="Arial Narrow"/>
          <w:i/>
          <w:sz w:val="18"/>
          <w:szCs w:val="18"/>
        </w:rPr>
      </w:pPr>
      <w:r w:rsidRPr="0030308D">
        <w:rPr>
          <w:rFonts w:ascii="Arial Narrow" w:hAnsi="Arial Narrow"/>
          <w:i/>
          <w:sz w:val="18"/>
          <w:szCs w:val="18"/>
          <w:vertAlign w:val="superscript"/>
        </w:rPr>
        <w:t>5</w:t>
      </w:r>
      <w:r w:rsidRPr="0030308D">
        <w:rPr>
          <w:rFonts w:ascii="Arial Narrow" w:hAnsi="Arial Narrow"/>
          <w:i/>
          <w:sz w:val="18"/>
          <w:szCs w:val="18"/>
        </w:rPr>
        <w:t xml:space="preserve"> </w:t>
      </w:r>
      <w:r w:rsidR="00BD28B6" w:rsidRPr="0030308D">
        <w:rPr>
          <w:rFonts w:ascii="Arial Narrow" w:hAnsi="Arial Narrow"/>
          <w:i/>
          <w:sz w:val="18"/>
          <w:szCs w:val="18"/>
        </w:rPr>
        <w:t>30,000 to &lt;</w:t>
      </w:r>
      <w:r w:rsidR="005A1C45">
        <w:rPr>
          <w:rFonts w:ascii="Arial Narrow" w:hAnsi="Arial Narrow"/>
          <w:i/>
          <w:sz w:val="18"/>
          <w:szCs w:val="18"/>
        </w:rPr>
        <w:t xml:space="preserve"> </w:t>
      </w:r>
      <w:r w:rsidR="00BD28B6" w:rsidRPr="0030308D">
        <w:rPr>
          <w:rFonts w:ascii="Arial Narrow" w:hAnsi="Arial Narrow"/>
          <w:i/>
          <w:sz w:val="18"/>
          <w:szCs w:val="18"/>
        </w:rPr>
        <w:t>40,000</w:t>
      </w:r>
    </w:p>
    <w:p w14:paraId="3115C88D" w14:textId="562B07AA" w:rsidR="006947B0" w:rsidRPr="0030308D" w:rsidRDefault="006947B0" w:rsidP="006947B0">
      <w:pPr>
        <w:rPr>
          <w:rFonts w:ascii="Arial Narrow" w:hAnsi="Arial Narrow"/>
          <w:i/>
          <w:sz w:val="18"/>
          <w:szCs w:val="18"/>
        </w:rPr>
      </w:pPr>
      <w:r w:rsidRPr="0030308D">
        <w:rPr>
          <w:rFonts w:ascii="Arial Narrow" w:hAnsi="Arial Narrow"/>
          <w:i/>
          <w:sz w:val="18"/>
          <w:szCs w:val="18"/>
          <w:vertAlign w:val="superscript"/>
        </w:rPr>
        <w:t xml:space="preserve">6 </w:t>
      </w:r>
      <w:r w:rsidRPr="0030308D">
        <w:rPr>
          <w:rFonts w:ascii="Arial Narrow" w:hAnsi="Arial Narrow"/>
          <w:i/>
          <w:sz w:val="18"/>
          <w:szCs w:val="18"/>
        </w:rPr>
        <w:t>$10 million to &lt;</w:t>
      </w:r>
      <w:r w:rsidR="005A1C45">
        <w:rPr>
          <w:rFonts w:ascii="Arial Narrow" w:hAnsi="Arial Narrow"/>
          <w:i/>
          <w:sz w:val="18"/>
          <w:szCs w:val="18"/>
        </w:rPr>
        <w:t xml:space="preserve"> </w:t>
      </w:r>
      <w:r w:rsidRPr="0030308D">
        <w:rPr>
          <w:rFonts w:ascii="Arial Narrow" w:hAnsi="Arial Narrow"/>
          <w:i/>
          <w:sz w:val="18"/>
          <w:szCs w:val="18"/>
        </w:rPr>
        <w:t>$20 million</w:t>
      </w:r>
    </w:p>
    <w:p w14:paraId="2BBB93DA" w14:textId="4BD1DF7F" w:rsidR="006947B0" w:rsidRPr="0030308D" w:rsidRDefault="006947B0" w:rsidP="006947B0">
      <w:pPr>
        <w:rPr>
          <w:rFonts w:ascii="Arial Narrow" w:hAnsi="Arial Narrow"/>
          <w:i/>
          <w:sz w:val="18"/>
          <w:szCs w:val="18"/>
          <w:vertAlign w:val="superscript"/>
        </w:rPr>
      </w:pPr>
      <w:r w:rsidRPr="0030308D">
        <w:rPr>
          <w:rFonts w:ascii="Arial Narrow" w:hAnsi="Arial Narrow"/>
          <w:i/>
          <w:sz w:val="18"/>
          <w:szCs w:val="18"/>
          <w:vertAlign w:val="superscript"/>
        </w:rPr>
        <w:t xml:space="preserve">7 </w:t>
      </w:r>
      <w:r w:rsidRPr="0030308D">
        <w:rPr>
          <w:rFonts w:ascii="Arial Narrow" w:hAnsi="Arial Narrow"/>
          <w:i/>
          <w:sz w:val="18"/>
          <w:szCs w:val="18"/>
        </w:rPr>
        <w:t>$</w:t>
      </w:r>
      <w:r w:rsidR="00BD28B6" w:rsidRPr="0030308D">
        <w:rPr>
          <w:rFonts w:ascii="Arial Narrow" w:hAnsi="Arial Narrow"/>
          <w:i/>
          <w:sz w:val="18"/>
          <w:szCs w:val="18"/>
        </w:rPr>
        <w:t>2</w:t>
      </w:r>
      <w:r w:rsidRPr="0030308D">
        <w:rPr>
          <w:rFonts w:ascii="Arial Narrow" w:hAnsi="Arial Narrow"/>
          <w:i/>
          <w:sz w:val="18"/>
          <w:szCs w:val="18"/>
        </w:rPr>
        <w:t>0 million to &lt;</w:t>
      </w:r>
      <w:r w:rsidR="005A1C45">
        <w:rPr>
          <w:rFonts w:ascii="Arial Narrow" w:hAnsi="Arial Narrow"/>
          <w:i/>
          <w:sz w:val="18"/>
          <w:szCs w:val="18"/>
        </w:rPr>
        <w:t xml:space="preserve"> </w:t>
      </w:r>
      <w:r w:rsidRPr="0030308D">
        <w:rPr>
          <w:rFonts w:ascii="Arial Narrow" w:hAnsi="Arial Narrow"/>
          <w:i/>
          <w:sz w:val="18"/>
          <w:szCs w:val="18"/>
        </w:rPr>
        <w:t>$</w:t>
      </w:r>
      <w:r w:rsidR="00BD28B6" w:rsidRPr="0030308D">
        <w:rPr>
          <w:rFonts w:ascii="Arial Narrow" w:hAnsi="Arial Narrow"/>
          <w:i/>
          <w:sz w:val="18"/>
          <w:szCs w:val="18"/>
        </w:rPr>
        <w:t>3</w:t>
      </w:r>
      <w:r w:rsidRPr="0030308D">
        <w:rPr>
          <w:rFonts w:ascii="Arial Narrow" w:hAnsi="Arial Narrow"/>
          <w:i/>
          <w:sz w:val="18"/>
          <w:szCs w:val="18"/>
        </w:rPr>
        <w:t>0 million</w:t>
      </w:r>
    </w:p>
    <w:p w14:paraId="5623E8BD" w14:textId="4D77E3B4" w:rsidR="006947B0" w:rsidRPr="0030308D" w:rsidRDefault="006947B0" w:rsidP="006947B0">
      <w:pPr>
        <w:rPr>
          <w:rFonts w:ascii="Arial Narrow" w:hAnsi="Arial Narrow"/>
          <w:i/>
          <w:sz w:val="18"/>
          <w:szCs w:val="18"/>
          <w:vertAlign w:val="superscript"/>
        </w:rPr>
      </w:pPr>
      <w:r w:rsidRPr="0030308D">
        <w:rPr>
          <w:rFonts w:ascii="Arial Narrow" w:hAnsi="Arial Narrow"/>
          <w:sz w:val="18"/>
          <w:szCs w:val="18"/>
          <w:vertAlign w:val="superscript"/>
        </w:rPr>
        <w:t xml:space="preserve">8 </w:t>
      </w:r>
      <w:r w:rsidRPr="0030308D">
        <w:rPr>
          <w:rFonts w:ascii="Arial Narrow" w:hAnsi="Arial Narrow"/>
          <w:i/>
          <w:sz w:val="18"/>
          <w:szCs w:val="18"/>
        </w:rPr>
        <w:t>$</w:t>
      </w:r>
      <w:r w:rsidR="00BD28B6" w:rsidRPr="0030308D">
        <w:rPr>
          <w:rFonts w:ascii="Arial Narrow" w:hAnsi="Arial Narrow"/>
          <w:i/>
          <w:sz w:val="18"/>
          <w:szCs w:val="18"/>
        </w:rPr>
        <w:t>3</w:t>
      </w:r>
      <w:r w:rsidRPr="0030308D">
        <w:rPr>
          <w:rFonts w:ascii="Arial Narrow" w:hAnsi="Arial Narrow"/>
          <w:i/>
          <w:sz w:val="18"/>
          <w:szCs w:val="18"/>
        </w:rPr>
        <w:t>0 million to &lt;</w:t>
      </w:r>
      <w:r w:rsidR="005A1C45">
        <w:rPr>
          <w:rFonts w:ascii="Arial Narrow" w:hAnsi="Arial Narrow"/>
          <w:i/>
          <w:sz w:val="18"/>
          <w:szCs w:val="18"/>
        </w:rPr>
        <w:t xml:space="preserve"> </w:t>
      </w:r>
      <w:r w:rsidRPr="0030308D">
        <w:rPr>
          <w:rFonts w:ascii="Arial Narrow" w:hAnsi="Arial Narrow"/>
          <w:i/>
          <w:sz w:val="18"/>
          <w:szCs w:val="18"/>
        </w:rPr>
        <w:t>$</w:t>
      </w:r>
      <w:r w:rsidR="00BD28B6" w:rsidRPr="0030308D">
        <w:rPr>
          <w:rFonts w:ascii="Arial Narrow" w:hAnsi="Arial Narrow"/>
          <w:i/>
          <w:sz w:val="18"/>
          <w:szCs w:val="18"/>
        </w:rPr>
        <w:t>4</w:t>
      </w:r>
      <w:r w:rsidRPr="0030308D">
        <w:rPr>
          <w:rFonts w:ascii="Arial Narrow" w:hAnsi="Arial Narrow"/>
          <w:i/>
          <w:sz w:val="18"/>
          <w:szCs w:val="18"/>
        </w:rPr>
        <w:t>0 million</w:t>
      </w:r>
    </w:p>
    <w:p w14:paraId="4A57FEFD" w14:textId="69AA7991" w:rsidR="00FF6065" w:rsidRDefault="006947B0" w:rsidP="006947B0">
      <w:pPr>
        <w:rPr>
          <w:rFonts w:ascii="Arial Narrow" w:hAnsi="Arial Narrow"/>
          <w:i/>
          <w:sz w:val="18"/>
          <w:szCs w:val="18"/>
        </w:rPr>
      </w:pPr>
      <w:r w:rsidRPr="0030308D">
        <w:rPr>
          <w:rFonts w:ascii="Arial Narrow" w:hAnsi="Arial Narrow"/>
          <w:sz w:val="18"/>
          <w:szCs w:val="18"/>
          <w:vertAlign w:val="superscript"/>
        </w:rPr>
        <w:t xml:space="preserve">9 </w:t>
      </w:r>
      <w:r w:rsidRPr="0030308D">
        <w:rPr>
          <w:rFonts w:ascii="Arial Narrow" w:hAnsi="Arial Narrow"/>
          <w:i/>
          <w:sz w:val="18"/>
          <w:szCs w:val="18"/>
        </w:rPr>
        <w:t>$40 million to &lt;</w:t>
      </w:r>
      <w:r w:rsidR="005A1C45">
        <w:rPr>
          <w:rFonts w:ascii="Arial Narrow" w:hAnsi="Arial Narrow"/>
          <w:i/>
          <w:sz w:val="18"/>
          <w:szCs w:val="18"/>
        </w:rPr>
        <w:t xml:space="preserve"> </w:t>
      </w:r>
      <w:r w:rsidRPr="0030308D">
        <w:rPr>
          <w:rFonts w:ascii="Arial Narrow" w:hAnsi="Arial Narrow"/>
          <w:i/>
          <w:sz w:val="18"/>
          <w:szCs w:val="18"/>
        </w:rPr>
        <w:t>$50 million</w:t>
      </w:r>
    </w:p>
    <w:p w14:paraId="22BE960E" w14:textId="2E2BFBDC" w:rsidR="00151C13" w:rsidRDefault="00151C13" w:rsidP="006947B0">
      <w:pPr>
        <w:rPr>
          <w:rFonts w:ascii="Arial Narrow" w:hAnsi="Arial Narrow"/>
          <w:i/>
          <w:sz w:val="18"/>
          <w:szCs w:val="18"/>
        </w:rPr>
      </w:pPr>
      <w:r>
        <w:rPr>
          <w:rFonts w:ascii="Arial Narrow" w:hAnsi="Arial Narrow"/>
          <w:sz w:val="18"/>
          <w:szCs w:val="18"/>
          <w:vertAlign w:val="superscript"/>
        </w:rPr>
        <w:t>10</w:t>
      </w:r>
      <w:r w:rsidRPr="0030308D">
        <w:rPr>
          <w:rFonts w:ascii="Arial Narrow" w:hAnsi="Arial Narrow"/>
          <w:sz w:val="18"/>
          <w:szCs w:val="18"/>
          <w:vertAlign w:val="superscript"/>
        </w:rPr>
        <w:t xml:space="preserve"> </w:t>
      </w:r>
      <w:r w:rsidRPr="00151C13">
        <w:rPr>
          <w:rFonts w:ascii="Arial Narrow" w:hAnsi="Arial Narrow"/>
          <w:i/>
          <w:sz w:val="18"/>
          <w:szCs w:val="18"/>
        </w:rPr>
        <w:t>$0 to &lt; $10 million</w:t>
      </w:r>
    </w:p>
    <w:p w14:paraId="41EBD80A" w14:textId="77777777" w:rsidR="006947B0" w:rsidRPr="006947B0" w:rsidRDefault="006947B0" w:rsidP="006947B0">
      <w:pPr>
        <w:rPr>
          <w:rFonts w:ascii="Arial Narrow" w:hAnsi="Arial Narrow"/>
          <w:iCs/>
          <w:sz w:val="18"/>
          <w:szCs w:val="18"/>
        </w:rPr>
      </w:pPr>
    </w:p>
    <w:p w14:paraId="7178AC42" w14:textId="124133C6" w:rsidR="00FF362B" w:rsidRPr="00C34F09" w:rsidRDefault="009424B8" w:rsidP="00C34F09">
      <w:pPr>
        <w:pStyle w:val="3-BodyText"/>
        <w:rPr>
          <w:rFonts w:cs="Times New Roman"/>
          <w:iCs/>
          <w:lang w:eastAsia="en-GB"/>
        </w:rPr>
      </w:pPr>
      <w:bookmarkStart w:id="54" w:name="_Ref106179863"/>
      <w:r w:rsidRPr="0064550B">
        <w:rPr>
          <w:rFonts w:cs="Times New Roman"/>
          <w:iCs/>
          <w:lang w:eastAsia="en-GB"/>
        </w:rPr>
        <w:t xml:space="preserve">The estimated net cost to the </w:t>
      </w:r>
      <w:r w:rsidRPr="009E5654">
        <w:rPr>
          <w:rFonts w:cs="Times New Roman"/>
          <w:iCs/>
          <w:lang w:eastAsia="en-GB"/>
        </w:rPr>
        <w:t xml:space="preserve">PBS/RPBS was </w:t>
      </w:r>
      <w:r w:rsidR="009E5654" w:rsidRPr="009E5654">
        <w:rPr>
          <w:rFonts w:cs="Times New Roman"/>
          <w:iCs/>
          <w:lang w:eastAsia="en-GB"/>
        </w:rPr>
        <w:t>$0 to &lt;</w:t>
      </w:r>
      <w:r w:rsidR="00C74D7F">
        <w:rPr>
          <w:rFonts w:cs="Times New Roman"/>
          <w:iCs/>
          <w:lang w:eastAsia="en-GB"/>
        </w:rPr>
        <w:t xml:space="preserve"> </w:t>
      </w:r>
      <w:r w:rsidR="009E5654" w:rsidRPr="009E5654">
        <w:rPr>
          <w:rFonts w:cs="Times New Roman"/>
          <w:iCs/>
          <w:lang w:eastAsia="en-GB"/>
        </w:rPr>
        <w:t>$10 million</w:t>
      </w:r>
      <w:r w:rsidR="009E5654">
        <w:rPr>
          <w:rFonts w:cs="Times New Roman"/>
          <w:iCs/>
          <w:lang w:eastAsia="en-GB"/>
        </w:rPr>
        <w:t xml:space="preserve"> </w:t>
      </w:r>
      <w:r w:rsidRPr="009E5654">
        <w:rPr>
          <w:rFonts w:cs="Times New Roman"/>
          <w:iCs/>
          <w:lang w:eastAsia="en-GB"/>
        </w:rPr>
        <w:t xml:space="preserve">in Year 1, increasing to approx. </w:t>
      </w:r>
      <w:r w:rsidR="009E5654" w:rsidRPr="009E5654">
        <w:rPr>
          <w:rFonts w:cs="Times New Roman"/>
          <w:iCs/>
          <w:lang w:eastAsia="en-GB"/>
        </w:rPr>
        <w:t>$10 million to &lt;</w:t>
      </w:r>
      <w:r w:rsidR="00C74D7F">
        <w:rPr>
          <w:rFonts w:cs="Times New Roman"/>
          <w:iCs/>
          <w:lang w:eastAsia="en-GB"/>
        </w:rPr>
        <w:t xml:space="preserve"> </w:t>
      </w:r>
      <w:r w:rsidR="009E5654" w:rsidRPr="009E5654">
        <w:rPr>
          <w:rFonts w:cs="Times New Roman"/>
          <w:iCs/>
          <w:lang w:eastAsia="en-GB"/>
        </w:rPr>
        <w:t>$20 million</w:t>
      </w:r>
      <w:r w:rsidR="009E5654">
        <w:rPr>
          <w:rFonts w:cs="Times New Roman"/>
          <w:iCs/>
          <w:lang w:eastAsia="en-GB"/>
        </w:rPr>
        <w:t xml:space="preserve"> </w:t>
      </w:r>
      <w:r w:rsidRPr="009E5654">
        <w:rPr>
          <w:rFonts w:cs="Times New Roman"/>
          <w:iCs/>
          <w:lang w:eastAsia="en-GB"/>
        </w:rPr>
        <w:t xml:space="preserve">in Year 6, for a total of </w:t>
      </w:r>
      <w:r w:rsidR="009E5654" w:rsidRPr="009E5654">
        <w:rPr>
          <w:rFonts w:cs="Times New Roman"/>
          <w:iCs/>
          <w:lang w:eastAsia="en-GB"/>
        </w:rPr>
        <w:t>$40 million to &lt;</w:t>
      </w:r>
      <w:r w:rsidR="00C74D7F">
        <w:rPr>
          <w:rFonts w:cs="Times New Roman"/>
          <w:iCs/>
          <w:lang w:eastAsia="en-GB"/>
        </w:rPr>
        <w:t xml:space="preserve"> </w:t>
      </w:r>
      <w:r w:rsidR="009E5654" w:rsidRPr="009E5654">
        <w:rPr>
          <w:rFonts w:cs="Times New Roman"/>
          <w:iCs/>
          <w:lang w:eastAsia="en-GB"/>
        </w:rPr>
        <w:t>$50 million</w:t>
      </w:r>
      <w:r w:rsidRPr="0064550B">
        <w:rPr>
          <w:rFonts w:cs="Times New Roman"/>
          <w:iCs/>
          <w:lang w:eastAsia="en-GB"/>
        </w:rPr>
        <w:t xml:space="preserve"> over the first 6 years of listing. The incremental cost to the PBS/RPBS is driven by the relatively higher published prices UPA for both initiation treatment and continuation treatment compared to PBS-listed comparators (after adjusting for script relativities). The estimates presented in the submission are not reliable for the following reasons:</w:t>
      </w:r>
      <w:bookmarkEnd w:id="54"/>
    </w:p>
    <w:p w14:paraId="341D6034" w14:textId="7765AF3B" w:rsidR="009424B8" w:rsidRPr="0064550B" w:rsidRDefault="009424B8" w:rsidP="009424B8">
      <w:pPr>
        <w:pStyle w:val="ListParagraph"/>
        <w:ind w:left="1134"/>
        <w:rPr>
          <w:iCs/>
        </w:rPr>
      </w:pPr>
      <w:r w:rsidRPr="0064550B">
        <w:rPr>
          <w:iCs/>
        </w:rPr>
        <w:t>The analysis use</w:t>
      </w:r>
      <w:r w:rsidR="00445901" w:rsidRPr="0064550B">
        <w:rPr>
          <w:iCs/>
        </w:rPr>
        <w:t>d</w:t>
      </w:r>
      <w:r w:rsidRPr="0064550B">
        <w:rPr>
          <w:iCs/>
        </w:rPr>
        <w:t xml:space="preserve"> the published rather than effective prices;</w:t>
      </w:r>
    </w:p>
    <w:p w14:paraId="66007764" w14:textId="711D5996" w:rsidR="009424B8" w:rsidRDefault="009424B8" w:rsidP="009424B8">
      <w:pPr>
        <w:pStyle w:val="ListParagraph"/>
        <w:ind w:left="1134"/>
        <w:rPr>
          <w:iCs/>
        </w:rPr>
      </w:pPr>
      <w:r w:rsidRPr="0064550B">
        <w:rPr>
          <w:iCs/>
        </w:rPr>
        <w:t>The assumed linear growth trend (from close to market inception) potentially overestimates the size of the total MSUC market;</w:t>
      </w:r>
    </w:p>
    <w:p w14:paraId="0E02D637" w14:textId="4B50B4DD" w:rsidR="002C74F5" w:rsidRPr="004626D3" w:rsidRDefault="002C74F5" w:rsidP="002C74F5">
      <w:pPr>
        <w:pStyle w:val="ListParagraph"/>
        <w:ind w:left="1134"/>
        <w:rPr>
          <w:iCs/>
        </w:rPr>
      </w:pPr>
      <w:r w:rsidRPr="004626D3">
        <w:rPr>
          <w:iCs/>
        </w:rPr>
        <w:t>The estimates did not consider differences in the costs to government related to different fees and mark ups for General Schedule and Section 100 drugs (paragraph 7.16, VDZ PSD, November 2020)</w:t>
      </w:r>
      <w:r w:rsidR="003B6254" w:rsidRPr="004626D3">
        <w:rPr>
          <w:iCs/>
        </w:rPr>
        <w:t xml:space="preserve"> which </w:t>
      </w:r>
      <w:r w:rsidR="001A585F" w:rsidRPr="004626D3">
        <w:rPr>
          <w:iCs/>
        </w:rPr>
        <w:t xml:space="preserve">is relevant for </w:t>
      </w:r>
      <w:r w:rsidR="003B6254" w:rsidRPr="004626D3">
        <w:rPr>
          <w:iCs/>
        </w:rPr>
        <w:t>substitution with VDZ and IFX IV.</w:t>
      </w:r>
    </w:p>
    <w:p w14:paraId="3AF122A0" w14:textId="488550D5" w:rsidR="009424B8" w:rsidRPr="0064550B" w:rsidRDefault="009424B8" w:rsidP="009424B8">
      <w:pPr>
        <w:pStyle w:val="ListParagraph"/>
        <w:ind w:left="1134"/>
        <w:rPr>
          <w:iCs/>
        </w:rPr>
      </w:pPr>
      <w:r w:rsidRPr="0064550B">
        <w:rPr>
          <w:iCs/>
        </w:rPr>
        <w:t>The analysis assume</w:t>
      </w:r>
      <w:r w:rsidR="009523EB">
        <w:rPr>
          <w:iCs/>
        </w:rPr>
        <w:t>d</w:t>
      </w:r>
      <w:r w:rsidRPr="0064550B">
        <w:rPr>
          <w:iCs/>
        </w:rPr>
        <w:t xml:space="preserve"> no additional growth above the assumed (linear) trend with the proposed listing of UPA. Based on the claim of superior effectiveness for induction treatment, there may be more patients on treatment over time</w:t>
      </w:r>
      <w:r w:rsidR="003E6B9E" w:rsidRPr="0064550B">
        <w:rPr>
          <w:iCs/>
        </w:rPr>
        <w:t xml:space="preserve"> (due to longer persistence and potentially higher uptake)</w:t>
      </w:r>
      <w:r w:rsidRPr="0064550B">
        <w:rPr>
          <w:iCs/>
        </w:rPr>
        <w:t>; and</w:t>
      </w:r>
    </w:p>
    <w:p w14:paraId="4FCA3229" w14:textId="2777294F" w:rsidR="009424B8" w:rsidRPr="0064550B" w:rsidRDefault="009424B8" w:rsidP="009424B8">
      <w:pPr>
        <w:pStyle w:val="ListParagraph"/>
        <w:ind w:left="1134"/>
        <w:rPr>
          <w:iCs/>
        </w:rPr>
      </w:pPr>
      <w:r w:rsidRPr="0064550B">
        <w:rPr>
          <w:iCs/>
        </w:rPr>
        <w:t>The proportional use of the UPA 30</w:t>
      </w:r>
      <w:r w:rsidR="009523EB">
        <w:rPr>
          <w:iCs/>
        </w:rPr>
        <w:t xml:space="preserve"> </w:t>
      </w:r>
      <w:r w:rsidRPr="0064550B">
        <w:rPr>
          <w:iCs/>
        </w:rPr>
        <w:t>mg tablets for continuation treatment may be higher than assumed (i.e. more than 30%); however, although this parameter would not impact on an analysis of effective prices, where there is a flat pricing structure between UPA 15 mg and 30 mg formulations.</w:t>
      </w:r>
    </w:p>
    <w:p w14:paraId="1AF3272A" w14:textId="471FC4B7" w:rsidR="009424B8" w:rsidRPr="00143C00" w:rsidRDefault="009424B8" w:rsidP="003E6B9E">
      <w:pPr>
        <w:pStyle w:val="3-BodyText"/>
      </w:pPr>
      <w:r w:rsidRPr="0064550B">
        <w:rPr>
          <w:rFonts w:cs="Times New Roman"/>
          <w:lang w:eastAsia="en-GB"/>
        </w:rPr>
        <w:t xml:space="preserve">The submission also provided estimates of net cost to the PBS/RPBS </w:t>
      </w:r>
      <w:r w:rsidR="003E6B9E" w:rsidRPr="0064550B">
        <w:rPr>
          <w:rFonts w:cs="Times New Roman"/>
          <w:lang w:eastAsia="en-GB"/>
        </w:rPr>
        <w:t>using the estimated indicative effective prices for UPA (based on the cost-per-responder analysis and cost-minimisation analysis</w:t>
      </w:r>
      <w:r w:rsidRPr="0064550B">
        <w:rPr>
          <w:rFonts w:cs="Times New Roman"/>
          <w:lang w:eastAsia="en-GB"/>
        </w:rPr>
        <w:t xml:space="preserve">, totalling </w:t>
      </w:r>
      <w:r w:rsidR="00565E3A" w:rsidRPr="00565E3A">
        <w:rPr>
          <w:rFonts w:cs="Times New Roman"/>
          <w:lang w:eastAsia="en-GB"/>
        </w:rPr>
        <w:t>$50 million to &lt;</w:t>
      </w:r>
      <w:r w:rsidR="00C226A2">
        <w:rPr>
          <w:rFonts w:cs="Times New Roman"/>
          <w:lang w:eastAsia="en-GB"/>
        </w:rPr>
        <w:t xml:space="preserve"> </w:t>
      </w:r>
      <w:r w:rsidR="00565E3A" w:rsidRPr="00565E3A">
        <w:rPr>
          <w:rFonts w:cs="Times New Roman"/>
          <w:lang w:eastAsia="en-GB"/>
        </w:rPr>
        <w:t>$60 million</w:t>
      </w:r>
      <w:r w:rsidRPr="0064550B">
        <w:rPr>
          <w:rFonts w:cs="Times New Roman"/>
          <w:lang w:eastAsia="en-GB"/>
        </w:rPr>
        <w:t xml:space="preserve"> of the first six years of listing. These estimates were also unreliable for similar reasons above; however, the requested listing of UPA would likely lead to a moderate net cost to the PBS given the relative price premium requested for initial treatment (i.e. approximately double the total cost per person). </w:t>
      </w:r>
    </w:p>
    <w:p w14:paraId="4EF3672D" w14:textId="732B7E0A" w:rsidR="00143C00" w:rsidRPr="00B849D7" w:rsidRDefault="00C34F09" w:rsidP="003E6B9E">
      <w:pPr>
        <w:pStyle w:val="3-BodyText"/>
      </w:pPr>
      <w:r>
        <w:rPr>
          <w:rFonts w:cs="Times New Roman"/>
          <w:lang w:eastAsia="en-GB"/>
        </w:rPr>
        <w:t>If recommended on a cost minimisation basis with the least costly alternative, the listing or UPA for MSUC would be expected to be cost neutral (or modestly cost saving if it replaced more expensive alternatives).</w:t>
      </w:r>
    </w:p>
    <w:p w14:paraId="7D3228AE" w14:textId="42B1FADA" w:rsidR="009424B8" w:rsidRPr="00C9624D" w:rsidRDefault="009424B8" w:rsidP="009424B8">
      <w:pPr>
        <w:pStyle w:val="4-SubsectionHeading"/>
      </w:pPr>
      <w:bookmarkStart w:id="55" w:name="_Toc103774345"/>
      <w:r w:rsidRPr="00C9624D">
        <w:t>Quality Use of Medicines</w:t>
      </w:r>
      <w:bookmarkEnd w:id="51"/>
      <w:bookmarkEnd w:id="55"/>
    </w:p>
    <w:p w14:paraId="084FA4C8" w14:textId="054B31FE" w:rsidR="009424B8" w:rsidRPr="004626D3" w:rsidRDefault="009424B8" w:rsidP="009424B8">
      <w:pPr>
        <w:pStyle w:val="3-BodyText"/>
      </w:pPr>
      <w:r w:rsidRPr="008010B1">
        <w:t xml:space="preserve">The submission indicated that the </w:t>
      </w:r>
      <w:r w:rsidR="00A950DF">
        <w:t>sponsor</w:t>
      </w:r>
      <w:r w:rsidRPr="008010B1">
        <w:t xml:space="preserve"> has a risk management plan, which includes an Australian-specific annex that has been submitted to the TGA as part of the regulatory dossier. The submission also stated that the </w:t>
      </w:r>
      <w:r w:rsidR="00A950DF">
        <w:t>sponsor</w:t>
      </w:r>
      <w:r w:rsidRPr="008010B1">
        <w:t>’s patient support program will be available to provide support regarding the use of UPA to prescribers and patients.</w:t>
      </w:r>
      <w:r w:rsidR="00B849D7">
        <w:t xml:space="preserve"> </w:t>
      </w:r>
      <w:r w:rsidR="00B849D7" w:rsidRPr="004626D3">
        <w:t xml:space="preserve">Alongside the PSCR, the </w:t>
      </w:r>
      <w:r w:rsidR="00A950DF">
        <w:t>sponsor</w:t>
      </w:r>
      <w:r w:rsidR="00B849D7" w:rsidRPr="004626D3">
        <w:t xml:space="preserve"> provided an updated version of the Periodic Safety Update Report (PSUR) </w:t>
      </w:r>
      <w:r w:rsidR="008F3461" w:rsidRPr="004626D3">
        <w:t>dated April 2022.</w:t>
      </w:r>
    </w:p>
    <w:p w14:paraId="4BF4AF21" w14:textId="77777777" w:rsidR="004626D3" w:rsidRPr="00C33D30" w:rsidRDefault="004626D3" w:rsidP="004626D3">
      <w:pPr>
        <w:ind w:firstLine="709"/>
        <w:rPr>
          <w:rFonts w:asciiTheme="minorHAnsi" w:hAnsiTheme="minorHAnsi"/>
          <w:i/>
        </w:rPr>
      </w:pPr>
      <w:r w:rsidRPr="00C33D30">
        <w:rPr>
          <w:rFonts w:asciiTheme="minorHAnsi" w:hAnsiTheme="minorHAnsi"/>
          <w:i/>
        </w:rPr>
        <w:t>For more detail on PBAC’s view, see section 7 PBAC outcome.</w:t>
      </w:r>
    </w:p>
    <w:p w14:paraId="4A2CD938" w14:textId="40FCB501" w:rsidR="004626D3" w:rsidRDefault="004626D3" w:rsidP="004626D3">
      <w:pPr>
        <w:pStyle w:val="3-BodyText"/>
        <w:numPr>
          <w:ilvl w:val="0"/>
          <w:numId w:val="0"/>
        </w:numPr>
        <w:ind w:left="720"/>
      </w:pPr>
    </w:p>
    <w:p w14:paraId="6D53A4CB" w14:textId="77777777" w:rsidR="004626D3" w:rsidRPr="00D94877" w:rsidRDefault="004626D3" w:rsidP="00D94877">
      <w:pPr>
        <w:pStyle w:val="2-SectionHeading"/>
        <w:numPr>
          <w:ilvl w:val="0"/>
          <w:numId w:val="1"/>
        </w:numPr>
        <w:rPr>
          <w:bCs/>
          <w:lang w:val="en-GB"/>
        </w:rPr>
      </w:pPr>
      <w:bookmarkStart w:id="56" w:name="_Hlk76381249"/>
      <w:bookmarkStart w:id="57" w:name="_Hlk76377955"/>
      <w:r w:rsidRPr="00D94877">
        <w:rPr>
          <w:bCs/>
          <w:lang w:val="en-GB"/>
        </w:rPr>
        <w:t>PBAC Outcome</w:t>
      </w:r>
    </w:p>
    <w:p w14:paraId="3CE5FE9A" w14:textId="65E8E571" w:rsidR="004626D3" w:rsidRPr="00CE42B4" w:rsidRDefault="00DE565E" w:rsidP="004626D3">
      <w:pPr>
        <w:widowControl w:val="0"/>
        <w:numPr>
          <w:ilvl w:val="1"/>
          <w:numId w:val="1"/>
        </w:numPr>
        <w:spacing w:after="120"/>
        <w:rPr>
          <w:rFonts w:asciiTheme="minorHAnsi" w:hAnsiTheme="minorHAnsi"/>
          <w:snapToGrid w:val="0"/>
          <w:lang w:val="en-GB"/>
        </w:rPr>
      </w:pPr>
      <w:bookmarkStart w:id="58" w:name="_Ref123915906"/>
      <w:r>
        <w:rPr>
          <w:rFonts w:asciiTheme="minorHAnsi" w:hAnsiTheme="minorHAnsi"/>
          <w:snapToGrid w:val="0"/>
          <w:lang w:val="en-GB"/>
        </w:rPr>
        <w:t>The PBAC deferred making a recommendation to list upadacitinib (UPA) for the treatment of moderate-to-sever</w:t>
      </w:r>
      <w:r w:rsidR="00035A2D">
        <w:rPr>
          <w:rFonts w:asciiTheme="minorHAnsi" w:hAnsiTheme="minorHAnsi"/>
          <w:snapToGrid w:val="0"/>
          <w:lang w:val="en-GB"/>
        </w:rPr>
        <w:t>e</w:t>
      </w:r>
      <w:r>
        <w:rPr>
          <w:rFonts w:asciiTheme="minorHAnsi" w:hAnsiTheme="minorHAnsi"/>
          <w:snapToGrid w:val="0"/>
          <w:lang w:val="en-GB"/>
        </w:rPr>
        <w:t xml:space="preserve"> ulcerative colitis (MSUC) in adult patients, as the TGA Delegate’s Overview was not available at time of PBAC consideration. However, the PBAC was of a mind to recommend listing upadacitinib for MSUC</w:t>
      </w:r>
      <w:r w:rsidR="0091276C">
        <w:rPr>
          <w:rFonts w:asciiTheme="minorHAnsi" w:hAnsiTheme="minorHAnsi"/>
          <w:snapToGrid w:val="0"/>
          <w:lang w:val="en-GB"/>
        </w:rPr>
        <w:t xml:space="preserve"> on the basis the cost-effectiveness of UPA would likely be acceptable if it were cost minimised to the least costly alternative therapy </w:t>
      </w:r>
      <w:r w:rsidR="00ED0F18">
        <w:rPr>
          <w:rFonts w:asciiTheme="minorHAnsi" w:hAnsiTheme="minorHAnsi"/>
          <w:snapToGrid w:val="0"/>
          <w:lang w:val="en-GB"/>
        </w:rPr>
        <w:t xml:space="preserve">out </w:t>
      </w:r>
      <w:r w:rsidR="0091276C">
        <w:rPr>
          <w:rFonts w:asciiTheme="minorHAnsi" w:hAnsiTheme="minorHAnsi"/>
          <w:snapToGrid w:val="0"/>
          <w:lang w:val="en-GB"/>
        </w:rPr>
        <w:t xml:space="preserve">of infliximab (IFX), tofacitinib (TOF), vedolizumab (VDZ) and </w:t>
      </w:r>
      <w:r w:rsidR="000E76C4">
        <w:rPr>
          <w:rFonts w:asciiTheme="minorHAnsi" w:hAnsiTheme="minorHAnsi"/>
          <w:snapToGrid w:val="0"/>
          <w:lang w:val="en-GB"/>
        </w:rPr>
        <w:t xml:space="preserve">golimumab (GOL). </w:t>
      </w:r>
      <w:r w:rsidR="00BE2F44">
        <w:rPr>
          <w:rFonts w:asciiTheme="minorHAnsi" w:hAnsiTheme="minorHAnsi"/>
          <w:snapToGrid w:val="0"/>
          <w:lang w:val="en-GB"/>
        </w:rPr>
        <w:t xml:space="preserve">The PBAC considered, based on the evidence presented, </w:t>
      </w:r>
      <w:r w:rsidR="00A92346">
        <w:rPr>
          <w:rFonts w:asciiTheme="minorHAnsi" w:hAnsiTheme="minorHAnsi"/>
          <w:snapToGrid w:val="0"/>
          <w:lang w:val="en-GB"/>
        </w:rPr>
        <w:t>that UPA is likely to be of non-inferior comparative effectiveness and safety to these agents in MSUC and considered there is</w:t>
      </w:r>
      <w:r w:rsidR="00DD171C">
        <w:rPr>
          <w:rFonts w:asciiTheme="minorHAnsi" w:hAnsiTheme="minorHAnsi"/>
          <w:snapToGrid w:val="0"/>
          <w:lang w:val="en-GB"/>
        </w:rPr>
        <w:t xml:space="preserve"> also likely</w:t>
      </w:r>
      <w:r w:rsidR="00A92346">
        <w:rPr>
          <w:rFonts w:asciiTheme="minorHAnsi" w:hAnsiTheme="minorHAnsi"/>
          <w:snapToGrid w:val="0"/>
          <w:lang w:val="en-GB"/>
        </w:rPr>
        <w:t xml:space="preserve"> sufficient evidence that UPA, for some patients, provides a significant</w:t>
      </w:r>
      <w:r w:rsidR="00DD171C">
        <w:rPr>
          <w:rFonts w:asciiTheme="minorHAnsi" w:hAnsiTheme="minorHAnsi"/>
          <w:snapToGrid w:val="0"/>
          <w:lang w:val="en-GB"/>
        </w:rPr>
        <w:t xml:space="preserve"> improvement in effectiveness in the induction phase compared to adalimumab (ADA).</w:t>
      </w:r>
      <w:bookmarkEnd w:id="58"/>
    </w:p>
    <w:p w14:paraId="42A77679" w14:textId="44501CE0" w:rsidR="00D54D4C" w:rsidRDefault="00D54D4C" w:rsidP="004626D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equi-effective doses of UPA and the alternative therapies could be derived (if/when UPA is recommended for listing for MSUC) with reference to the therapeutic relativity sheet and relevant Product Information documents, noting the UPA equi-effective dose component includes </w:t>
      </w:r>
      <w:r w:rsidR="00D82102">
        <w:rPr>
          <w:rFonts w:asciiTheme="minorHAnsi" w:hAnsiTheme="minorHAnsi"/>
          <w:snapToGrid w:val="0"/>
          <w:lang w:val="en-GB"/>
        </w:rPr>
        <w:t>treatment with UPA 45 mg once daily for 8 or 16 weeks in initial therapy, with an option for a dose reduction to 15 mg or 30 mg UPA once daily for the second 8 weeks of initial therapy, followed by either 15 mg or 30 mg UPA once daily thereafter.</w:t>
      </w:r>
    </w:p>
    <w:p w14:paraId="483982B0" w14:textId="28CA6D6F" w:rsidR="006E542B" w:rsidRDefault="006E542B" w:rsidP="004626D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it was reasonable for the listing of UPA to be consistent with other </w:t>
      </w:r>
      <w:r w:rsidR="00CB62E8">
        <w:rPr>
          <w:rFonts w:asciiTheme="minorHAnsi" w:hAnsiTheme="minorHAnsi"/>
          <w:snapToGrid w:val="0"/>
          <w:lang w:val="en-GB"/>
        </w:rPr>
        <w:t>biological</w:t>
      </w:r>
      <w:r w:rsidR="00584C61">
        <w:rPr>
          <w:rFonts w:asciiTheme="minorHAnsi" w:hAnsiTheme="minorHAnsi"/>
          <w:snapToGrid w:val="0"/>
          <w:lang w:val="en-GB"/>
        </w:rPr>
        <w:t xml:space="preserve"> or targeted synthetic</w:t>
      </w:r>
      <w:r w:rsidR="00CB62E8">
        <w:rPr>
          <w:rFonts w:asciiTheme="minorHAnsi" w:hAnsiTheme="minorHAnsi"/>
          <w:snapToGrid w:val="0"/>
          <w:lang w:val="en-GB"/>
        </w:rPr>
        <w:t xml:space="preserve"> </w:t>
      </w:r>
      <w:r>
        <w:rPr>
          <w:rFonts w:asciiTheme="minorHAnsi" w:hAnsiTheme="minorHAnsi"/>
          <w:snapToGrid w:val="0"/>
          <w:lang w:val="en-GB"/>
        </w:rPr>
        <w:t>disease modifying anti-rheumatic drugs (</w:t>
      </w:r>
      <w:r w:rsidR="00CB62E8">
        <w:rPr>
          <w:rFonts w:asciiTheme="minorHAnsi" w:hAnsiTheme="minorHAnsi"/>
          <w:snapToGrid w:val="0"/>
          <w:lang w:val="en-GB"/>
        </w:rPr>
        <w:t>b</w:t>
      </w:r>
      <w:r w:rsidR="00584C61">
        <w:rPr>
          <w:rFonts w:asciiTheme="minorHAnsi" w:hAnsiTheme="minorHAnsi"/>
          <w:snapToGrid w:val="0"/>
          <w:lang w:val="en-GB"/>
        </w:rPr>
        <w:t>/ts</w:t>
      </w:r>
      <w:r>
        <w:rPr>
          <w:rFonts w:asciiTheme="minorHAnsi" w:hAnsiTheme="minorHAnsi"/>
          <w:snapToGrid w:val="0"/>
          <w:lang w:val="en-GB"/>
        </w:rPr>
        <w:t>DMARDs) for MSUC, with prescri</w:t>
      </w:r>
      <w:r w:rsidR="002609E0">
        <w:rPr>
          <w:rFonts w:asciiTheme="minorHAnsi" w:hAnsiTheme="minorHAnsi"/>
          <w:snapToGrid w:val="0"/>
          <w:lang w:val="en-GB"/>
        </w:rPr>
        <w:t>b</w:t>
      </w:r>
      <w:r>
        <w:rPr>
          <w:rFonts w:asciiTheme="minorHAnsi" w:hAnsiTheme="minorHAnsi"/>
          <w:snapToGrid w:val="0"/>
          <w:lang w:val="en-GB"/>
        </w:rPr>
        <w:t>ing restricted to</w:t>
      </w:r>
      <w:r w:rsidR="00CB62E8">
        <w:rPr>
          <w:rFonts w:asciiTheme="minorHAnsi" w:hAnsiTheme="minorHAnsi"/>
          <w:snapToGrid w:val="0"/>
          <w:lang w:val="en-GB"/>
        </w:rPr>
        <w:t xml:space="preserve"> specific specialists</w:t>
      </w:r>
      <w:r>
        <w:rPr>
          <w:rFonts w:asciiTheme="minorHAnsi" w:hAnsiTheme="minorHAnsi"/>
          <w:snapToGrid w:val="0"/>
          <w:lang w:val="en-GB"/>
        </w:rPr>
        <w:t xml:space="preserve">, an initial treatment period of 16 weeks, followed by maintenance therapy with re-assessment at 24 week intervals. </w:t>
      </w:r>
    </w:p>
    <w:p w14:paraId="12026844" w14:textId="040D957F" w:rsidR="006E542B" w:rsidRPr="006E542B" w:rsidRDefault="006E542B" w:rsidP="006E542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five </w:t>
      </w:r>
      <w:r w:rsidR="00CB62E8">
        <w:rPr>
          <w:rFonts w:asciiTheme="minorHAnsi" w:hAnsiTheme="minorHAnsi"/>
          <w:snapToGrid w:val="0"/>
          <w:lang w:val="en-GB"/>
        </w:rPr>
        <w:t>b</w:t>
      </w:r>
      <w:r w:rsidR="00584C61">
        <w:rPr>
          <w:rFonts w:asciiTheme="minorHAnsi" w:hAnsiTheme="minorHAnsi"/>
          <w:snapToGrid w:val="0"/>
          <w:lang w:val="en-GB"/>
        </w:rPr>
        <w:t>/ts</w:t>
      </w:r>
      <w:r w:rsidR="00CB62E8">
        <w:rPr>
          <w:rFonts w:asciiTheme="minorHAnsi" w:hAnsiTheme="minorHAnsi"/>
          <w:snapToGrid w:val="0"/>
          <w:lang w:val="en-GB"/>
        </w:rPr>
        <w:t xml:space="preserve">DMARDs are </w:t>
      </w:r>
      <w:r>
        <w:rPr>
          <w:rFonts w:asciiTheme="minorHAnsi" w:hAnsiTheme="minorHAnsi"/>
          <w:snapToGrid w:val="0"/>
          <w:lang w:val="en-GB"/>
        </w:rPr>
        <w:t xml:space="preserve">currently listed for MSUC (with an additional two treatments either recommended or under consideration) and considered the clinical need for additional therapies </w:t>
      </w:r>
      <w:r w:rsidR="006C3F65">
        <w:rPr>
          <w:rFonts w:asciiTheme="minorHAnsi" w:hAnsiTheme="minorHAnsi"/>
          <w:snapToGrid w:val="0"/>
          <w:lang w:val="en-GB"/>
        </w:rPr>
        <w:t>i</w:t>
      </w:r>
      <w:r>
        <w:rPr>
          <w:rFonts w:asciiTheme="minorHAnsi" w:hAnsiTheme="minorHAnsi"/>
          <w:snapToGrid w:val="0"/>
          <w:lang w:val="en-GB"/>
        </w:rPr>
        <w:t>s low</w:t>
      </w:r>
      <w:r w:rsidR="00FC4CDA">
        <w:rPr>
          <w:rFonts w:asciiTheme="minorHAnsi" w:hAnsiTheme="minorHAnsi"/>
          <w:snapToGrid w:val="0"/>
          <w:lang w:val="en-GB"/>
        </w:rPr>
        <w:t>. The Committee noted UPA w</w:t>
      </w:r>
      <w:r w:rsidR="00256E98">
        <w:rPr>
          <w:rFonts w:asciiTheme="minorHAnsi" w:hAnsiTheme="minorHAnsi"/>
          <w:snapToGrid w:val="0"/>
          <w:lang w:val="en-GB"/>
        </w:rPr>
        <w:t xml:space="preserve">ould be </w:t>
      </w:r>
      <w:r w:rsidR="00FC4CDA">
        <w:rPr>
          <w:rFonts w:asciiTheme="minorHAnsi" w:hAnsiTheme="minorHAnsi"/>
          <w:snapToGrid w:val="0"/>
          <w:lang w:val="en-GB"/>
        </w:rPr>
        <w:t xml:space="preserve">the second janus kinase (JAK) inhibitor </w:t>
      </w:r>
      <w:r>
        <w:rPr>
          <w:rFonts w:asciiTheme="minorHAnsi" w:hAnsiTheme="minorHAnsi"/>
          <w:snapToGrid w:val="0"/>
          <w:lang w:val="en-GB"/>
        </w:rPr>
        <w:t>list</w:t>
      </w:r>
      <w:r w:rsidR="00256E98">
        <w:rPr>
          <w:rFonts w:asciiTheme="minorHAnsi" w:hAnsiTheme="minorHAnsi"/>
          <w:snapToGrid w:val="0"/>
          <w:lang w:val="en-GB"/>
        </w:rPr>
        <w:t>ed</w:t>
      </w:r>
      <w:r w:rsidR="000E4035">
        <w:rPr>
          <w:rFonts w:asciiTheme="minorHAnsi" w:hAnsiTheme="minorHAnsi"/>
          <w:snapToGrid w:val="0"/>
          <w:lang w:val="en-GB"/>
        </w:rPr>
        <w:t xml:space="preserve"> </w:t>
      </w:r>
      <w:r>
        <w:rPr>
          <w:rFonts w:asciiTheme="minorHAnsi" w:hAnsiTheme="minorHAnsi"/>
          <w:snapToGrid w:val="0"/>
          <w:lang w:val="en-GB"/>
        </w:rPr>
        <w:t>for this indication</w:t>
      </w:r>
      <w:r w:rsidR="00A132AD">
        <w:rPr>
          <w:rFonts w:asciiTheme="minorHAnsi" w:hAnsiTheme="minorHAnsi"/>
          <w:snapToGrid w:val="0"/>
          <w:lang w:val="en-GB"/>
        </w:rPr>
        <w:t>.</w:t>
      </w:r>
    </w:p>
    <w:p w14:paraId="5E65215A" w14:textId="78D503B4" w:rsidR="004626D3" w:rsidRDefault="00DD171C" w:rsidP="004626D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nominated main comparator of </w:t>
      </w:r>
      <w:r w:rsidR="008E23B8">
        <w:rPr>
          <w:rFonts w:asciiTheme="minorHAnsi" w:hAnsiTheme="minorHAnsi"/>
          <w:snapToGrid w:val="0"/>
          <w:lang w:val="en-GB"/>
        </w:rPr>
        <w:t>tofacitinib</w:t>
      </w:r>
      <w:r w:rsidR="00256E98">
        <w:rPr>
          <w:rFonts w:asciiTheme="minorHAnsi" w:hAnsiTheme="minorHAnsi"/>
          <w:snapToGrid w:val="0"/>
          <w:lang w:val="en-GB"/>
        </w:rPr>
        <w:t xml:space="preserve"> </w:t>
      </w:r>
      <w:r w:rsidR="008E23B8">
        <w:rPr>
          <w:rFonts w:asciiTheme="minorHAnsi" w:hAnsiTheme="minorHAnsi"/>
          <w:snapToGrid w:val="0"/>
          <w:lang w:val="en-GB"/>
        </w:rPr>
        <w:t xml:space="preserve">was reasonable, however also noted </w:t>
      </w:r>
      <w:r w:rsidR="00FC4CDA">
        <w:rPr>
          <w:rFonts w:asciiTheme="minorHAnsi" w:hAnsiTheme="minorHAnsi"/>
          <w:snapToGrid w:val="0"/>
          <w:lang w:val="en-GB"/>
        </w:rPr>
        <w:t xml:space="preserve">the submission nominated other PBS listed </w:t>
      </w:r>
      <w:r w:rsidR="006C3F65">
        <w:rPr>
          <w:rFonts w:asciiTheme="minorHAnsi" w:hAnsiTheme="minorHAnsi"/>
          <w:snapToGrid w:val="0"/>
          <w:lang w:val="en-GB"/>
        </w:rPr>
        <w:t>b</w:t>
      </w:r>
      <w:r w:rsidR="00584C61">
        <w:rPr>
          <w:rFonts w:asciiTheme="minorHAnsi" w:hAnsiTheme="minorHAnsi"/>
          <w:snapToGrid w:val="0"/>
          <w:lang w:val="en-GB"/>
        </w:rPr>
        <w:t>/ts</w:t>
      </w:r>
      <w:r w:rsidR="006C3F65">
        <w:rPr>
          <w:rFonts w:asciiTheme="minorHAnsi" w:hAnsiTheme="minorHAnsi"/>
          <w:snapToGrid w:val="0"/>
          <w:lang w:val="en-GB"/>
        </w:rPr>
        <w:t xml:space="preserve">DMARDs </w:t>
      </w:r>
      <w:r w:rsidR="00FC4CDA">
        <w:rPr>
          <w:rFonts w:asciiTheme="minorHAnsi" w:hAnsiTheme="minorHAnsi"/>
          <w:snapToGrid w:val="0"/>
          <w:lang w:val="en-GB"/>
        </w:rPr>
        <w:t>for MSUC, including GOL, IFX, ADA and VDZ as supplementary comparators</w:t>
      </w:r>
      <w:r w:rsidR="00D54D4C">
        <w:rPr>
          <w:rFonts w:asciiTheme="minorHAnsi" w:hAnsiTheme="minorHAnsi"/>
          <w:snapToGrid w:val="0"/>
          <w:lang w:val="en-GB"/>
        </w:rPr>
        <w:t xml:space="preserve">. The PBAC noted the clinical claim was that UPA was of superior comparative effectiveness to all currently listed </w:t>
      </w:r>
      <w:r w:rsidR="006C3F65">
        <w:rPr>
          <w:rFonts w:asciiTheme="minorHAnsi" w:hAnsiTheme="minorHAnsi"/>
          <w:snapToGrid w:val="0"/>
          <w:lang w:val="en-GB"/>
        </w:rPr>
        <w:t>b</w:t>
      </w:r>
      <w:r w:rsidR="00584C61">
        <w:rPr>
          <w:rFonts w:asciiTheme="minorHAnsi" w:hAnsiTheme="minorHAnsi"/>
          <w:snapToGrid w:val="0"/>
          <w:lang w:val="en-GB"/>
        </w:rPr>
        <w:t>/ts</w:t>
      </w:r>
      <w:r w:rsidR="006C3F65">
        <w:rPr>
          <w:rFonts w:asciiTheme="minorHAnsi" w:hAnsiTheme="minorHAnsi"/>
          <w:snapToGrid w:val="0"/>
          <w:lang w:val="en-GB"/>
        </w:rPr>
        <w:t xml:space="preserve">DMARDs </w:t>
      </w:r>
      <w:r w:rsidR="00D54D4C">
        <w:rPr>
          <w:rFonts w:asciiTheme="minorHAnsi" w:hAnsiTheme="minorHAnsi"/>
          <w:snapToGrid w:val="0"/>
          <w:lang w:val="en-GB"/>
        </w:rPr>
        <w:t>in induction therapy and of non-inferior comparative to GOL, TOF and VDZ in maintenance therapy. The PBAC noted a clinical effectiveness claim was not made versus ADA or IFX in maintenance therapy due to differences in the clinical trial designs. These claims are discussed further below.</w:t>
      </w:r>
    </w:p>
    <w:p w14:paraId="68BD5781" w14:textId="6E78D56D" w:rsidR="004626D3" w:rsidRPr="00CE42B4" w:rsidRDefault="00FC4CDA" w:rsidP="004626D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no direct trials comparing UPA to TOF or any of the supplementary comparators were available, and the submission relied on indirect treatment comparisons with placebo as the common comparator to support the clinical claims.</w:t>
      </w:r>
      <w:r w:rsidR="00AA5202">
        <w:rPr>
          <w:rFonts w:asciiTheme="minorHAnsi" w:hAnsiTheme="minorHAnsi"/>
          <w:snapToGrid w:val="0"/>
          <w:lang w:val="en-GB"/>
        </w:rPr>
        <w:t xml:space="preserve"> The PBAC noted there were potential transitivity issues with the indirect comparisons and specifically noted differences in the population recruited in the UPA trials compared to TOF and the supplementary comparator trials outlined in paragraph </w:t>
      </w:r>
      <w:r w:rsidR="00AA5202">
        <w:rPr>
          <w:rFonts w:asciiTheme="minorHAnsi" w:hAnsiTheme="minorHAnsi"/>
          <w:snapToGrid w:val="0"/>
          <w:lang w:val="en-GB"/>
        </w:rPr>
        <w:fldChar w:fldCharType="begin" w:fldLock="1"/>
      </w:r>
      <w:r w:rsidR="00AA5202">
        <w:rPr>
          <w:rFonts w:asciiTheme="minorHAnsi" w:hAnsiTheme="minorHAnsi"/>
          <w:snapToGrid w:val="0"/>
          <w:lang w:val="en-GB"/>
        </w:rPr>
        <w:instrText xml:space="preserve"> REF _Ref109812761 \r \h </w:instrText>
      </w:r>
      <w:r w:rsidR="00AA5202">
        <w:rPr>
          <w:rFonts w:asciiTheme="minorHAnsi" w:hAnsiTheme="minorHAnsi"/>
          <w:snapToGrid w:val="0"/>
          <w:lang w:val="en-GB"/>
        </w:rPr>
      </w:r>
      <w:r w:rsidR="00AA5202">
        <w:rPr>
          <w:rFonts w:asciiTheme="minorHAnsi" w:hAnsiTheme="minorHAnsi"/>
          <w:snapToGrid w:val="0"/>
          <w:lang w:val="en-GB"/>
        </w:rPr>
        <w:fldChar w:fldCharType="separate"/>
      </w:r>
      <w:r w:rsidR="008664BD">
        <w:rPr>
          <w:rFonts w:asciiTheme="minorHAnsi" w:hAnsiTheme="minorHAnsi"/>
          <w:snapToGrid w:val="0"/>
          <w:lang w:val="en-GB"/>
        </w:rPr>
        <w:t>6.11</w:t>
      </w:r>
      <w:r w:rsidR="00AA5202">
        <w:rPr>
          <w:rFonts w:asciiTheme="minorHAnsi" w:hAnsiTheme="minorHAnsi"/>
          <w:snapToGrid w:val="0"/>
          <w:lang w:val="en-GB"/>
        </w:rPr>
        <w:fldChar w:fldCharType="end"/>
      </w:r>
      <w:r w:rsidR="00AA5202">
        <w:rPr>
          <w:rFonts w:asciiTheme="minorHAnsi" w:hAnsiTheme="minorHAnsi"/>
          <w:snapToGrid w:val="0"/>
          <w:lang w:val="en-GB"/>
        </w:rPr>
        <w:t xml:space="preserve">. The PBAC considered these differences introduced additional uncertainty to the comparisons, however was unsure </w:t>
      </w:r>
      <w:r w:rsidR="00D577C5">
        <w:rPr>
          <w:rFonts w:asciiTheme="minorHAnsi" w:hAnsiTheme="minorHAnsi"/>
          <w:snapToGrid w:val="0"/>
          <w:lang w:val="en-GB"/>
        </w:rPr>
        <w:t>of the potential magnitude of any potential bias introduced by these issues.</w:t>
      </w:r>
      <w:r w:rsidR="0017424C">
        <w:rPr>
          <w:rFonts w:asciiTheme="minorHAnsi" w:hAnsiTheme="minorHAnsi"/>
          <w:snapToGrid w:val="0"/>
          <w:lang w:val="en-GB"/>
        </w:rPr>
        <w:t xml:space="preserve"> The PBAC </w:t>
      </w:r>
      <w:r w:rsidR="00A40BEF">
        <w:rPr>
          <w:rFonts w:asciiTheme="minorHAnsi" w:hAnsiTheme="minorHAnsi"/>
          <w:snapToGrid w:val="0"/>
          <w:lang w:val="en-GB"/>
        </w:rPr>
        <w:t xml:space="preserve">also </w:t>
      </w:r>
      <w:r w:rsidR="0017424C">
        <w:rPr>
          <w:rFonts w:asciiTheme="minorHAnsi" w:hAnsiTheme="minorHAnsi"/>
          <w:snapToGrid w:val="0"/>
          <w:lang w:val="en-GB"/>
        </w:rPr>
        <w:t xml:space="preserve">specifically noted </w:t>
      </w:r>
      <w:r w:rsidR="00D55944">
        <w:rPr>
          <w:rFonts w:asciiTheme="minorHAnsi" w:hAnsiTheme="minorHAnsi"/>
          <w:snapToGrid w:val="0"/>
          <w:lang w:val="en-GB"/>
        </w:rPr>
        <w:t>the low placebo</w:t>
      </w:r>
      <w:r w:rsidR="00452B3F">
        <w:rPr>
          <w:rFonts w:asciiTheme="minorHAnsi" w:hAnsiTheme="minorHAnsi"/>
          <w:snapToGrid w:val="0"/>
          <w:lang w:val="en-GB"/>
        </w:rPr>
        <w:t xml:space="preserve"> response</w:t>
      </w:r>
      <w:r w:rsidR="00D55944">
        <w:rPr>
          <w:rFonts w:asciiTheme="minorHAnsi" w:hAnsiTheme="minorHAnsi"/>
          <w:snapToGrid w:val="0"/>
          <w:lang w:val="en-GB"/>
        </w:rPr>
        <w:t xml:space="preserve"> results observed in the induction phase of the UPA trials (compared to other </w:t>
      </w:r>
      <w:r w:rsidR="006C3F65">
        <w:rPr>
          <w:rFonts w:asciiTheme="minorHAnsi" w:hAnsiTheme="minorHAnsi"/>
          <w:snapToGrid w:val="0"/>
          <w:lang w:val="en-GB"/>
        </w:rPr>
        <w:t>b</w:t>
      </w:r>
      <w:r w:rsidR="00D55944">
        <w:rPr>
          <w:rFonts w:asciiTheme="minorHAnsi" w:hAnsiTheme="minorHAnsi"/>
          <w:snapToGrid w:val="0"/>
          <w:lang w:val="en-GB"/>
        </w:rPr>
        <w:t>DMARD trials the Committee had previously assessed) and considered this difference was likely to bias in favour of UPA in the unadjusted indirect comp</w:t>
      </w:r>
      <w:r w:rsidR="00256E98">
        <w:rPr>
          <w:rFonts w:asciiTheme="minorHAnsi" w:hAnsiTheme="minorHAnsi"/>
          <w:snapToGrid w:val="0"/>
          <w:lang w:val="en-GB"/>
        </w:rPr>
        <w:t>a</w:t>
      </w:r>
      <w:r w:rsidR="00D55944">
        <w:rPr>
          <w:rFonts w:asciiTheme="minorHAnsi" w:hAnsiTheme="minorHAnsi"/>
          <w:snapToGrid w:val="0"/>
          <w:lang w:val="en-GB"/>
        </w:rPr>
        <w:t xml:space="preserve">risons. The PBAC noted the Pre-PBAC Response presented a fixed effects network meta-analysis (NMA) for the outcome of clinical remission in the induction phase based on the risk difference statistic (paragraph </w:t>
      </w:r>
      <w:r w:rsidR="00C21A0A">
        <w:rPr>
          <w:rFonts w:asciiTheme="minorHAnsi" w:hAnsiTheme="minorHAnsi"/>
          <w:snapToGrid w:val="0"/>
          <w:lang w:val="en-GB"/>
        </w:rPr>
        <w:fldChar w:fldCharType="begin" w:fldLock="1"/>
      </w:r>
      <w:r w:rsidR="00C21A0A">
        <w:rPr>
          <w:rFonts w:asciiTheme="minorHAnsi" w:hAnsiTheme="minorHAnsi"/>
          <w:snapToGrid w:val="0"/>
          <w:lang w:val="en-GB"/>
        </w:rPr>
        <w:instrText xml:space="preserve"> REF _Ref109827567 \r \h </w:instrText>
      </w:r>
      <w:r w:rsidR="00C21A0A">
        <w:rPr>
          <w:rFonts w:asciiTheme="minorHAnsi" w:hAnsiTheme="minorHAnsi"/>
          <w:snapToGrid w:val="0"/>
          <w:lang w:val="en-GB"/>
        </w:rPr>
      </w:r>
      <w:r w:rsidR="00C21A0A">
        <w:rPr>
          <w:rFonts w:asciiTheme="minorHAnsi" w:hAnsiTheme="minorHAnsi"/>
          <w:snapToGrid w:val="0"/>
          <w:lang w:val="en-GB"/>
        </w:rPr>
        <w:fldChar w:fldCharType="separate"/>
      </w:r>
      <w:r w:rsidR="008664BD">
        <w:rPr>
          <w:rFonts w:asciiTheme="minorHAnsi" w:hAnsiTheme="minorHAnsi"/>
          <w:snapToGrid w:val="0"/>
          <w:lang w:val="en-GB"/>
        </w:rPr>
        <w:t>6.24</w:t>
      </w:r>
      <w:r w:rsidR="00C21A0A">
        <w:rPr>
          <w:rFonts w:asciiTheme="minorHAnsi" w:hAnsiTheme="minorHAnsi"/>
          <w:snapToGrid w:val="0"/>
          <w:lang w:val="en-GB"/>
        </w:rPr>
        <w:fldChar w:fldCharType="end"/>
      </w:r>
      <w:r w:rsidR="00D55944">
        <w:rPr>
          <w:rFonts w:asciiTheme="minorHAnsi" w:hAnsiTheme="minorHAnsi"/>
          <w:snapToGrid w:val="0"/>
          <w:lang w:val="en-GB"/>
        </w:rPr>
        <w:t xml:space="preserve"> refers)</w:t>
      </w:r>
      <w:r w:rsidR="00F333C9">
        <w:rPr>
          <w:rFonts w:asciiTheme="minorHAnsi" w:hAnsiTheme="minorHAnsi"/>
          <w:snapToGrid w:val="0"/>
          <w:lang w:val="en-GB"/>
        </w:rPr>
        <w:t>, however noted this analysis was not independently evaluated</w:t>
      </w:r>
      <w:r w:rsidR="00035A2D">
        <w:rPr>
          <w:rFonts w:asciiTheme="minorHAnsi" w:hAnsiTheme="minorHAnsi"/>
          <w:snapToGrid w:val="0"/>
          <w:lang w:val="en-GB"/>
        </w:rPr>
        <w:t>.</w:t>
      </w:r>
      <w:r w:rsidR="00F333C9">
        <w:rPr>
          <w:rFonts w:asciiTheme="minorHAnsi" w:hAnsiTheme="minorHAnsi"/>
          <w:snapToGrid w:val="0"/>
          <w:lang w:val="en-GB"/>
        </w:rPr>
        <w:t xml:space="preserve"> </w:t>
      </w:r>
      <w:r w:rsidR="00C34F09">
        <w:rPr>
          <w:rFonts w:asciiTheme="minorHAnsi" w:hAnsiTheme="minorHAnsi"/>
          <w:snapToGrid w:val="0"/>
          <w:lang w:val="en-GB"/>
        </w:rPr>
        <w:t xml:space="preserve">The PBAC considered it was appropriate to consider the totality of the available evidence when drawing conclusions on the comparative effectiveness of UPA to the other PBS-listed </w:t>
      </w:r>
      <w:r w:rsidR="006C3F65">
        <w:rPr>
          <w:rFonts w:asciiTheme="minorHAnsi" w:hAnsiTheme="minorHAnsi"/>
          <w:snapToGrid w:val="0"/>
          <w:lang w:val="en-GB"/>
        </w:rPr>
        <w:t>b</w:t>
      </w:r>
      <w:r w:rsidR="00584C61">
        <w:rPr>
          <w:rFonts w:asciiTheme="minorHAnsi" w:hAnsiTheme="minorHAnsi"/>
          <w:snapToGrid w:val="0"/>
          <w:lang w:val="en-GB"/>
        </w:rPr>
        <w:t>/ts</w:t>
      </w:r>
      <w:r w:rsidR="00C34F09">
        <w:rPr>
          <w:rFonts w:asciiTheme="minorHAnsi" w:hAnsiTheme="minorHAnsi"/>
          <w:snapToGrid w:val="0"/>
          <w:lang w:val="en-GB"/>
        </w:rPr>
        <w:t>DMARDs for MSUC.</w:t>
      </w:r>
    </w:p>
    <w:p w14:paraId="42D2D996" w14:textId="1EFBFC11" w:rsidR="004626D3" w:rsidRPr="00CE42B4" w:rsidRDefault="00AA5202" w:rsidP="004626D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For induction treatment, the PBAC noted the results of the unadjusted indirect comparisons showed </w:t>
      </w:r>
      <w:r w:rsidR="00D577C5" w:rsidRPr="00D577C5">
        <w:rPr>
          <w:rFonts w:asciiTheme="minorHAnsi" w:hAnsiTheme="minorHAnsi"/>
          <w:snapToGrid w:val="0"/>
          <w:lang w:val="en-GB"/>
        </w:rPr>
        <w:t xml:space="preserve">statistically significant results </w:t>
      </w:r>
      <w:r w:rsidR="00035A2D">
        <w:rPr>
          <w:rFonts w:asciiTheme="minorHAnsi" w:hAnsiTheme="minorHAnsi"/>
          <w:snapToGrid w:val="0"/>
          <w:lang w:val="en-GB"/>
        </w:rPr>
        <w:t xml:space="preserve">favouring UPA </w:t>
      </w:r>
      <w:r w:rsidR="00D577C5" w:rsidRPr="00D577C5">
        <w:rPr>
          <w:rFonts w:asciiTheme="minorHAnsi" w:hAnsiTheme="minorHAnsi"/>
          <w:snapToGrid w:val="0"/>
          <w:lang w:val="en-GB"/>
        </w:rPr>
        <w:t xml:space="preserve">for both clinical remission and clinical response versus TOF, GOL, ADA and VDZ, however noted this result was not </w:t>
      </w:r>
      <w:r w:rsidR="00A950DF">
        <w:rPr>
          <w:rFonts w:asciiTheme="minorHAnsi" w:hAnsiTheme="minorHAnsi"/>
          <w:snapToGrid w:val="0"/>
          <w:lang w:val="en-GB"/>
        </w:rPr>
        <w:t>demonstrated</w:t>
      </w:r>
      <w:r w:rsidR="00D577C5" w:rsidRPr="00D577C5">
        <w:rPr>
          <w:rFonts w:asciiTheme="minorHAnsi" w:hAnsiTheme="minorHAnsi"/>
          <w:snapToGrid w:val="0"/>
          <w:lang w:val="en-GB"/>
        </w:rPr>
        <w:t xml:space="preserve"> over infliximab</w:t>
      </w:r>
      <w:r w:rsidR="002609E0">
        <w:rPr>
          <w:rFonts w:asciiTheme="minorHAnsi" w:hAnsiTheme="minorHAnsi"/>
          <w:snapToGrid w:val="0"/>
          <w:lang w:val="en-GB"/>
        </w:rPr>
        <w:t xml:space="preserve"> for all outcomes</w:t>
      </w:r>
      <w:r w:rsidR="00035A2D">
        <w:rPr>
          <w:rFonts w:asciiTheme="minorHAnsi" w:hAnsiTheme="minorHAnsi"/>
          <w:snapToGrid w:val="0"/>
          <w:lang w:val="en-GB"/>
        </w:rPr>
        <w:t>. For the comparison versus IFX</w:t>
      </w:r>
      <w:r w:rsidR="00D577C5" w:rsidRPr="00D577C5">
        <w:rPr>
          <w:rFonts w:asciiTheme="minorHAnsi" w:hAnsiTheme="minorHAnsi"/>
          <w:snapToGrid w:val="0"/>
          <w:lang w:val="en-GB"/>
        </w:rPr>
        <w:t xml:space="preserve">, the unadjusted indirect comparison statistically significantly favoured UPA for the outcome of clinical response, but was not sustained for </w:t>
      </w:r>
      <w:bookmarkStart w:id="59" w:name="_Hlk110583406"/>
      <w:r w:rsidR="00D577C5" w:rsidRPr="00D577C5">
        <w:rPr>
          <w:rFonts w:asciiTheme="minorHAnsi" w:hAnsiTheme="minorHAnsi"/>
          <w:snapToGrid w:val="0"/>
          <w:lang w:val="en-GB"/>
        </w:rPr>
        <w:t xml:space="preserve">clinical remission across both the relative risk and risk difference statistics (clinical remission UPA vs </w:t>
      </w:r>
      <w:r w:rsidR="00351592">
        <w:rPr>
          <w:rFonts w:asciiTheme="minorHAnsi" w:hAnsiTheme="minorHAnsi"/>
          <w:snapToGrid w:val="0"/>
          <w:lang w:val="en-GB"/>
        </w:rPr>
        <w:t>IFX</w:t>
      </w:r>
      <w:r w:rsidR="00D577C5" w:rsidRPr="00D577C5">
        <w:rPr>
          <w:rFonts w:asciiTheme="minorHAnsi" w:hAnsiTheme="minorHAnsi"/>
          <w:snapToGrid w:val="0"/>
          <w:lang w:val="en-GB"/>
        </w:rPr>
        <w:t xml:space="preserve"> RR = 3.90 (95% CI 1.81, 8.38) and RD = 0.02 (95% CI -0.07, 0.11)</w:t>
      </w:r>
      <w:r w:rsidR="00351592">
        <w:rPr>
          <w:rFonts w:asciiTheme="minorHAnsi" w:hAnsiTheme="minorHAnsi"/>
          <w:snapToGrid w:val="0"/>
          <w:lang w:val="en-GB"/>
        </w:rPr>
        <w:t>)</w:t>
      </w:r>
      <w:r w:rsidR="00D577C5" w:rsidRPr="00D577C5">
        <w:rPr>
          <w:rFonts w:asciiTheme="minorHAnsi" w:hAnsiTheme="minorHAnsi"/>
          <w:snapToGrid w:val="0"/>
          <w:lang w:val="en-GB"/>
        </w:rPr>
        <w:t>.</w:t>
      </w:r>
      <w:bookmarkEnd w:id="59"/>
      <w:r w:rsidR="00256E98">
        <w:rPr>
          <w:rFonts w:asciiTheme="minorHAnsi" w:hAnsiTheme="minorHAnsi"/>
          <w:snapToGrid w:val="0"/>
          <w:lang w:val="en-GB"/>
        </w:rPr>
        <w:t xml:space="preserve"> For the comparison versus TOF, GOL</w:t>
      </w:r>
      <w:r w:rsidR="00751550">
        <w:rPr>
          <w:rFonts w:asciiTheme="minorHAnsi" w:hAnsiTheme="minorHAnsi"/>
          <w:snapToGrid w:val="0"/>
          <w:lang w:val="en-GB"/>
        </w:rPr>
        <w:t>, ADA</w:t>
      </w:r>
      <w:r w:rsidR="00256E98">
        <w:rPr>
          <w:rFonts w:asciiTheme="minorHAnsi" w:hAnsiTheme="minorHAnsi"/>
          <w:snapToGrid w:val="0"/>
          <w:lang w:val="en-GB"/>
        </w:rPr>
        <w:t xml:space="preserve"> and VDZ, the PBAC </w:t>
      </w:r>
      <w:r w:rsidR="00751550">
        <w:rPr>
          <w:rFonts w:asciiTheme="minorHAnsi" w:hAnsiTheme="minorHAnsi"/>
          <w:snapToGrid w:val="0"/>
          <w:lang w:val="en-GB"/>
        </w:rPr>
        <w:t xml:space="preserve">considered </w:t>
      </w:r>
      <w:r w:rsidR="00256E98">
        <w:rPr>
          <w:rFonts w:asciiTheme="minorHAnsi" w:hAnsiTheme="minorHAnsi"/>
          <w:snapToGrid w:val="0"/>
          <w:lang w:val="en-GB"/>
        </w:rPr>
        <w:t xml:space="preserve">the clinical relevance </w:t>
      </w:r>
      <w:r w:rsidR="00751550">
        <w:rPr>
          <w:rFonts w:asciiTheme="minorHAnsi" w:hAnsiTheme="minorHAnsi"/>
          <w:snapToGrid w:val="0"/>
          <w:lang w:val="en-GB"/>
        </w:rPr>
        <w:t xml:space="preserve">of the difference in the proportion of patients achieving remission and clinical response </w:t>
      </w:r>
      <w:r w:rsidR="00256E98">
        <w:rPr>
          <w:rFonts w:asciiTheme="minorHAnsi" w:hAnsiTheme="minorHAnsi"/>
          <w:snapToGrid w:val="0"/>
          <w:lang w:val="en-GB"/>
        </w:rPr>
        <w:t>was uncertain, given the</w:t>
      </w:r>
      <w:r w:rsidR="00131161">
        <w:rPr>
          <w:rFonts w:asciiTheme="minorHAnsi" w:hAnsiTheme="minorHAnsi"/>
          <w:snapToGrid w:val="0"/>
          <w:lang w:val="en-GB"/>
        </w:rPr>
        <w:t xml:space="preserve"> transitivity issues discussed in the paragraph above, </w:t>
      </w:r>
      <w:r w:rsidR="00751550">
        <w:rPr>
          <w:rFonts w:asciiTheme="minorHAnsi" w:hAnsiTheme="minorHAnsi"/>
          <w:snapToGrid w:val="0"/>
          <w:lang w:val="en-GB"/>
        </w:rPr>
        <w:t>wide confidence intervals</w:t>
      </w:r>
      <w:r w:rsidR="00131161">
        <w:rPr>
          <w:rFonts w:asciiTheme="minorHAnsi" w:hAnsiTheme="minorHAnsi"/>
          <w:snapToGrid w:val="0"/>
          <w:lang w:val="en-GB"/>
        </w:rPr>
        <w:t xml:space="preserve"> </w:t>
      </w:r>
      <w:r w:rsidR="00751550">
        <w:rPr>
          <w:rFonts w:asciiTheme="minorHAnsi" w:hAnsiTheme="minorHAnsi"/>
          <w:snapToGrid w:val="0"/>
          <w:lang w:val="en-GB"/>
        </w:rPr>
        <w:t xml:space="preserve">and </w:t>
      </w:r>
      <w:r w:rsidR="00256E98">
        <w:rPr>
          <w:rFonts w:asciiTheme="minorHAnsi" w:hAnsiTheme="minorHAnsi"/>
          <w:snapToGrid w:val="0"/>
          <w:lang w:val="en-GB"/>
        </w:rPr>
        <w:t xml:space="preserve">short </w:t>
      </w:r>
      <w:r w:rsidR="00751550">
        <w:rPr>
          <w:rFonts w:asciiTheme="minorHAnsi" w:hAnsiTheme="minorHAnsi"/>
          <w:snapToGrid w:val="0"/>
          <w:lang w:val="en-GB"/>
        </w:rPr>
        <w:t xml:space="preserve">induction </w:t>
      </w:r>
      <w:r w:rsidR="00256E98">
        <w:rPr>
          <w:rFonts w:asciiTheme="minorHAnsi" w:hAnsiTheme="minorHAnsi"/>
          <w:snapToGrid w:val="0"/>
          <w:lang w:val="en-GB"/>
        </w:rPr>
        <w:t>treatment period (6 to 10 weeks)</w:t>
      </w:r>
      <w:r w:rsidR="00751550">
        <w:rPr>
          <w:rFonts w:asciiTheme="minorHAnsi" w:hAnsiTheme="minorHAnsi"/>
          <w:snapToGrid w:val="0"/>
          <w:lang w:val="en-GB"/>
        </w:rPr>
        <w:t xml:space="preserve">. </w:t>
      </w:r>
      <w:r w:rsidR="00D577C5" w:rsidRPr="00D577C5">
        <w:rPr>
          <w:rFonts w:asciiTheme="minorHAnsi" w:hAnsiTheme="minorHAnsi"/>
          <w:snapToGrid w:val="0"/>
          <w:lang w:val="en-GB"/>
        </w:rPr>
        <w:t>Overall, the PBAC considered UPA was likely to be of non-inferior comparative effectiveness to IFX for induction therapy</w:t>
      </w:r>
      <w:r w:rsidR="00E00959">
        <w:rPr>
          <w:rFonts w:asciiTheme="minorHAnsi" w:hAnsiTheme="minorHAnsi"/>
          <w:snapToGrid w:val="0"/>
          <w:lang w:val="en-GB"/>
        </w:rPr>
        <w:t xml:space="preserve">, and considered the evidence </w:t>
      </w:r>
      <w:r w:rsidR="00005C61">
        <w:rPr>
          <w:rFonts w:asciiTheme="minorHAnsi" w:hAnsiTheme="minorHAnsi"/>
          <w:snapToGrid w:val="0"/>
          <w:lang w:val="en-GB"/>
        </w:rPr>
        <w:t xml:space="preserve">presented </w:t>
      </w:r>
      <w:r w:rsidR="00E00959">
        <w:rPr>
          <w:rFonts w:asciiTheme="minorHAnsi" w:hAnsiTheme="minorHAnsi"/>
          <w:snapToGrid w:val="0"/>
          <w:lang w:val="en-GB"/>
        </w:rPr>
        <w:t xml:space="preserve">may support a conclusion that UPA is statistically significantly superior to other PBS-listed </w:t>
      </w:r>
      <w:r w:rsidR="006C3F65">
        <w:rPr>
          <w:rFonts w:asciiTheme="minorHAnsi" w:hAnsiTheme="minorHAnsi"/>
          <w:snapToGrid w:val="0"/>
          <w:lang w:val="en-GB"/>
        </w:rPr>
        <w:t>b</w:t>
      </w:r>
      <w:r w:rsidR="00584C61">
        <w:rPr>
          <w:rFonts w:asciiTheme="minorHAnsi" w:hAnsiTheme="minorHAnsi"/>
          <w:snapToGrid w:val="0"/>
          <w:lang w:val="en-GB"/>
        </w:rPr>
        <w:t>/ts</w:t>
      </w:r>
      <w:r w:rsidR="00E00959">
        <w:rPr>
          <w:rFonts w:asciiTheme="minorHAnsi" w:hAnsiTheme="minorHAnsi"/>
          <w:snapToGrid w:val="0"/>
          <w:lang w:val="en-GB"/>
        </w:rPr>
        <w:t>DMARDs for induction therapy</w:t>
      </w:r>
      <w:r w:rsidR="00005C61">
        <w:rPr>
          <w:rFonts w:asciiTheme="minorHAnsi" w:hAnsiTheme="minorHAnsi"/>
          <w:snapToGrid w:val="0"/>
          <w:lang w:val="en-GB"/>
        </w:rPr>
        <w:t xml:space="preserve"> for both clinical remission and response</w:t>
      </w:r>
      <w:r w:rsidR="00751550">
        <w:rPr>
          <w:rFonts w:asciiTheme="minorHAnsi" w:hAnsiTheme="minorHAnsi"/>
          <w:snapToGrid w:val="0"/>
          <w:lang w:val="en-GB"/>
        </w:rPr>
        <w:t xml:space="preserve"> but the clinical relevance was uncertain</w:t>
      </w:r>
      <w:r w:rsidR="00256E98">
        <w:rPr>
          <w:rFonts w:asciiTheme="minorHAnsi" w:hAnsiTheme="minorHAnsi"/>
          <w:snapToGrid w:val="0"/>
          <w:lang w:val="en-GB"/>
        </w:rPr>
        <w:t xml:space="preserve">. </w:t>
      </w:r>
    </w:p>
    <w:p w14:paraId="2DF234A6" w14:textId="35EF3045" w:rsidR="004626D3" w:rsidRPr="00CE42B4" w:rsidRDefault="00483B82" w:rsidP="004626D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For maintenance treatment, the PBAC noted</w:t>
      </w:r>
      <w:r w:rsidR="0017424C">
        <w:rPr>
          <w:rFonts w:asciiTheme="minorHAnsi" w:hAnsiTheme="minorHAnsi"/>
          <w:snapToGrid w:val="0"/>
          <w:lang w:val="en-GB"/>
        </w:rPr>
        <w:t xml:space="preserve"> the results of the indirect comaprisons did not demonstrate statistically significant differences between UPA and any of TOF, VDZ or GOL for clinical remission or clinical response (with the exception of the comparison of UPA 30mg vs. VDZ, which favoured UPA) and considered based on the results of the unadjusted indirect comaprisons that the claim of non-inferior comparative effectiveness to these therapies was reasonable. The PBAC noted no indirect comaprisons were versus IFX and ADA were presented, however considered this was acceptable due to differences in the trial designs.</w:t>
      </w:r>
    </w:p>
    <w:p w14:paraId="00AF0185" w14:textId="292CB77F" w:rsidR="00131161" w:rsidRDefault="00A60BF2" w:rsidP="004626D3">
      <w:pPr>
        <w:widowControl w:val="0"/>
        <w:numPr>
          <w:ilvl w:val="1"/>
          <w:numId w:val="1"/>
        </w:numPr>
        <w:spacing w:after="120"/>
      </w:pPr>
      <w:r>
        <w:t xml:space="preserve">The PBAC noted the submission originally requested listing at a higher price than the alternative therapies, based on the claim of superior comparative effectiveness in induction therapy, with the requested price supported by a cost per responder analysis for this phase of treatment. The Committee noted the submission requested price was based on a weighted price proposal combining the results of the cost per responder analysis for induction therapy, and the results of a cost minimisation approach to tofacitinib for maintenance therapy. The PBAC considered the approach </w:t>
      </w:r>
      <w:r w:rsidR="00131161">
        <w:t xml:space="preserve">in the submission </w:t>
      </w:r>
      <w:r>
        <w:t>was inappropriate, and agreed with the ESC that the cost per responder model</w:t>
      </w:r>
      <w:r w:rsidR="00131161">
        <w:t xml:space="preserve"> </w:t>
      </w:r>
      <w:r w:rsidRPr="00A60BF2">
        <w:t>attempted to capture benefits over only a short induction period for a treatment which is intended to be ongoing,</w:t>
      </w:r>
      <w:r>
        <w:t xml:space="preserve"> and therefore it would have been preferrable to model both benefits and costs over a duration reflective of the likely duration of treatment. This issue notwithstanding, the PBAC noted the </w:t>
      </w:r>
      <w:r w:rsidR="00A950DF">
        <w:t>sponsor</w:t>
      </w:r>
      <w:r>
        <w:t xml:space="preserve"> </w:t>
      </w:r>
      <w:r w:rsidR="00131161">
        <w:t xml:space="preserve">indicated </w:t>
      </w:r>
      <w:r>
        <w:t xml:space="preserve">in its pre-PBAC response that </w:t>
      </w:r>
      <w:r w:rsidR="00131161">
        <w:t xml:space="preserve">they </w:t>
      </w:r>
      <w:r>
        <w:t xml:space="preserve">would accept listing on a cost minimisation basis with </w:t>
      </w:r>
      <w:r w:rsidR="00E00959">
        <w:t xml:space="preserve">the alternative therapies (excluding ADA </w:t>
      </w:r>
      <w:r w:rsidR="00131161">
        <w:t>and GOL)</w:t>
      </w:r>
      <w:r w:rsidR="00E00959">
        <w:t>.</w:t>
      </w:r>
      <w:r w:rsidR="000E76C4">
        <w:t xml:space="preserve"> </w:t>
      </w:r>
      <w:r w:rsidR="00131161">
        <w:t xml:space="preserve">The PBAC </w:t>
      </w:r>
      <w:r w:rsidR="00F638ED">
        <w:t xml:space="preserve">noted UPA was significantly better than ADA at achieving </w:t>
      </w:r>
      <w:r w:rsidR="00F638ED" w:rsidRPr="00F638ED">
        <w:t xml:space="preserve">clinical remission </w:t>
      </w:r>
      <w:r w:rsidR="00F638ED">
        <w:t xml:space="preserve">and clinical response </w:t>
      </w:r>
      <w:r w:rsidR="00F638ED" w:rsidRPr="00F638ED">
        <w:t xml:space="preserve">across both the relative risk and risk difference statistics (clinical remission UPA vs </w:t>
      </w:r>
      <w:r w:rsidR="00F638ED">
        <w:t xml:space="preserve">ADA </w:t>
      </w:r>
      <w:r w:rsidR="00F638ED" w:rsidRPr="00F638ED">
        <w:t xml:space="preserve"> RR = </w:t>
      </w:r>
      <w:r w:rsidR="00F638ED">
        <w:t>6.71</w:t>
      </w:r>
      <w:r w:rsidR="00F638ED" w:rsidRPr="00F638ED">
        <w:t xml:space="preserve"> (95% CI </w:t>
      </w:r>
      <w:r w:rsidR="00F638ED">
        <w:t>3.04</w:t>
      </w:r>
      <w:r w:rsidR="00F638ED" w:rsidRPr="00F638ED">
        <w:t xml:space="preserve">, </w:t>
      </w:r>
      <w:r w:rsidR="00F638ED">
        <w:t>14.83</w:t>
      </w:r>
      <w:r w:rsidR="00F638ED" w:rsidRPr="00F638ED">
        <w:t xml:space="preserve">) and RD = </w:t>
      </w:r>
      <w:r w:rsidR="00F638ED">
        <w:t>0.17</w:t>
      </w:r>
      <w:r w:rsidR="00F638ED" w:rsidRPr="00F638ED">
        <w:t xml:space="preserve"> (95% CI </w:t>
      </w:r>
      <w:r w:rsidR="00F638ED">
        <w:t>0.10</w:t>
      </w:r>
      <w:r w:rsidR="00F638ED" w:rsidRPr="00F638ED">
        <w:t>, 0.</w:t>
      </w:r>
      <w:r w:rsidR="00F638ED">
        <w:t>24</w:t>
      </w:r>
      <w:r w:rsidR="00F638ED" w:rsidRPr="00F638ED">
        <w:t>)</w:t>
      </w:r>
      <w:r w:rsidR="00F638ED">
        <w:t xml:space="preserve"> and clinical response UPA vs ADA RR 2.28 </w:t>
      </w:r>
      <w:r w:rsidR="00F638ED" w:rsidRPr="00F638ED">
        <w:t>(95% CI</w:t>
      </w:r>
      <w:r w:rsidR="00F638ED">
        <w:t xml:space="preserve"> 1.79, 2.90</w:t>
      </w:r>
      <w:r w:rsidR="00F638ED" w:rsidRPr="00F638ED">
        <w:t>)</w:t>
      </w:r>
      <w:r w:rsidR="00F638ED">
        <w:t xml:space="preserve"> and RD = 0.35 (95% CI 0.27, 0.43))</w:t>
      </w:r>
      <w:r w:rsidR="00F638ED" w:rsidRPr="00F638ED">
        <w:t xml:space="preserve">. </w:t>
      </w:r>
      <w:r w:rsidR="00F638ED">
        <w:t xml:space="preserve">Based on the totality of the evidence presented in </w:t>
      </w:r>
      <w:r w:rsidR="00F638ED">
        <w:fldChar w:fldCharType="begin" w:fldLock="1"/>
      </w:r>
      <w:r w:rsidR="00F638ED">
        <w:instrText xml:space="preserve"> REF _Ref103176289 \h  \* MERGEFORMAT </w:instrText>
      </w:r>
      <w:r w:rsidR="00F638ED">
        <w:fldChar w:fldCharType="separate"/>
      </w:r>
      <w:r w:rsidR="008664BD" w:rsidRPr="008664BD">
        <w:t>Table 4</w:t>
      </w:r>
      <w:r w:rsidR="00F638ED">
        <w:fldChar w:fldCharType="end"/>
      </w:r>
      <w:r w:rsidR="00F638ED">
        <w:t xml:space="preserve">, the PBAC is satisfied </w:t>
      </w:r>
      <w:r w:rsidR="00131161">
        <w:t>that</w:t>
      </w:r>
      <w:r w:rsidR="00F638ED">
        <w:t xml:space="preserve"> </w:t>
      </w:r>
      <w:r w:rsidR="00131161">
        <w:t>UPA provide</w:t>
      </w:r>
      <w:r w:rsidR="00F638ED">
        <w:t>s</w:t>
      </w:r>
      <w:r w:rsidR="00131161">
        <w:t>, for some patients, a significant improvement in efficacy</w:t>
      </w:r>
      <w:r w:rsidR="00F638ED">
        <w:t xml:space="preserve"> compared to</w:t>
      </w:r>
      <w:r w:rsidR="00131161">
        <w:t xml:space="preserve"> ADA in the induction period. </w:t>
      </w:r>
      <w:r w:rsidR="00F638ED">
        <w:t xml:space="preserve"> </w:t>
      </w:r>
    </w:p>
    <w:p w14:paraId="5A4BE8DB" w14:textId="4F646A0F" w:rsidR="00A60BF2" w:rsidRPr="00A60BF2" w:rsidRDefault="000E76C4" w:rsidP="004626D3">
      <w:pPr>
        <w:widowControl w:val="0"/>
        <w:numPr>
          <w:ilvl w:val="1"/>
          <w:numId w:val="1"/>
        </w:numPr>
        <w:spacing w:after="120"/>
      </w:pPr>
      <w:bookmarkStart w:id="60" w:name="_Ref123915919"/>
      <w:r>
        <w:t>The PBAC considered that a listing based on a cost minimisation approach with costs over two years, consi</w:t>
      </w:r>
      <w:r w:rsidR="00131161">
        <w:t>s</w:t>
      </w:r>
      <w:r>
        <w:t xml:space="preserve">tent with the approach previously used for </w:t>
      </w:r>
      <w:r w:rsidR="006C3F65">
        <w:t>b</w:t>
      </w:r>
      <w:r w:rsidR="00584C61">
        <w:t>/ts</w:t>
      </w:r>
      <w:r>
        <w:t>DMARDs, was appropriate to determine the cost minimised price of UPA and agreed the cost of UPA should be no greater than the alternative therapies (excluding ADA).</w:t>
      </w:r>
      <w:bookmarkEnd w:id="60"/>
    </w:p>
    <w:p w14:paraId="77BF04B3" w14:textId="721F0994" w:rsidR="000E76C4" w:rsidRDefault="000E76C4" w:rsidP="000E76C4">
      <w:pPr>
        <w:pStyle w:val="3-BodyText"/>
        <w:rPr>
          <w:lang w:val="en-GB"/>
        </w:rPr>
      </w:pPr>
      <w:r w:rsidRPr="000E76C4">
        <w:rPr>
          <w:lang w:val="en-GB"/>
        </w:rPr>
        <w:t xml:space="preserve">The PBAC considered that, under the parameters of its recommended listing on a cost minimisation with the least costly of VDZ, IFX, GOL and TOF, the listing of </w:t>
      </w:r>
      <w:r>
        <w:rPr>
          <w:lang w:val="en-GB"/>
        </w:rPr>
        <w:t>UPA</w:t>
      </w:r>
      <w:r w:rsidRPr="000E76C4">
        <w:rPr>
          <w:lang w:val="en-GB"/>
        </w:rPr>
        <w:t xml:space="preserve"> would likely be cost neutral to the PBS or result in a modest net save as it will predominantly replace therapies that are either of equivalent cost or more expensive.</w:t>
      </w:r>
    </w:p>
    <w:p w14:paraId="5A7EE322" w14:textId="77777777" w:rsidR="00326DF0" w:rsidRPr="00525B39" w:rsidRDefault="00326DF0" w:rsidP="00326DF0">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BBF7584" w14:textId="50DC6631" w:rsidR="00326DF0" w:rsidRPr="000E76C4" w:rsidRDefault="00326DF0" w:rsidP="00326DF0">
      <w:pPr>
        <w:pStyle w:val="3-BodyText"/>
        <w:numPr>
          <w:ilvl w:val="0"/>
          <w:numId w:val="0"/>
        </w:numPr>
        <w:ind w:left="720" w:hanging="720"/>
        <w:rPr>
          <w:lang w:val="en-GB"/>
        </w:rPr>
      </w:pPr>
      <w:r w:rsidRPr="00525B39">
        <w:rPr>
          <w:bCs/>
          <w:lang w:val="en-GB"/>
        </w:rPr>
        <w:t>Deferred</w:t>
      </w:r>
    </w:p>
    <w:bookmarkEnd w:id="56"/>
    <w:bookmarkEnd w:id="57"/>
    <w:p w14:paraId="711B4EF4" w14:textId="4393351E" w:rsidR="00DC6997" w:rsidRPr="00D94877" w:rsidRDefault="00DC6997" w:rsidP="00D94877">
      <w:pPr>
        <w:pStyle w:val="2-SectionHeading"/>
        <w:numPr>
          <w:ilvl w:val="0"/>
          <w:numId w:val="1"/>
        </w:numPr>
        <w:rPr>
          <w:bCs/>
          <w:lang w:val="en-GB"/>
        </w:rPr>
      </w:pPr>
      <w:r w:rsidRPr="00D94877">
        <w:rPr>
          <w:bCs/>
          <w:lang w:val="en-GB"/>
        </w:rPr>
        <w:t>Context for Decision</w:t>
      </w:r>
    </w:p>
    <w:p w14:paraId="3FB0D7A2" w14:textId="77777777" w:rsidR="00DC6997" w:rsidRPr="00DC6997" w:rsidRDefault="00DC6997" w:rsidP="00DC6997">
      <w:pPr>
        <w:spacing w:after="120" w:line="259" w:lineRule="auto"/>
        <w:ind w:left="709"/>
        <w:rPr>
          <w:rFonts w:eastAsia="Calibri"/>
          <w:bCs/>
          <w:sz w:val="22"/>
          <w:szCs w:val="22"/>
          <w:lang w:val="en-GB" w:eastAsia="en-US"/>
        </w:rPr>
      </w:pPr>
      <w:r w:rsidRPr="00DC6997">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E4D3864" w14:textId="75DA0AFB" w:rsidR="00DC6997" w:rsidRPr="00D94877" w:rsidRDefault="00DC6997" w:rsidP="00D94877">
      <w:pPr>
        <w:pStyle w:val="2-SectionHeading"/>
        <w:numPr>
          <w:ilvl w:val="0"/>
          <w:numId w:val="1"/>
        </w:numPr>
        <w:rPr>
          <w:bCs/>
          <w:lang w:val="en-GB"/>
        </w:rPr>
      </w:pPr>
      <w:r w:rsidRPr="00D94877">
        <w:rPr>
          <w:bCs/>
          <w:lang w:val="en-GB"/>
        </w:rPr>
        <w:t>Sponsor’s Comment</w:t>
      </w:r>
    </w:p>
    <w:p w14:paraId="0F7EE4CF" w14:textId="77777777" w:rsidR="00DC6997" w:rsidRPr="00DC6997" w:rsidRDefault="00DC6997" w:rsidP="00DC6997">
      <w:pPr>
        <w:spacing w:after="120" w:line="259" w:lineRule="auto"/>
        <w:ind w:left="709"/>
        <w:rPr>
          <w:rFonts w:eastAsia="Calibri"/>
          <w:bCs/>
          <w:sz w:val="22"/>
          <w:szCs w:val="22"/>
          <w:lang w:eastAsia="en-US"/>
        </w:rPr>
      </w:pPr>
      <w:r w:rsidRPr="00DC6997">
        <w:rPr>
          <w:rFonts w:eastAsia="Calibri"/>
          <w:bCs/>
          <w:sz w:val="22"/>
          <w:szCs w:val="22"/>
          <w:lang w:eastAsia="en-US"/>
        </w:rPr>
        <w:t>The sponsor had no comment.</w:t>
      </w:r>
    </w:p>
    <w:p w14:paraId="09FDE4E0" w14:textId="3B5E594A" w:rsidR="00EF105B" w:rsidRDefault="00EF105B" w:rsidP="00EF105B">
      <w:pPr>
        <w:widowControl w:val="0"/>
        <w:spacing w:before="120" w:after="160"/>
        <w:outlineLvl w:val="0"/>
        <w:rPr>
          <w:rFonts w:eastAsia="Calibri"/>
          <w:b/>
          <w:snapToGrid w:val="0"/>
          <w:color w:val="FF0000"/>
          <w:sz w:val="28"/>
          <w:szCs w:val="28"/>
          <w:lang w:eastAsia="en-US"/>
        </w:rPr>
      </w:pPr>
      <w:r w:rsidRPr="00073B4B">
        <w:rPr>
          <w:rFonts w:eastAsia="Calibri"/>
          <w:b/>
          <w:snapToGrid w:val="0"/>
          <w:color w:val="FF0000"/>
          <w:sz w:val="28"/>
          <w:szCs w:val="28"/>
          <w:lang w:eastAsia="en-US"/>
        </w:rPr>
        <w:t xml:space="preserve">Addendum to the </w:t>
      </w:r>
      <w:r>
        <w:rPr>
          <w:rFonts w:eastAsia="Calibri"/>
          <w:b/>
          <w:snapToGrid w:val="0"/>
          <w:color w:val="FF0000"/>
          <w:sz w:val="28"/>
          <w:szCs w:val="28"/>
          <w:lang w:eastAsia="en-US"/>
        </w:rPr>
        <w:t>July 2022</w:t>
      </w:r>
      <w:r w:rsidRPr="00073B4B">
        <w:rPr>
          <w:rFonts w:eastAsia="Calibri"/>
          <w:b/>
          <w:snapToGrid w:val="0"/>
          <w:color w:val="FF0000"/>
          <w:sz w:val="28"/>
          <w:szCs w:val="28"/>
          <w:lang w:eastAsia="en-US"/>
        </w:rPr>
        <w:t xml:space="preserve"> </w:t>
      </w:r>
      <w:r w:rsidR="00D94877">
        <w:rPr>
          <w:rFonts w:eastAsia="Calibri"/>
          <w:b/>
          <w:snapToGrid w:val="0"/>
          <w:color w:val="FF0000"/>
          <w:sz w:val="28"/>
          <w:szCs w:val="28"/>
          <w:lang w:eastAsia="en-US"/>
        </w:rPr>
        <w:t>Public Summary Document</w:t>
      </w:r>
      <w:r w:rsidRPr="00073B4B">
        <w:rPr>
          <w:rFonts w:eastAsia="Calibri"/>
          <w:b/>
          <w:snapToGrid w:val="0"/>
          <w:color w:val="FF0000"/>
          <w:sz w:val="28"/>
          <w:szCs w:val="28"/>
          <w:lang w:eastAsia="en-US"/>
        </w:rPr>
        <w:t>:</w:t>
      </w:r>
    </w:p>
    <w:p w14:paraId="62F82724" w14:textId="07E71AD0" w:rsidR="00EF105B" w:rsidRDefault="00D94877" w:rsidP="00EF105B">
      <w:pPr>
        <w:pStyle w:val="1-MainHeading"/>
      </w:pPr>
      <w:r>
        <w:t>4.03</w:t>
      </w:r>
      <w:r w:rsidR="00EF105B">
        <w:tab/>
        <w:t>UPADACITINIB,</w:t>
      </w:r>
      <w:r w:rsidR="00EF105B">
        <w:br/>
        <w:t>Tablet 15</w:t>
      </w:r>
      <w:r>
        <w:t> </w:t>
      </w:r>
      <w:r w:rsidR="00EF105B">
        <w:t>mg, Tablet 30</w:t>
      </w:r>
      <w:r>
        <w:t> </w:t>
      </w:r>
      <w:r w:rsidR="00EF105B">
        <w:t>mg, Tablet 45</w:t>
      </w:r>
      <w:r>
        <w:t> </w:t>
      </w:r>
      <w:r w:rsidR="00EF105B">
        <w:t>mg,</w:t>
      </w:r>
      <w:r w:rsidR="00EF105B">
        <w:br/>
        <w:t>Rinvoq</w:t>
      </w:r>
      <w:r w:rsidR="00EF105B" w:rsidRPr="004A6040">
        <w:rPr>
          <w:vertAlign w:val="superscript"/>
        </w:rPr>
        <w:t>®</w:t>
      </w:r>
      <w:r w:rsidR="00EF105B" w:rsidRPr="004A6040">
        <w:t>,</w:t>
      </w:r>
      <w:r w:rsidR="00EF105B" w:rsidRPr="004A6040">
        <w:br/>
      </w:r>
      <w:r w:rsidR="00EF105B">
        <w:t>AbbVie Pty Ltd</w:t>
      </w:r>
      <w:r w:rsidR="00EF105B" w:rsidRPr="004A6040">
        <w:t>.</w:t>
      </w:r>
    </w:p>
    <w:p w14:paraId="65027E85" w14:textId="77777777" w:rsidR="00EF105B" w:rsidRDefault="00EF105B" w:rsidP="00EF105B">
      <w:pPr>
        <w:pStyle w:val="2-SectionHeading"/>
        <w:numPr>
          <w:ilvl w:val="0"/>
          <w:numId w:val="1"/>
        </w:numPr>
      </w:pPr>
      <w:r>
        <w:t xml:space="preserve">Background </w:t>
      </w:r>
    </w:p>
    <w:p w14:paraId="2BBCAA7B" w14:textId="47FC4B7E" w:rsidR="00EF105B" w:rsidRDefault="00EF105B" w:rsidP="00EF105B">
      <w:pPr>
        <w:pStyle w:val="3-BodyText"/>
        <w:rPr>
          <w:lang w:val="en-GB"/>
        </w:rPr>
      </w:pPr>
      <w:r>
        <w:rPr>
          <w:lang w:val="en-GB"/>
        </w:rPr>
        <w:t xml:space="preserve">At its July 2022 meeting, the PBAC deferred making a recommendation for the listing </w:t>
      </w:r>
      <w:r w:rsidR="00081BFD">
        <w:rPr>
          <w:lang w:val="en-GB"/>
        </w:rPr>
        <w:t xml:space="preserve">of </w:t>
      </w:r>
      <w:r>
        <w:rPr>
          <w:lang w:val="en-GB"/>
        </w:rPr>
        <w:t>upadacitinib (UPA) for the treatment of moderate to severe ulcerative colitis (MSUC) as the TGA Delegate’s Overview was not available at the time of PBAC consideration. The PBAC was of a mind to recommend the General Schedule, Authority Required (in writing) listing of UPA for MSUC on the basis the cost-effectiveness of UPA would likely be acceptable if it were cost minimised to the least costly alternative therapy out of infliximab (IFX), tofacitinib (TOF), vedolizumab (VDZ) and golimumab (GOL). The PBAC considered, based on the evidence presented, that UPA is likely to be of non-inferior comparative effectiveness and safety to these agents in MSUC and considered there is also likely sufficient evidence that UPA, for some patients, provides a significant improvement in effectiveness in the induction phase compared to adalimumab (ADA).</w:t>
      </w:r>
    </w:p>
    <w:p w14:paraId="0DA40CF4" w14:textId="77777777" w:rsidR="00EF105B" w:rsidRDefault="00EF105B" w:rsidP="00EF105B">
      <w:pPr>
        <w:pStyle w:val="3-BodyText"/>
        <w:rPr>
          <w:lang w:val="en-GB"/>
        </w:rPr>
      </w:pPr>
      <w:r>
        <w:rPr>
          <w:lang w:val="en-GB"/>
        </w:rPr>
        <w:t xml:space="preserve">The TGA Delegate’s Overview, ACM advice and finalised TGA registration were provided prior to the November 2022 PBAC meeting. The finalised TGA indication for UPA for MSUC is as follows: </w:t>
      </w:r>
    </w:p>
    <w:p w14:paraId="6991AF1A" w14:textId="77777777" w:rsidR="00EF105B" w:rsidRPr="005C2A9C" w:rsidRDefault="00EF105B" w:rsidP="00EF105B">
      <w:pPr>
        <w:pStyle w:val="3-BodyText"/>
        <w:numPr>
          <w:ilvl w:val="0"/>
          <w:numId w:val="0"/>
        </w:numPr>
        <w:ind w:left="720"/>
        <w:rPr>
          <w:i/>
          <w:iCs/>
          <w:lang w:val="en-GB"/>
        </w:rPr>
      </w:pPr>
      <w:r>
        <w:rPr>
          <w:i/>
          <w:iCs/>
          <w:lang w:val="en-GB"/>
        </w:rPr>
        <w:t>‘</w:t>
      </w:r>
      <w:r w:rsidRPr="007549F4">
        <w:rPr>
          <w:i/>
          <w:iCs/>
          <w:lang w:val="en-GB"/>
        </w:rPr>
        <w:t>RINVOQ</w:t>
      </w:r>
      <w:r>
        <w:rPr>
          <w:i/>
          <w:iCs/>
          <w:lang w:val="en-GB"/>
        </w:rPr>
        <w:t xml:space="preserve"> [upadacitinib]</w:t>
      </w:r>
      <w:r w:rsidRPr="007549F4">
        <w:rPr>
          <w:i/>
          <w:iCs/>
          <w:lang w:val="en-GB"/>
        </w:rPr>
        <w:t xml:space="preserve"> is indicated for the treatment of adult patients with moderately to severely active ulcerative colitis, who have had an inadequate response, lost response or were intolerant to either conventional therapy or a biological medicine.</w:t>
      </w:r>
      <w:r>
        <w:rPr>
          <w:i/>
          <w:iCs/>
          <w:lang w:val="en-GB"/>
        </w:rPr>
        <w:t>’</w:t>
      </w:r>
    </w:p>
    <w:p w14:paraId="6FC6248F" w14:textId="77777777" w:rsidR="00EF105B" w:rsidRPr="007549F4" w:rsidRDefault="00EF105B" w:rsidP="00EF105B">
      <w:pPr>
        <w:pStyle w:val="2-SectionHeading"/>
        <w:numPr>
          <w:ilvl w:val="0"/>
          <w:numId w:val="1"/>
        </w:numPr>
      </w:pPr>
      <w:r>
        <w:t xml:space="preserve">PBAC outcome </w:t>
      </w:r>
    </w:p>
    <w:p w14:paraId="1F7574BE" w14:textId="77777777" w:rsidR="00EF105B" w:rsidRDefault="00EF105B" w:rsidP="00EF105B">
      <w:pPr>
        <w:pStyle w:val="3-BodyText"/>
        <w:rPr>
          <w:lang w:val="en-GB"/>
        </w:rPr>
      </w:pPr>
      <w:r>
        <w:rPr>
          <w:lang w:val="en-GB"/>
        </w:rPr>
        <w:t xml:space="preserve">The PBAC recommended the General Schedule, Authority Required (in writing) listing of upadacitinib (UPA) for the treatment moderate to severe ulcerative colitis (MSUC). The PBAC’s recommendation for listing was based on, among other matters, its assessment that the cost-effectiveness of UPA would be acceptable </w:t>
      </w:r>
      <w:r w:rsidRPr="00292444">
        <w:rPr>
          <w:lang w:val="en-GB"/>
        </w:rPr>
        <w:t>if it were cost minimised to the least costly alternative therapy out of infliximab (IFX), tofacitinib (TOF), vedolizumab (VDZ)</w:t>
      </w:r>
      <w:r>
        <w:rPr>
          <w:lang w:val="en-GB"/>
        </w:rPr>
        <w:t>, ustekinumab (UST)</w:t>
      </w:r>
      <w:r w:rsidRPr="00292444">
        <w:rPr>
          <w:lang w:val="en-GB"/>
        </w:rPr>
        <w:t xml:space="preserve"> and golimumab (GOL). </w:t>
      </w:r>
    </w:p>
    <w:p w14:paraId="780C5AFC" w14:textId="6ADFF3D0" w:rsidR="00EF105B" w:rsidRDefault="00EF105B" w:rsidP="00EF105B">
      <w:pPr>
        <w:pStyle w:val="3-BodyText"/>
        <w:rPr>
          <w:lang w:val="en-GB"/>
        </w:rPr>
      </w:pPr>
      <w:r w:rsidRPr="00292444">
        <w:rPr>
          <w:lang w:val="en-GB"/>
        </w:rPr>
        <w:t xml:space="preserve">The PBAC </w:t>
      </w:r>
      <w:r>
        <w:rPr>
          <w:lang w:val="en-GB"/>
        </w:rPr>
        <w:t>reaffirmed its view</w:t>
      </w:r>
      <w:r w:rsidRPr="00292444">
        <w:rPr>
          <w:lang w:val="en-GB"/>
        </w:rPr>
        <w:t>, based on the evidence presented, that UPA is likely to be of non-inferior comparative effectiveness and safety to these agents in MSUC and considered there is also likely sufficient evidence that UPA, for some patients, provides a significant improvement in effectiveness in the induction phase compared to adalimumab (ADA)</w:t>
      </w:r>
      <w:r>
        <w:rPr>
          <w:lang w:val="en-GB"/>
        </w:rPr>
        <w:t xml:space="preserve"> (paragraphs </w:t>
      </w:r>
      <w:r w:rsidR="00081BFD">
        <w:rPr>
          <w:lang w:val="en-GB"/>
        </w:rPr>
        <w:fldChar w:fldCharType="begin" w:fldLock="1"/>
      </w:r>
      <w:r w:rsidR="00081BFD">
        <w:rPr>
          <w:lang w:val="en-GB"/>
        </w:rPr>
        <w:instrText xml:space="preserve"> REF _Ref123915906 \r \h </w:instrText>
      </w:r>
      <w:r w:rsidR="00081BFD">
        <w:rPr>
          <w:lang w:val="en-GB"/>
        </w:rPr>
      </w:r>
      <w:r w:rsidR="00081BFD">
        <w:rPr>
          <w:lang w:val="en-GB"/>
        </w:rPr>
        <w:fldChar w:fldCharType="separate"/>
      </w:r>
      <w:r w:rsidR="00081BFD">
        <w:rPr>
          <w:lang w:val="en-GB"/>
        </w:rPr>
        <w:t>7.1</w:t>
      </w:r>
      <w:r w:rsidR="00081BFD">
        <w:rPr>
          <w:lang w:val="en-GB"/>
        </w:rPr>
        <w:fldChar w:fldCharType="end"/>
      </w:r>
      <w:r w:rsidR="00081BFD">
        <w:rPr>
          <w:lang w:val="en-GB"/>
        </w:rPr>
        <w:t xml:space="preserve"> </w:t>
      </w:r>
      <w:r>
        <w:rPr>
          <w:lang w:val="en-GB"/>
        </w:rPr>
        <w:t xml:space="preserve">and </w:t>
      </w:r>
      <w:r w:rsidR="00081BFD">
        <w:rPr>
          <w:lang w:val="en-GB"/>
        </w:rPr>
        <w:fldChar w:fldCharType="begin" w:fldLock="1"/>
      </w:r>
      <w:r w:rsidR="00081BFD">
        <w:rPr>
          <w:lang w:val="en-GB"/>
        </w:rPr>
        <w:instrText xml:space="preserve"> REF _Ref123915919 \r \h </w:instrText>
      </w:r>
      <w:r w:rsidR="00081BFD">
        <w:rPr>
          <w:lang w:val="en-GB"/>
        </w:rPr>
      </w:r>
      <w:r w:rsidR="00081BFD">
        <w:rPr>
          <w:lang w:val="en-GB"/>
        </w:rPr>
        <w:fldChar w:fldCharType="separate"/>
      </w:r>
      <w:r w:rsidR="00081BFD">
        <w:rPr>
          <w:lang w:val="en-GB"/>
        </w:rPr>
        <w:t>7.10</w:t>
      </w:r>
      <w:r w:rsidR="00081BFD">
        <w:rPr>
          <w:lang w:val="en-GB"/>
        </w:rPr>
        <w:fldChar w:fldCharType="end"/>
      </w:r>
      <w:r>
        <w:rPr>
          <w:lang w:val="en-GB"/>
        </w:rPr>
        <w:t>)</w:t>
      </w:r>
      <w:r w:rsidRPr="00292444">
        <w:rPr>
          <w:lang w:val="en-GB"/>
        </w:rPr>
        <w:t>.</w:t>
      </w:r>
      <w:r>
        <w:rPr>
          <w:lang w:val="en-GB"/>
        </w:rPr>
        <w:t xml:space="preserve"> </w:t>
      </w:r>
    </w:p>
    <w:p w14:paraId="0D0B7E12" w14:textId="7CFE4D48" w:rsidR="00EF105B" w:rsidRDefault="00EF105B" w:rsidP="00EF105B">
      <w:pPr>
        <w:pStyle w:val="3-BodyText"/>
        <w:rPr>
          <w:lang w:val="en-GB"/>
        </w:rPr>
      </w:pPr>
      <w:r>
        <w:rPr>
          <w:lang w:val="en-GB"/>
        </w:rPr>
        <w:t xml:space="preserve">The Committee also reaffirmed its view </w:t>
      </w:r>
      <w:r w:rsidRPr="00292444">
        <w:rPr>
          <w:lang w:val="en-GB"/>
        </w:rPr>
        <w:t>that a listing based on a cost minimisation approach with costs over two years, consistent with the approach previously used for b/tsDMARDs, was appropriate to determine the cost minimised price of UPA and agreed the cost of UPA should be no greater than the alternative therapies (excluding ADA)</w:t>
      </w:r>
      <w:r>
        <w:rPr>
          <w:lang w:val="en-GB"/>
        </w:rPr>
        <w:t xml:space="preserve"> (paragraph </w:t>
      </w:r>
      <w:r w:rsidR="00D70468">
        <w:rPr>
          <w:lang w:val="en-GB"/>
        </w:rPr>
        <w:fldChar w:fldCharType="begin" w:fldLock="1"/>
      </w:r>
      <w:r w:rsidR="00D70468">
        <w:rPr>
          <w:lang w:val="en-GB"/>
        </w:rPr>
        <w:instrText xml:space="preserve"> REF _Ref123915919 \r \h </w:instrText>
      </w:r>
      <w:r w:rsidR="00D70468">
        <w:rPr>
          <w:lang w:val="en-GB"/>
        </w:rPr>
      </w:r>
      <w:r w:rsidR="00D70468">
        <w:rPr>
          <w:lang w:val="en-GB"/>
        </w:rPr>
        <w:fldChar w:fldCharType="separate"/>
      </w:r>
      <w:r w:rsidR="00D70468">
        <w:rPr>
          <w:lang w:val="en-GB"/>
        </w:rPr>
        <w:t>7.10</w:t>
      </w:r>
      <w:r w:rsidR="00D70468">
        <w:rPr>
          <w:lang w:val="en-GB"/>
        </w:rPr>
        <w:fldChar w:fldCharType="end"/>
      </w:r>
      <w:r>
        <w:rPr>
          <w:lang w:val="en-GB"/>
        </w:rPr>
        <w:t>)</w:t>
      </w:r>
      <w:r w:rsidRPr="00292444">
        <w:rPr>
          <w:lang w:val="en-GB"/>
        </w:rPr>
        <w:t>.</w:t>
      </w:r>
      <w:r>
        <w:rPr>
          <w:lang w:val="en-GB"/>
        </w:rPr>
        <w:t xml:space="preserve"> The PBAC considered the equi-effective doses </w:t>
      </w:r>
      <w:r w:rsidRPr="00292444">
        <w:rPr>
          <w:lang w:val="en-GB"/>
        </w:rPr>
        <w:t>of UPA and the alternative therapies could be derived</w:t>
      </w:r>
      <w:r>
        <w:rPr>
          <w:lang w:val="en-GB"/>
        </w:rPr>
        <w:t xml:space="preserve"> per its view expressed in July 2022</w:t>
      </w:r>
      <w:r w:rsidRPr="00292444">
        <w:rPr>
          <w:lang w:val="en-GB"/>
        </w:rPr>
        <w:t xml:space="preserve">, noting the UPA equi-effective dose component includes treatment with UPA </w:t>
      </w:r>
      <w:r w:rsidR="00D70468" w:rsidRPr="00292444">
        <w:rPr>
          <w:lang w:val="en-GB"/>
        </w:rPr>
        <w:t>45</w:t>
      </w:r>
      <w:r w:rsidR="00D70468">
        <w:rPr>
          <w:lang w:val="en-GB"/>
        </w:rPr>
        <w:t> </w:t>
      </w:r>
      <w:r w:rsidRPr="00292444">
        <w:rPr>
          <w:lang w:val="en-GB"/>
        </w:rPr>
        <w:t>mg once daily for 8 or 16 weeks in initial therapy, with an option for a dose reduction to 15</w:t>
      </w:r>
      <w:r w:rsidR="00D70468">
        <w:rPr>
          <w:lang w:val="en-GB"/>
        </w:rPr>
        <w:t> </w:t>
      </w:r>
      <w:r w:rsidRPr="00292444">
        <w:rPr>
          <w:lang w:val="en-GB"/>
        </w:rPr>
        <w:t>mg or 30</w:t>
      </w:r>
      <w:r w:rsidR="00D70468">
        <w:rPr>
          <w:lang w:val="en-GB"/>
        </w:rPr>
        <w:t> </w:t>
      </w:r>
      <w:r w:rsidRPr="00292444">
        <w:rPr>
          <w:lang w:val="en-GB"/>
        </w:rPr>
        <w:t xml:space="preserve">mg UPA once daily for the second 8 weeks of initial therapy, followed by either </w:t>
      </w:r>
      <w:r w:rsidR="00D70468" w:rsidRPr="00292444">
        <w:rPr>
          <w:lang w:val="en-GB"/>
        </w:rPr>
        <w:t>15</w:t>
      </w:r>
      <w:r w:rsidR="00D70468">
        <w:rPr>
          <w:lang w:val="en-GB"/>
        </w:rPr>
        <w:t> </w:t>
      </w:r>
      <w:r w:rsidRPr="00292444">
        <w:rPr>
          <w:lang w:val="en-GB"/>
        </w:rPr>
        <w:t>mg or 30</w:t>
      </w:r>
      <w:r w:rsidR="00D70468">
        <w:rPr>
          <w:lang w:val="en-GB"/>
        </w:rPr>
        <w:t> </w:t>
      </w:r>
      <w:r w:rsidRPr="00292444">
        <w:rPr>
          <w:lang w:val="en-GB"/>
        </w:rPr>
        <w:t>mg UPA once daily thereafter.</w:t>
      </w:r>
      <w:r>
        <w:rPr>
          <w:lang w:val="en-GB"/>
        </w:rPr>
        <w:t xml:space="preserve"> </w:t>
      </w:r>
    </w:p>
    <w:p w14:paraId="0CF02A38" w14:textId="77777777" w:rsidR="00EF105B" w:rsidRPr="00CD5BCB" w:rsidRDefault="00EF105B" w:rsidP="00EF105B">
      <w:pPr>
        <w:widowControl w:val="0"/>
        <w:numPr>
          <w:ilvl w:val="1"/>
          <w:numId w:val="1"/>
        </w:numPr>
        <w:spacing w:after="120"/>
        <w:rPr>
          <w:rFonts w:asciiTheme="minorHAnsi" w:hAnsiTheme="minorHAnsi"/>
          <w:snapToGrid w:val="0"/>
          <w:lang w:val="en-GB"/>
        </w:rPr>
      </w:pPr>
      <w:r w:rsidRPr="00CD5BCB">
        <w:rPr>
          <w:rFonts w:asciiTheme="minorHAnsi" w:hAnsiTheme="minorHAnsi"/>
          <w:snapToGrid w:val="0"/>
          <w:lang w:val="en-GB"/>
        </w:rPr>
        <w:t xml:space="preserve">The PBAC noted that its recommendation was on a cost-minimisation basis and advised that, because </w:t>
      </w:r>
      <w:r>
        <w:rPr>
          <w:rFonts w:asciiTheme="minorHAnsi" w:hAnsiTheme="minorHAnsi"/>
          <w:snapToGrid w:val="0"/>
          <w:lang w:val="en-GB"/>
        </w:rPr>
        <w:t>UPA</w:t>
      </w:r>
      <w:r w:rsidRPr="00CD5BCB">
        <w:rPr>
          <w:rFonts w:asciiTheme="minorHAnsi" w:hAnsiTheme="minorHAnsi"/>
          <w:snapToGrid w:val="0"/>
          <w:lang w:val="en-GB"/>
        </w:rPr>
        <w:t xml:space="preserve"> is not expected to provide a substantial and clinically relevant improvement in efficacy, or reduction of toxicity</w:t>
      </w:r>
      <w:r>
        <w:rPr>
          <w:rFonts w:asciiTheme="minorHAnsi" w:hAnsiTheme="minorHAnsi"/>
          <w:snapToGrid w:val="0"/>
          <w:lang w:val="en-GB"/>
        </w:rPr>
        <w:t xml:space="preserve"> over the alternative therapies,</w:t>
      </w:r>
      <w:r w:rsidRPr="00CD5BCB">
        <w:rPr>
          <w:rFonts w:asciiTheme="minorHAnsi" w:hAnsiTheme="minorHAnsi"/>
          <w:snapToGrid w:val="0"/>
          <w:lang w:val="en-GB"/>
        </w:rPr>
        <w:t xml:space="preserve"> or not expected to address a high and urgent unmet clinical need given the presence of an alternative therapy, the criteria prescribed by the </w:t>
      </w:r>
      <w:r w:rsidRPr="00D70468">
        <w:rPr>
          <w:rFonts w:asciiTheme="minorHAnsi" w:hAnsiTheme="minorHAnsi"/>
          <w:i/>
          <w:iCs/>
          <w:snapToGrid w:val="0"/>
          <w:lang w:val="en-GB"/>
        </w:rPr>
        <w:t>National Health (Pharmaceuticals and Vaccines – Cost Recovery) Regulations 2022</w:t>
      </w:r>
      <w:r w:rsidRPr="00CD5BCB">
        <w:rPr>
          <w:rFonts w:asciiTheme="minorHAnsi" w:hAnsiTheme="minorHAnsi"/>
          <w:snapToGrid w:val="0"/>
          <w:lang w:val="en-GB"/>
        </w:rPr>
        <w:t xml:space="preserve"> for Pricing Pathway A were not met.</w:t>
      </w:r>
    </w:p>
    <w:p w14:paraId="634822A3" w14:textId="42E7AB15" w:rsidR="00EF105B" w:rsidRPr="00D70468" w:rsidRDefault="00EF105B" w:rsidP="00D70468">
      <w:pPr>
        <w:widowControl w:val="0"/>
        <w:numPr>
          <w:ilvl w:val="1"/>
          <w:numId w:val="1"/>
        </w:numPr>
        <w:spacing w:after="120"/>
        <w:rPr>
          <w:rFonts w:asciiTheme="minorHAnsi" w:hAnsiTheme="minorHAnsi"/>
          <w:snapToGrid w:val="0"/>
          <w:lang w:val="en-GB"/>
        </w:rPr>
      </w:pPr>
      <w:r w:rsidRPr="00CD5BCB">
        <w:rPr>
          <w:rFonts w:asciiTheme="minorHAnsi" w:hAnsiTheme="minorHAnsi"/>
          <w:snapToGrid w:val="0"/>
          <w:lang w:val="en-GB"/>
        </w:rPr>
        <w:t xml:space="preserve">The PBAC noted that this submission is not eligible for an Independent Review, as it received a positive recommendation. </w:t>
      </w:r>
    </w:p>
    <w:p w14:paraId="6165B2E3" w14:textId="77777777" w:rsidR="00EF105B" w:rsidRPr="00DF0540" w:rsidRDefault="00EF105B" w:rsidP="00EF105B">
      <w:pPr>
        <w:ind w:left="720" w:hanging="720"/>
        <w:rPr>
          <w:b/>
          <w:bCs/>
          <w:lang w:val="en-GB"/>
        </w:rPr>
      </w:pPr>
      <w:r w:rsidRPr="00DF0540">
        <w:rPr>
          <w:b/>
          <w:bCs/>
          <w:lang w:val="en-GB"/>
        </w:rPr>
        <w:t>Outcome:</w:t>
      </w:r>
    </w:p>
    <w:p w14:paraId="158C88FB" w14:textId="77777777" w:rsidR="00EF105B" w:rsidRPr="00DF0540" w:rsidRDefault="00EF105B" w:rsidP="00EF105B">
      <w:pPr>
        <w:ind w:left="720" w:hanging="720"/>
        <w:rPr>
          <w:lang w:val="en-GB"/>
        </w:rPr>
      </w:pPr>
      <w:r w:rsidRPr="00DF0540">
        <w:rPr>
          <w:lang w:val="en-GB"/>
        </w:rPr>
        <w:t>Recommended</w:t>
      </w:r>
    </w:p>
    <w:p w14:paraId="6A719E82" w14:textId="4C9B1C12" w:rsidR="00D94877" w:rsidRPr="00D94877" w:rsidRDefault="00D94877" w:rsidP="00EF105B">
      <w:pPr>
        <w:jc w:val="left"/>
        <w:rPr>
          <w:bCs/>
          <w:lang w:val="en-GB"/>
        </w:rPr>
      </w:pPr>
    </w:p>
    <w:p w14:paraId="2A61A6F3" w14:textId="77777777" w:rsidR="00EF105B" w:rsidRPr="00F237A4" w:rsidRDefault="00EF105B" w:rsidP="00EF105B">
      <w:pPr>
        <w:pStyle w:val="2-SectionHeading"/>
        <w:numPr>
          <w:ilvl w:val="0"/>
          <w:numId w:val="1"/>
        </w:numPr>
        <w:rPr>
          <w:b w:val="0"/>
          <w:bCs/>
          <w:iCs/>
          <w:lang w:val="en-GB"/>
        </w:rPr>
      </w:pPr>
      <w:r w:rsidRPr="00525B39">
        <w:rPr>
          <w:bCs/>
          <w:lang w:val="en-GB"/>
        </w:rPr>
        <w:t>Recommended listing</w:t>
      </w:r>
    </w:p>
    <w:p w14:paraId="7F4E8AB2" w14:textId="77777777" w:rsidR="00EF105B" w:rsidRPr="0086161F" w:rsidRDefault="00EF105B" w:rsidP="00EF105B">
      <w:pPr>
        <w:widowControl w:val="0"/>
        <w:numPr>
          <w:ilvl w:val="1"/>
          <w:numId w:val="1"/>
        </w:numPr>
        <w:spacing w:after="120"/>
        <w:contextualSpacing/>
        <w:rPr>
          <w:rFonts w:asciiTheme="minorHAnsi" w:hAnsiTheme="minorHAnsi"/>
          <w:b/>
          <w:bCs/>
          <w:snapToGrid w:val="0"/>
        </w:rPr>
      </w:pPr>
      <w:r w:rsidRPr="0086161F">
        <w:rPr>
          <w:rFonts w:asciiTheme="minorHAnsi" w:hAnsiTheme="minorHAnsi"/>
          <w:bCs/>
          <w:snapToGrid w:val="0"/>
        </w:rPr>
        <w:t>Add new item(s):</w:t>
      </w:r>
    </w:p>
    <w:p w14:paraId="032BC761" w14:textId="77777777" w:rsidR="00EF105B" w:rsidRDefault="00EF105B" w:rsidP="00EF105B">
      <w:pPr>
        <w:widowControl w:val="0"/>
        <w:spacing w:after="120"/>
        <w:ind w:left="720"/>
        <w:rPr>
          <w:rFonts w:asciiTheme="minorHAnsi" w:hAnsiTheme="minorHAnsi"/>
          <w:snapToGrid w:val="0"/>
          <w:lang w:val="en-GB"/>
        </w:rPr>
      </w:pPr>
    </w:p>
    <w:p w14:paraId="418C7954" w14:textId="77777777" w:rsidR="00EF105B" w:rsidRPr="00AE5106" w:rsidRDefault="00EF105B" w:rsidP="00EF105B">
      <w:pPr>
        <w:spacing w:after="120"/>
        <w:rPr>
          <w:rFonts w:asciiTheme="minorHAnsi" w:hAnsiTheme="minorHAnsi" w:cstheme="minorHAnsi"/>
        </w:rPr>
      </w:pPr>
      <w:r>
        <w:rPr>
          <w:rFonts w:asciiTheme="minorHAnsi" w:hAnsiTheme="minorHAnsi" w:cstheme="minorHAnsi"/>
        </w:rPr>
        <w:t>For brevity reasons, a shortened version of the restriction is presented. Administrative notes and prescribing instructions common to all MSUC listings are noted by their corresponding concept code and not reproduced in full. Changes to the single large administrative advice (code 27221) are noted once at the end of this overview.</w:t>
      </w:r>
    </w:p>
    <w:tbl>
      <w:tblPr>
        <w:tblStyle w:val="PlainTable2"/>
        <w:tblW w:w="5000" w:type="pct"/>
        <w:tblLayout w:type="fixed"/>
        <w:tblLook w:val="0000" w:firstRow="0" w:lastRow="0" w:firstColumn="0" w:lastColumn="0" w:noHBand="0" w:noVBand="0"/>
      </w:tblPr>
      <w:tblGrid>
        <w:gridCol w:w="419"/>
        <w:gridCol w:w="705"/>
        <w:gridCol w:w="2253"/>
        <w:gridCol w:w="1410"/>
        <w:gridCol w:w="987"/>
        <w:gridCol w:w="987"/>
        <w:gridCol w:w="889"/>
        <w:gridCol w:w="1367"/>
      </w:tblGrid>
      <w:tr w:rsidR="00EF105B" w:rsidRPr="00B90523" w14:paraId="1FAD955A" w14:textId="77777777" w:rsidTr="00D70468">
        <w:trPr>
          <w:cnfStyle w:val="000000100000" w:firstRow="0" w:lastRow="0" w:firstColumn="0" w:lastColumn="0" w:oddVBand="0" w:evenVBand="0" w:oddHBand="1" w:evenHBand="0" w:firstRowFirstColumn="0" w:firstRowLastColumn="0" w:lastRowFirstColumn="0" w:lastRowLastColumn="0"/>
          <w:cantSplit/>
          <w:trHeight w:val="471"/>
        </w:trPr>
        <w:tc>
          <w:tcPr>
            <w:cnfStyle w:val="000010000000" w:firstRow="0" w:lastRow="0" w:firstColumn="0" w:lastColumn="0" w:oddVBand="1" w:evenVBand="0" w:oddHBand="0" w:evenHBand="0" w:firstRowFirstColumn="0" w:firstRowLastColumn="0" w:lastRowFirstColumn="0" w:lastRowLastColumn="0"/>
            <w:tcW w:w="3377" w:type="dxa"/>
            <w:gridSpan w:val="3"/>
          </w:tcPr>
          <w:p w14:paraId="451761FC" w14:textId="77777777" w:rsidR="00EF105B" w:rsidRPr="00B90523" w:rsidRDefault="00EF105B" w:rsidP="002503FB">
            <w:pPr>
              <w:keepNext/>
              <w:ind w:left="-57"/>
              <w:rPr>
                <w:rFonts w:ascii="Arial Narrow" w:hAnsi="Arial Narrow"/>
                <w:b/>
                <w:bCs/>
                <w:sz w:val="20"/>
                <w:szCs w:val="20"/>
              </w:rPr>
            </w:pPr>
            <w:r w:rsidRPr="00B90523">
              <w:rPr>
                <w:rFonts w:ascii="Arial Narrow" w:hAnsi="Arial Narrow"/>
                <w:b/>
                <w:bCs/>
                <w:sz w:val="20"/>
                <w:szCs w:val="20"/>
              </w:rPr>
              <w:t>MEDICINAL PRODUCT</w:t>
            </w:r>
          </w:p>
          <w:p w14:paraId="2D16E28E" w14:textId="77777777" w:rsidR="00EF105B" w:rsidRPr="00B90523" w:rsidRDefault="00EF105B" w:rsidP="002503FB">
            <w:pPr>
              <w:keepNext/>
              <w:ind w:left="-57"/>
              <w:rPr>
                <w:rFonts w:ascii="Arial Narrow" w:hAnsi="Arial Narrow"/>
                <w:b/>
                <w:sz w:val="20"/>
                <w:szCs w:val="20"/>
              </w:rPr>
            </w:pPr>
            <w:r w:rsidRPr="00B90523">
              <w:rPr>
                <w:rFonts w:ascii="Arial Narrow" w:hAnsi="Arial Narrow"/>
                <w:b/>
                <w:bCs/>
                <w:sz w:val="20"/>
                <w:szCs w:val="20"/>
              </w:rPr>
              <w:t>medicinal product pack</w:t>
            </w:r>
          </w:p>
        </w:tc>
        <w:tc>
          <w:tcPr>
            <w:cnfStyle w:val="000001000000" w:firstRow="0" w:lastRow="0" w:firstColumn="0" w:lastColumn="0" w:oddVBand="0" w:evenVBand="1" w:oddHBand="0" w:evenHBand="0" w:firstRowFirstColumn="0" w:firstRowLastColumn="0" w:lastRowFirstColumn="0" w:lastRowLastColumn="0"/>
            <w:tcW w:w="1410" w:type="dxa"/>
          </w:tcPr>
          <w:p w14:paraId="61FE2B8A"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PBS item code</w:t>
            </w:r>
          </w:p>
        </w:tc>
        <w:tc>
          <w:tcPr>
            <w:cnfStyle w:val="000010000000" w:firstRow="0" w:lastRow="0" w:firstColumn="0" w:lastColumn="0" w:oddVBand="1" w:evenVBand="0" w:oddHBand="0" w:evenHBand="0" w:firstRowFirstColumn="0" w:firstRowLastColumn="0" w:lastRowFirstColumn="0" w:lastRowLastColumn="0"/>
            <w:tcW w:w="987" w:type="dxa"/>
          </w:tcPr>
          <w:p w14:paraId="6ED931AF"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Max. qty packs</w:t>
            </w:r>
          </w:p>
        </w:tc>
        <w:tc>
          <w:tcPr>
            <w:cnfStyle w:val="000001000000" w:firstRow="0" w:lastRow="0" w:firstColumn="0" w:lastColumn="0" w:oddVBand="0" w:evenVBand="1" w:oddHBand="0" w:evenHBand="0" w:firstRowFirstColumn="0" w:firstRowLastColumn="0" w:lastRowFirstColumn="0" w:lastRowLastColumn="0"/>
            <w:tcW w:w="987" w:type="dxa"/>
          </w:tcPr>
          <w:p w14:paraId="1D53FDA3"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Max. qty units</w:t>
            </w:r>
          </w:p>
        </w:tc>
        <w:tc>
          <w:tcPr>
            <w:cnfStyle w:val="000010000000" w:firstRow="0" w:lastRow="0" w:firstColumn="0" w:lastColumn="0" w:oddVBand="1" w:evenVBand="0" w:oddHBand="0" w:evenHBand="0" w:firstRowFirstColumn="0" w:firstRowLastColumn="0" w:lastRowFirstColumn="0" w:lastRowLastColumn="0"/>
            <w:tcW w:w="889" w:type="dxa"/>
          </w:tcPr>
          <w:p w14:paraId="3A3621D1"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№.of</w:t>
            </w:r>
          </w:p>
          <w:p w14:paraId="49BC3354"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Rpts</w:t>
            </w:r>
          </w:p>
        </w:tc>
        <w:tc>
          <w:tcPr>
            <w:cnfStyle w:val="000001000000" w:firstRow="0" w:lastRow="0" w:firstColumn="0" w:lastColumn="0" w:oddVBand="0" w:evenVBand="1" w:oddHBand="0" w:evenHBand="0" w:firstRowFirstColumn="0" w:firstRowLastColumn="0" w:lastRowFirstColumn="0" w:lastRowLastColumn="0"/>
            <w:tcW w:w="1367" w:type="dxa"/>
          </w:tcPr>
          <w:p w14:paraId="540A06A4" w14:textId="77777777" w:rsidR="00EF105B" w:rsidRPr="00B90523" w:rsidRDefault="00EF105B" w:rsidP="002503FB">
            <w:pPr>
              <w:keepNext/>
              <w:rPr>
                <w:rFonts w:ascii="Arial Narrow" w:hAnsi="Arial Narrow"/>
                <w:b/>
                <w:sz w:val="20"/>
                <w:szCs w:val="20"/>
                <w:lang w:val="fr-FR"/>
              </w:rPr>
            </w:pPr>
            <w:r w:rsidRPr="00B90523">
              <w:rPr>
                <w:rFonts w:ascii="Arial Narrow" w:hAnsi="Arial Narrow"/>
                <w:b/>
                <w:sz w:val="20"/>
                <w:szCs w:val="20"/>
              </w:rPr>
              <w:t>Available brands</w:t>
            </w:r>
          </w:p>
        </w:tc>
      </w:tr>
      <w:tr w:rsidR="00EF105B" w:rsidRPr="00B90523" w14:paraId="086F11BF" w14:textId="77777777" w:rsidTr="00D70468">
        <w:trPr>
          <w:trHeight w:val="224"/>
        </w:trPr>
        <w:tc>
          <w:tcPr>
            <w:cnfStyle w:val="000010000000" w:firstRow="0" w:lastRow="0" w:firstColumn="0" w:lastColumn="0" w:oddVBand="1" w:evenVBand="0" w:oddHBand="0" w:evenHBand="0" w:firstRowFirstColumn="0" w:firstRowLastColumn="0" w:lastRowFirstColumn="0" w:lastRowLastColumn="0"/>
            <w:tcW w:w="9017" w:type="dxa"/>
            <w:gridSpan w:val="8"/>
          </w:tcPr>
          <w:p w14:paraId="61475404"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UPADACITINIB</w:t>
            </w:r>
          </w:p>
        </w:tc>
      </w:tr>
      <w:tr w:rsidR="00EF105B" w:rsidRPr="00B90523" w14:paraId="72780D69" w14:textId="77777777" w:rsidTr="00D70468">
        <w:trPr>
          <w:cnfStyle w:val="000000100000" w:firstRow="0" w:lastRow="0" w:firstColumn="0" w:lastColumn="0" w:oddVBand="0" w:evenVBand="0" w:oddHBand="1" w:evenHBand="0" w:firstRowFirstColumn="0" w:firstRowLastColumn="0" w:lastRowFirstColumn="0" w:lastRowLastColumn="0"/>
          <w:trHeight w:val="221"/>
        </w:trPr>
        <w:tc>
          <w:tcPr>
            <w:cnfStyle w:val="000010000000" w:firstRow="0" w:lastRow="0" w:firstColumn="0" w:lastColumn="0" w:oddVBand="1" w:evenVBand="0" w:oddHBand="0" w:evenHBand="0" w:firstRowFirstColumn="0" w:firstRowLastColumn="0" w:lastRowFirstColumn="0" w:lastRowLastColumn="0"/>
            <w:tcW w:w="3377" w:type="dxa"/>
            <w:gridSpan w:val="3"/>
            <w:tcBorders>
              <w:bottom w:val="single" w:sz="4" w:space="0" w:color="auto"/>
            </w:tcBorders>
          </w:tcPr>
          <w:p w14:paraId="28087C45"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upadacitinib 45 mg modified release tablet, 28</w:t>
            </w:r>
          </w:p>
        </w:tc>
        <w:tc>
          <w:tcPr>
            <w:cnfStyle w:val="000001000000" w:firstRow="0" w:lastRow="0" w:firstColumn="0" w:lastColumn="0" w:oddVBand="0" w:evenVBand="1" w:oddHBand="0" w:evenHBand="0" w:firstRowFirstColumn="0" w:firstRowLastColumn="0" w:lastRowFirstColumn="0" w:lastRowLastColumn="0"/>
            <w:tcW w:w="1410" w:type="dxa"/>
            <w:tcBorders>
              <w:bottom w:val="single" w:sz="4" w:space="0" w:color="auto"/>
            </w:tcBorders>
          </w:tcPr>
          <w:p w14:paraId="6894192A"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NEW</w:t>
            </w:r>
          </w:p>
        </w:tc>
        <w:tc>
          <w:tcPr>
            <w:cnfStyle w:val="000010000000" w:firstRow="0" w:lastRow="0" w:firstColumn="0" w:lastColumn="0" w:oddVBand="1" w:evenVBand="0" w:oddHBand="0" w:evenHBand="0" w:firstRowFirstColumn="0" w:firstRowLastColumn="0" w:lastRowFirstColumn="0" w:lastRowLastColumn="0"/>
            <w:tcW w:w="987" w:type="dxa"/>
            <w:tcBorders>
              <w:bottom w:val="single" w:sz="4" w:space="0" w:color="auto"/>
            </w:tcBorders>
          </w:tcPr>
          <w:p w14:paraId="14963FA5"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tc>
        <w:tc>
          <w:tcPr>
            <w:cnfStyle w:val="000001000000" w:firstRow="0" w:lastRow="0" w:firstColumn="0" w:lastColumn="0" w:oddVBand="0" w:evenVBand="1" w:oddHBand="0" w:evenHBand="0" w:firstRowFirstColumn="0" w:firstRowLastColumn="0" w:lastRowFirstColumn="0" w:lastRowLastColumn="0"/>
            <w:tcW w:w="987" w:type="dxa"/>
            <w:tcBorders>
              <w:bottom w:val="single" w:sz="4" w:space="0" w:color="auto"/>
            </w:tcBorders>
          </w:tcPr>
          <w:p w14:paraId="6314592F"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28</w:t>
            </w:r>
          </w:p>
        </w:tc>
        <w:tc>
          <w:tcPr>
            <w:cnfStyle w:val="000010000000" w:firstRow="0" w:lastRow="0" w:firstColumn="0" w:lastColumn="0" w:oddVBand="1" w:evenVBand="0" w:oddHBand="0" w:evenHBand="0" w:firstRowFirstColumn="0" w:firstRowLastColumn="0" w:lastRowFirstColumn="0" w:lastRowLastColumn="0"/>
            <w:tcW w:w="889" w:type="dxa"/>
            <w:tcBorders>
              <w:bottom w:val="single" w:sz="4" w:space="0" w:color="auto"/>
            </w:tcBorders>
          </w:tcPr>
          <w:p w14:paraId="1EAE3B6A"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3</w:t>
            </w:r>
          </w:p>
        </w:tc>
        <w:tc>
          <w:tcPr>
            <w:cnfStyle w:val="000001000000" w:firstRow="0" w:lastRow="0" w:firstColumn="0" w:lastColumn="0" w:oddVBand="0" w:evenVBand="1" w:oddHBand="0" w:evenHBand="0" w:firstRowFirstColumn="0" w:firstRowLastColumn="0" w:lastRowFirstColumn="0" w:lastRowLastColumn="0"/>
            <w:tcW w:w="1367" w:type="dxa"/>
            <w:tcBorders>
              <w:bottom w:val="single" w:sz="4" w:space="0" w:color="auto"/>
            </w:tcBorders>
          </w:tcPr>
          <w:p w14:paraId="1D2A1518" w14:textId="77777777" w:rsidR="00EF105B" w:rsidRPr="00B90523" w:rsidRDefault="00EF105B" w:rsidP="002503FB">
            <w:pPr>
              <w:keepNext/>
              <w:rPr>
                <w:rFonts w:ascii="Arial Narrow" w:hAnsi="Arial Narrow"/>
                <w:sz w:val="20"/>
                <w:szCs w:val="20"/>
              </w:rPr>
            </w:pPr>
            <w:r w:rsidRPr="00B90523">
              <w:rPr>
                <w:rFonts w:ascii="Arial Narrow" w:hAnsi="Arial Narrow"/>
                <w:sz w:val="20"/>
                <w:szCs w:val="20"/>
              </w:rPr>
              <w:t>Rinvoq</w:t>
            </w:r>
          </w:p>
        </w:tc>
      </w:tr>
      <w:tr w:rsidR="00EF105B" w:rsidRPr="00B90523" w14:paraId="6CAF901D" w14:textId="77777777" w:rsidTr="00D70468">
        <w:tc>
          <w:tcPr>
            <w:cnfStyle w:val="000010000000" w:firstRow="0" w:lastRow="0" w:firstColumn="0" w:lastColumn="0" w:oddVBand="1" w:evenVBand="0" w:oddHBand="0" w:evenHBand="0" w:firstRowFirstColumn="0" w:firstRowLastColumn="0" w:lastRowFirstColumn="0" w:lastRowLastColumn="0"/>
            <w:tcW w:w="9017" w:type="dxa"/>
            <w:gridSpan w:val="8"/>
            <w:tcBorders>
              <w:top w:val="single" w:sz="4" w:space="0" w:color="auto"/>
            </w:tcBorders>
          </w:tcPr>
          <w:p w14:paraId="02A7713B" w14:textId="77777777" w:rsidR="00EF105B" w:rsidRPr="00B90523" w:rsidRDefault="00EF105B" w:rsidP="002503FB">
            <w:pPr>
              <w:rPr>
                <w:rFonts w:ascii="Arial Narrow" w:hAnsi="Arial Narrow"/>
                <w:sz w:val="20"/>
                <w:szCs w:val="20"/>
              </w:rPr>
            </w:pPr>
          </w:p>
        </w:tc>
      </w:tr>
      <w:tr w:rsidR="00EF105B" w:rsidRPr="00B90523" w14:paraId="6615EA43"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7" w:type="dxa"/>
            <w:gridSpan w:val="8"/>
          </w:tcPr>
          <w:p w14:paraId="2638A4C5"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Restriction Summary [11954 attached to tofacitinib] / Treatment of Concept: [11940]</w:t>
            </w:r>
          </w:p>
        </w:tc>
      </w:tr>
      <w:tr w:rsidR="00EF105B" w:rsidRPr="00B90523" w14:paraId="44A93397"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vMerge w:val="restart"/>
          </w:tcPr>
          <w:p w14:paraId="71C8FE3A" w14:textId="77777777" w:rsidR="00EF105B" w:rsidRPr="00B90523" w:rsidRDefault="00EF105B" w:rsidP="002503FB">
            <w:pPr>
              <w:jc w:val="center"/>
              <w:rPr>
                <w:rFonts w:ascii="Arial Narrow" w:hAnsi="Arial Narrow"/>
                <w:b/>
                <w:sz w:val="20"/>
                <w:szCs w:val="20"/>
              </w:rPr>
            </w:pPr>
            <w:r w:rsidRPr="00B90523">
              <w:rPr>
                <w:rFonts w:ascii="Arial Narrow" w:hAnsi="Arial Narrow"/>
                <w:b/>
                <w:sz w:val="20"/>
                <w:szCs w:val="20"/>
              </w:rPr>
              <w:t>Concept ID</w:t>
            </w:r>
          </w:p>
          <w:p w14:paraId="671E03F7" w14:textId="7590B767" w:rsidR="00EF105B" w:rsidRPr="00B90523" w:rsidRDefault="00EF105B" w:rsidP="00D70468">
            <w:pPr>
              <w:jc w:val="center"/>
              <w:rPr>
                <w:rFonts w:ascii="Arial Narrow" w:hAnsi="Arial Narrow"/>
                <w:b/>
                <w:sz w:val="20"/>
                <w:szCs w:val="20"/>
              </w:rPr>
            </w:pPr>
            <w:r w:rsidRPr="00B90523">
              <w:rPr>
                <w:rFonts w:ascii="Arial Narrow" w:hAnsi="Arial Narrow"/>
                <w:sz w:val="20"/>
                <w:szCs w:val="20"/>
              </w:rPr>
              <w:t>(for internal Dept. use)</w:t>
            </w:r>
          </w:p>
        </w:tc>
        <w:tc>
          <w:tcPr>
            <w:cnfStyle w:val="000001000000" w:firstRow="0" w:lastRow="0" w:firstColumn="0" w:lastColumn="0" w:oddVBand="0" w:evenVBand="1" w:oddHBand="0" w:evenHBand="0" w:firstRowFirstColumn="0" w:firstRowLastColumn="0" w:lastRowFirstColumn="0" w:lastRowLastColumn="0"/>
            <w:tcW w:w="7893" w:type="dxa"/>
            <w:gridSpan w:val="6"/>
          </w:tcPr>
          <w:p w14:paraId="058B1B76" w14:textId="77777777" w:rsidR="00EF105B" w:rsidRPr="00B90523" w:rsidRDefault="00EF105B" w:rsidP="002503FB">
            <w:pPr>
              <w:rPr>
                <w:rFonts w:ascii="Arial Narrow" w:hAnsi="Arial Narrow"/>
                <w:sz w:val="20"/>
                <w:szCs w:val="20"/>
              </w:rPr>
            </w:pPr>
            <w:r w:rsidRPr="00B90523">
              <w:rPr>
                <w:rFonts w:ascii="Arial Narrow" w:hAnsi="Arial Narrow"/>
                <w:b/>
                <w:sz w:val="20"/>
                <w:szCs w:val="20"/>
              </w:rPr>
              <w:t xml:space="preserve">Category / Program:   </w:t>
            </w:r>
            <w:r w:rsidRPr="00B90523">
              <w:rPr>
                <w:rFonts w:ascii="Arial Narrow" w:hAnsi="Arial Narrow"/>
                <w:sz w:val="20"/>
                <w:szCs w:val="20"/>
              </w:rPr>
              <w:t>General Schedule (Code GE)</w:t>
            </w:r>
          </w:p>
        </w:tc>
      </w:tr>
      <w:tr w:rsidR="00EF105B" w:rsidRPr="00B90523" w14:paraId="0A815868" w14:textId="77777777" w:rsidTr="00D70468">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1124" w:type="dxa"/>
            <w:gridSpan w:val="2"/>
            <w:vMerge/>
          </w:tcPr>
          <w:p w14:paraId="2A2D0AC3" w14:textId="77777777" w:rsidR="00EF105B" w:rsidRPr="00B90523" w:rsidRDefault="00EF105B" w:rsidP="002503FB">
            <w:pP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1D02ABB1"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 xml:space="preserve">Prescriber type:   </w:t>
            </w:r>
            <w:r w:rsidRPr="00B90523">
              <w:rPr>
                <w:rFonts w:ascii="Arial Narrow" w:hAnsi="Arial Narrow"/>
                <w:sz w:val="20"/>
                <w:szCs w:val="20"/>
              </w:rPr>
              <w:fldChar w:fldCharType="begin" w:fldLock="1">
                <w:ffData>
                  <w:name w:val=""/>
                  <w:enabled/>
                  <w:calcOnExit w:val="0"/>
                  <w:checkBox>
                    <w:sizeAuto/>
                    <w:default w:val="1"/>
                  </w:checkBox>
                </w:ffData>
              </w:fldChar>
            </w:r>
            <w:r w:rsidRPr="00B90523">
              <w:rPr>
                <w:rFonts w:ascii="Arial Narrow" w:hAnsi="Arial Narrow"/>
                <w:sz w:val="20"/>
                <w:szCs w:val="20"/>
              </w:rPr>
              <w:instrText xml:space="preserve"> FORMCHECKBOX </w:instrText>
            </w:r>
            <w:r w:rsidR="007225AD">
              <w:rPr>
                <w:rFonts w:ascii="Arial Narrow" w:hAnsi="Arial Narrow"/>
                <w:sz w:val="20"/>
                <w:szCs w:val="20"/>
              </w:rPr>
            </w:r>
            <w:r w:rsidR="007225AD">
              <w:rPr>
                <w:rFonts w:ascii="Arial Narrow" w:hAnsi="Arial Narrow"/>
                <w:sz w:val="20"/>
                <w:szCs w:val="20"/>
              </w:rPr>
              <w:fldChar w:fldCharType="separate"/>
            </w:r>
            <w:r w:rsidRPr="00B90523">
              <w:rPr>
                <w:rFonts w:ascii="Arial Narrow" w:hAnsi="Arial Narrow"/>
                <w:sz w:val="20"/>
                <w:szCs w:val="20"/>
              </w:rPr>
              <w:fldChar w:fldCharType="end"/>
            </w:r>
            <w:r w:rsidRPr="00B90523">
              <w:rPr>
                <w:rFonts w:ascii="Arial Narrow" w:hAnsi="Arial Narrow"/>
                <w:sz w:val="20"/>
                <w:szCs w:val="20"/>
              </w:rPr>
              <w:t xml:space="preserve">Medical Practitioners    </w:t>
            </w:r>
          </w:p>
        </w:tc>
      </w:tr>
      <w:tr w:rsidR="00EF105B" w:rsidRPr="00B90523" w14:paraId="0796DE7A" w14:textId="77777777" w:rsidTr="00D70468">
        <w:trPr>
          <w:trHeight w:val="224"/>
        </w:trPr>
        <w:tc>
          <w:tcPr>
            <w:cnfStyle w:val="000010000000" w:firstRow="0" w:lastRow="0" w:firstColumn="0" w:lastColumn="0" w:oddVBand="1" w:evenVBand="0" w:oddHBand="0" w:evenHBand="0" w:firstRowFirstColumn="0" w:firstRowLastColumn="0" w:lastRowFirstColumn="0" w:lastRowLastColumn="0"/>
            <w:tcW w:w="1124" w:type="dxa"/>
            <w:gridSpan w:val="2"/>
            <w:vMerge/>
          </w:tcPr>
          <w:p w14:paraId="1F293C9D" w14:textId="77777777" w:rsidR="00EF105B" w:rsidRPr="00B90523" w:rsidRDefault="00EF105B" w:rsidP="002503FB">
            <w:pP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0C071AAC" w14:textId="77777777" w:rsidR="00EF105B" w:rsidRPr="00B90523" w:rsidRDefault="00EF105B" w:rsidP="002503FB">
            <w:pPr>
              <w:rPr>
                <w:rFonts w:ascii="Arial Narrow" w:eastAsia="Calibri" w:hAnsi="Arial Narrow"/>
                <w:color w:val="FF00FF"/>
                <w:sz w:val="20"/>
                <w:szCs w:val="20"/>
              </w:rPr>
            </w:pPr>
            <w:r w:rsidRPr="00B90523">
              <w:rPr>
                <w:rFonts w:ascii="Arial Narrow" w:hAnsi="Arial Narrow"/>
                <w:b/>
                <w:sz w:val="20"/>
                <w:szCs w:val="20"/>
              </w:rPr>
              <w:t xml:space="preserve">Restriction type: </w:t>
            </w:r>
            <w:r w:rsidRPr="00B90523">
              <w:rPr>
                <w:rFonts w:ascii="Arial Narrow" w:eastAsia="Calibri" w:hAnsi="Arial Narrow"/>
                <w:sz w:val="20"/>
                <w:szCs w:val="20"/>
              </w:rPr>
              <w:fldChar w:fldCharType="begin" w:fldLock="1">
                <w:ffData>
                  <w:name w:val=""/>
                  <w:enabled/>
                  <w:calcOnExit w:val="0"/>
                  <w:checkBox>
                    <w:sizeAuto/>
                    <w:default w:val="1"/>
                  </w:checkBox>
                </w:ffData>
              </w:fldChar>
            </w:r>
            <w:r w:rsidRPr="00B90523">
              <w:rPr>
                <w:rFonts w:ascii="Arial Narrow" w:eastAsia="Calibri" w:hAnsi="Arial Narrow"/>
                <w:sz w:val="20"/>
                <w:szCs w:val="20"/>
              </w:rPr>
              <w:instrText xml:space="preserve"> FORMCHECKBOX </w:instrText>
            </w:r>
            <w:r w:rsidR="007225AD">
              <w:rPr>
                <w:rFonts w:ascii="Arial Narrow" w:eastAsia="Calibri" w:hAnsi="Arial Narrow"/>
                <w:sz w:val="20"/>
                <w:szCs w:val="20"/>
              </w:rPr>
            </w:r>
            <w:r w:rsidR="007225AD">
              <w:rPr>
                <w:rFonts w:ascii="Arial Narrow" w:eastAsia="Calibri" w:hAnsi="Arial Narrow"/>
                <w:sz w:val="20"/>
                <w:szCs w:val="20"/>
              </w:rPr>
              <w:fldChar w:fldCharType="separate"/>
            </w:r>
            <w:r w:rsidRPr="00B90523">
              <w:rPr>
                <w:rFonts w:ascii="Arial Narrow" w:eastAsia="Calibri" w:hAnsi="Arial Narrow"/>
                <w:sz w:val="20"/>
                <w:szCs w:val="20"/>
              </w:rPr>
              <w:fldChar w:fldCharType="end"/>
            </w:r>
            <w:r w:rsidRPr="00B90523">
              <w:rPr>
                <w:rFonts w:ascii="Arial Narrow" w:eastAsia="Calibri" w:hAnsi="Arial Narrow"/>
                <w:sz w:val="20"/>
                <w:szCs w:val="20"/>
              </w:rPr>
              <w:t>Authority Required (in writing only via post/HPOS upload)</w:t>
            </w:r>
          </w:p>
        </w:tc>
      </w:tr>
      <w:tr w:rsidR="00EF105B" w:rsidRPr="00B90523" w14:paraId="26229C2C" w14:textId="77777777" w:rsidTr="00D70468">
        <w:trPr>
          <w:cnfStyle w:val="000000100000" w:firstRow="0" w:lastRow="0" w:firstColumn="0" w:lastColumn="0" w:oddVBand="0" w:evenVBand="0" w:oddHBand="1" w:evenHBand="0" w:firstRowFirstColumn="0" w:firstRowLastColumn="0" w:lastRowFirstColumn="0" w:lastRowLastColumn="0"/>
          <w:trHeight w:val="672"/>
        </w:trPr>
        <w:tc>
          <w:tcPr>
            <w:cnfStyle w:val="000010000000" w:firstRow="0" w:lastRow="0" w:firstColumn="0" w:lastColumn="0" w:oddVBand="1" w:evenVBand="0" w:oddHBand="0" w:evenHBand="0" w:firstRowFirstColumn="0" w:firstRowLastColumn="0" w:lastRowFirstColumn="0" w:lastRowLastColumn="0"/>
            <w:tcW w:w="419" w:type="dxa"/>
            <w:vMerge w:val="restart"/>
            <w:textDirection w:val="btLr"/>
          </w:tcPr>
          <w:p w14:paraId="41E1A551" w14:textId="4BD8D497" w:rsidR="00EF105B" w:rsidRPr="00B90523" w:rsidRDefault="00EF105B" w:rsidP="002503FB">
            <w:pPr>
              <w:ind w:left="113" w:right="113"/>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705" w:type="dxa"/>
          </w:tcPr>
          <w:p w14:paraId="1691A2E9" w14:textId="58608D87" w:rsidR="00EF105B" w:rsidRPr="00B90523" w:rsidRDefault="00EF105B" w:rsidP="002503FB">
            <w:pPr>
              <w:jc w:val="center"/>
              <w:rPr>
                <w:rFonts w:ascii="Arial Narrow" w:eastAsia="Times New Roman" w:hAnsi="Arial Narrow"/>
                <w:color w:val="333333"/>
                <w:sz w:val="20"/>
                <w:szCs w:val="20"/>
                <w:lang w:eastAsia="en-AU"/>
              </w:rPr>
            </w:pPr>
          </w:p>
        </w:tc>
        <w:tc>
          <w:tcPr>
            <w:cnfStyle w:val="000010000000" w:firstRow="0" w:lastRow="0" w:firstColumn="0" w:lastColumn="0" w:oddVBand="1" w:evenVBand="0" w:oddHBand="0" w:evenHBand="0" w:firstRowFirstColumn="0" w:firstRowLastColumn="0" w:lastRowFirstColumn="0" w:lastRowLastColumn="0"/>
            <w:tcW w:w="7893" w:type="dxa"/>
            <w:gridSpan w:val="6"/>
          </w:tcPr>
          <w:p w14:paraId="6C237E1D"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Administrative Advice:</w:t>
            </w:r>
          </w:p>
          <w:p w14:paraId="28AA0497" w14:textId="77777777" w:rsidR="00EF105B" w:rsidRPr="00B90523" w:rsidRDefault="00EF105B" w:rsidP="002503FB">
            <w:pPr>
              <w:textAlignment w:val="baseline"/>
              <w:rPr>
                <w:rFonts w:ascii="Arial Narrow" w:eastAsia="Times New Roman" w:hAnsi="Arial Narrow" w:cs="Open Sans"/>
                <w:b/>
                <w:bCs/>
                <w:color w:val="333333"/>
                <w:sz w:val="20"/>
                <w:szCs w:val="20"/>
                <w:bdr w:val="none" w:sz="0" w:space="0" w:color="auto" w:frame="1"/>
                <w:lang w:eastAsia="en-AU"/>
              </w:rPr>
            </w:pPr>
            <w:r w:rsidRPr="00B90523">
              <w:rPr>
                <w:rFonts w:ascii="Arial Narrow" w:eastAsia="Times New Roman" w:hAnsi="Arial Narrow" w:cs="Open Sans"/>
                <w:b/>
                <w:bCs/>
                <w:color w:val="333333"/>
                <w:sz w:val="20"/>
                <w:szCs w:val="20"/>
                <w:bdr w:val="none" w:sz="0" w:space="0" w:color="auto" w:frame="1"/>
                <w:lang w:eastAsia="en-AU"/>
              </w:rPr>
              <w:t>TREATMENT OF ADULT PATIENTS WITH MODERATE TO SEVERE ULCERATIVE COLITIS</w:t>
            </w:r>
          </w:p>
          <w:p w14:paraId="1D7ED79E"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sz w:val="20"/>
                <w:szCs w:val="20"/>
                <w:lang w:eastAsia="en-AU"/>
              </w:rPr>
              <w:t>Changes to common administrative advice concept 27221 at the end of this section.</w:t>
            </w:r>
          </w:p>
        </w:tc>
      </w:tr>
      <w:tr w:rsidR="00EF105B" w:rsidRPr="00B90523" w14:paraId="371D289C" w14:textId="77777777" w:rsidTr="00D70468">
        <w:trPr>
          <w:trHeight w:val="313"/>
        </w:trPr>
        <w:tc>
          <w:tcPr>
            <w:cnfStyle w:val="000010000000" w:firstRow="0" w:lastRow="0" w:firstColumn="0" w:lastColumn="0" w:oddVBand="1" w:evenVBand="0" w:oddHBand="0" w:evenHBand="0" w:firstRowFirstColumn="0" w:firstRowLastColumn="0" w:lastRowFirstColumn="0" w:lastRowLastColumn="0"/>
            <w:tcW w:w="419" w:type="dxa"/>
            <w:vMerge/>
          </w:tcPr>
          <w:p w14:paraId="18CDFA4F" w14:textId="77777777" w:rsidR="00EF105B" w:rsidRPr="00B90523" w:rsidRDefault="00EF105B" w:rsidP="002503FB">
            <w:pP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705" w:type="dxa"/>
          </w:tcPr>
          <w:p w14:paraId="310876A0" w14:textId="0B226ABC" w:rsidR="00EF105B" w:rsidRPr="00B90523" w:rsidRDefault="00EF105B" w:rsidP="002503FB">
            <w:pPr>
              <w:jc w:val="center"/>
              <w:rPr>
                <w:rFonts w:ascii="Arial Narrow" w:eastAsia="Times New Roman" w:hAnsi="Arial Narrow"/>
                <w:color w:val="333333"/>
                <w:sz w:val="20"/>
                <w:szCs w:val="20"/>
                <w:lang w:eastAsia="en-AU"/>
              </w:rPr>
            </w:pPr>
          </w:p>
        </w:tc>
        <w:tc>
          <w:tcPr>
            <w:cnfStyle w:val="000010000000" w:firstRow="0" w:lastRow="0" w:firstColumn="0" w:lastColumn="0" w:oddVBand="1" w:evenVBand="0" w:oddHBand="0" w:evenHBand="0" w:firstRowFirstColumn="0" w:firstRowLastColumn="0" w:lastRowFirstColumn="0" w:lastRowLastColumn="0"/>
            <w:tcW w:w="7893" w:type="dxa"/>
            <w:gridSpan w:val="6"/>
          </w:tcPr>
          <w:p w14:paraId="2CBBAE5E"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 xml:space="preserve">Administrative Advice: </w:t>
            </w:r>
            <w:r w:rsidRPr="00B90523">
              <w:rPr>
                <w:rFonts w:ascii="Arial Narrow" w:eastAsia="Times New Roman" w:hAnsi="Arial Narrow"/>
                <w:color w:val="333333"/>
                <w:sz w:val="20"/>
                <w:szCs w:val="20"/>
                <w:lang w:eastAsia="en-AU"/>
              </w:rPr>
              <w:t>No increase in the maximum quantity or number of units may be authorised.</w:t>
            </w:r>
          </w:p>
        </w:tc>
      </w:tr>
      <w:tr w:rsidR="00EF105B" w:rsidRPr="00B90523" w14:paraId="37868F3D" w14:textId="77777777" w:rsidTr="00D70468">
        <w:trPr>
          <w:cnfStyle w:val="000000100000" w:firstRow="0" w:lastRow="0" w:firstColumn="0" w:lastColumn="0" w:oddVBand="0" w:evenVBand="0" w:oddHBand="1" w:evenHBand="0" w:firstRowFirstColumn="0" w:firstRowLastColumn="0" w:lastRowFirstColumn="0" w:lastRowLastColumn="0"/>
          <w:trHeight w:val="367"/>
        </w:trPr>
        <w:tc>
          <w:tcPr>
            <w:cnfStyle w:val="000010000000" w:firstRow="0" w:lastRow="0" w:firstColumn="0" w:lastColumn="0" w:oddVBand="1" w:evenVBand="0" w:oddHBand="0" w:evenHBand="0" w:firstRowFirstColumn="0" w:firstRowLastColumn="0" w:lastRowFirstColumn="0" w:lastRowLastColumn="0"/>
            <w:tcW w:w="419" w:type="dxa"/>
            <w:vMerge/>
          </w:tcPr>
          <w:p w14:paraId="74ABC80D" w14:textId="77777777" w:rsidR="00EF105B" w:rsidRPr="00B90523" w:rsidRDefault="00EF105B" w:rsidP="002503FB">
            <w:pP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705" w:type="dxa"/>
          </w:tcPr>
          <w:p w14:paraId="7D26A3B0" w14:textId="426556FC" w:rsidR="00EF105B" w:rsidRPr="00B90523" w:rsidRDefault="00EF105B" w:rsidP="002503FB">
            <w:pPr>
              <w:jc w:val="center"/>
              <w:rPr>
                <w:rFonts w:ascii="Arial Narrow" w:eastAsia="Times New Roman" w:hAnsi="Arial Narrow"/>
                <w:color w:val="333333"/>
                <w:sz w:val="20"/>
                <w:szCs w:val="20"/>
                <w:lang w:eastAsia="en-AU"/>
              </w:rPr>
            </w:pPr>
          </w:p>
        </w:tc>
        <w:tc>
          <w:tcPr>
            <w:cnfStyle w:val="000010000000" w:firstRow="0" w:lastRow="0" w:firstColumn="0" w:lastColumn="0" w:oddVBand="1" w:evenVBand="0" w:oddHBand="0" w:evenHBand="0" w:firstRowFirstColumn="0" w:firstRowLastColumn="0" w:lastRowFirstColumn="0" w:lastRowLastColumn="0"/>
            <w:tcW w:w="7893" w:type="dxa"/>
            <w:gridSpan w:val="6"/>
          </w:tcPr>
          <w:p w14:paraId="4E6298A3"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 xml:space="preserve">Administrative Advice: </w:t>
            </w:r>
            <w:r w:rsidRPr="00B90523">
              <w:rPr>
                <w:rFonts w:ascii="Arial Narrow" w:eastAsia="Times New Roman" w:hAnsi="Arial Narrow"/>
                <w:color w:val="333333"/>
                <w:sz w:val="20"/>
                <w:szCs w:val="20"/>
                <w:lang w:eastAsia="en-AU"/>
              </w:rPr>
              <w:t>No increase in the maximum number of repeats may be authorised.</w:t>
            </w:r>
          </w:p>
        </w:tc>
      </w:tr>
      <w:tr w:rsidR="00EF105B" w:rsidRPr="00B90523" w14:paraId="62B662D4" w14:textId="77777777" w:rsidTr="00D70468">
        <w:trPr>
          <w:trHeight w:val="305"/>
        </w:trPr>
        <w:tc>
          <w:tcPr>
            <w:cnfStyle w:val="000010000000" w:firstRow="0" w:lastRow="0" w:firstColumn="0" w:lastColumn="0" w:oddVBand="1" w:evenVBand="0" w:oddHBand="0" w:evenHBand="0" w:firstRowFirstColumn="0" w:firstRowLastColumn="0" w:lastRowFirstColumn="0" w:lastRowLastColumn="0"/>
            <w:tcW w:w="419" w:type="dxa"/>
            <w:vMerge/>
          </w:tcPr>
          <w:p w14:paraId="4031F1D3" w14:textId="77777777" w:rsidR="00EF105B" w:rsidRPr="00B90523" w:rsidRDefault="00EF105B" w:rsidP="002503FB">
            <w:pP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705" w:type="dxa"/>
          </w:tcPr>
          <w:p w14:paraId="5716FD40" w14:textId="44C6CD39" w:rsidR="00EF105B" w:rsidRPr="00B90523" w:rsidRDefault="00EF105B" w:rsidP="002503FB">
            <w:pPr>
              <w:jc w:val="center"/>
              <w:rPr>
                <w:rFonts w:ascii="Arial Narrow" w:eastAsia="Times New Roman" w:hAnsi="Arial Narrow"/>
                <w:color w:val="333333"/>
                <w:sz w:val="20"/>
                <w:szCs w:val="20"/>
                <w:lang w:eastAsia="en-AU"/>
              </w:rPr>
            </w:pPr>
          </w:p>
        </w:tc>
        <w:tc>
          <w:tcPr>
            <w:cnfStyle w:val="000010000000" w:firstRow="0" w:lastRow="0" w:firstColumn="0" w:lastColumn="0" w:oddVBand="1" w:evenVBand="0" w:oddHBand="0" w:evenHBand="0" w:firstRowFirstColumn="0" w:firstRowLastColumn="0" w:lastRowFirstColumn="0" w:lastRowLastColumn="0"/>
            <w:tcW w:w="7893" w:type="dxa"/>
            <w:gridSpan w:val="6"/>
          </w:tcPr>
          <w:p w14:paraId="27FE52AC"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 xml:space="preserve">Administrative Advice: </w:t>
            </w:r>
            <w:r w:rsidRPr="00B90523">
              <w:rPr>
                <w:rFonts w:ascii="Arial Narrow" w:eastAsia="Times New Roman" w:hAnsi="Arial Narrow"/>
                <w:color w:val="333333"/>
                <w:sz w:val="20"/>
                <w:szCs w:val="20"/>
                <w:lang w:eastAsia="en-AU"/>
              </w:rPr>
              <w:t>Special Pricing Arrangements apply.</w:t>
            </w:r>
          </w:p>
        </w:tc>
      </w:tr>
      <w:tr w:rsidR="00EF105B" w:rsidRPr="00B90523" w14:paraId="0367D2F3"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09FA50C3"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62F8F1F9" w14:textId="77777777" w:rsidR="00EF105B" w:rsidRPr="00B90523" w:rsidRDefault="00EF105B" w:rsidP="002503FB">
            <w:pPr>
              <w:rPr>
                <w:rFonts w:ascii="Arial Narrow" w:eastAsia="Times New Roman" w:hAnsi="Arial Narrow"/>
                <w:b/>
                <w:bCs/>
                <w:color w:val="333333"/>
                <w:sz w:val="20"/>
                <w:szCs w:val="20"/>
                <w:lang w:eastAsia="en-AU"/>
              </w:rPr>
            </w:pPr>
          </w:p>
        </w:tc>
      </w:tr>
      <w:tr w:rsidR="00EF105B" w:rsidRPr="00B90523" w14:paraId="530ACAE8"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4114608F" w14:textId="19BBEF15"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45C93533"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Indication:</w:t>
            </w:r>
            <w:r w:rsidRPr="00B90523">
              <w:rPr>
                <w:rFonts w:ascii="Arial Narrow" w:eastAsia="Times New Roman" w:hAnsi="Arial Narrow"/>
                <w:color w:val="333333"/>
                <w:sz w:val="20"/>
                <w:szCs w:val="20"/>
                <w:lang w:eastAsia="en-AU"/>
              </w:rPr>
              <w:t xml:space="preserve"> Moderate to severe ulcerative colitis</w:t>
            </w:r>
          </w:p>
        </w:tc>
      </w:tr>
      <w:tr w:rsidR="00EF105B" w:rsidRPr="00B90523" w14:paraId="7946A7A9"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6016F6E7"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6C0AE6D7" w14:textId="77777777" w:rsidR="00EF105B" w:rsidRPr="00B90523" w:rsidRDefault="00EF105B" w:rsidP="002503FB">
            <w:pPr>
              <w:rPr>
                <w:rFonts w:ascii="Arial Narrow" w:eastAsia="Times New Roman" w:hAnsi="Arial Narrow"/>
                <w:b/>
                <w:bCs/>
                <w:color w:val="333333"/>
                <w:sz w:val="20"/>
                <w:szCs w:val="20"/>
                <w:lang w:eastAsia="en-AU"/>
              </w:rPr>
            </w:pPr>
          </w:p>
        </w:tc>
      </w:tr>
      <w:tr w:rsidR="00EF105B" w:rsidRPr="00B90523" w14:paraId="3E3D63DD"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269AEB6B"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20462670" w14:textId="77777777" w:rsidR="00EF105B" w:rsidRPr="00B90523" w:rsidRDefault="00EF105B" w:rsidP="002503FB">
            <w:pPr>
              <w:rPr>
                <w:rFonts w:ascii="Arial Narrow" w:eastAsia="Times New Roman" w:hAnsi="Arial Narrow"/>
                <w:color w:val="FF00FF"/>
                <w:sz w:val="20"/>
                <w:szCs w:val="20"/>
                <w:lang w:eastAsia="en-AU"/>
              </w:rPr>
            </w:pPr>
            <w:r w:rsidRPr="00B90523">
              <w:rPr>
                <w:rFonts w:ascii="Arial Narrow" w:eastAsia="Times New Roman" w:hAnsi="Arial Narrow"/>
                <w:b/>
                <w:bCs/>
                <w:color w:val="333333"/>
                <w:sz w:val="20"/>
                <w:szCs w:val="20"/>
                <w:lang w:eastAsia="en-AU"/>
              </w:rPr>
              <w:t>Treatment Phase:</w:t>
            </w:r>
            <w:r w:rsidRPr="00B90523">
              <w:rPr>
                <w:rFonts w:ascii="Arial Narrow" w:eastAsia="Times New Roman" w:hAnsi="Arial Narrow"/>
                <w:color w:val="FF0000"/>
                <w:sz w:val="20"/>
                <w:szCs w:val="20"/>
                <w:lang w:eastAsia="en-AU"/>
              </w:rPr>
              <w:t xml:space="preserve"> </w:t>
            </w:r>
            <w:r w:rsidRPr="00B90523">
              <w:rPr>
                <w:rFonts w:ascii="Arial Narrow" w:eastAsia="Times New Roman" w:hAnsi="Arial Narrow"/>
                <w:sz w:val="20"/>
                <w:szCs w:val="20"/>
                <w:lang w:eastAsia="en-AU"/>
              </w:rPr>
              <w:t>Initial treatment - Initial 1 (new patient)</w:t>
            </w:r>
          </w:p>
        </w:tc>
      </w:tr>
      <w:tr w:rsidR="00EF105B" w:rsidRPr="00B90523" w14:paraId="732DF3F7"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542CF292"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5B62AA59" w14:textId="77777777" w:rsidR="00EF105B" w:rsidRPr="00B90523" w:rsidRDefault="00EF105B" w:rsidP="002503FB">
            <w:pPr>
              <w:rPr>
                <w:rFonts w:ascii="Arial Narrow" w:eastAsia="Times New Roman" w:hAnsi="Arial Narrow"/>
                <w:b/>
                <w:bCs/>
                <w:color w:val="333333"/>
                <w:sz w:val="20"/>
                <w:szCs w:val="20"/>
                <w:lang w:eastAsia="en-AU"/>
              </w:rPr>
            </w:pPr>
          </w:p>
        </w:tc>
      </w:tr>
      <w:tr w:rsidR="00EF105B" w:rsidRPr="00B90523" w14:paraId="1C67BD42"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12201AF3"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74B69B10" w14:textId="77777777" w:rsidR="00EF105B" w:rsidRPr="00B90523" w:rsidRDefault="00EF105B" w:rsidP="002503FB">
            <w:pPr>
              <w:rPr>
                <w:rFonts w:ascii="Arial Narrow" w:eastAsia="Times New Roman" w:hAnsi="Arial Narrow"/>
                <w:color w:val="FF00FF"/>
                <w:sz w:val="20"/>
                <w:szCs w:val="20"/>
                <w:lang w:eastAsia="en-AU"/>
              </w:rPr>
            </w:pPr>
            <w:r w:rsidRPr="00B90523">
              <w:rPr>
                <w:rFonts w:ascii="Arial Narrow" w:eastAsia="Times New Roman" w:hAnsi="Arial Narrow"/>
                <w:b/>
                <w:bCs/>
                <w:color w:val="333333"/>
                <w:sz w:val="20"/>
                <w:szCs w:val="20"/>
                <w:lang w:eastAsia="en-AU"/>
              </w:rPr>
              <w:t xml:space="preserve">Treatment criteria: </w:t>
            </w:r>
          </w:p>
        </w:tc>
      </w:tr>
      <w:tr w:rsidR="00EF105B" w:rsidRPr="00B90523" w14:paraId="24FBC4E0"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52D45DF9" w14:textId="10B6A63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382600DC"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gastroenterologist (code 87); OR</w:t>
            </w:r>
          </w:p>
        </w:tc>
      </w:tr>
      <w:tr w:rsidR="00EF105B" w:rsidRPr="00B90523" w14:paraId="1B6BC989"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69BC8DC1" w14:textId="4A133EC8"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019710CA"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consultant physician [internal medicine specialising in gastroenterology (code 81)]; OR</w:t>
            </w:r>
          </w:p>
        </w:tc>
      </w:tr>
      <w:tr w:rsidR="00EF105B" w:rsidRPr="00B90523" w14:paraId="10F015E0"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111F506F" w14:textId="5F5C5E5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95D721F"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sz w:val="20"/>
                <w:szCs w:val="20"/>
                <w:lang w:eastAsia="en-AU"/>
              </w:rPr>
              <w:t>Must be treated by a consultant physician [general medicine specialising in gastroenterology (code 82)].</w:t>
            </w:r>
          </w:p>
        </w:tc>
      </w:tr>
      <w:tr w:rsidR="00EF105B" w:rsidRPr="00B90523" w14:paraId="096DE91A"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6583DEF5"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0F0D39C5"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AND</w:t>
            </w:r>
          </w:p>
        </w:tc>
      </w:tr>
      <w:tr w:rsidR="00EF105B" w:rsidRPr="00B90523" w14:paraId="44AFCC6F"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58943634" w14:textId="759C07B8"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48F045BA"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Clinical criteria:</w:t>
            </w:r>
          </w:p>
        </w:tc>
      </w:tr>
      <w:tr w:rsidR="00EF105B" w:rsidRPr="00B90523" w14:paraId="1D55AD21"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27428C54" w14:textId="7DE10F0F"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3F0E295D" w14:textId="77777777" w:rsidR="00EF105B" w:rsidRPr="00B90523" w:rsidRDefault="00EF105B" w:rsidP="002503FB">
            <w:pPr>
              <w:rPr>
                <w:rFonts w:ascii="Arial Narrow" w:eastAsia="Times New Roman" w:hAnsi="Arial Narrow"/>
                <w:color w:val="FF0000"/>
                <w:sz w:val="20"/>
                <w:szCs w:val="20"/>
                <w:lang w:eastAsia="en-AU"/>
              </w:rPr>
            </w:pPr>
            <w:r w:rsidRPr="00B90523">
              <w:rPr>
                <w:rFonts w:ascii="Arial Narrow" w:eastAsia="Times New Roman" w:hAnsi="Arial Narrow"/>
                <w:sz w:val="20"/>
                <w:szCs w:val="20"/>
                <w:lang w:eastAsia="en-AU"/>
              </w:rPr>
              <w:t>Patient must have failed to achieve an adequate response to a 5-aminosalicylate oral preparation in a standard dose for induction of remission for 3 or more months or have intolerance necessitating permanent treatment withdrawal</w:t>
            </w:r>
          </w:p>
        </w:tc>
      </w:tr>
      <w:tr w:rsidR="00EF105B" w:rsidRPr="00B90523" w14:paraId="053060C0"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7ADF8461"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6BE682AF"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AND</w:t>
            </w:r>
          </w:p>
        </w:tc>
      </w:tr>
      <w:tr w:rsidR="00EF105B" w:rsidRPr="00B90523" w14:paraId="3426CCE0"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2BFC4BE4" w14:textId="3E0B9DF9"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08F82EC4"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Clinical criteria:</w:t>
            </w:r>
          </w:p>
        </w:tc>
      </w:tr>
      <w:tr w:rsidR="00EF105B" w:rsidRPr="00B90523" w14:paraId="7EAB436A"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29A9BD5F"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6FD2A25A"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color w:val="333333"/>
                <w:sz w:val="20"/>
                <w:szCs w:val="20"/>
                <w:lang w:eastAsia="en-AU"/>
              </w:rPr>
              <w:t>Patient must have failed to achieve an adequate response to azathioprine at a dose of at least 2 mg per kg daily for 3 or more months or have intolerance necessitating permanent treatment withdrawal; OR</w:t>
            </w:r>
          </w:p>
        </w:tc>
      </w:tr>
      <w:tr w:rsidR="00EF105B" w:rsidRPr="00B90523" w14:paraId="27C37323"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0B4628EE" w14:textId="599AD30B"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1D9CE9D6"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color w:val="333333"/>
                <w:sz w:val="20"/>
                <w:szCs w:val="20"/>
                <w:lang w:eastAsia="en-AU"/>
              </w:rPr>
              <w:t>Patient must have failed to achieve an adequate response to 6-mercaptopurine at a dose of at least 1 mg per kg daily for 3 or more months or have intolerance necessitating permanent treatment withdrawal; OR</w:t>
            </w:r>
          </w:p>
        </w:tc>
      </w:tr>
      <w:tr w:rsidR="00EF105B" w:rsidRPr="00B90523" w14:paraId="7C9B56D2"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1024C8A1" w14:textId="239F22CB"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6E3183D4"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color w:val="333333"/>
                <w:sz w:val="20"/>
                <w:szCs w:val="20"/>
                <w:lang w:eastAsia="en-AU"/>
              </w:rPr>
              <w:t>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months of treatment of an appropriately dosed thiopurine agent,</w:t>
            </w:r>
          </w:p>
        </w:tc>
      </w:tr>
      <w:tr w:rsidR="00EF105B" w:rsidRPr="00B90523" w14:paraId="483C83EE"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6E5EAB66"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40E264A9"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AND</w:t>
            </w:r>
          </w:p>
        </w:tc>
      </w:tr>
      <w:tr w:rsidR="00EF105B" w:rsidRPr="00B90523" w14:paraId="4F81E912"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549E27D0" w14:textId="2B067866"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526A350C"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Clinical criteria:</w:t>
            </w:r>
          </w:p>
        </w:tc>
      </w:tr>
      <w:tr w:rsidR="00EF105B" w:rsidRPr="00B90523" w14:paraId="25D36CAB"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45D73DF7" w14:textId="3245B2CD"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6D71122E" w14:textId="77777777" w:rsidR="00EF105B" w:rsidRPr="00B90523" w:rsidRDefault="00EF105B" w:rsidP="002503FB">
            <w:pPr>
              <w:autoSpaceDE w:val="0"/>
              <w:autoSpaceDN w:val="0"/>
              <w:adjustRightInd w:val="0"/>
              <w:rPr>
                <w:rFonts w:ascii="Arial Narrow" w:hAnsi="Arial Narrow" w:cs="Arial Narrow"/>
                <w:sz w:val="20"/>
                <w:szCs w:val="20"/>
              </w:rPr>
            </w:pPr>
            <w:r w:rsidRPr="00B90523">
              <w:rPr>
                <w:rFonts w:ascii="Arial Narrow" w:hAnsi="Arial Narrow" w:cs="Arial Narrow"/>
                <w:sz w:val="20"/>
                <w:szCs w:val="20"/>
              </w:rPr>
              <w:t>Patient must have a Mayo clinic score greater than or equal to 6; OR</w:t>
            </w:r>
          </w:p>
        </w:tc>
      </w:tr>
      <w:tr w:rsidR="00EF105B" w:rsidRPr="00B90523" w14:paraId="302839FB"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3AFC9CA3" w14:textId="36E942D5"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0811DBC1" w14:textId="77777777" w:rsidR="00EF105B" w:rsidRPr="00B90523" w:rsidRDefault="00EF105B" w:rsidP="002503FB">
            <w:pPr>
              <w:autoSpaceDE w:val="0"/>
              <w:autoSpaceDN w:val="0"/>
              <w:adjustRightInd w:val="0"/>
              <w:rPr>
                <w:rFonts w:ascii="Arial Narrow" w:hAnsi="Arial Narrow" w:cs="Arial Narrow"/>
                <w:sz w:val="20"/>
                <w:szCs w:val="20"/>
              </w:rPr>
            </w:pPr>
            <w:r w:rsidRPr="00B90523">
              <w:rPr>
                <w:rFonts w:ascii="Arial Narrow" w:hAnsi="Arial Narrow" w:cs="Arial Narrow"/>
                <w:sz w:val="20"/>
                <w:szCs w:val="20"/>
              </w:rPr>
              <w:t>Patient must have a partial Mayo clinic score greater than or equal to 6, provided the rectal bleeding and stool frequency subscores are both greater than or equal to 2 (endoscopy subscore is not required for a partial Mayo clinic score).</w:t>
            </w:r>
          </w:p>
        </w:tc>
      </w:tr>
      <w:tr w:rsidR="00EF105B" w:rsidRPr="00B90523" w14:paraId="1B20BB5F"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124514DF"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F3E7BCF"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AND</w:t>
            </w:r>
          </w:p>
        </w:tc>
      </w:tr>
      <w:tr w:rsidR="00EF105B" w:rsidRPr="00B90523" w14:paraId="3F6B452E"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731FB493" w14:textId="2E19F42D"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225F5C79"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Population criteria:</w:t>
            </w:r>
          </w:p>
        </w:tc>
      </w:tr>
      <w:tr w:rsidR="00EF105B" w:rsidRPr="00B90523" w14:paraId="25C8E4E9"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1149CA88" w14:textId="34B92ACE"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56EB8E8F"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sz w:val="20"/>
                <w:szCs w:val="20"/>
                <w:lang w:eastAsia="en-AU"/>
              </w:rPr>
              <w:t>Patient must be aged 18 years or older</w:t>
            </w:r>
          </w:p>
        </w:tc>
      </w:tr>
      <w:tr w:rsidR="00EF105B" w:rsidRPr="00B90523" w14:paraId="4E7D92AA"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270273C5"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24201E17"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 xml:space="preserve">Prescribing Instructions: </w:t>
            </w:r>
          </w:p>
          <w:p w14:paraId="7F2F23CE" w14:textId="77777777" w:rsidR="00EF105B" w:rsidRPr="00B90523" w:rsidRDefault="00EF105B" w:rsidP="002503FB">
            <w:pPr>
              <w:rPr>
                <w:rFonts w:ascii="Arial Narrow" w:eastAsia="Times New Roman" w:hAnsi="Arial Narrow"/>
                <w:color w:val="FF0000"/>
                <w:sz w:val="20"/>
                <w:szCs w:val="20"/>
                <w:lang w:eastAsia="en-AU"/>
              </w:rPr>
            </w:pPr>
            <w:r w:rsidRPr="00B90523">
              <w:rPr>
                <w:rFonts w:ascii="Arial Narrow" w:eastAsia="Times New Roman" w:hAnsi="Arial Narrow"/>
                <w:color w:val="333333"/>
                <w:sz w:val="20"/>
                <w:szCs w:val="20"/>
                <w:lang w:eastAsia="en-AU"/>
              </w:rPr>
              <w:t>Concepts 27219, 24856, 24883, 27220, 23934, 26614, 14943, 10418 and 11162 not displayed here for brevity reasons.</w:t>
            </w:r>
          </w:p>
        </w:tc>
      </w:tr>
      <w:tr w:rsidR="00EF105B" w:rsidRPr="00B90523" w14:paraId="4ECC97BD"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42707546"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6F4FDF62"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Administrative advice:</w:t>
            </w:r>
          </w:p>
          <w:p w14:paraId="6639B473"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color w:val="333333"/>
                <w:sz w:val="20"/>
                <w:szCs w:val="20"/>
                <w:lang w:eastAsia="en-AU"/>
              </w:rPr>
              <w:t>Concepts  27176 and 28664 [Retired text] [ CAR flag]  not displayed here for brevity reasons.</w:t>
            </w:r>
          </w:p>
        </w:tc>
      </w:tr>
      <w:tr w:rsidR="00EF105B" w:rsidRPr="00B90523" w14:paraId="723EFD32"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7" w:type="dxa"/>
            <w:gridSpan w:val="8"/>
          </w:tcPr>
          <w:p w14:paraId="19E60015" w14:textId="77777777" w:rsidR="00EF105B" w:rsidRPr="00B90523" w:rsidRDefault="00EF105B" w:rsidP="002503FB">
            <w:pPr>
              <w:rPr>
                <w:rFonts w:ascii="Arial Narrow" w:eastAsia="Times New Roman" w:hAnsi="Arial Narrow"/>
                <w:bCs/>
                <w:color w:val="FF0000"/>
                <w:sz w:val="20"/>
                <w:szCs w:val="20"/>
                <w:lang w:eastAsia="en-AU"/>
              </w:rPr>
            </w:pPr>
          </w:p>
          <w:p w14:paraId="279DF7FA" w14:textId="77777777" w:rsidR="00EF105B" w:rsidRPr="00B90523" w:rsidRDefault="00EF105B" w:rsidP="002503FB">
            <w:pPr>
              <w:rPr>
                <w:rFonts w:ascii="Arial Narrow" w:eastAsia="Times New Roman" w:hAnsi="Arial Narrow"/>
                <w:bCs/>
                <w:color w:val="FF0000"/>
                <w:sz w:val="20"/>
                <w:szCs w:val="20"/>
                <w:lang w:eastAsia="en-AU"/>
              </w:rPr>
            </w:pPr>
          </w:p>
        </w:tc>
      </w:tr>
      <w:tr w:rsidR="00EF105B" w:rsidRPr="00B90523" w14:paraId="71F1A4BD" w14:textId="77777777" w:rsidTr="00D70468">
        <w:tc>
          <w:tcPr>
            <w:cnfStyle w:val="000010000000" w:firstRow="0" w:lastRow="0" w:firstColumn="0" w:lastColumn="0" w:oddVBand="1" w:evenVBand="0" w:oddHBand="0" w:evenHBand="0" w:firstRowFirstColumn="0" w:firstRowLastColumn="0" w:lastRowFirstColumn="0" w:lastRowLastColumn="0"/>
            <w:tcW w:w="9017" w:type="dxa"/>
            <w:gridSpan w:val="8"/>
          </w:tcPr>
          <w:p w14:paraId="75845D06"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Restriction Summary: 11830 as per tofacitinib / ToC: 11915</w:t>
            </w:r>
          </w:p>
        </w:tc>
      </w:tr>
      <w:tr w:rsidR="00EF105B" w:rsidRPr="00B90523" w14:paraId="20A5057C"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5E49E6B6" w14:textId="3EABED1D"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5424BE4A"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Indication:</w:t>
            </w:r>
            <w:r w:rsidRPr="00B90523">
              <w:rPr>
                <w:rFonts w:ascii="Arial Narrow" w:eastAsia="Times New Roman" w:hAnsi="Arial Narrow"/>
                <w:color w:val="333333"/>
                <w:sz w:val="20"/>
                <w:szCs w:val="20"/>
                <w:lang w:eastAsia="en-AU"/>
              </w:rPr>
              <w:t xml:space="preserve"> Moderate to severe ulcerative colitis</w:t>
            </w:r>
          </w:p>
        </w:tc>
      </w:tr>
      <w:tr w:rsidR="00EF105B" w:rsidRPr="00B90523" w14:paraId="6A5B4D4E"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75D02F66"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4EB75596" w14:textId="77777777" w:rsidR="00EF105B" w:rsidRPr="00B90523" w:rsidRDefault="00EF105B" w:rsidP="002503FB">
            <w:pPr>
              <w:rPr>
                <w:rFonts w:ascii="Arial Narrow" w:eastAsia="Times New Roman" w:hAnsi="Arial Narrow"/>
                <w:b/>
                <w:bCs/>
                <w:color w:val="333333"/>
                <w:sz w:val="20"/>
                <w:szCs w:val="20"/>
                <w:lang w:eastAsia="en-AU"/>
              </w:rPr>
            </w:pPr>
          </w:p>
        </w:tc>
      </w:tr>
      <w:tr w:rsidR="00EF105B" w:rsidRPr="00B90523" w14:paraId="3C12EF25"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4BB1A62B"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hideMark/>
          </w:tcPr>
          <w:p w14:paraId="79408A9F" w14:textId="77777777" w:rsidR="00EF105B" w:rsidRPr="00B90523" w:rsidRDefault="00EF105B" w:rsidP="002503FB">
            <w:pPr>
              <w:rPr>
                <w:rFonts w:ascii="Arial Narrow" w:eastAsia="Times New Roman" w:hAnsi="Arial Narrow"/>
                <w:color w:val="FF00FF"/>
                <w:sz w:val="20"/>
                <w:szCs w:val="20"/>
                <w:lang w:eastAsia="en-AU"/>
              </w:rPr>
            </w:pPr>
            <w:r w:rsidRPr="00B90523">
              <w:rPr>
                <w:rFonts w:ascii="Arial Narrow" w:eastAsia="Times New Roman" w:hAnsi="Arial Narrow"/>
                <w:b/>
                <w:bCs/>
                <w:color w:val="333333"/>
                <w:sz w:val="20"/>
                <w:szCs w:val="20"/>
                <w:lang w:eastAsia="en-AU"/>
              </w:rPr>
              <w:t xml:space="preserve">Treatment Phase: </w:t>
            </w:r>
            <w:r w:rsidRPr="00B90523">
              <w:rPr>
                <w:rFonts w:ascii="Arial Narrow" w:eastAsia="Times New Roman" w:hAnsi="Arial Narrow"/>
                <w:color w:val="333333"/>
                <w:sz w:val="20"/>
                <w:szCs w:val="20"/>
                <w:lang w:eastAsia="en-AU"/>
              </w:rPr>
              <w:t>Initial treatment - Initial 2 (change or re-commencement of treatment after a break in biological medicine of less than 5 years)</w:t>
            </w:r>
          </w:p>
        </w:tc>
      </w:tr>
      <w:tr w:rsidR="00EF105B" w:rsidRPr="00B90523" w14:paraId="75297EF8"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3D6D422C"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239062C2" w14:textId="77777777" w:rsidR="00EF105B" w:rsidRPr="00B90523" w:rsidRDefault="00EF105B" w:rsidP="002503FB">
            <w:pPr>
              <w:rPr>
                <w:rFonts w:ascii="Arial Narrow" w:eastAsia="Times New Roman" w:hAnsi="Arial Narrow"/>
                <w:b/>
                <w:bCs/>
                <w:color w:val="333333"/>
                <w:sz w:val="20"/>
                <w:szCs w:val="20"/>
                <w:lang w:eastAsia="en-AU"/>
              </w:rPr>
            </w:pPr>
          </w:p>
        </w:tc>
      </w:tr>
      <w:tr w:rsidR="00EF105B" w:rsidRPr="00B90523" w14:paraId="4E786F4F"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53F8EFC5" w14:textId="64B447ED"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10134631"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 xml:space="preserve">Treatment criteria: </w:t>
            </w:r>
          </w:p>
        </w:tc>
      </w:tr>
      <w:tr w:rsidR="00EF105B" w:rsidRPr="00B90523" w14:paraId="10266706"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7D531BA9" w14:textId="7338397E"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8592D29"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gastroenterologist (code 87); OR</w:t>
            </w:r>
          </w:p>
        </w:tc>
      </w:tr>
      <w:tr w:rsidR="00EF105B" w:rsidRPr="00B90523" w14:paraId="4A822587"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2C4AFEAA" w14:textId="4F02944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54187D0C"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consultant physician [internal medicine specialising in gastroenterology (code 81)]; OR</w:t>
            </w:r>
          </w:p>
        </w:tc>
      </w:tr>
      <w:tr w:rsidR="00EF105B" w:rsidRPr="00B90523" w14:paraId="2875BC19"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7DE682A8" w14:textId="30FF4B39"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0F2F6656"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consultant physician [general medicine specialising in gastroenterology (code 82)].</w:t>
            </w:r>
          </w:p>
        </w:tc>
      </w:tr>
      <w:tr w:rsidR="00EF105B" w:rsidRPr="00B90523" w14:paraId="71D2F274"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47BDD02A"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57E7C73A"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AND</w:t>
            </w:r>
          </w:p>
        </w:tc>
      </w:tr>
      <w:tr w:rsidR="00EF105B" w:rsidRPr="00B90523" w14:paraId="6A0AAE46"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44AC4C0B" w14:textId="4CF5A4F8"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20EE1E3C"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Clinical criteria:</w:t>
            </w:r>
          </w:p>
        </w:tc>
      </w:tr>
      <w:tr w:rsidR="00EF105B" w:rsidRPr="00B90523" w14:paraId="19C70E38"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36CCA266" w14:textId="06C6A114"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637EFD44"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color w:val="333333"/>
                <w:sz w:val="20"/>
                <w:szCs w:val="20"/>
                <w:lang w:eastAsia="en-AU"/>
              </w:rPr>
              <w:t>Patient must have received prior PBS-subsidised treatment with a biological medicine for this condition in this treatment cycle</w:t>
            </w:r>
          </w:p>
        </w:tc>
      </w:tr>
      <w:tr w:rsidR="00EF105B" w:rsidRPr="00B90523" w14:paraId="1B051D81"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04793F22"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3A77A516"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AND</w:t>
            </w:r>
          </w:p>
        </w:tc>
      </w:tr>
      <w:tr w:rsidR="00EF105B" w:rsidRPr="00B90523" w14:paraId="4A33F7CE"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2E498F8B" w14:textId="0D1E2DB9"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57148B61"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b/>
                <w:bCs/>
                <w:color w:val="333333"/>
                <w:sz w:val="20"/>
                <w:szCs w:val="20"/>
                <w:lang w:eastAsia="en-AU"/>
              </w:rPr>
              <w:t>Clinical criteria:</w:t>
            </w:r>
          </w:p>
        </w:tc>
      </w:tr>
      <w:tr w:rsidR="00EF105B" w:rsidRPr="00B90523" w14:paraId="54BF20CB"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46B6856F" w14:textId="59CCC130"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6329C6DE" w14:textId="77777777" w:rsidR="00EF105B" w:rsidRPr="00B90523" w:rsidRDefault="00EF105B" w:rsidP="002503FB">
            <w:pPr>
              <w:rPr>
                <w:rFonts w:ascii="Arial Narrow" w:eastAsia="Times New Roman" w:hAnsi="Arial Narrow"/>
                <w:color w:val="333333"/>
                <w:sz w:val="20"/>
                <w:szCs w:val="20"/>
                <w:lang w:eastAsia="en-AU"/>
              </w:rPr>
            </w:pPr>
            <w:r w:rsidRPr="00B90523">
              <w:rPr>
                <w:rFonts w:ascii="Arial Narrow" w:eastAsia="Times New Roman" w:hAnsi="Arial Narrow"/>
                <w:color w:val="333333"/>
                <w:sz w:val="20"/>
                <w:szCs w:val="20"/>
                <w:lang w:eastAsia="en-AU"/>
              </w:rPr>
              <w:t>Patient must not have already failed, or ceased to respond to, PBS-subsidised treatment with this drug for this condition during the current treatment cycle</w:t>
            </w:r>
          </w:p>
        </w:tc>
      </w:tr>
      <w:tr w:rsidR="00EF105B" w:rsidRPr="00B90523" w14:paraId="647A08FD"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4359E609"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6ADABC63"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AND</w:t>
            </w:r>
          </w:p>
        </w:tc>
      </w:tr>
      <w:tr w:rsidR="00EF105B" w:rsidRPr="00B90523" w14:paraId="7ECFA433"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38B7C8D2" w14:textId="1F1C2402"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DA0043D"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Population criteria:</w:t>
            </w:r>
          </w:p>
        </w:tc>
      </w:tr>
      <w:tr w:rsidR="00EF105B" w:rsidRPr="00B90523" w14:paraId="674DA74A"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7EDB2518" w14:textId="159E24D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382B1191"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Patient must be aged 18 years or older</w:t>
            </w:r>
          </w:p>
        </w:tc>
      </w:tr>
      <w:tr w:rsidR="00EF105B" w:rsidRPr="00B90523" w14:paraId="47577C36"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2917A3E4"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0AF72BC9" w14:textId="77777777" w:rsidR="00EF105B" w:rsidRPr="00B90523" w:rsidRDefault="00EF105B" w:rsidP="002503FB">
            <w:pPr>
              <w:rPr>
                <w:rFonts w:ascii="Arial Narrow" w:eastAsia="Times New Roman" w:hAnsi="Arial Narrow"/>
                <w:sz w:val="20"/>
                <w:szCs w:val="20"/>
                <w:lang w:eastAsia="en-AU"/>
              </w:rPr>
            </w:pPr>
          </w:p>
        </w:tc>
      </w:tr>
      <w:tr w:rsidR="00EF105B" w:rsidRPr="00B90523" w14:paraId="189A7527"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0244F452"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2A5D92F5"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sz w:val="20"/>
                <w:szCs w:val="20"/>
                <w:lang w:eastAsia="en-AU"/>
              </w:rPr>
              <w:t xml:space="preserve">Prescribing Instructions: </w:t>
            </w:r>
          </w:p>
          <w:p w14:paraId="62DB7814"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Items 27220, 23934, 26614, 24713 and 11162 should apply.</w:t>
            </w:r>
          </w:p>
        </w:tc>
      </w:tr>
      <w:tr w:rsidR="00EF105B" w:rsidRPr="00B90523" w14:paraId="78BCD089"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788D237E"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5997A02B"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Administrative advice:</w:t>
            </w:r>
          </w:p>
          <w:p w14:paraId="28E87427"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color w:val="333333"/>
                <w:sz w:val="20"/>
                <w:szCs w:val="20"/>
                <w:lang w:eastAsia="en-AU"/>
              </w:rPr>
              <w:t>Item 28664 should apply.</w:t>
            </w:r>
          </w:p>
        </w:tc>
      </w:tr>
      <w:tr w:rsidR="00EF105B" w:rsidRPr="00B90523" w14:paraId="43F4FAC8"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7" w:type="dxa"/>
            <w:gridSpan w:val="8"/>
          </w:tcPr>
          <w:p w14:paraId="7E9905D6" w14:textId="77777777" w:rsidR="00EF105B" w:rsidRPr="00B90523" w:rsidRDefault="00EF105B" w:rsidP="002503FB">
            <w:pPr>
              <w:rPr>
                <w:rFonts w:ascii="Arial Narrow" w:eastAsia="Times New Roman" w:hAnsi="Arial Narrow"/>
                <w:sz w:val="20"/>
                <w:szCs w:val="20"/>
                <w:lang w:eastAsia="en-AU"/>
              </w:rPr>
            </w:pPr>
          </w:p>
          <w:p w14:paraId="4F81DC80" w14:textId="77777777" w:rsidR="00EF105B" w:rsidRPr="00B90523" w:rsidRDefault="00EF105B" w:rsidP="002503FB">
            <w:pPr>
              <w:rPr>
                <w:rFonts w:ascii="Arial Narrow" w:eastAsia="Times New Roman" w:hAnsi="Arial Narrow"/>
                <w:sz w:val="20"/>
                <w:szCs w:val="20"/>
                <w:lang w:eastAsia="en-AU"/>
              </w:rPr>
            </w:pPr>
          </w:p>
        </w:tc>
      </w:tr>
      <w:tr w:rsidR="00EF105B" w:rsidRPr="00B90523" w14:paraId="151D32C8" w14:textId="77777777" w:rsidTr="00D70468">
        <w:tc>
          <w:tcPr>
            <w:cnfStyle w:val="000010000000" w:firstRow="0" w:lastRow="0" w:firstColumn="0" w:lastColumn="0" w:oddVBand="1" w:evenVBand="0" w:oddHBand="0" w:evenHBand="0" w:firstRowFirstColumn="0" w:firstRowLastColumn="0" w:lastRowFirstColumn="0" w:lastRowLastColumn="0"/>
            <w:tcW w:w="9017" w:type="dxa"/>
            <w:gridSpan w:val="8"/>
          </w:tcPr>
          <w:p w14:paraId="2845B428"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Restriction Summary 11881 as per tofacitinib / ToC: 11975</w:t>
            </w:r>
          </w:p>
        </w:tc>
      </w:tr>
      <w:tr w:rsidR="00EF105B" w:rsidRPr="00B90523" w14:paraId="42072476"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7" w:type="dxa"/>
            <w:gridSpan w:val="8"/>
          </w:tcPr>
          <w:p w14:paraId="1C31EABD" w14:textId="77777777" w:rsidR="00EF105B" w:rsidRPr="00B90523" w:rsidRDefault="00EF105B" w:rsidP="002503FB">
            <w:pPr>
              <w:rPr>
                <w:rFonts w:ascii="Arial Narrow" w:eastAsia="Times New Roman" w:hAnsi="Arial Narrow"/>
                <w:b/>
                <w:bCs/>
                <w:color w:val="333333"/>
                <w:sz w:val="20"/>
                <w:szCs w:val="20"/>
                <w:lang w:eastAsia="en-AU"/>
              </w:rPr>
            </w:pPr>
          </w:p>
        </w:tc>
      </w:tr>
      <w:tr w:rsidR="00EF105B" w:rsidRPr="00B90523" w14:paraId="563328EE"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270E8781" w14:textId="6EF803D9"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3712206"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Indication:</w:t>
            </w:r>
            <w:r w:rsidRPr="00B90523">
              <w:rPr>
                <w:rFonts w:ascii="Arial Narrow" w:eastAsia="Times New Roman" w:hAnsi="Arial Narrow"/>
                <w:color w:val="333333"/>
                <w:sz w:val="20"/>
                <w:szCs w:val="20"/>
                <w:lang w:eastAsia="en-AU"/>
              </w:rPr>
              <w:t xml:space="preserve"> Moderate to severe ulcerative colitis</w:t>
            </w:r>
          </w:p>
        </w:tc>
      </w:tr>
      <w:tr w:rsidR="00EF105B" w:rsidRPr="00B90523" w14:paraId="0C7ED1D5"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03B609E8"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9A6BBC8" w14:textId="77777777" w:rsidR="00EF105B" w:rsidRPr="00B90523" w:rsidRDefault="00EF105B" w:rsidP="002503FB">
            <w:pPr>
              <w:rPr>
                <w:rFonts w:ascii="Arial Narrow" w:eastAsia="Times New Roman" w:hAnsi="Arial Narrow"/>
                <w:b/>
                <w:bCs/>
                <w:color w:val="333333"/>
                <w:sz w:val="20"/>
                <w:szCs w:val="20"/>
                <w:lang w:eastAsia="en-AU"/>
              </w:rPr>
            </w:pPr>
          </w:p>
        </w:tc>
      </w:tr>
      <w:tr w:rsidR="00EF105B" w:rsidRPr="00B90523" w14:paraId="48C1F12D"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78449AB0"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AEF489F"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 xml:space="preserve">Treatment Phase: </w:t>
            </w:r>
            <w:r w:rsidRPr="00B90523">
              <w:rPr>
                <w:rFonts w:ascii="Arial Narrow" w:eastAsia="Times New Roman" w:hAnsi="Arial Narrow"/>
                <w:color w:val="333333"/>
                <w:sz w:val="20"/>
                <w:szCs w:val="20"/>
                <w:lang w:eastAsia="en-AU"/>
              </w:rPr>
              <w:t>Initial treatment – initial 3 (recommencement of treatment after a break in biological medicine of more than 5 years)</w:t>
            </w:r>
          </w:p>
        </w:tc>
      </w:tr>
      <w:tr w:rsidR="00EF105B" w:rsidRPr="00B90523" w14:paraId="22BE6C1E"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534E1719"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5D90C6B" w14:textId="77777777" w:rsidR="00EF105B" w:rsidRPr="00B90523" w:rsidRDefault="00EF105B" w:rsidP="002503FB">
            <w:pPr>
              <w:rPr>
                <w:rFonts w:ascii="Arial Narrow" w:eastAsia="Times New Roman" w:hAnsi="Arial Narrow"/>
                <w:b/>
                <w:bCs/>
                <w:color w:val="333333"/>
                <w:sz w:val="20"/>
                <w:szCs w:val="20"/>
                <w:lang w:eastAsia="en-AU"/>
              </w:rPr>
            </w:pPr>
          </w:p>
        </w:tc>
      </w:tr>
      <w:tr w:rsidR="00EF105B" w:rsidRPr="00B90523" w14:paraId="19D0E9ED"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7E468F7D" w14:textId="3BB8A16E"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3FBB162"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 xml:space="preserve">Treatment criteria: </w:t>
            </w:r>
          </w:p>
        </w:tc>
      </w:tr>
      <w:tr w:rsidR="00EF105B" w:rsidRPr="00B90523" w14:paraId="51B49291"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7EAADD2B" w14:textId="3515CDB5"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BF3C409"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gastroenterologist (code 87); OR</w:t>
            </w:r>
          </w:p>
        </w:tc>
      </w:tr>
      <w:tr w:rsidR="00EF105B" w:rsidRPr="00B90523" w14:paraId="12813EA5"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1767A3EA" w14:textId="20815CF1"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E07F64F"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consultant physician [internal medicine specialising in gastroenterology (code 81)]; OR</w:t>
            </w:r>
          </w:p>
        </w:tc>
      </w:tr>
      <w:tr w:rsidR="00EF105B" w:rsidRPr="00B90523" w14:paraId="2D73E05E"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034D02DB" w14:textId="1DD74845"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3C7346E7"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consultant physician [general medicine specialising in gastroenterology (code 82)].</w:t>
            </w:r>
          </w:p>
        </w:tc>
      </w:tr>
      <w:tr w:rsidR="00EF105B" w:rsidRPr="00B90523" w14:paraId="0CD0B63A"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51733576"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4BD6DC5D" w14:textId="77777777" w:rsidR="00EF105B" w:rsidRPr="00B90523" w:rsidRDefault="00EF105B" w:rsidP="002503FB">
            <w:pPr>
              <w:rPr>
                <w:rFonts w:ascii="Arial Narrow" w:eastAsia="Times New Roman" w:hAnsi="Arial Narrow"/>
                <w:b/>
                <w:bCs/>
                <w:sz w:val="20"/>
                <w:szCs w:val="20"/>
                <w:lang w:eastAsia="en-AU"/>
              </w:rPr>
            </w:pPr>
            <w:r w:rsidRPr="00B90523">
              <w:rPr>
                <w:rFonts w:ascii="Arial Narrow" w:eastAsia="Times New Roman" w:hAnsi="Arial Narrow"/>
                <w:b/>
                <w:bCs/>
                <w:sz w:val="20"/>
                <w:szCs w:val="20"/>
                <w:lang w:eastAsia="en-AU"/>
              </w:rPr>
              <w:t>AND</w:t>
            </w:r>
          </w:p>
        </w:tc>
      </w:tr>
      <w:tr w:rsidR="00EF105B" w:rsidRPr="00B90523" w14:paraId="71684958"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3DEB8BC3" w14:textId="66FC33D0"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105D96A1" w14:textId="77777777" w:rsidR="00EF105B" w:rsidRPr="00B90523" w:rsidRDefault="00EF105B" w:rsidP="002503FB">
            <w:pPr>
              <w:rPr>
                <w:rFonts w:ascii="Arial Narrow" w:eastAsia="Times New Roman" w:hAnsi="Arial Narrow"/>
                <w:b/>
                <w:bCs/>
                <w:sz w:val="20"/>
                <w:szCs w:val="20"/>
                <w:lang w:eastAsia="en-AU"/>
              </w:rPr>
            </w:pPr>
            <w:r w:rsidRPr="00B90523">
              <w:rPr>
                <w:rFonts w:ascii="Arial Narrow" w:eastAsia="Times New Roman" w:hAnsi="Arial Narrow"/>
                <w:b/>
                <w:bCs/>
                <w:sz w:val="20"/>
                <w:szCs w:val="20"/>
                <w:lang w:eastAsia="en-AU"/>
              </w:rPr>
              <w:t>Clinical criteria:</w:t>
            </w:r>
          </w:p>
        </w:tc>
      </w:tr>
      <w:tr w:rsidR="00EF105B" w:rsidRPr="00B90523" w14:paraId="348FA5FA"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48D2B146" w14:textId="745CADF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55E7B174"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Patient must have previously received PBS-subsidised treatment with a biological medicine for this condition</w:t>
            </w:r>
          </w:p>
        </w:tc>
      </w:tr>
      <w:tr w:rsidR="00EF105B" w:rsidRPr="00B90523" w14:paraId="273D3EFA"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05DF44CF"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615F7CA2"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sz w:val="20"/>
                <w:szCs w:val="20"/>
                <w:lang w:eastAsia="en-AU"/>
              </w:rPr>
              <w:t>AND</w:t>
            </w:r>
          </w:p>
        </w:tc>
      </w:tr>
      <w:tr w:rsidR="00EF105B" w:rsidRPr="00B90523" w14:paraId="2BE8D49C"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73A5B46A" w14:textId="228AE32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37073E2B"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sz w:val="20"/>
                <w:szCs w:val="20"/>
                <w:lang w:eastAsia="en-AU"/>
              </w:rPr>
              <w:t>Clinical criteria:</w:t>
            </w:r>
          </w:p>
        </w:tc>
      </w:tr>
      <w:tr w:rsidR="00EF105B" w:rsidRPr="00B90523" w14:paraId="4C24AB6C"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1E31281C" w14:textId="453923E9"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5EDC7FEE"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Patient must have had a break in treatment of 5 years or more from the most recently approved PBS-subsidised biological medicine for this condition</w:t>
            </w:r>
          </w:p>
        </w:tc>
      </w:tr>
      <w:tr w:rsidR="00EF105B" w:rsidRPr="00B90523" w14:paraId="2B74E342"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35D11F88"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32B38152"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sz w:val="20"/>
                <w:szCs w:val="20"/>
                <w:lang w:eastAsia="en-AU"/>
              </w:rPr>
              <w:t>AND</w:t>
            </w:r>
          </w:p>
        </w:tc>
      </w:tr>
      <w:tr w:rsidR="00EF105B" w:rsidRPr="00B90523" w14:paraId="1BCC3743"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3E3F24DB" w14:textId="3C238C31"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1775C326"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Clinical criteria:</w:t>
            </w:r>
          </w:p>
        </w:tc>
      </w:tr>
      <w:tr w:rsidR="00EF105B" w:rsidRPr="00B90523" w14:paraId="22A1AB6C"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Borders>
              <w:bottom w:val="single" w:sz="4" w:space="0" w:color="auto"/>
            </w:tcBorders>
          </w:tcPr>
          <w:p w14:paraId="0470D07F" w14:textId="3AC618E1"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Borders>
              <w:bottom w:val="single" w:sz="4" w:space="0" w:color="auto"/>
            </w:tcBorders>
          </w:tcPr>
          <w:p w14:paraId="76FB52BA" w14:textId="77777777" w:rsidR="00EF105B" w:rsidRPr="00B90523" w:rsidRDefault="00EF105B" w:rsidP="002503FB">
            <w:pPr>
              <w:autoSpaceDE w:val="0"/>
              <w:autoSpaceDN w:val="0"/>
              <w:adjustRightInd w:val="0"/>
              <w:rPr>
                <w:rFonts w:ascii="Arial Narrow" w:hAnsi="Arial Narrow" w:cs="Arial Narrow"/>
                <w:sz w:val="20"/>
                <w:szCs w:val="20"/>
              </w:rPr>
            </w:pPr>
            <w:r w:rsidRPr="00B90523">
              <w:rPr>
                <w:rFonts w:ascii="Arial Narrow" w:hAnsi="Arial Narrow" w:cs="Arial Narrow"/>
                <w:sz w:val="20"/>
                <w:szCs w:val="20"/>
              </w:rPr>
              <w:t>Patient must have a Mayo clinic score greater than or equal to 6; OR</w:t>
            </w:r>
          </w:p>
        </w:tc>
      </w:tr>
      <w:tr w:rsidR="00EF105B" w:rsidRPr="00B90523" w14:paraId="3CFF8AD2"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Borders>
              <w:top w:val="single" w:sz="4" w:space="0" w:color="auto"/>
              <w:left w:val="single" w:sz="4" w:space="0" w:color="auto"/>
              <w:bottom w:val="single" w:sz="4" w:space="0" w:color="auto"/>
              <w:right w:val="single" w:sz="4" w:space="0" w:color="auto"/>
            </w:tcBorders>
          </w:tcPr>
          <w:p w14:paraId="2F3A1FD5" w14:textId="5CB54ADA"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Borders>
              <w:top w:val="single" w:sz="4" w:space="0" w:color="auto"/>
              <w:left w:val="single" w:sz="4" w:space="0" w:color="auto"/>
              <w:bottom w:val="single" w:sz="4" w:space="0" w:color="auto"/>
              <w:right w:val="single" w:sz="4" w:space="0" w:color="auto"/>
            </w:tcBorders>
          </w:tcPr>
          <w:p w14:paraId="63E400CC" w14:textId="77777777" w:rsidR="00EF105B" w:rsidRPr="00B90523" w:rsidRDefault="00EF105B" w:rsidP="002503FB">
            <w:pPr>
              <w:rPr>
                <w:rFonts w:ascii="Arial Narrow" w:eastAsia="Times New Roman" w:hAnsi="Arial Narrow"/>
                <w:b/>
                <w:bCs/>
                <w:sz w:val="20"/>
                <w:szCs w:val="20"/>
                <w:lang w:eastAsia="en-AU"/>
              </w:rPr>
            </w:pPr>
            <w:r w:rsidRPr="00B90523">
              <w:rPr>
                <w:rFonts w:ascii="Arial Narrow" w:hAnsi="Arial Narrow" w:cs="Arial Narrow"/>
                <w:sz w:val="20"/>
                <w:szCs w:val="20"/>
              </w:rPr>
              <w:t>Patient must have a partial Mayo clinic score greater than or equal to 6, provided the rectal bleeding and stool frequency subscores are both greater than or equal to 2 (endoscopy subscore is not required for a partial Mayo clinic score).</w:t>
            </w:r>
          </w:p>
        </w:tc>
      </w:tr>
      <w:tr w:rsidR="00EF105B" w:rsidRPr="00B90523" w14:paraId="3F9A42E3"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327D65AB"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0FB220A0" w14:textId="77777777" w:rsidR="00EF105B" w:rsidRPr="00B90523" w:rsidRDefault="00EF105B" w:rsidP="002503FB">
            <w:pPr>
              <w:rPr>
                <w:rFonts w:ascii="Arial Narrow" w:eastAsia="Times New Roman" w:hAnsi="Arial Narrow"/>
                <w:b/>
                <w:bCs/>
                <w:sz w:val="20"/>
                <w:szCs w:val="20"/>
                <w:lang w:eastAsia="en-AU"/>
              </w:rPr>
            </w:pPr>
            <w:r w:rsidRPr="00B90523">
              <w:rPr>
                <w:rFonts w:ascii="Arial Narrow" w:eastAsia="Times New Roman" w:hAnsi="Arial Narrow"/>
                <w:b/>
                <w:bCs/>
                <w:sz w:val="20"/>
                <w:szCs w:val="20"/>
                <w:lang w:eastAsia="en-AU"/>
              </w:rPr>
              <w:t>AND</w:t>
            </w:r>
          </w:p>
        </w:tc>
      </w:tr>
      <w:tr w:rsidR="00EF105B" w:rsidRPr="00B90523" w14:paraId="771E429C"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1C04D11D" w14:textId="3205623D"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FD7066B"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Population criteria:</w:t>
            </w:r>
          </w:p>
        </w:tc>
      </w:tr>
      <w:tr w:rsidR="00EF105B" w:rsidRPr="00B90523" w14:paraId="77A5AFF5"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5EEE51BB" w14:textId="13969E39"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77C264E5"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Patient must be aged 18 years or older</w:t>
            </w:r>
          </w:p>
        </w:tc>
      </w:tr>
      <w:tr w:rsidR="00EF105B" w:rsidRPr="00B90523" w14:paraId="60190213" w14:textId="77777777" w:rsidTr="00D704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24" w:type="dxa"/>
            <w:gridSpan w:val="2"/>
          </w:tcPr>
          <w:p w14:paraId="2A5C3321"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2E224CD6"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b/>
                <w:bCs/>
                <w:sz w:val="20"/>
                <w:szCs w:val="20"/>
                <w:lang w:eastAsia="en-AU"/>
              </w:rPr>
              <w:t>Prescribing Instructions:</w:t>
            </w:r>
          </w:p>
          <w:p w14:paraId="74EA6B08"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sz w:val="20"/>
                <w:szCs w:val="20"/>
                <w:lang w:eastAsia="en-AU"/>
              </w:rPr>
              <w:t>Items 27470, 24883, 27220, 23934, 26614 and 11162 should apply.</w:t>
            </w:r>
          </w:p>
        </w:tc>
      </w:tr>
      <w:tr w:rsidR="00EF105B" w:rsidRPr="00B90523" w14:paraId="156DA2CC" w14:textId="77777777" w:rsidTr="00D70468">
        <w:tc>
          <w:tcPr>
            <w:cnfStyle w:val="000010000000" w:firstRow="0" w:lastRow="0" w:firstColumn="0" w:lastColumn="0" w:oddVBand="1" w:evenVBand="0" w:oddHBand="0" w:evenHBand="0" w:firstRowFirstColumn="0" w:firstRowLastColumn="0" w:lastRowFirstColumn="0" w:lastRowLastColumn="0"/>
            <w:tcW w:w="1124" w:type="dxa"/>
            <w:gridSpan w:val="2"/>
          </w:tcPr>
          <w:p w14:paraId="3A716998" w14:textId="77777777" w:rsidR="00EF105B" w:rsidRPr="00B90523" w:rsidRDefault="00EF105B" w:rsidP="002503FB">
            <w:pPr>
              <w:jc w:val="center"/>
              <w:rPr>
                <w:rFonts w:ascii="Arial Narrow" w:eastAsia="Times New Roman" w:hAnsi="Arial Narrow"/>
                <w:color w:val="333333"/>
                <w:sz w:val="20"/>
                <w:szCs w:val="20"/>
                <w:lang w:eastAsia="en-AU"/>
              </w:rPr>
            </w:pPr>
          </w:p>
        </w:tc>
        <w:tc>
          <w:tcPr>
            <w:cnfStyle w:val="000001000000" w:firstRow="0" w:lastRow="0" w:firstColumn="0" w:lastColumn="0" w:oddVBand="0" w:evenVBand="1" w:oddHBand="0" w:evenHBand="0" w:firstRowFirstColumn="0" w:firstRowLastColumn="0" w:lastRowFirstColumn="0" w:lastRowLastColumn="0"/>
            <w:tcW w:w="7893" w:type="dxa"/>
            <w:gridSpan w:val="6"/>
          </w:tcPr>
          <w:p w14:paraId="2BECCC21" w14:textId="77777777" w:rsidR="00EF105B" w:rsidRPr="00B90523" w:rsidRDefault="00EF105B" w:rsidP="002503FB">
            <w:pPr>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Administrative advice:</w:t>
            </w:r>
          </w:p>
          <w:p w14:paraId="365FD4A6" w14:textId="77777777" w:rsidR="00EF105B" w:rsidRPr="00B90523" w:rsidRDefault="00EF105B" w:rsidP="002503FB">
            <w:pPr>
              <w:rPr>
                <w:rFonts w:ascii="Arial Narrow" w:eastAsia="Times New Roman" w:hAnsi="Arial Narrow"/>
                <w:sz w:val="20"/>
                <w:szCs w:val="20"/>
                <w:lang w:eastAsia="en-AU"/>
              </w:rPr>
            </w:pPr>
            <w:r w:rsidRPr="00B90523">
              <w:rPr>
                <w:rFonts w:ascii="Arial Narrow" w:eastAsia="Times New Roman" w:hAnsi="Arial Narrow"/>
                <w:color w:val="333333"/>
                <w:sz w:val="20"/>
                <w:szCs w:val="20"/>
                <w:lang w:eastAsia="en-AU"/>
              </w:rPr>
              <w:t>Item 28664 [Retired text] [CAR] should apply.</w:t>
            </w:r>
          </w:p>
        </w:tc>
      </w:tr>
    </w:tbl>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7893"/>
      </w:tblGrid>
      <w:tr w:rsidR="00EF105B" w:rsidRPr="00B90523" w14:paraId="3E8F8050" w14:textId="77777777" w:rsidTr="00250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bottom w:val="none" w:sz="0" w:space="0" w:color="auto"/>
            </w:tcBorders>
          </w:tcPr>
          <w:p w14:paraId="2A0B3252" w14:textId="77777777" w:rsidR="00EF105B" w:rsidRPr="00B90523" w:rsidRDefault="00EF105B" w:rsidP="002503FB">
            <w:pPr>
              <w:rPr>
                <w:rFonts w:ascii="Arial Narrow" w:eastAsia="Times New Roman" w:hAnsi="Arial Narrow"/>
                <w:b w:val="0"/>
                <w:bCs w:val="0"/>
                <w:color w:val="333333"/>
                <w:sz w:val="20"/>
                <w:szCs w:val="20"/>
                <w:lang w:eastAsia="en-AU"/>
              </w:rPr>
            </w:pPr>
          </w:p>
          <w:p w14:paraId="0A962ED6" w14:textId="77777777" w:rsidR="00EF105B" w:rsidRPr="00B90523" w:rsidRDefault="00EF105B" w:rsidP="002503FB">
            <w:pPr>
              <w:rPr>
                <w:rFonts w:ascii="Arial Narrow" w:eastAsia="Times New Roman" w:hAnsi="Arial Narrow"/>
                <w:b w:val="0"/>
                <w:bCs w:val="0"/>
                <w:color w:val="333333"/>
                <w:sz w:val="20"/>
                <w:szCs w:val="20"/>
                <w:lang w:eastAsia="en-AU"/>
              </w:rPr>
            </w:pPr>
          </w:p>
        </w:tc>
      </w:tr>
      <w:tr w:rsidR="00EF105B" w:rsidRPr="00B90523" w14:paraId="33F0C469" w14:textId="77777777" w:rsidTr="002503FB">
        <w:tc>
          <w:tcPr>
            <w:cnfStyle w:val="001000000000" w:firstRow="0" w:lastRow="0" w:firstColumn="1" w:lastColumn="0" w:oddVBand="0" w:evenVBand="0" w:oddHBand="0" w:evenHBand="0" w:firstRowFirstColumn="0" w:firstRowLastColumn="0" w:lastRowFirstColumn="0" w:lastRowLastColumn="0"/>
            <w:tcW w:w="9067" w:type="dxa"/>
            <w:gridSpan w:val="2"/>
          </w:tcPr>
          <w:p w14:paraId="223A5C39" w14:textId="77777777" w:rsidR="00EF105B" w:rsidRPr="00B90523" w:rsidRDefault="00EF105B" w:rsidP="002503FB">
            <w:pPr>
              <w:rPr>
                <w:rFonts w:ascii="Arial Narrow" w:eastAsia="Times New Roman" w:hAnsi="Arial Narrow"/>
                <w:b w:val="0"/>
                <w:bCs w:val="0"/>
                <w:color w:val="333333"/>
                <w:sz w:val="20"/>
                <w:szCs w:val="20"/>
                <w:lang w:eastAsia="en-AU"/>
              </w:rPr>
            </w:pPr>
            <w:r w:rsidRPr="00B90523">
              <w:rPr>
                <w:rFonts w:ascii="Arial Narrow" w:eastAsia="Times New Roman" w:hAnsi="Arial Narrow"/>
                <w:b w:val="0"/>
                <w:bCs w:val="0"/>
                <w:color w:val="333333"/>
                <w:sz w:val="20"/>
                <w:szCs w:val="20"/>
                <w:lang w:eastAsia="en-AU"/>
              </w:rPr>
              <w:t>Restriction Summary 11976 as attached to tofacitinib / ToC 11976</w:t>
            </w:r>
          </w:p>
        </w:tc>
      </w:tr>
      <w:tr w:rsidR="00EF105B" w:rsidRPr="00B90523" w14:paraId="59E7ED7C"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36ABB17C" w14:textId="14409EF1"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73C4A481"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Indication:</w:t>
            </w:r>
            <w:r w:rsidRPr="00B90523">
              <w:rPr>
                <w:rFonts w:ascii="Arial Narrow" w:eastAsia="Times New Roman" w:hAnsi="Arial Narrow"/>
                <w:color w:val="333333"/>
                <w:sz w:val="20"/>
                <w:szCs w:val="20"/>
                <w:lang w:eastAsia="en-AU"/>
              </w:rPr>
              <w:t xml:space="preserve"> Moderate to severe ulcerative colitis</w:t>
            </w:r>
          </w:p>
        </w:tc>
      </w:tr>
      <w:tr w:rsidR="00EF105B" w:rsidRPr="00B90523" w14:paraId="49F060AD"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318E9B5E" w14:textId="77777777"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46EB3F83"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color w:val="333333"/>
                <w:sz w:val="20"/>
                <w:szCs w:val="20"/>
                <w:lang w:eastAsia="en-AU"/>
              </w:rPr>
            </w:pPr>
          </w:p>
        </w:tc>
      </w:tr>
      <w:tr w:rsidR="00EF105B" w:rsidRPr="00B90523" w14:paraId="714069D4"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25B9AFC1" w14:textId="77777777"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5F984FF6"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 xml:space="preserve">Treatment Phase: </w:t>
            </w:r>
            <w:r w:rsidRPr="00B90523">
              <w:rPr>
                <w:rFonts w:ascii="Arial Narrow" w:eastAsia="Times New Roman" w:hAnsi="Arial Narrow"/>
                <w:color w:val="333333"/>
                <w:sz w:val="20"/>
                <w:szCs w:val="20"/>
                <w:lang w:eastAsia="en-AU"/>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EF105B" w:rsidRPr="00B90523" w14:paraId="549D057E"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4F28E592" w14:textId="77777777"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6EFC001B"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color w:val="333333"/>
                <w:sz w:val="20"/>
                <w:szCs w:val="20"/>
                <w:lang w:eastAsia="en-AU"/>
              </w:rPr>
            </w:pPr>
          </w:p>
        </w:tc>
      </w:tr>
      <w:tr w:rsidR="00EF105B" w:rsidRPr="00B90523" w14:paraId="1A2A8E05" w14:textId="77777777" w:rsidTr="002503FB">
        <w:trPr>
          <w:trHeight w:val="183"/>
        </w:trPr>
        <w:tc>
          <w:tcPr>
            <w:cnfStyle w:val="001000000000" w:firstRow="0" w:lastRow="0" w:firstColumn="1" w:lastColumn="0" w:oddVBand="0" w:evenVBand="0" w:oddHBand="0" w:evenHBand="0" w:firstRowFirstColumn="0" w:firstRowLastColumn="0" w:lastRowFirstColumn="0" w:lastRowLastColumn="0"/>
            <w:tcW w:w="1129" w:type="dxa"/>
          </w:tcPr>
          <w:p w14:paraId="26E88C04" w14:textId="0E1E39CD"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425035BE"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b/>
                <w:bCs/>
                <w:color w:val="333333"/>
                <w:sz w:val="20"/>
                <w:szCs w:val="20"/>
                <w:lang w:eastAsia="en-AU"/>
              </w:rPr>
              <w:t xml:space="preserve">Treatment criteria: </w:t>
            </w:r>
          </w:p>
        </w:tc>
      </w:tr>
      <w:tr w:rsidR="00EF105B" w:rsidRPr="00B90523" w14:paraId="566D572D"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6D97210B" w14:textId="389C346E"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59DB8AEC"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gastroenterologist (code 87); OR</w:t>
            </w:r>
          </w:p>
        </w:tc>
      </w:tr>
      <w:tr w:rsidR="00EF105B" w:rsidRPr="00B90523" w14:paraId="42E9CCFC"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3BB63237" w14:textId="5B943A53"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57B12BCA"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consultant physician [internal medicine specialising in gastroenterology (code 81)]; OR</w:t>
            </w:r>
          </w:p>
        </w:tc>
      </w:tr>
      <w:tr w:rsidR="00EF105B" w:rsidRPr="00B90523" w14:paraId="400F32A9"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1E69A8E7" w14:textId="608E5E3D"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56817916"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sz w:val="20"/>
                <w:szCs w:val="20"/>
                <w:lang w:eastAsia="en-AU"/>
              </w:rPr>
              <w:t>Must be treated by a consultant physician [general medicine specialising in gastroenterology (code 82)].</w:t>
            </w:r>
          </w:p>
        </w:tc>
      </w:tr>
      <w:tr w:rsidR="00EF105B" w:rsidRPr="00B90523" w14:paraId="15C9CA3E"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221745ED" w14:textId="77777777"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71E26857"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sz w:val="20"/>
                <w:szCs w:val="20"/>
                <w:lang w:eastAsia="en-AU"/>
              </w:rPr>
            </w:pPr>
            <w:r w:rsidRPr="00B90523">
              <w:rPr>
                <w:rFonts w:ascii="Arial Narrow" w:eastAsia="Times New Roman" w:hAnsi="Arial Narrow"/>
                <w:b/>
                <w:bCs/>
                <w:sz w:val="20"/>
                <w:szCs w:val="20"/>
                <w:lang w:eastAsia="en-AU"/>
              </w:rPr>
              <w:t>AND</w:t>
            </w:r>
          </w:p>
        </w:tc>
      </w:tr>
      <w:tr w:rsidR="00EF105B" w:rsidRPr="00B90523" w14:paraId="20163C19"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79607114" w14:textId="50C22D11"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03DF1431"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sz w:val="20"/>
                <w:szCs w:val="20"/>
                <w:lang w:eastAsia="en-AU"/>
              </w:rPr>
            </w:pPr>
            <w:r w:rsidRPr="00B90523">
              <w:rPr>
                <w:rFonts w:ascii="Arial Narrow" w:eastAsia="Times New Roman" w:hAnsi="Arial Narrow"/>
                <w:b/>
                <w:bCs/>
                <w:sz w:val="20"/>
                <w:szCs w:val="20"/>
                <w:lang w:eastAsia="en-AU"/>
              </w:rPr>
              <w:t>Clinical criteria:</w:t>
            </w:r>
          </w:p>
        </w:tc>
      </w:tr>
      <w:tr w:rsidR="00EF105B" w:rsidRPr="00B90523" w14:paraId="43C10C14"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100C4993" w14:textId="4447B606"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426F529C"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sz w:val="20"/>
                <w:szCs w:val="20"/>
                <w:lang w:eastAsia="en-AU"/>
              </w:rPr>
              <w:t>Patient must have received insufficient therapy with this drug for this condition under the Initial 1 (new patient) restriction to complete 16 weeks treatment; or</w:t>
            </w:r>
          </w:p>
        </w:tc>
      </w:tr>
      <w:tr w:rsidR="00EF105B" w:rsidRPr="00B90523" w14:paraId="1D8D4EA4"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5FF93A33" w14:textId="0E1EDDA6"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773A95AF"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sz w:val="20"/>
                <w:szCs w:val="20"/>
                <w:lang w:eastAsia="en-AU"/>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EF105B" w:rsidRPr="00B90523" w14:paraId="56DC2287"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510EAAFD" w14:textId="5129D822"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3AC29BB4"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sz w:val="20"/>
                <w:szCs w:val="20"/>
                <w:lang w:eastAsia="en-AU"/>
              </w:rPr>
            </w:pPr>
            <w:r w:rsidRPr="00B90523">
              <w:rPr>
                <w:rFonts w:ascii="Arial Narrow" w:eastAsia="Times New Roman" w:hAnsi="Arial Narrow"/>
                <w:sz w:val="20"/>
                <w:szCs w:val="20"/>
                <w:lang w:eastAsia="en-AU"/>
              </w:rPr>
              <w:t>Patient must have received insufficient therapy with this drug for this condition under the Initial 3 (recommencement of treatment after a break in biological medicine of more than 5 years) restriction to complete 16 weeks treatment</w:t>
            </w:r>
          </w:p>
        </w:tc>
      </w:tr>
      <w:tr w:rsidR="00EF105B" w:rsidRPr="00B90523" w14:paraId="0B0A3F91"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56258296" w14:textId="77777777"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780FA3C2"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b/>
                <w:bCs/>
                <w:sz w:val="20"/>
                <w:szCs w:val="20"/>
                <w:lang w:eastAsia="en-AU"/>
              </w:rPr>
              <w:t>AND</w:t>
            </w:r>
          </w:p>
        </w:tc>
      </w:tr>
      <w:tr w:rsidR="00EF105B" w:rsidRPr="00B90523" w14:paraId="3C1C50A0"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23355B58" w14:textId="4D557E59"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50FE0540"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b/>
                <w:bCs/>
                <w:sz w:val="20"/>
                <w:szCs w:val="20"/>
                <w:lang w:eastAsia="en-AU"/>
              </w:rPr>
              <w:t>Clinical criteria:</w:t>
            </w:r>
          </w:p>
        </w:tc>
      </w:tr>
      <w:tr w:rsidR="00EF105B" w:rsidRPr="00B90523" w14:paraId="23264563"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254DE4F1" w14:textId="63DCE8AF"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3854AAB9"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sz w:val="20"/>
                <w:szCs w:val="20"/>
                <w:lang w:eastAsia="en-AU"/>
              </w:rPr>
              <w:t>The treatment must provide no more than the balance of up to 16 weeks treatment available under the above restrictions</w:t>
            </w:r>
          </w:p>
        </w:tc>
      </w:tr>
      <w:tr w:rsidR="00EF105B" w:rsidRPr="00B90523" w14:paraId="02FBF5E2" w14:textId="77777777" w:rsidTr="002503FB">
        <w:tc>
          <w:tcPr>
            <w:cnfStyle w:val="001000000000" w:firstRow="0" w:lastRow="0" w:firstColumn="1" w:lastColumn="0" w:oddVBand="0" w:evenVBand="0" w:oddHBand="0" w:evenHBand="0" w:firstRowFirstColumn="0" w:firstRowLastColumn="0" w:lastRowFirstColumn="0" w:lastRowLastColumn="0"/>
            <w:tcW w:w="1129" w:type="dxa"/>
          </w:tcPr>
          <w:p w14:paraId="6FF4CA74" w14:textId="5D61DD1A" w:rsidR="00EF105B" w:rsidRPr="00B90523" w:rsidRDefault="00EF105B" w:rsidP="002503FB">
            <w:pPr>
              <w:jc w:val="center"/>
              <w:rPr>
                <w:rFonts w:ascii="Arial Narrow" w:eastAsia="Times New Roman" w:hAnsi="Arial Narrow"/>
                <w:b w:val="0"/>
                <w:bCs w:val="0"/>
                <w:color w:val="333333"/>
                <w:sz w:val="20"/>
                <w:szCs w:val="20"/>
                <w:lang w:eastAsia="en-AU"/>
              </w:rPr>
            </w:pPr>
          </w:p>
        </w:tc>
        <w:tc>
          <w:tcPr>
            <w:tcW w:w="7938" w:type="dxa"/>
          </w:tcPr>
          <w:p w14:paraId="1D07BD61"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color w:val="333333"/>
                <w:sz w:val="20"/>
                <w:szCs w:val="20"/>
                <w:lang w:eastAsia="en-AU"/>
              </w:rPr>
            </w:pPr>
            <w:r w:rsidRPr="00B90523">
              <w:rPr>
                <w:rFonts w:ascii="Arial Narrow" w:eastAsia="Times New Roman" w:hAnsi="Arial Narrow"/>
                <w:b/>
                <w:bCs/>
                <w:color w:val="333333"/>
                <w:sz w:val="20"/>
                <w:szCs w:val="20"/>
                <w:lang w:eastAsia="en-AU"/>
              </w:rPr>
              <w:t>Administrative advice:</w:t>
            </w:r>
          </w:p>
          <w:p w14:paraId="4CF8E1D1" w14:textId="77777777" w:rsidR="00EF105B" w:rsidRPr="00B90523" w:rsidRDefault="00EF105B" w:rsidP="002503FB">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0"/>
                <w:szCs w:val="20"/>
                <w:lang w:eastAsia="en-AU"/>
              </w:rPr>
            </w:pPr>
            <w:r w:rsidRPr="00B90523">
              <w:rPr>
                <w:rFonts w:ascii="Arial Narrow" w:eastAsia="Times New Roman" w:hAnsi="Arial Narrow"/>
                <w:color w:val="333333"/>
                <w:sz w:val="20"/>
                <w:szCs w:val="20"/>
                <w:lang w:eastAsia="en-AU"/>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76"/>
        <w:gridCol w:w="8041"/>
      </w:tblGrid>
      <w:tr w:rsidR="00EF105B" w:rsidRPr="00B90523" w14:paraId="7DA8D1E9" w14:textId="77777777" w:rsidTr="002503FB">
        <w:tc>
          <w:tcPr>
            <w:tcW w:w="9067" w:type="dxa"/>
            <w:gridSpan w:val="2"/>
            <w:tcBorders>
              <w:top w:val="single" w:sz="4" w:space="0" w:color="auto"/>
              <w:left w:val="single" w:sz="4" w:space="0" w:color="auto"/>
              <w:right w:val="single" w:sz="4" w:space="0" w:color="auto"/>
            </w:tcBorders>
          </w:tcPr>
          <w:p w14:paraId="1714823F" w14:textId="77777777" w:rsidR="00EF105B" w:rsidRPr="00B90523" w:rsidRDefault="00EF105B" w:rsidP="002503FB">
            <w:pPr>
              <w:rPr>
                <w:rFonts w:ascii="Arial Narrow" w:hAnsi="Arial Narrow"/>
                <w:b/>
                <w:sz w:val="20"/>
                <w:szCs w:val="20"/>
              </w:rPr>
            </w:pPr>
          </w:p>
          <w:p w14:paraId="08D565A3" w14:textId="77777777" w:rsidR="00EF105B" w:rsidRPr="00B90523" w:rsidRDefault="00EF105B" w:rsidP="002503FB">
            <w:pPr>
              <w:rPr>
                <w:rFonts w:ascii="Arial Narrow" w:hAnsi="Arial Narrow"/>
                <w:b/>
                <w:sz w:val="20"/>
                <w:szCs w:val="20"/>
              </w:rPr>
            </w:pPr>
          </w:p>
        </w:tc>
      </w:tr>
      <w:tr w:rsidR="00EF105B" w:rsidRPr="00B90523" w14:paraId="55131B98" w14:textId="77777777" w:rsidTr="002503FB">
        <w:tc>
          <w:tcPr>
            <w:tcW w:w="9067" w:type="dxa"/>
            <w:gridSpan w:val="2"/>
            <w:tcBorders>
              <w:top w:val="single" w:sz="4" w:space="0" w:color="auto"/>
              <w:left w:val="single" w:sz="4" w:space="0" w:color="auto"/>
              <w:right w:val="single" w:sz="4" w:space="0" w:color="auto"/>
            </w:tcBorders>
          </w:tcPr>
          <w:p w14:paraId="5089E495"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Restriction Summary New (based on 12279 tofacitinib’s GF listing underneath Continuing treatment, but with 3 variations)  / Treatment of Concept: New   (based on 12317)</w:t>
            </w:r>
          </w:p>
        </w:tc>
      </w:tr>
      <w:tr w:rsidR="00EF105B" w:rsidRPr="00B90523" w14:paraId="00712ACB" w14:textId="77777777" w:rsidTr="00D70468">
        <w:tc>
          <w:tcPr>
            <w:tcW w:w="981" w:type="dxa"/>
            <w:vAlign w:val="center"/>
          </w:tcPr>
          <w:p w14:paraId="59166C89" w14:textId="0E6C05F7" w:rsidR="00EF105B" w:rsidRPr="00B90523" w:rsidRDefault="00EF105B" w:rsidP="002503FB">
            <w:pPr>
              <w:jc w:val="center"/>
              <w:rPr>
                <w:rFonts w:ascii="Arial Narrow" w:hAnsi="Arial Narrow"/>
                <w:color w:val="333333"/>
                <w:sz w:val="20"/>
                <w:szCs w:val="20"/>
              </w:rPr>
            </w:pPr>
          </w:p>
        </w:tc>
        <w:tc>
          <w:tcPr>
            <w:tcW w:w="8086" w:type="dxa"/>
            <w:vAlign w:val="center"/>
            <w:hideMark/>
          </w:tcPr>
          <w:p w14:paraId="4C4EA733"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Indication:</w:t>
            </w:r>
            <w:r w:rsidRPr="00B90523">
              <w:rPr>
                <w:rFonts w:ascii="Arial Narrow" w:hAnsi="Arial Narrow"/>
                <w:color w:val="333333"/>
                <w:sz w:val="20"/>
                <w:szCs w:val="20"/>
              </w:rPr>
              <w:t xml:space="preserve"> Moderate to severe ulcerative colitis</w:t>
            </w:r>
          </w:p>
        </w:tc>
      </w:tr>
      <w:tr w:rsidR="00EF105B" w:rsidRPr="00B90523" w14:paraId="7FD879C9" w14:textId="77777777" w:rsidTr="00D70468">
        <w:tc>
          <w:tcPr>
            <w:tcW w:w="981" w:type="dxa"/>
            <w:vAlign w:val="center"/>
          </w:tcPr>
          <w:p w14:paraId="10836A5E" w14:textId="612D8E33" w:rsidR="00EF105B" w:rsidRPr="00B90523" w:rsidRDefault="00EF105B" w:rsidP="002503FB">
            <w:pPr>
              <w:jc w:val="center"/>
              <w:rPr>
                <w:rFonts w:ascii="Arial Narrow" w:hAnsi="Arial Narrow"/>
                <w:color w:val="333333"/>
                <w:sz w:val="20"/>
                <w:szCs w:val="20"/>
              </w:rPr>
            </w:pPr>
          </w:p>
        </w:tc>
        <w:tc>
          <w:tcPr>
            <w:tcW w:w="8086" w:type="dxa"/>
            <w:vAlign w:val="center"/>
            <w:hideMark/>
          </w:tcPr>
          <w:p w14:paraId="1C94499B" w14:textId="77777777" w:rsidR="00EF105B" w:rsidRPr="00B90523" w:rsidRDefault="00EF105B" w:rsidP="002503FB">
            <w:pPr>
              <w:rPr>
                <w:rFonts w:ascii="Arial Narrow" w:hAnsi="Arial Narrow"/>
                <w:color w:val="FF00FF"/>
                <w:sz w:val="20"/>
                <w:szCs w:val="20"/>
              </w:rPr>
            </w:pPr>
            <w:r w:rsidRPr="00B90523">
              <w:rPr>
                <w:rFonts w:ascii="Arial Narrow" w:hAnsi="Arial Narrow"/>
                <w:b/>
                <w:bCs/>
                <w:color w:val="333333"/>
                <w:sz w:val="20"/>
                <w:szCs w:val="20"/>
              </w:rPr>
              <w:t>Treatment Phase:</w:t>
            </w:r>
            <w:r w:rsidRPr="00B90523">
              <w:rPr>
                <w:rFonts w:ascii="Arial Narrow" w:hAnsi="Arial Narrow"/>
                <w:color w:val="FF0000"/>
                <w:sz w:val="20"/>
                <w:szCs w:val="20"/>
              </w:rPr>
              <w:t xml:space="preserve"> </w:t>
            </w:r>
            <w:r w:rsidRPr="00B90523">
              <w:rPr>
                <w:rFonts w:ascii="Arial Narrow" w:hAnsi="Arial Narrow"/>
                <w:sz w:val="20"/>
                <w:szCs w:val="20"/>
              </w:rPr>
              <w:t>Transitioning from non-PBS to PBS-subsidised supply  – ‘Grandfather’ arrangements</w:t>
            </w:r>
          </w:p>
        </w:tc>
      </w:tr>
      <w:tr w:rsidR="00EF105B" w:rsidRPr="00B90523" w14:paraId="4EBAC1BE" w14:textId="77777777" w:rsidTr="00D70468">
        <w:tc>
          <w:tcPr>
            <w:tcW w:w="981" w:type="dxa"/>
            <w:vAlign w:val="center"/>
          </w:tcPr>
          <w:p w14:paraId="5B33BE81" w14:textId="77777777" w:rsidR="00EF105B" w:rsidRPr="00B90523" w:rsidRDefault="00EF105B" w:rsidP="002503FB">
            <w:pPr>
              <w:jc w:val="center"/>
              <w:rPr>
                <w:rFonts w:ascii="Arial Narrow" w:hAnsi="Arial Narrow"/>
                <w:color w:val="333333"/>
                <w:sz w:val="20"/>
                <w:szCs w:val="20"/>
              </w:rPr>
            </w:pPr>
          </w:p>
        </w:tc>
        <w:tc>
          <w:tcPr>
            <w:tcW w:w="8086" w:type="dxa"/>
            <w:vAlign w:val="center"/>
            <w:hideMark/>
          </w:tcPr>
          <w:p w14:paraId="6B203C6B" w14:textId="77777777" w:rsidR="00EF105B" w:rsidRPr="00B90523" w:rsidRDefault="00EF105B" w:rsidP="002503FB">
            <w:pPr>
              <w:rPr>
                <w:rFonts w:ascii="Arial Narrow" w:hAnsi="Arial Narrow"/>
                <w:color w:val="FF00FF"/>
                <w:sz w:val="20"/>
                <w:szCs w:val="20"/>
              </w:rPr>
            </w:pPr>
            <w:r w:rsidRPr="00B90523">
              <w:rPr>
                <w:rFonts w:ascii="Arial Narrow" w:hAnsi="Arial Narrow"/>
                <w:b/>
                <w:bCs/>
                <w:color w:val="333333"/>
                <w:sz w:val="20"/>
                <w:szCs w:val="20"/>
              </w:rPr>
              <w:t xml:space="preserve">Treatment criteria: </w:t>
            </w:r>
          </w:p>
        </w:tc>
      </w:tr>
      <w:tr w:rsidR="00EF105B" w:rsidRPr="00B90523" w14:paraId="7450D28C" w14:textId="77777777" w:rsidTr="00D70468">
        <w:tc>
          <w:tcPr>
            <w:tcW w:w="981" w:type="dxa"/>
            <w:vAlign w:val="center"/>
          </w:tcPr>
          <w:p w14:paraId="6DA76D03" w14:textId="5EAFB6BD" w:rsidR="00EF105B" w:rsidRPr="00B90523" w:rsidRDefault="00EF105B" w:rsidP="002503FB">
            <w:pPr>
              <w:jc w:val="center"/>
              <w:rPr>
                <w:rFonts w:ascii="Arial Narrow" w:hAnsi="Arial Narrow"/>
                <w:color w:val="333333"/>
                <w:sz w:val="20"/>
                <w:szCs w:val="20"/>
              </w:rPr>
            </w:pPr>
          </w:p>
        </w:tc>
        <w:tc>
          <w:tcPr>
            <w:tcW w:w="8086" w:type="dxa"/>
            <w:vAlign w:val="center"/>
            <w:hideMark/>
          </w:tcPr>
          <w:p w14:paraId="4B0E07DF"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gastroenterologist (code 87); OR</w:t>
            </w:r>
          </w:p>
        </w:tc>
      </w:tr>
      <w:tr w:rsidR="00EF105B" w:rsidRPr="00B90523" w14:paraId="3D92A1E6" w14:textId="77777777" w:rsidTr="002503FB">
        <w:tc>
          <w:tcPr>
            <w:tcW w:w="981" w:type="dxa"/>
            <w:vAlign w:val="center"/>
          </w:tcPr>
          <w:p w14:paraId="5BAA2B36" w14:textId="16025CDC" w:rsidR="00EF105B" w:rsidRPr="00B90523" w:rsidRDefault="00EF105B" w:rsidP="002503FB">
            <w:pPr>
              <w:jc w:val="center"/>
              <w:rPr>
                <w:rFonts w:ascii="Arial Narrow" w:hAnsi="Arial Narrow"/>
                <w:color w:val="333333"/>
                <w:sz w:val="20"/>
                <w:szCs w:val="20"/>
              </w:rPr>
            </w:pPr>
          </w:p>
        </w:tc>
        <w:tc>
          <w:tcPr>
            <w:tcW w:w="8086" w:type="dxa"/>
            <w:vAlign w:val="center"/>
          </w:tcPr>
          <w:p w14:paraId="2A489541"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[internal medicine specialising in gastroenterology (code 81)]; OR</w:t>
            </w:r>
          </w:p>
        </w:tc>
      </w:tr>
      <w:tr w:rsidR="00EF105B" w:rsidRPr="00B90523" w14:paraId="410728D5" w14:textId="77777777" w:rsidTr="002503FB">
        <w:tc>
          <w:tcPr>
            <w:tcW w:w="981" w:type="dxa"/>
            <w:vAlign w:val="center"/>
          </w:tcPr>
          <w:p w14:paraId="3D59D2BD" w14:textId="73B1227C" w:rsidR="00EF105B" w:rsidRPr="00B90523" w:rsidRDefault="00EF105B" w:rsidP="002503FB">
            <w:pPr>
              <w:jc w:val="center"/>
              <w:rPr>
                <w:rFonts w:ascii="Arial Narrow" w:hAnsi="Arial Narrow"/>
                <w:color w:val="333333"/>
                <w:sz w:val="20"/>
                <w:szCs w:val="20"/>
              </w:rPr>
            </w:pPr>
          </w:p>
        </w:tc>
        <w:tc>
          <w:tcPr>
            <w:tcW w:w="8086" w:type="dxa"/>
            <w:vAlign w:val="center"/>
          </w:tcPr>
          <w:p w14:paraId="39F682DD"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[general medicine specialising in gastroenterology (code 82)].</w:t>
            </w:r>
          </w:p>
        </w:tc>
      </w:tr>
      <w:tr w:rsidR="00EF105B" w:rsidRPr="00B90523" w14:paraId="71E35D14" w14:textId="77777777" w:rsidTr="00D70468">
        <w:tc>
          <w:tcPr>
            <w:tcW w:w="981" w:type="dxa"/>
            <w:vAlign w:val="center"/>
          </w:tcPr>
          <w:p w14:paraId="4AB65755" w14:textId="77777777" w:rsidR="00EF105B" w:rsidRPr="00B90523" w:rsidRDefault="00EF105B" w:rsidP="002503FB">
            <w:pPr>
              <w:jc w:val="center"/>
              <w:rPr>
                <w:rFonts w:ascii="Arial Narrow" w:hAnsi="Arial Narrow"/>
                <w:color w:val="333333"/>
                <w:sz w:val="20"/>
                <w:szCs w:val="20"/>
              </w:rPr>
            </w:pPr>
          </w:p>
        </w:tc>
        <w:tc>
          <w:tcPr>
            <w:tcW w:w="8086" w:type="dxa"/>
            <w:vAlign w:val="center"/>
            <w:hideMark/>
          </w:tcPr>
          <w:p w14:paraId="50413D8E"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AND</w:t>
            </w:r>
          </w:p>
        </w:tc>
      </w:tr>
      <w:tr w:rsidR="00EF105B" w:rsidRPr="00B90523" w14:paraId="4AD6BA17" w14:textId="77777777" w:rsidTr="002503FB">
        <w:tc>
          <w:tcPr>
            <w:tcW w:w="981" w:type="dxa"/>
            <w:vAlign w:val="center"/>
          </w:tcPr>
          <w:p w14:paraId="3A76C911" w14:textId="6D84E295" w:rsidR="00EF105B" w:rsidRPr="00B90523" w:rsidRDefault="00EF105B" w:rsidP="002503FB">
            <w:pPr>
              <w:jc w:val="center"/>
              <w:rPr>
                <w:rFonts w:ascii="Arial Narrow" w:hAnsi="Arial Narrow"/>
                <w:color w:val="333333"/>
                <w:sz w:val="20"/>
                <w:szCs w:val="20"/>
              </w:rPr>
            </w:pPr>
          </w:p>
        </w:tc>
        <w:tc>
          <w:tcPr>
            <w:tcW w:w="8086" w:type="dxa"/>
            <w:vAlign w:val="center"/>
            <w:hideMark/>
          </w:tcPr>
          <w:p w14:paraId="7A0C744D"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Clinical criteria:</w:t>
            </w:r>
          </w:p>
        </w:tc>
      </w:tr>
      <w:tr w:rsidR="00EF105B" w:rsidRPr="00B90523" w14:paraId="187B6E81" w14:textId="77777777" w:rsidTr="002503FB">
        <w:tc>
          <w:tcPr>
            <w:tcW w:w="981" w:type="dxa"/>
            <w:vAlign w:val="center"/>
          </w:tcPr>
          <w:p w14:paraId="2AADD19C" w14:textId="1DF571EE" w:rsidR="00EF105B" w:rsidRPr="00B90523" w:rsidRDefault="00EF105B" w:rsidP="002503FB">
            <w:pPr>
              <w:jc w:val="center"/>
              <w:rPr>
                <w:rFonts w:ascii="Arial Narrow" w:hAnsi="Arial Narrow"/>
                <w:color w:val="333333"/>
                <w:sz w:val="20"/>
                <w:szCs w:val="20"/>
              </w:rPr>
            </w:pPr>
          </w:p>
        </w:tc>
        <w:tc>
          <w:tcPr>
            <w:tcW w:w="8086" w:type="dxa"/>
            <w:vAlign w:val="center"/>
            <w:hideMark/>
          </w:tcPr>
          <w:p w14:paraId="694F0B8F" w14:textId="77777777" w:rsidR="00EF105B" w:rsidRPr="00B90523" w:rsidRDefault="00EF105B" w:rsidP="002503FB">
            <w:pPr>
              <w:rPr>
                <w:rFonts w:ascii="Arial Narrow" w:hAnsi="Arial Narrow"/>
                <w:color w:val="FF0000"/>
                <w:sz w:val="20"/>
                <w:szCs w:val="20"/>
              </w:rPr>
            </w:pPr>
            <w:r w:rsidRPr="00B90523">
              <w:rPr>
                <w:rFonts w:ascii="Arial Narrow" w:hAnsi="Arial Narrow"/>
                <w:sz w:val="20"/>
                <w:szCs w:val="20"/>
              </w:rPr>
              <w:t>Patient must be receiving treatment with this drug for this condition at the time of application</w:t>
            </w:r>
          </w:p>
        </w:tc>
      </w:tr>
      <w:tr w:rsidR="00EF105B" w:rsidRPr="00B90523" w14:paraId="445F7903" w14:textId="77777777" w:rsidTr="002503FB">
        <w:tc>
          <w:tcPr>
            <w:tcW w:w="981" w:type="dxa"/>
            <w:vAlign w:val="center"/>
          </w:tcPr>
          <w:p w14:paraId="524B0083" w14:textId="77777777" w:rsidR="00EF105B" w:rsidRPr="00B90523" w:rsidRDefault="00EF105B" w:rsidP="002503FB">
            <w:pPr>
              <w:jc w:val="center"/>
              <w:rPr>
                <w:rFonts w:ascii="Arial Narrow" w:hAnsi="Arial Narrow"/>
                <w:color w:val="333333"/>
                <w:sz w:val="20"/>
                <w:szCs w:val="20"/>
              </w:rPr>
            </w:pPr>
          </w:p>
        </w:tc>
        <w:tc>
          <w:tcPr>
            <w:tcW w:w="8086" w:type="dxa"/>
            <w:vAlign w:val="center"/>
            <w:hideMark/>
          </w:tcPr>
          <w:p w14:paraId="225F7D87"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AND</w:t>
            </w:r>
          </w:p>
        </w:tc>
      </w:tr>
      <w:tr w:rsidR="00EF105B" w:rsidRPr="00B90523" w14:paraId="4948E3D6" w14:textId="77777777" w:rsidTr="002503FB">
        <w:tc>
          <w:tcPr>
            <w:tcW w:w="981" w:type="dxa"/>
            <w:vAlign w:val="center"/>
          </w:tcPr>
          <w:p w14:paraId="1DB2412F" w14:textId="77777777" w:rsidR="00EF105B" w:rsidRPr="00B90523" w:rsidRDefault="00EF105B" w:rsidP="002503FB">
            <w:pPr>
              <w:jc w:val="center"/>
              <w:rPr>
                <w:rFonts w:ascii="Arial Narrow" w:hAnsi="Arial Narrow"/>
                <w:color w:val="333333"/>
                <w:sz w:val="20"/>
                <w:szCs w:val="20"/>
              </w:rPr>
            </w:pPr>
          </w:p>
        </w:tc>
        <w:tc>
          <w:tcPr>
            <w:tcW w:w="8086" w:type="dxa"/>
            <w:vAlign w:val="center"/>
            <w:hideMark/>
          </w:tcPr>
          <w:p w14:paraId="5A7B5A6D"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Clinical criteria:</w:t>
            </w:r>
          </w:p>
        </w:tc>
      </w:tr>
      <w:tr w:rsidR="00EF105B" w:rsidRPr="00B90523" w14:paraId="2D932947" w14:textId="77777777" w:rsidTr="002503FB">
        <w:tc>
          <w:tcPr>
            <w:tcW w:w="981" w:type="dxa"/>
            <w:vAlign w:val="center"/>
          </w:tcPr>
          <w:p w14:paraId="0C595339" w14:textId="6C207E6A" w:rsidR="00EF105B" w:rsidRPr="00B90523" w:rsidRDefault="00EF105B" w:rsidP="002503FB">
            <w:pPr>
              <w:jc w:val="center"/>
              <w:rPr>
                <w:rFonts w:ascii="Arial Narrow" w:hAnsi="Arial Narrow"/>
                <w:color w:val="333333"/>
                <w:sz w:val="20"/>
                <w:szCs w:val="20"/>
              </w:rPr>
            </w:pPr>
          </w:p>
        </w:tc>
        <w:tc>
          <w:tcPr>
            <w:tcW w:w="8086" w:type="dxa"/>
            <w:vAlign w:val="center"/>
            <w:hideMark/>
          </w:tcPr>
          <w:p w14:paraId="59DA7A50"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have received non-PBS-subsidised treatment with this drug for this condition prior to [&lt;&lt;PBS listing date]</w:t>
            </w:r>
          </w:p>
        </w:tc>
      </w:tr>
      <w:tr w:rsidR="00EF105B" w:rsidRPr="00B90523" w14:paraId="4CE41120" w14:textId="77777777" w:rsidTr="002503FB">
        <w:trPr>
          <w:trHeight w:val="55"/>
        </w:trPr>
        <w:tc>
          <w:tcPr>
            <w:tcW w:w="981" w:type="dxa"/>
            <w:vAlign w:val="center"/>
          </w:tcPr>
          <w:p w14:paraId="01A356F3" w14:textId="77777777" w:rsidR="00EF105B" w:rsidRPr="00B90523" w:rsidRDefault="00EF105B" w:rsidP="002503FB">
            <w:pPr>
              <w:jc w:val="center"/>
              <w:rPr>
                <w:rFonts w:ascii="Arial Narrow" w:hAnsi="Arial Narrow"/>
                <w:color w:val="333333"/>
                <w:sz w:val="20"/>
                <w:szCs w:val="20"/>
              </w:rPr>
            </w:pPr>
          </w:p>
        </w:tc>
        <w:tc>
          <w:tcPr>
            <w:tcW w:w="8086" w:type="dxa"/>
            <w:vAlign w:val="center"/>
          </w:tcPr>
          <w:p w14:paraId="724B46B2"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AND</w:t>
            </w:r>
          </w:p>
        </w:tc>
      </w:tr>
      <w:tr w:rsidR="00EF105B" w:rsidRPr="00B90523" w14:paraId="307A94A1" w14:textId="77777777" w:rsidTr="002503FB">
        <w:trPr>
          <w:trHeight w:val="55"/>
        </w:trPr>
        <w:tc>
          <w:tcPr>
            <w:tcW w:w="981" w:type="dxa"/>
            <w:vAlign w:val="center"/>
          </w:tcPr>
          <w:p w14:paraId="6471E4BF" w14:textId="359EA93C" w:rsidR="00EF105B" w:rsidRPr="00B90523" w:rsidRDefault="00EF105B" w:rsidP="002503FB">
            <w:pPr>
              <w:jc w:val="center"/>
              <w:rPr>
                <w:rFonts w:ascii="Arial Narrow" w:hAnsi="Arial Narrow"/>
                <w:color w:val="333333"/>
                <w:sz w:val="20"/>
                <w:szCs w:val="20"/>
              </w:rPr>
            </w:pPr>
          </w:p>
        </w:tc>
        <w:tc>
          <w:tcPr>
            <w:tcW w:w="8086" w:type="dxa"/>
            <w:vAlign w:val="center"/>
          </w:tcPr>
          <w:p w14:paraId="0061515A"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Clinical criteria:</w:t>
            </w:r>
          </w:p>
        </w:tc>
      </w:tr>
      <w:tr w:rsidR="00EF105B" w:rsidRPr="00B90523" w14:paraId="38CCDD84" w14:textId="77777777" w:rsidTr="002503FB">
        <w:trPr>
          <w:trHeight w:val="55"/>
        </w:trPr>
        <w:tc>
          <w:tcPr>
            <w:tcW w:w="981" w:type="dxa"/>
            <w:vAlign w:val="center"/>
          </w:tcPr>
          <w:p w14:paraId="69A4C166" w14:textId="22CF3F09" w:rsidR="00EF105B" w:rsidRPr="00B90523" w:rsidRDefault="00EF105B" w:rsidP="002503FB">
            <w:pPr>
              <w:jc w:val="center"/>
              <w:rPr>
                <w:rFonts w:ascii="Arial Narrow" w:hAnsi="Arial Narrow"/>
                <w:color w:val="333333"/>
                <w:sz w:val="20"/>
                <w:szCs w:val="20"/>
              </w:rPr>
            </w:pPr>
          </w:p>
        </w:tc>
        <w:tc>
          <w:tcPr>
            <w:tcW w:w="8086" w:type="dxa"/>
            <w:vAlign w:val="center"/>
          </w:tcPr>
          <w:p w14:paraId="709C5745"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have had a Mayo clinic score greater than or equal to 6 prior to commencing non-PBS-subsidised treatment with this drug for this condition; OR</w:t>
            </w:r>
          </w:p>
        </w:tc>
      </w:tr>
      <w:tr w:rsidR="00EF105B" w:rsidRPr="00B90523" w14:paraId="454CEA90" w14:textId="77777777" w:rsidTr="002503FB">
        <w:trPr>
          <w:trHeight w:val="55"/>
        </w:trPr>
        <w:tc>
          <w:tcPr>
            <w:tcW w:w="981" w:type="dxa"/>
            <w:vAlign w:val="center"/>
          </w:tcPr>
          <w:p w14:paraId="265AD6B7" w14:textId="03B206C1" w:rsidR="00EF105B" w:rsidRPr="00B90523" w:rsidRDefault="00EF105B" w:rsidP="002503FB">
            <w:pPr>
              <w:jc w:val="center"/>
              <w:rPr>
                <w:rFonts w:ascii="Arial Narrow" w:hAnsi="Arial Narrow"/>
                <w:color w:val="333333"/>
                <w:sz w:val="20"/>
                <w:szCs w:val="20"/>
              </w:rPr>
            </w:pPr>
          </w:p>
        </w:tc>
        <w:tc>
          <w:tcPr>
            <w:tcW w:w="8086" w:type="dxa"/>
            <w:vAlign w:val="center"/>
          </w:tcPr>
          <w:p w14:paraId="05EBE215"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have had a partial Mayo clinic score greater than or equal to 6, provided the rectal bleeding and stool frequency subscores were both greater than or equal to 2 (endoscopy subscore is not required for a partial Mayo score) prior to commencing non-PBS-subsidised treatment with this drug for this condition; OR</w:t>
            </w:r>
          </w:p>
        </w:tc>
      </w:tr>
      <w:tr w:rsidR="00EF105B" w:rsidRPr="00B90523" w14:paraId="79E05C02" w14:textId="77777777" w:rsidTr="002503FB">
        <w:trPr>
          <w:trHeight w:val="55"/>
        </w:trPr>
        <w:tc>
          <w:tcPr>
            <w:tcW w:w="981" w:type="dxa"/>
            <w:vAlign w:val="center"/>
          </w:tcPr>
          <w:p w14:paraId="32CF733A" w14:textId="5FB9BC5B" w:rsidR="00EF105B" w:rsidRPr="00B90523" w:rsidRDefault="00EF105B" w:rsidP="002503FB">
            <w:pPr>
              <w:jc w:val="center"/>
              <w:rPr>
                <w:rFonts w:ascii="Arial Narrow" w:hAnsi="Arial Narrow"/>
                <w:color w:val="333333"/>
                <w:sz w:val="20"/>
                <w:szCs w:val="20"/>
              </w:rPr>
            </w:pPr>
          </w:p>
        </w:tc>
        <w:tc>
          <w:tcPr>
            <w:tcW w:w="8086" w:type="dxa"/>
            <w:vAlign w:val="center"/>
          </w:tcPr>
          <w:p w14:paraId="5B843489"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have a documented history of moderate to severe refractory ulcerative colitis prior to having commenced non-PBS-subsidised treatment with this drug for this condition where a Mayo clinic or partial Mayo clinic baseline assessment is not available</w:t>
            </w:r>
          </w:p>
        </w:tc>
      </w:tr>
      <w:tr w:rsidR="00EF105B" w:rsidRPr="00B90523" w14:paraId="77A90424" w14:textId="77777777" w:rsidTr="002503FB">
        <w:trPr>
          <w:trHeight w:val="55"/>
        </w:trPr>
        <w:tc>
          <w:tcPr>
            <w:tcW w:w="981" w:type="dxa"/>
            <w:vAlign w:val="center"/>
          </w:tcPr>
          <w:p w14:paraId="2F36BCAD" w14:textId="77777777" w:rsidR="00EF105B" w:rsidRPr="00B90523" w:rsidRDefault="00EF105B" w:rsidP="002503FB">
            <w:pPr>
              <w:jc w:val="center"/>
              <w:rPr>
                <w:rFonts w:ascii="Arial Narrow" w:hAnsi="Arial Narrow"/>
                <w:color w:val="333333"/>
                <w:sz w:val="20"/>
                <w:szCs w:val="20"/>
              </w:rPr>
            </w:pPr>
          </w:p>
        </w:tc>
        <w:tc>
          <w:tcPr>
            <w:tcW w:w="8086" w:type="dxa"/>
            <w:vAlign w:val="center"/>
          </w:tcPr>
          <w:p w14:paraId="61F10DBD"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AND</w:t>
            </w:r>
          </w:p>
        </w:tc>
      </w:tr>
      <w:tr w:rsidR="00EF105B" w:rsidRPr="00B90523" w14:paraId="0D34B9E8" w14:textId="77777777" w:rsidTr="002503FB">
        <w:trPr>
          <w:trHeight w:val="55"/>
        </w:trPr>
        <w:tc>
          <w:tcPr>
            <w:tcW w:w="981" w:type="dxa"/>
            <w:vAlign w:val="center"/>
          </w:tcPr>
          <w:p w14:paraId="2A10DC47" w14:textId="77777777" w:rsidR="00EF105B" w:rsidRPr="00B90523" w:rsidRDefault="00EF105B" w:rsidP="002503FB">
            <w:pPr>
              <w:jc w:val="center"/>
              <w:rPr>
                <w:rFonts w:ascii="Arial Narrow" w:hAnsi="Arial Narrow"/>
                <w:color w:val="333333"/>
                <w:sz w:val="20"/>
                <w:szCs w:val="20"/>
              </w:rPr>
            </w:pPr>
          </w:p>
        </w:tc>
        <w:tc>
          <w:tcPr>
            <w:tcW w:w="8086" w:type="dxa"/>
            <w:vAlign w:val="center"/>
          </w:tcPr>
          <w:p w14:paraId="63DF6BBA"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Clinical criteria:</w:t>
            </w:r>
          </w:p>
        </w:tc>
      </w:tr>
      <w:tr w:rsidR="00EF105B" w:rsidRPr="00B90523" w14:paraId="7C114849" w14:textId="77777777" w:rsidTr="002503FB">
        <w:trPr>
          <w:trHeight w:val="55"/>
        </w:trPr>
        <w:tc>
          <w:tcPr>
            <w:tcW w:w="981" w:type="dxa"/>
            <w:vAlign w:val="center"/>
          </w:tcPr>
          <w:p w14:paraId="3ACCAC02" w14:textId="737BC945" w:rsidR="00EF105B" w:rsidRPr="00B90523" w:rsidRDefault="00EF105B" w:rsidP="002503FB">
            <w:pPr>
              <w:jc w:val="center"/>
              <w:rPr>
                <w:rFonts w:ascii="Arial Narrow" w:hAnsi="Arial Narrow"/>
                <w:color w:val="333333"/>
                <w:sz w:val="20"/>
                <w:szCs w:val="20"/>
              </w:rPr>
            </w:pPr>
          </w:p>
        </w:tc>
        <w:tc>
          <w:tcPr>
            <w:tcW w:w="8086" w:type="dxa"/>
            <w:vAlign w:val="center"/>
          </w:tcPr>
          <w:p w14:paraId="58EFA171"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not receive more than 16 weeks of treatment under this restriction</w:t>
            </w:r>
          </w:p>
        </w:tc>
      </w:tr>
      <w:tr w:rsidR="00EF105B" w:rsidRPr="00B90523" w14:paraId="75997F48" w14:textId="77777777" w:rsidTr="002503FB">
        <w:trPr>
          <w:trHeight w:val="55"/>
        </w:trPr>
        <w:tc>
          <w:tcPr>
            <w:tcW w:w="981" w:type="dxa"/>
            <w:vAlign w:val="center"/>
          </w:tcPr>
          <w:p w14:paraId="3E0F095D" w14:textId="77777777" w:rsidR="00EF105B" w:rsidRPr="00B90523" w:rsidRDefault="00EF105B" w:rsidP="002503FB">
            <w:pPr>
              <w:jc w:val="center"/>
              <w:rPr>
                <w:rFonts w:ascii="Arial Narrow" w:hAnsi="Arial Narrow"/>
                <w:color w:val="333333"/>
                <w:sz w:val="20"/>
                <w:szCs w:val="20"/>
              </w:rPr>
            </w:pPr>
          </w:p>
        </w:tc>
        <w:tc>
          <w:tcPr>
            <w:tcW w:w="8086" w:type="dxa"/>
            <w:vAlign w:val="center"/>
          </w:tcPr>
          <w:p w14:paraId="61E6FD8A"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AND</w:t>
            </w:r>
          </w:p>
        </w:tc>
      </w:tr>
      <w:tr w:rsidR="00EF105B" w:rsidRPr="00B90523" w14:paraId="419CAF10" w14:textId="77777777" w:rsidTr="002503FB">
        <w:tc>
          <w:tcPr>
            <w:tcW w:w="981" w:type="dxa"/>
            <w:vAlign w:val="center"/>
          </w:tcPr>
          <w:p w14:paraId="1CB4D96E" w14:textId="6EE55094" w:rsidR="00EF105B" w:rsidRPr="00B90523" w:rsidRDefault="00EF105B" w:rsidP="002503FB">
            <w:pPr>
              <w:jc w:val="center"/>
              <w:rPr>
                <w:rFonts w:ascii="Arial Narrow" w:hAnsi="Arial Narrow"/>
                <w:color w:val="333333"/>
                <w:sz w:val="20"/>
                <w:szCs w:val="20"/>
              </w:rPr>
            </w:pPr>
          </w:p>
        </w:tc>
        <w:tc>
          <w:tcPr>
            <w:tcW w:w="8086" w:type="dxa"/>
            <w:vAlign w:val="center"/>
          </w:tcPr>
          <w:p w14:paraId="61061691"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Population criteria:</w:t>
            </w:r>
          </w:p>
        </w:tc>
      </w:tr>
      <w:tr w:rsidR="00EF105B" w:rsidRPr="00B90523" w14:paraId="4C12956F" w14:textId="77777777" w:rsidTr="002503FB">
        <w:tc>
          <w:tcPr>
            <w:tcW w:w="981" w:type="dxa"/>
            <w:vAlign w:val="center"/>
          </w:tcPr>
          <w:p w14:paraId="32F4D25A" w14:textId="6E5128FC" w:rsidR="00EF105B" w:rsidRPr="00B90523" w:rsidRDefault="00EF105B" w:rsidP="002503FB">
            <w:pPr>
              <w:jc w:val="center"/>
              <w:rPr>
                <w:rFonts w:ascii="Arial Narrow" w:hAnsi="Arial Narrow"/>
                <w:color w:val="333333"/>
                <w:sz w:val="20"/>
                <w:szCs w:val="20"/>
              </w:rPr>
            </w:pPr>
          </w:p>
        </w:tc>
        <w:tc>
          <w:tcPr>
            <w:tcW w:w="8086" w:type="dxa"/>
            <w:vAlign w:val="center"/>
          </w:tcPr>
          <w:p w14:paraId="7536A2DB" w14:textId="77777777" w:rsidR="00EF105B" w:rsidRPr="00B90523" w:rsidRDefault="00EF105B" w:rsidP="002503FB">
            <w:pPr>
              <w:rPr>
                <w:rFonts w:ascii="Arial Narrow" w:hAnsi="Arial Narrow"/>
                <w:color w:val="333333"/>
                <w:sz w:val="20"/>
                <w:szCs w:val="20"/>
              </w:rPr>
            </w:pPr>
            <w:r w:rsidRPr="00B90523">
              <w:rPr>
                <w:rFonts w:ascii="Arial Narrow" w:hAnsi="Arial Narrow"/>
                <w:sz w:val="20"/>
                <w:szCs w:val="20"/>
              </w:rPr>
              <w:t>Patient must be aged 18 years or older</w:t>
            </w:r>
          </w:p>
        </w:tc>
      </w:tr>
      <w:tr w:rsidR="00EF105B" w:rsidRPr="00B90523" w14:paraId="2C9F9A37" w14:textId="77777777" w:rsidTr="00D70468">
        <w:tc>
          <w:tcPr>
            <w:tcW w:w="981" w:type="dxa"/>
            <w:vAlign w:val="center"/>
          </w:tcPr>
          <w:p w14:paraId="7FFB901F" w14:textId="77777777" w:rsidR="00EF105B" w:rsidRPr="00B90523" w:rsidRDefault="00EF105B" w:rsidP="002503FB">
            <w:pPr>
              <w:jc w:val="center"/>
              <w:rPr>
                <w:rFonts w:ascii="Arial Narrow" w:hAnsi="Arial Narrow"/>
                <w:color w:val="333333"/>
                <w:sz w:val="20"/>
                <w:szCs w:val="20"/>
              </w:rPr>
            </w:pPr>
          </w:p>
        </w:tc>
        <w:tc>
          <w:tcPr>
            <w:tcW w:w="8086" w:type="dxa"/>
            <w:vAlign w:val="center"/>
            <w:hideMark/>
          </w:tcPr>
          <w:p w14:paraId="70D4FC6E"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 xml:space="preserve">Prescribing Instructions: </w:t>
            </w:r>
          </w:p>
          <w:p w14:paraId="35E4FBE0" w14:textId="77777777" w:rsidR="00EF105B" w:rsidRPr="00B90523" w:rsidRDefault="00EF105B" w:rsidP="002503FB">
            <w:pPr>
              <w:rPr>
                <w:rFonts w:ascii="Arial Narrow" w:hAnsi="Arial Narrow"/>
                <w:color w:val="FF0000"/>
                <w:sz w:val="20"/>
                <w:szCs w:val="20"/>
              </w:rPr>
            </w:pPr>
            <w:r w:rsidRPr="00B90523">
              <w:rPr>
                <w:rFonts w:ascii="Arial Narrow" w:hAnsi="Arial Narrow"/>
                <w:color w:val="333333"/>
                <w:sz w:val="20"/>
                <w:szCs w:val="20"/>
              </w:rPr>
              <w:t>Items 27842, 12980, 17110, 23637, 23643, 17150, 17047 and 19535 should apply.</w:t>
            </w:r>
          </w:p>
        </w:tc>
      </w:tr>
      <w:tr w:rsidR="00EF105B" w:rsidRPr="00B90523" w14:paraId="500D6D9A" w14:textId="77777777" w:rsidTr="002503FB">
        <w:tc>
          <w:tcPr>
            <w:tcW w:w="981" w:type="dxa"/>
            <w:vAlign w:val="center"/>
          </w:tcPr>
          <w:p w14:paraId="01EC01A8" w14:textId="77777777" w:rsidR="00EF105B" w:rsidRPr="00B90523" w:rsidRDefault="00EF105B" w:rsidP="002503FB">
            <w:pPr>
              <w:jc w:val="center"/>
              <w:rPr>
                <w:rFonts w:ascii="Arial Narrow" w:hAnsi="Arial Narrow"/>
                <w:color w:val="333333"/>
                <w:sz w:val="20"/>
                <w:szCs w:val="20"/>
              </w:rPr>
            </w:pPr>
          </w:p>
        </w:tc>
        <w:tc>
          <w:tcPr>
            <w:tcW w:w="8086" w:type="dxa"/>
            <w:vAlign w:val="center"/>
          </w:tcPr>
          <w:p w14:paraId="56083D0E"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Administrative advice:</w:t>
            </w:r>
          </w:p>
          <w:p w14:paraId="151B36AE"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Item 28644 should apply.</w:t>
            </w:r>
          </w:p>
        </w:tc>
      </w:tr>
    </w:tbl>
    <w:p w14:paraId="2E329639" w14:textId="77777777" w:rsidR="00EF105B" w:rsidRPr="00B90523" w:rsidRDefault="00EF105B" w:rsidP="00EF105B">
      <w:pPr>
        <w:rPr>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
        <w:gridCol w:w="488"/>
        <w:gridCol w:w="2260"/>
        <w:gridCol w:w="1268"/>
        <w:gridCol w:w="1269"/>
        <w:gridCol w:w="1128"/>
        <w:gridCol w:w="987"/>
        <w:gridCol w:w="1128"/>
      </w:tblGrid>
      <w:tr w:rsidR="00EF105B" w:rsidRPr="00B90523" w14:paraId="6B2D0B56" w14:textId="77777777" w:rsidTr="002503FB">
        <w:trPr>
          <w:cantSplit/>
          <w:trHeight w:val="471"/>
        </w:trPr>
        <w:tc>
          <w:tcPr>
            <w:tcW w:w="3236" w:type="dxa"/>
            <w:gridSpan w:val="3"/>
          </w:tcPr>
          <w:p w14:paraId="65B9C40C" w14:textId="77777777" w:rsidR="00EF105B" w:rsidRPr="00B90523" w:rsidRDefault="00EF105B" w:rsidP="002503FB">
            <w:pPr>
              <w:keepNext/>
              <w:ind w:left="-57"/>
              <w:rPr>
                <w:rFonts w:ascii="Arial Narrow" w:hAnsi="Arial Narrow"/>
                <w:b/>
                <w:bCs/>
                <w:sz w:val="20"/>
                <w:szCs w:val="20"/>
              </w:rPr>
            </w:pPr>
            <w:r w:rsidRPr="00B90523">
              <w:rPr>
                <w:rFonts w:ascii="Arial Narrow" w:hAnsi="Arial Narrow"/>
                <w:b/>
                <w:bCs/>
                <w:sz w:val="20"/>
                <w:szCs w:val="20"/>
              </w:rPr>
              <w:t>MEDICINAL PRODUCT</w:t>
            </w:r>
          </w:p>
          <w:p w14:paraId="22A2FB2B" w14:textId="77777777" w:rsidR="00EF105B" w:rsidRPr="00B90523" w:rsidRDefault="00EF105B" w:rsidP="002503FB">
            <w:pPr>
              <w:keepNext/>
              <w:ind w:left="-57"/>
              <w:rPr>
                <w:rFonts w:ascii="Arial Narrow" w:hAnsi="Arial Narrow"/>
                <w:b/>
                <w:sz w:val="20"/>
                <w:szCs w:val="20"/>
              </w:rPr>
            </w:pPr>
            <w:r w:rsidRPr="00B90523">
              <w:rPr>
                <w:rFonts w:ascii="Arial Narrow" w:hAnsi="Arial Narrow"/>
                <w:b/>
                <w:bCs/>
                <w:sz w:val="20"/>
                <w:szCs w:val="20"/>
              </w:rPr>
              <w:t>medicinal product pack</w:t>
            </w:r>
          </w:p>
        </w:tc>
        <w:tc>
          <w:tcPr>
            <w:tcW w:w="1268" w:type="dxa"/>
          </w:tcPr>
          <w:p w14:paraId="618A6F4B"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PBS item code</w:t>
            </w:r>
          </w:p>
        </w:tc>
        <w:tc>
          <w:tcPr>
            <w:tcW w:w="1269" w:type="dxa"/>
          </w:tcPr>
          <w:p w14:paraId="16DC85D0"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Max. qty packs</w:t>
            </w:r>
          </w:p>
        </w:tc>
        <w:tc>
          <w:tcPr>
            <w:tcW w:w="1128" w:type="dxa"/>
          </w:tcPr>
          <w:p w14:paraId="25062FD1"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Max. qty units</w:t>
            </w:r>
          </w:p>
        </w:tc>
        <w:tc>
          <w:tcPr>
            <w:tcW w:w="987" w:type="dxa"/>
          </w:tcPr>
          <w:p w14:paraId="796521B0"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№.of Rpts</w:t>
            </w:r>
          </w:p>
        </w:tc>
        <w:tc>
          <w:tcPr>
            <w:tcW w:w="1128" w:type="dxa"/>
          </w:tcPr>
          <w:p w14:paraId="37CA690E" w14:textId="77777777" w:rsidR="00EF105B" w:rsidRPr="00B90523" w:rsidRDefault="00EF105B" w:rsidP="002503FB">
            <w:pPr>
              <w:keepNext/>
              <w:rPr>
                <w:rFonts w:ascii="Arial Narrow" w:hAnsi="Arial Narrow"/>
                <w:b/>
                <w:sz w:val="20"/>
                <w:szCs w:val="20"/>
                <w:lang w:val="fr-FR"/>
              </w:rPr>
            </w:pPr>
            <w:r w:rsidRPr="00B90523">
              <w:rPr>
                <w:rFonts w:ascii="Arial Narrow" w:hAnsi="Arial Narrow"/>
                <w:b/>
                <w:sz w:val="20"/>
                <w:szCs w:val="20"/>
              </w:rPr>
              <w:t>Available brands</w:t>
            </w:r>
          </w:p>
        </w:tc>
      </w:tr>
      <w:tr w:rsidR="00EF105B" w:rsidRPr="00B90523" w14:paraId="6383D179" w14:textId="77777777" w:rsidTr="002503FB">
        <w:trPr>
          <w:cantSplit/>
          <w:trHeight w:val="224"/>
        </w:trPr>
        <w:tc>
          <w:tcPr>
            <w:tcW w:w="9016" w:type="dxa"/>
            <w:gridSpan w:val="8"/>
          </w:tcPr>
          <w:p w14:paraId="3A18C67F"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 xml:space="preserve">UPADACITINIB </w:t>
            </w:r>
          </w:p>
        </w:tc>
      </w:tr>
      <w:tr w:rsidR="00EF105B" w:rsidRPr="00B90523" w14:paraId="3B49C7EB" w14:textId="77777777" w:rsidTr="002503FB">
        <w:trPr>
          <w:cantSplit/>
          <w:trHeight w:val="553"/>
        </w:trPr>
        <w:tc>
          <w:tcPr>
            <w:tcW w:w="3236" w:type="dxa"/>
            <w:gridSpan w:val="3"/>
          </w:tcPr>
          <w:p w14:paraId="5307F8E8"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upadacitinib 15 mg modified release tablet, 28</w:t>
            </w:r>
          </w:p>
        </w:tc>
        <w:tc>
          <w:tcPr>
            <w:tcW w:w="1268" w:type="dxa"/>
          </w:tcPr>
          <w:p w14:paraId="73E4AFF9"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NEW</w:t>
            </w:r>
          </w:p>
          <w:p w14:paraId="273FDF8A" w14:textId="77777777" w:rsidR="00EF105B" w:rsidRPr="00B90523" w:rsidRDefault="00EF105B" w:rsidP="002503FB">
            <w:pPr>
              <w:keepNext/>
              <w:jc w:val="center"/>
              <w:rPr>
                <w:rFonts w:ascii="Arial Narrow" w:hAnsi="Arial Narrow"/>
                <w:sz w:val="20"/>
                <w:szCs w:val="20"/>
              </w:rPr>
            </w:pPr>
          </w:p>
        </w:tc>
        <w:tc>
          <w:tcPr>
            <w:tcW w:w="1269" w:type="dxa"/>
          </w:tcPr>
          <w:p w14:paraId="586F832E"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p w14:paraId="49085194" w14:textId="77777777" w:rsidR="00EF105B" w:rsidRPr="00B90523" w:rsidRDefault="00EF105B" w:rsidP="002503FB">
            <w:pPr>
              <w:keepNext/>
              <w:jc w:val="center"/>
              <w:rPr>
                <w:rFonts w:ascii="Arial Narrow" w:hAnsi="Arial Narrow"/>
                <w:sz w:val="20"/>
                <w:szCs w:val="20"/>
              </w:rPr>
            </w:pPr>
          </w:p>
        </w:tc>
        <w:tc>
          <w:tcPr>
            <w:tcW w:w="1128" w:type="dxa"/>
          </w:tcPr>
          <w:p w14:paraId="5F2E7ABF"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28</w:t>
            </w:r>
          </w:p>
          <w:p w14:paraId="1527E561" w14:textId="77777777" w:rsidR="00EF105B" w:rsidRPr="00B90523" w:rsidRDefault="00EF105B" w:rsidP="002503FB">
            <w:pPr>
              <w:keepNext/>
              <w:jc w:val="center"/>
              <w:rPr>
                <w:rFonts w:ascii="Arial Narrow" w:hAnsi="Arial Narrow"/>
                <w:sz w:val="20"/>
                <w:szCs w:val="20"/>
              </w:rPr>
            </w:pPr>
          </w:p>
        </w:tc>
        <w:tc>
          <w:tcPr>
            <w:tcW w:w="987" w:type="dxa"/>
          </w:tcPr>
          <w:p w14:paraId="3697749C"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p w14:paraId="6B614B41" w14:textId="77777777" w:rsidR="00EF105B" w:rsidRPr="00B90523" w:rsidRDefault="00EF105B" w:rsidP="002503FB">
            <w:pPr>
              <w:keepNext/>
              <w:jc w:val="center"/>
              <w:rPr>
                <w:rFonts w:ascii="Arial Narrow" w:hAnsi="Arial Narrow"/>
                <w:sz w:val="20"/>
                <w:szCs w:val="20"/>
              </w:rPr>
            </w:pPr>
          </w:p>
        </w:tc>
        <w:tc>
          <w:tcPr>
            <w:tcW w:w="1128" w:type="dxa"/>
          </w:tcPr>
          <w:p w14:paraId="0E90DA80" w14:textId="77777777" w:rsidR="00EF105B" w:rsidRPr="00B90523" w:rsidRDefault="00EF105B" w:rsidP="002503FB">
            <w:pPr>
              <w:keepNext/>
              <w:rPr>
                <w:rFonts w:ascii="Arial Narrow" w:hAnsi="Arial Narrow"/>
                <w:sz w:val="20"/>
                <w:szCs w:val="20"/>
              </w:rPr>
            </w:pPr>
            <w:r w:rsidRPr="00B90523">
              <w:rPr>
                <w:rFonts w:ascii="Arial Narrow" w:hAnsi="Arial Narrow"/>
                <w:sz w:val="20"/>
                <w:szCs w:val="20"/>
              </w:rPr>
              <w:t>Rinvoq</w:t>
            </w:r>
          </w:p>
          <w:p w14:paraId="661B2AE7" w14:textId="77777777" w:rsidR="00EF105B" w:rsidRPr="00B90523" w:rsidRDefault="00EF105B" w:rsidP="002503FB">
            <w:pPr>
              <w:keepNext/>
              <w:rPr>
                <w:rFonts w:ascii="Arial Narrow" w:hAnsi="Arial Narrow"/>
                <w:sz w:val="20"/>
                <w:szCs w:val="20"/>
              </w:rPr>
            </w:pPr>
          </w:p>
        </w:tc>
      </w:tr>
      <w:tr w:rsidR="00EF105B" w:rsidRPr="00B90523" w14:paraId="54E1F2C9" w14:textId="77777777" w:rsidTr="002503FB">
        <w:trPr>
          <w:cantSplit/>
          <w:trHeight w:val="229"/>
        </w:trPr>
        <w:tc>
          <w:tcPr>
            <w:tcW w:w="3236" w:type="dxa"/>
            <w:gridSpan w:val="3"/>
          </w:tcPr>
          <w:p w14:paraId="188760B5"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upadacitinib 30 mg modified release tablet, 28</w:t>
            </w:r>
          </w:p>
        </w:tc>
        <w:tc>
          <w:tcPr>
            <w:tcW w:w="1268" w:type="dxa"/>
          </w:tcPr>
          <w:p w14:paraId="1C95CD88"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NEW</w:t>
            </w:r>
          </w:p>
        </w:tc>
        <w:tc>
          <w:tcPr>
            <w:tcW w:w="1269" w:type="dxa"/>
          </w:tcPr>
          <w:p w14:paraId="39FAA2B6"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tc>
        <w:tc>
          <w:tcPr>
            <w:tcW w:w="1128" w:type="dxa"/>
          </w:tcPr>
          <w:p w14:paraId="5F4104D2"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28</w:t>
            </w:r>
          </w:p>
        </w:tc>
        <w:tc>
          <w:tcPr>
            <w:tcW w:w="987" w:type="dxa"/>
          </w:tcPr>
          <w:p w14:paraId="5C62CAEC"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tc>
        <w:tc>
          <w:tcPr>
            <w:tcW w:w="1128" w:type="dxa"/>
          </w:tcPr>
          <w:p w14:paraId="550FA962" w14:textId="77777777" w:rsidR="00EF105B" w:rsidRPr="00B90523" w:rsidRDefault="00EF105B" w:rsidP="002503FB">
            <w:pPr>
              <w:keepNext/>
              <w:rPr>
                <w:rFonts w:ascii="Arial Narrow" w:hAnsi="Arial Narrow"/>
                <w:sz w:val="20"/>
                <w:szCs w:val="20"/>
              </w:rPr>
            </w:pPr>
            <w:r w:rsidRPr="00B90523">
              <w:rPr>
                <w:rFonts w:ascii="Arial Narrow" w:hAnsi="Arial Narrow"/>
                <w:sz w:val="20"/>
                <w:szCs w:val="20"/>
              </w:rPr>
              <w:t>Rinvoq</w:t>
            </w:r>
          </w:p>
        </w:tc>
      </w:tr>
      <w:tr w:rsidR="00EF105B" w:rsidRPr="00B90523" w14:paraId="5F852E41" w14:textId="77777777" w:rsidTr="002503FB">
        <w:tblPrEx>
          <w:tblCellMar>
            <w:top w:w="15" w:type="dxa"/>
            <w:left w:w="15" w:type="dxa"/>
            <w:bottom w:w="15" w:type="dxa"/>
            <w:right w:w="15" w:type="dxa"/>
          </w:tblCellMar>
          <w:tblLook w:val="04A0" w:firstRow="1" w:lastRow="0" w:firstColumn="1" w:lastColumn="0" w:noHBand="0" w:noVBand="1"/>
        </w:tblPrEx>
        <w:tc>
          <w:tcPr>
            <w:tcW w:w="9016" w:type="dxa"/>
            <w:gridSpan w:val="8"/>
            <w:tcBorders>
              <w:top w:val="single" w:sz="4" w:space="0" w:color="auto"/>
              <w:left w:val="single" w:sz="4" w:space="0" w:color="auto"/>
              <w:right w:val="single" w:sz="4" w:space="0" w:color="auto"/>
            </w:tcBorders>
          </w:tcPr>
          <w:p w14:paraId="7B2BEF38" w14:textId="77777777" w:rsidR="00EF105B" w:rsidRPr="00B90523" w:rsidRDefault="00EF105B" w:rsidP="002503FB">
            <w:pPr>
              <w:rPr>
                <w:rFonts w:ascii="Arial Narrow" w:hAnsi="Arial Narrow"/>
                <w:sz w:val="20"/>
                <w:szCs w:val="20"/>
              </w:rPr>
            </w:pPr>
          </w:p>
        </w:tc>
      </w:tr>
      <w:tr w:rsidR="00EF105B" w:rsidRPr="00B90523" w14:paraId="72CB1B39" w14:textId="77777777" w:rsidTr="002503FB">
        <w:tblPrEx>
          <w:tblCellMar>
            <w:top w:w="15" w:type="dxa"/>
            <w:left w:w="15" w:type="dxa"/>
            <w:bottom w:w="15" w:type="dxa"/>
            <w:right w:w="15" w:type="dxa"/>
          </w:tblCellMar>
          <w:tblLook w:val="04A0" w:firstRow="1" w:lastRow="0" w:firstColumn="1" w:lastColumn="0" w:noHBand="0" w:noVBand="1"/>
        </w:tblPrEx>
        <w:tc>
          <w:tcPr>
            <w:tcW w:w="9016" w:type="dxa"/>
            <w:gridSpan w:val="8"/>
            <w:tcBorders>
              <w:top w:val="single" w:sz="4" w:space="0" w:color="auto"/>
              <w:left w:val="single" w:sz="4" w:space="0" w:color="auto"/>
              <w:right w:val="single" w:sz="4" w:space="0" w:color="auto"/>
            </w:tcBorders>
          </w:tcPr>
          <w:p w14:paraId="134C57A5"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 xml:space="preserve">Restriction Summary [new] / Treatment of Concept: [new] </w:t>
            </w:r>
          </w:p>
        </w:tc>
      </w:tr>
      <w:tr w:rsidR="00EF105B" w:rsidRPr="00B90523" w14:paraId="335A5909"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vMerge w:val="restart"/>
            <w:tcBorders>
              <w:top w:val="single" w:sz="4" w:space="0" w:color="auto"/>
              <w:left w:val="single" w:sz="4" w:space="0" w:color="auto"/>
              <w:right w:val="single" w:sz="4" w:space="0" w:color="auto"/>
            </w:tcBorders>
          </w:tcPr>
          <w:p w14:paraId="74E04214" w14:textId="77777777" w:rsidR="00EF105B" w:rsidRPr="00B90523" w:rsidRDefault="00EF105B" w:rsidP="002503FB">
            <w:pPr>
              <w:jc w:val="center"/>
              <w:rPr>
                <w:rFonts w:ascii="Arial Narrow" w:hAnsi="Arial Narrow"/>
                <w:b/>
                <w:sz w:val="20"/>
                <w:szCs w:val="20"/>
              </w:rPr>
            </w:pPr>
            <w:r w:rsidRPr="00B90523">
              <w:rPr>
                <w:rFonts w:ascii="Arial Narrow" w:hAnsi="Arial Narrow"/>
                <w:b/>
                <w:sz w:val="20"/>
                <w:szCs w:val="20"/>
              </w:rPr>
              <w:t>Concept ID</w:t>
            </w:r>
          </w:p>
          <w:p w14:paraId="62BE8087" w14:textId="77777777" w:rsidR="00EF105B" w:rsidRPr="00B90523" w:rsidRDefault="00EF105B" w:rsidP="002503FB">
            <w:pPr>
              <w:jc w:val="center"/>
              <w:rPr>
                <w:rFonts w:ascii="Arial Narrow" w:hAnsi="Arial Narrow"/>
                <w:sz w:val="20"/>
                <w:szCs w:val="20"/>
              </w:rPr>
            </w:pPr>
            <w:r w:rsidRPr="00B90523">
              <w:rPr>
                <w:rFonts w:ascii="Arial Narrow" w:hAnsi="Arial Narrow"/>
                <w:sz w:val="20"/>
                <w:szCs w:val="20"/>
              </w:rPr>
              <w:t>(for internal Dept. use)</w:t>
            </w:r>
          </w:p>
          <w:p w14:paraId="4155AE6F" w14:textId="77777777" w:rsidR="00EF105B" w:rsidRPr="00B90523" w:rsidRDefault="00EF105B" w:rsidP="002503FB">
            <w:pPr>
              <w:rPr>
                <w:rFonts w:ascii="Arial Narrow" w:hAnsi="Arial Narrow"/>
                <w:b/>
                <w:sz w:val="20"/>
                <w:szCs w:val="20"/>
              </w:rPr>
            </w:pPr>
          </w:p>
        </w:tc>
        <w:tc>
          <w:tcPr>
            <w:tcW w:w="8040" w:type="dxa"/>
            <w:gridSpan w:val="6"/>
            <w:tcBorders>
              <w:top w:val="single" w:sz="4" w:space="0" w:color="auto"/>
              <w:left w:val="single" w:sz="4" w:space="0" w:color="auto"/>
              <w:bottom w:val="single" w:sz="4" w:space="0" w:color="auto"/>
              <w:right w:val="single" w:sz="4" w:space="0" w:color="auto"/>
            </w:tcBorders>
          </w:tcPr>
          <w:p w14:paraId="0F11A7AD" w14:textId="77777777" w:rsidR="00EF105B" w:rsidRPr="00B90523" w:rsidRDefault="00EF105B" w:rsidP="002503FB">
            <w:pPr>
              <w:rPr>
                <w:rFonts w:ascii="Arial Narrow" w:hAnsi="Arial Narrow"/>
                <w:sz w:val="20"/>
                <w:szCs w:val="20"/>
              </w:rPr>
            </w:pPr>
            <w:r w:rsidRPr="00B90523">
              <w:rPr>
                <w:rFonts w:ascii="Arial Narrow" w:hAnsi="Arial Narrow"/>
                <w:b/>
                <w:sz w:val="20"/>
                <w:szCs w:val="20"/>
              </w:rPr>
              <w:t xml:space="preserve">Category / Program:   </w:t>
            </w:r>
            <w:r w:rsidRPr="00B90523">
              <w:rPr>
                <w:rFonts w:ascii="Arial Narrow" w:hAnsi="Arial Narrow"/>
                <w:sz w:val="20"/>
                <w:szCs w:val="20"/>
              </w:rPr>
              <w:t>General Schedule (Code GE)</w:t>
            </w:r>
          </w:p>
        </w:tc>
      </w:tr>
      <w:tr w:rsidR="00EF105B" w:rsidRPr="00B90523" w14:paraId="36BFE154" w14:textId="77777777" w:rsidTr="002503FB">
        <w:tblPrEx>
          <w:tblCellMar>
            <w:top w:w="15" w:type="dxa"/>
            <w:left w:w="15" w:type="dxa"/>
            <w:bottom w:w="15" w:type="dxa"/>
            <w:right w:w="15" w:type="dxa"/>
          </w:tblCellMar>
          <w:tblLook w:val="04A0" w:firstRow="1" w:lastRow="0" w:firstColumn="1" w:lastColumn="0" w:noHBand="0" w:noVBand="1"/>
        </w:tblPrEx>
        <w:trPr>
          <w:trHeight w:val="240"/>
        </w:trPr>
        <w:tc>
          <w:tcPr>
            <w:tcW w:w="976" w:type="dxa"/>
            <w:gridSpan w:val="2"/>
            <w:vMerge/>
            <w:tcBorders>
              <w:left w:val="single" w:sz="4" w:space="0" w:color="auto"/>
              <w:right w:val="single" w:sz="4" w:space="0" w:color="auto"/>
            </w:tcBorders>
          </w:tcPr>
          <w:p w14:paraId="2C168929" w14:textId="77777777" w:rsidR="00EF105B" w:rsidRPr="00B90523" w:rsidRDefault="00EF105B" w:rsidP="002503FB">
            <w:pPr>
              <w:rPr>
                <w:rFonts w:ascii="Arial Narrow" w:hAnsi="Arial Narrow"/>
                <w:sz w:val="20"/>
                <w:szCs w:val="20"/>
              </w:rPr>
            </w:pPr>
          </w:p>
        </w:tc>
        <w:tc>
          <w:tcPr>
            <w:tcW w:w="8040" w:type="dxa"/>
            <w:gridSpan w:val="6"/>
            <w:tcBorders>
              <w:top w:val="single" w:sz="4" w:space="0" w:color="auto"/>
              <w:left w:val="single" w:sz="4" w:space="0" w:color="auto"/>
              <w:bottom w:val="single" w:sz="4" w:space="0" w:color="auto"/>
              <w:right w:val="single" w:sz="4" w:space="0" w:color="auto"/>
            </w:tcBorders>
          </w:tcPr>
          <w:p w14:paraId="7798AA08"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 xml:space="preserve">Prescriber type:   </w:t>
            </w:r>
            <w:r w:rsidRPr="00B90523">
              <w:rPr>
                <w:rFonts w:ascii="Arial Narrow" w:hAnsi="Arial Narrow"/>
                <w:sz w:val="20"/>
                <w:szCs w:val="20"/>
              </w:rPr>
              <w:fldChar w:fldCharType="begin" w:fldLock="1">
                <w:ffData>
                  <w:name w:val=""/>
                  <w:enabled/>
                  <w:calcOnExit w:val="0"/>
                  <w:checkBox>
                    <w:sizeAuto/>
                    <w:default w:val="1"/>
                  </w:checkBox>
                </w:ffData>
              </w:fldChar>
            </w:r>
            <w:r w:rsidRPr="00B90523">
              <w:rPr>
                <w:rFonts w:ascii="Arial Narrow" w:hAnsi="Arial Narrow"/>
                <w:sz w:val="20"/>
                <w:szCs w:val="20"/>
              </w:rPr>
              <w:instrText xml:space="preserve"> FORMCHECKBOX </w:instrText>
            </w:r>
            <w:r w:rsidR="007225AD">
              <w:rPr>
                <w:rFonts w:ascii="Arial Narrow" w:hAnsi="Arial Narrow"/>
                <w:sz w:val="20"/>
                <w:szCs w:val="20"/>
              </w:rPr>
            </w:r>
            <w:r w:rsidR="007225AD">
              <w:rPr>
                <w:rFonts w:ascii="Arial Narrow" w:hAnsi="Arial Narrow"/>
                <w:sz w:val="20"/>
                <w:szCs w:val="20"/>
              </w:rPr>
              <w:fldChar w:fldCharType="separate"/>
            </w:r>
            <w:r w:rsidRPr="00B90523">
              <w:rPr>
                <w:rFonts w:ascii="Arial Narrow" w:hAnsi="Arial Narrow"/>
                <w:sz w:val="20"/>
                <w:szCs w:val="20"/>
              </w:rPr>
              <w:fldChar w:fldCharType="end"/>
            </w:r>
            <w:r w:rsidRPr="00B90523">
              <w:rPr>
                <w:rFonts w:ascii="Arial Narrow" w:hAnsi="Arial Narrow"/>
                <w:sz w:val="20"/>
                <w:szCs w:val="20"/>
              </w:rPr>
              <w:t xml:space="preserve">Medical Practitioners    </w:t>
            </w:r>
          </w:p>
        </w:tc>
      </w:tr>
      <w:tr w:rsidR="00EF105B" w:rsidRPr="00B90523" w14:paraId="3D1299A8"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vMerge/>
            <w:tcBorders>
              <w:left w:val="single" w:sz="4" w:space="0" w:color="auto"/>
              <w:bottom w:val="single" w:sz="4" w:space="0" w:color="auto"/>
              <w:right w:val="single" w:sz="4" w:space="0" w:color="auto"/>
            </w:tcBorders>
          </w:tcPr>
          <w:p w14:paraId="7A34270F" w14:textId="77777777" w:rsidR="00EF105B" w:rsidRPr="00B90523" w:rsidRDefault="00EF105B" w:rsidP="002503FB">
            <w:pPr>
              <w:rPr>
                <w:rFonts w:ascii="Arial Narrow" w:hAnsi="Arial Narrow"/>
                <w:sz w:val="20"/>
                <w:szCs w:val="20"/>
              </w:rPr>
            </w:pPr>
          </w:p>
        </w:tc>
        <w:tc>
          <w:tcPr>
            <w:tcW w:w="8040" w:type="dxa"/>
            <w:gridSpan w:val="6"/>
            <w:tcBorders>
              <w:top w:val="single" w:sz="4" w:space="0" w:color="auto"/>
              <w:left w:val="single" w:sz="4" w:space="0" w:color="auto"/>
              <w:bottom w:val="single" w:sz="4" w:space="0" w:color="auto"/>
              <w:right w:val="single" w:sz="4" w:space="0" w:color="auto"/>
            </w:tcBorders>
          </w:tcPr>
          <w:p w14:paraId="3DCB5898" w14:textId="77777777" w:rsidR="00EF105B" w:rsidRPr="00B90523" w:rsidRDefault="00EF105B" w:rsidP="002503FB">
            <w:pPr>
              <w:rPr>
                <w:rFonts w:ascii="Arial Narrow" w:eastAsia="Calibri" w:hAnsi="Arial Narrow"/>
                <w:sz w:val="20"/>
                <w:szCs w:val="20"/>
              </w:rPr>
            </w:pPr>
            <w:r w:rsidRPr="00B90523">
              <w:rPr>
                <w:rFonts w:ascii="Arial Narrow" w:hAnsi="Arial Narrow"/>
                <w:b/>
                <w:sz w:val="20"/>
                <w:szCs w:val="20"/>
              </w:rPr>
              <w:t xml:space="preserve">Restriction type: </w:t>
            </w:r>
            <w:r w:rsidRPr="00B90523">
              <w:rPr>
                <w:rFonts w:ascii="Arial Narrow" w:eastAsia="Calibri" w:hAnsi="Arial Narrow"/>
                <w:sz w:val="20"/>
                <w:szCs w:val="20"/>
              </w:rPr>
              <w:fldChar w:fldCharType="begin" w:fldLock="1">
                <w:ffData>
                  <w:name w:val=""/>
                  <w:enabled/>
                  <w:calcOnExit w:val="0"/>
                  <w:checkBox>
                    <w:sizeAuto/>
                    <w:default w:val="1"/>
                  </w:checkBox>
                </w:ffData>
              </w:fldChar>
            </w:r>
            <w:r w:rsidRPr="00B90523">
              <w:rPr>
                <w:rFonts w:ascii="Arial Narrow" w:eastAsia="Calibri" w:hAnsi="Arial Narrow"/>
                <w:sz w:val="20"/>
                <w:szCs w:val="20"/>
              </w:rPr>
              <w:instrText xml:space="preserve"> FORMCHECKBOX </w:instrText>
            </w:r>
            <w:r w:rsidR="007225AD">
              <w:rPr>
                <w:rFonts w:ascii="Arial Narrow" w:eastAsia="Calibri" w:hAnsi="Arial Narrow"/>
                <w:sz w:val="20"/>
                <w:szCs w:val="20"/>
              </w:rPr>
            </w:r>
            <w:r w:rsidR="007225AD">
              <w:rPr>
                <w:rFonts w:ascii="Arial Narrow" w:eastAsia="Calibri" w:hAnsi="Arial Narrow"/>
                <w:sz w:val="20"/>
                <w:szCs w:val="20"/>
              </w:rPr>
              <w:fldChar w:fldCharType="separate"/>
            </w:r>
            <w:r w:rsidRPr="00B90523">
              <w:rPr>
                <w:rFonts w:ascii="Arial Narrow" w:eastAsia="Calibri" w:hAnsi="Arial Narrow"/>
                <w:sz w:val="20"/>
                <w:szCs w:val="20"/>
              </w:rPr>
              <w:fldChar w:fldCharType="end"/>
            </w:r>
            <w:r w:rsidRPr="00B90523">
              <w:rPr>
                <w:rFonts w:ascii="Arial Narrow" w:eastAsia="Calibri" w:hAnsi="Arial Narrow"/>
                <w:sz w:val="20"/>
                <w:szCs w:val="20"/>
              </w:rPr>
              <w:t xml:space="preserve">Authority Required (telephone/online PBS Authorities system) </w:t>
            </w:r>
          </w:p>
        </w:tc>
      </w:tr>
      <w:tr w:rsidR="00EF105B" w:rsidRPr="00B90523" w14:paraId="04DD7285"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tcBorders>
              <w:left w:val="single" w:sz="4" w:space="0" w:color="auto"/>
              <w:bottom w:val="single" w:sz="4" w:space="0" w:color="auto"/>
              <w:right w:val="single" w:sz="4" w:space="0" w:color="auto"/>
            </w:tcBorders>
          </w:tcPr>
          <w:p w14:paraId="0D9DA517" w14:textId="77777777" w:rsidR="00EF105B" w:rsidRPr="00B90523" w:rsidRDefault="00EF105B" w:rsidP="002503FB">
            <w:pPr>
              <w:rPr>
                <w:rFonts w:ascii="Arial Narrow" w:hAnsi="Arial Narrow"/>
                <w:sz w:val="20"/>
                <w:szCs w:val="20"/>
              </w:rPr>
            </w:pPr>
          </w:p>
        </w:tc>
        <w:tc>
          <w:tcPr>
            <w:tcW w:w="8040" w:type="dxa"/>
            <w:gridSpan w:val="6"/>
            <w:tcBorders>
              <w:top w:val="single" w:sz="4" w:space="0" w:color="auto"/>
              <w:left w:val="single" w:sz="4" w:space="0" w:color="auto"/>
              <w:bottom w:val="single" w:sz="4" w:space="0" w:color="auto"/>
              <w:right w:val="single" w:sz="4" w:space="0" w:color="auto"/>
            </w:tcBorders>
          </w:tcPr>
          <w:p w14:paraId="73D31BC6" w14:textId="77777777" w:rsidR="00EF105B" w:rsidRPr="00B90523" w:rsidRDefault="00EF105B" w:rsidP="002503FB">
            <w:pPr>
              <w:rPr>
                <w:rFonts w:ascii="Arial Narrow" w:hAnsi="Arial Narrow"/>
                <w:b/>
                <w:sz w:val="20"/>
                <w:szCs w:val="20"/>
              </w:rPr>
            </w:pPr>
          </w:p>
        </w:tc>
      </w:tr>
      <w:tr w:rsidR="00EF105B" w:rsidRPr="00B90523" w14:paraId="51FFDD3D" w14:textId="77777777" w:rsidTr="002503FB">
        <w:tblPrEx>
          <w:tblCellMar>
            <w:top w:w="15" w:type="dxa"/>
            <w:left w:w="15" w:type="dxa"/>
            <w:bottom w:w="15" w:type="dxa"/>
            <w:right w:w="15" w:type="dxa"/>
          </w:tblCellMar>
          <w:tblLook w:val="04A0" w:firstRow="1" w:lastRow="0" w:firstColumn="1" w:lastColumn="0" w:noHBand="0" w:noVBand="1"/>
        </w:tblPrEx>
        <w:tc>
          <w:tcPr>
            <w:tcW w:w="488" w:type="dxa"/>
            <w:vMerge w:val="restart"/>
            <w:tcBorders>
              <w:left w:val="single" w:sz="4" w:space="0" w:color="auto"/>
              <w:right w:val="single" w:sz="4" w:space="0" w:color="auto"/>
            </w:tcBorders>
            <w:textDirection w:val="btLr"/>
          </w:tcPr>
          <w:p w14:paraId="3E7F07E5" w14:textId="3A9E490D" w:rsidR="00EF105B" w:rsidRPr="00B90523" w:rsidRDefault="00EF105B" w:rsidP="002503FB">
            <w:pPr>
              <w:ind w:left="113" w:right="113"/>
              <w:rPr>
                <w:rFonts w:ascii="Arial Narrow" w:hAnsi="Arial Narrow"/>
                <w:sz w:val="20"/>
                <w:szCs w:val="20"/>
              </w:rPr>
            </w:pPr>
          </w:p>
        </w:tc>
        <w:tc>
          <w:tcPr>
            <w:tcW w:w="488" w:type="dxa"/>
            <w:vAlign w:val="center"/>
          </w:tcPr>
          <w:p w14:paraId="2A5EC325" w14:textId="65655B27" w:rsidR="00EF105B" w:rsidRPr="00B90523" w:rsidRDefault="00EF105B" w:rsidP="002503FB">
            <w:pPr>
              <w:jc w:val="center"/>
              <w:rPr>
                <w:rFonts w:ascii="Arial Narrow" w:hAnsi="Arial Narrow"/>
                <w:sz w:val="20"/>
                <w:szCs w:val="20"/>
              </w:rPr>
            </w:pPr>
          </w:p>
        </w:tc>
        <w:tc>
          <w:tcPr>
            <w:tcW w:w="8040" w:type="dxa"/>
            <w:gridSpan w:val="6"/>
            <w:vAlign w:val="center"/>
          </w:tcPr>
          <w:p w14:paraId="10712BF3" w14:textId="77777777" w:rsidR="00EF105B" w:rsidRPr="00B90523" w:rsidRDefault="00EF105B" w:rsidP="002503FB">
            <w:pPr>
              <w:rPr>
                <w:rFonts w:ascii="Arial Narrow" w:hAnsi="Arial Narrow"/>
                <w:b/>
                <w:bCs/>
                <w:sz w:val="20"/>
                <w:szCs w:val="20"/>
              </w:rPr>
            </w:pPr>
            <w:r w:rsidRPr="00B90523">
              <w:rPr>
                <w:rFonts w:ascii="Arial Narrow" w:hAnsi="Arial Narrow"/>
                <w:b/>
                <w:bCs/>
                <w:sz w:val="20"/>
                <w:szCs w:val="20"/>
              </w:rPr>
              <w:t>Administrative Advice:</w:t>
            </w:r>
          </w:p>
          <w:p w14:paraId="60AFC405"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Changes to common administrative advice concept 27221 at the end of this section.</w:t>
            </w:r>
          </w:p>
        </w:tc>
      </w:tr>
      <w:tr w:rsidR="00EF105B" w:rsidRPr="00B90523" w14:paraId="2998C99B" w14:textId="77777777" w:rsidTr="002503FB">
        <w:tblPrEx>
          <w:tblCellMar>
            <w:top w:w="15" w:type="dxa"/>
            <w:left w:w="15" w:type="dxa"/>
            <w:bottom w:w="15" w:type="dxa"/>
            <w:right w:w="15" w:type="dxa"/>
          </w:tblCellMar>
          <w:tblLook w:val="04A0" w:firstRow="1" w:lastRow="0" w:firstColumn="1" w:lastColumn="0" w:noHBand="0" w:noVBand="1"/>
        </w:tblPrEx>
        <w:tc>
          <w:tcPr>
            <w:tcW w:w="488" w:type="dxa"/>
            <w:vMerge/>
            <w:tcBorders>
              <w:left w:val="single" w:sz="4" w:space="0" w:color="auto"/>
              <w:right w:val="single" w:sz="4" w:space="0" w:color="auto"/>
            </w:tcBorders>
          </w:tcPr>
          <w:p w14:paraId="5FD75CCD" w14:textId="77777777" w:rsidR="00EF105B" w:rsidRPr="00B90523" w:rsidRDefault="00EF105B" w:rsidP="002503FB">
            <w:pPr>
              <w:rPr>
                <w:rFonts w:ascii="Arial Narrow" w:hAnsi="Arial Narrow"/>
                <w:sz w:val="20"/>
                <w:szCs w:val="20"/>
              </w:rPr>
            </w:pPr>
          </w:p>
        </w:tc>
        <w:tc>
          <w:tcPr>
            <w:tcW w:w="488" w:type="dxa"/>
            <w:vAlign w:val="center"/>
          </w:tcPr>
          <w:p w14:paraId="64101709" w14:textId="7C66C26D" w:rsidR="00EF105B" w:rsidRPr="00B90523" w:rsidRDefault="00EF105B" w:rsidP="002503FB">
            <w:pPr>
              <w:jc w:val="center"/>
              <w:rPr>
                <w:rFonts w:ascii="Arial Narrow" w:hAnsi="Arial Narrow"/>
                <w:sz w:val="20"/>
                <w:szCs w:val="20"/>
              </w:rPr>
            </w:pPr>
          </w:p>
        </w:tc>
        <w:tc>
          <w:tcPr>
            <w:tcW w:w="8040" w:type="dxa"/>
            <w:gridSpan w:val="6"/>
            <w:vAlign w:val="center"/>
          </w:tcPr>
          <w:p w14:paraId="5850AA0E" w14:textId="77777777" w:rsidR="00EF105B" w:rsidRPr="00B90523" w:rsidRDefault="00EF105B" w:rsidP="002503FB">
            <w:pPr>
              <w:rPr>
                <w:rFonts w:ascii="Arial Narrow" w:hAnsi="Arial Narrow"/>
                <w:b/>
                <w:bCs/>
                <w:sz w:val="20"/>
                <w:szCs w:val="20"/>
              </w:rPr>
            </w:pPr>
            <w:r w:rsidRPr="00B90523">
              <w:rPr>
                <w:rFonts w:ascii="Arial Narrow" w:hAnsi="Arial Narrow"/>
                <w:b/>
                <w:bCs/>
                <w:sz w:val="20"/>
                <w:szCs w:val="20"/>
              </w:rPr>
              <w:t xml:space="preserve">Administrative Advice: </w:t>
            </w:r>
            <w:r w:rsidRPr="00B90523">
              <w:rPr>
                <w:rFonts w:ascii="Arial Narrow" w:hAnsi="Arial Narrow"/>
                <w:sz w:val="20"/>
                <w:szCs w:val="20"/>
              </w:rPr>
              <w:t>No increase in the maximum quantity or number of units may be authorised.</w:t>
            </w:r>
          </w:p>
        </w:tc>
      </w:tr>
      <w:tr w:rsidR="00EF105B" w:rsidRPr="00B90523" w14:paraId="78539107" w14:textId="77777777" w:rsidTr="002503FB">
        <w:tblPrEx>
          <w:tblCellMar>
            <w:top w:w="15" w:type="dxa"/>
            <w:left w:w="15" w:type="dxa"/>
            <w:bottom w:w="15" w:type="dxa"/>
            <w:right w:w="15" w:type="dxa"/>
          </w:tblCellMar>
          <w:tblLook w:val="04A0" w:firstRow="1" w:lastRow="0" w:firstColumn="1" w:lastColumn="0" w:noHBand="0" w:noVBand="1"/>
        </w:tblPrEx>
        <w:tc>
          <w:tcPr>
            <w:tcW w:w="488" w:type="dxa"/>
            <w:vMerge/>
            <w:tcBorders>
              <w:left w:val="single" w:sz="4" w:space="0" w:color="auto"/>
              <w:right w:val="single" w:sz="4" w:space="0" w:color="auto"/>
            </w:tcBorders>
          </w:tcPr>
          <w:p w14:paraId="657B1613" w14:textId="77777777" w:rsidR="00EF105B" w:rsidRPr="00B90523" w:rsidRDefault="00EF105B" w:rsidP="002503FB">
            <w:pPr>
              <w:rPr>
                <w:rFonts w:ascii="Arial Narrow" w:hAnsi="Arial Narrow"/>
                <w:sz w:val="20"/>
                <w:szCs w:val="20"/>
              </w:rPr>
            </w:pPr>
          </w:p>
        </w:tc>
        <w:tc>
          <w:tcPr>
            <w:tcW w:w="488" w:type="dxa"/>
            <w:vAlign w:val="center"/>
          </w:tcPr>
          <w:p w14:paraId="3E0ABDC8" w14:textId="0D3DD8F2" w:rsidR="00EF105B" w:rsidRPr="00B90523" w:rsidRDefault="00EF105B" w:rsidP="002503FB">
            <w:pPr>
              <w:jc w:val="center"/>
              <w:rPr>
                <w:rFonts w:ascii="Arial Narrow" w:hAnsi="Arial Narrow"/>
                <w:sz w:val="20"/>
                <w:szCs w:val="20"/>
              </w:rPr>
            </w:pPr>
          </w:p>
        </w:tc>
        <w:tc>
          <w:tcPr>
            <w:tcW w:w="8040" w:type="dxa"/>
            <w:gridSpan w:val="6"/>
            <w:vAlign w:val="center"/>
          </w:tcPr>
          <w:p w14:paraId="3D1F6431" w14:textId="77777777" w:rsidR="00EF105B" w:rsidRPr="00B90523" w:rsidRDefault="00EF105B" w:rsidP="002503FB">
            <w:pPr>
              <w:rPr>
                <w:rFonts w:ascii="Arial Narrow" w:hAnsi="Arial Narrow"/>
                <w:b/>
                <w:bCs/>
                <w:sz w:val="20"/>
                <w:szCs w:val="20"/>
              </w:rPr>
            </w:pPr>
            <w:r w:rsidRPr="00B90523">
              <w:rPr>
                <w:rFonts w:ascii="Arial Narrow" w:hAnsi="Arial Narrow"/>
                <w:b/>
                <w:bCs/>
                <w:sz w:val="20"/>
                <w:szCs w:val="20"/>
              </w:rPr>
              <w:t xml:space="preserve">Administrative Advice: </w:t>
            </w:r>
            <w:r w:rsidRPr="00B90523">
              <w:rPr>
                <w:rFonts w:ascii="Arial Narrow" w:hAnsi="Arial Narrow"/>
                <w:sz w:val="20"/>
                <w:szCs w:val="20"/>
              </w:rPr>
              <w:t>No increase in the maximum number of repeats may be authorised.</w:t>
            </w:r>
          </w:p>
        </w:tc>
      </w:tr>
      <w:tr w:rsidR="00EF105B" w:rsidRPr="00B90523" w14:paraId="29D61975" w14:textId="77777777" w:rsidTr="002503FB">
        <w:tblPrEx>
          <w:tblCellMar>
            <w:top w:w="15" w:type="dxa"/>
            <w:left w:w="15" w:type="dxa"/>
            <w:bottom w:w="15" w:type="dxa"/>
            <w:right w:w="15" w:type="dxa"/>
          </w:tblCellMar>
          <w:tblLook w:val="04A0" w:firstRow="1" w:lastRow="0" w:firstColumn="1" w:lastColumn="0" w:noHBand="0" w:noVBand="1"/>
        </w:tblPrEx>
        <w:tc>
          <w:tcPr>
            <w:tcW w:w="488" w:type="dxa"/>
            <w:vMerge/>
            <w:tcBorders>
              <w:left w:val="single" w:sz="4" w:space="0" w:color="auto"/>
              <w:bottom w:val="single" w:sz="4" w:space="0" w:color="auto"/>
              <w:right w:val="single" w:sz="4" w:space="0" w:color="auto"/>
            </w:tcBorders>
          </w:tcPr>
          <w:p w14:paraId="38EFA298" w14:textId="77777777" w:rsidR="00EF105B" w:rsidRPr="00B90523" w:rsidRDefault="00EF105B" w:rsidP="002503FB">
            <w:pPr>
              <w:rPr>
                <w:rFonts w:ascii="Arial Narrow" w:hAnsi="Arial Narrow"/>
                <w:sz w:val="20"/>
                <w:szCs w:val="20"/>
              </w:rPr>
            </w:pPr>
          </w:p>
        </w:tc>
        <w:tc>
          <w:tcPr>
            <w:tcW w:w="488" w:type="dxa"/>
            <w:vAlign w:val="center"/>
          </w:tcPr>
          <w:p w14:paraId="5C3D6E2B" w14:textId="18B86D72" w:rsidR="00EF105B" w:rsidRPr="00B90523" w:rsidRDefault="00EF105B" w:rsidP="002503FB">
            <w:pPr>
              <w:jc w:val="center"/>
              <w:rPr>
                <w:rFonts w:ascii="Arial Narrow" w:hAnsi="Arial Narrow"/>
                <w:sz w:val="20"/>
                <w:szCs w:val="20"/>
              </w:rPr>
            </w:pPr>
          </w:p>
        </w:tc>
        <w:tc>
          <w:tcPr>
            <w:tcW w:w="8040" w:type="dxa"/>
            <w:gridSpan w:val="6"/>
            <w:vAlign w:val="center"/>
          </w:tcPr>
          <w:p w14:paraId="3BB8565E" w14:textId="77777777" w:rsidR="00EF105B" w:rsidRPr="00B90523" w:rsidRDefault="00EF105B" w:rsidP="002503FB">
            <w:pPr>
              <w:rPr>
                <w:rFonts w:ascii="Arial Narrow" w:hAnsi="Arial Narrow"/>
                <w:b/>
                <w:bCs/>
                <w:sz w:val="20"/>
                <w:szCs w:val="20"/>
              </w:rPr>
            </w:pPr>
            <w:r w:rsidRPr="00B90523">
              <w:rPr>
                <w:rFonts w:ascii="Arial Narrow" w:hAnsi="Arial Narrow"/>
                <w:b/>
                <w:bCs/>
                <w:sz w:val="20"/>
                <w:szCs w:val="20"/>
              </w:rPr>
              <w:t xml:space="preserve">Administrative Advice: </w:t>
            </w:r>
            <w:r w:rsidRPr="00B90523">
              <w:rPr>
                <w:rFonts w:ascii="Arial Narrow" w:hAnsi="Arial Narrow"/>
                <w:sz w:val="20"/>
                <w:szCs w:val="20"/>
              </w:rPr>
              <w:t>Special Pricing Arrangements apply.</w:t>
            </w:r>
          </w:p>
        </w:tc>
      </w:tr>
      <w:tr w:rsidR="00EF105B" w:rsidRPr="00B90523" w14:paraId="3722F1FC"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tcBorders>
              <w:left w:val="single" w:sz="4" w:space="0" w:color="auto"/>
              <w:bottom w:val="single" w:sz="4" w:space="0" w:color="auto"/>
            </w:tcBorders>
          </w:tcPr>
          <w:p w14:paraId="159B7805" w14:textId="77777777" w:rsidR="00EF105B" w:rsidRPr="00B90523" w:rsidRDefault="00EF105B" w:rsidP="002503FB">
            <w:pPr>
              <w:jc w:val="center"/>
              <w:rPr>
                <w:rFonts w:ascii="Arial Narrow" w:hAnsi="Arial Narrow"/>
                <w:sz w:val="20"/>
                <w:szCs w:val="20"/>
              </w:rPr>
            </w:pPr>
          </w:p>
        </w:tc>
        <w:tc>
          <w:tcPr>
            <w:tcW w:w="8040" w:type="dxa"/>
            <w:gridSpan w:val="6"/>
            <w:vAlign w:val="center"/>
          </w:tcPr>
          <w:p w14:paraId="08581B7B" w14:textId="77777777" w:rsidR="00EF105B" w:rsidRPr="00B90523" w:rsidRDefault="00EF105B" w:rsidP="002503FB">
            <w:pPr>
              <w:rPr>
                <w:rFonts w:ascii="Arial Narrow" w:hAnsi="Arial Narrow"/>
                <w:b/>
                <w:bCs/>
                <w:sz w:val="20"/>
                <w:szCs w:val="20"/>
              </w:rPr>
            </w:pPr>
          </w:p>
        </w:tc>
      </w:tr>
      <w:tr w:rsidR="00EF105B" w:rsidRPr="00B90523" w14:paraId="0B566BA3" w14:textId="77777777" w:rsidTr="00D70468">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52AA2225" w14:textId="764B645C" w:rsidR="00EF105B" w:rsidRPr="00B90523" w:rsidRDefault="00EF105B" w:rsidP="002503FB">
            <w:pPr>
              <w:jc w:val="center"/>
              <w:rPr>
                <w:rFonts w:ascii="Arial Narrow" w:hAnsi="Arial Narrow"/>
                <w:sz w:val="20"/>
                <w:szCs w:val="20"/>
              </w:rPr>
            </w:pPr>
          </w:p>
        </w:tc>
        <w:tc>
          <w:tcPr>
            <w:tcW w:w="8040" w:type="dxa"/>
            <w:gridSpan w:val="6"/>
            <w:vAlign w:val="center"/>
            <w:hideMark/>
          </w:tcPr>
          <w:p w14:paraId="63ECB7DC" w14:textId="77777777" w:rsidR="00EF105B" w:rsidRPr="00B90523" w:rsidRDefault="00EF105B" w:rsidP="002503FB">
            <w:pPr>
              <w:rPr>
                <w:rFonts w:ascii="Arial Narrow" w:hAnsi="Arial Narrow"/>
                <w:sz w:val="20"/>
                <w:szCs w:val="20"/>
              </w:rPr>
            </w:pPr>
            <w:r w:rsidRPr="00B90523">
              <w:rPr>
                <w:rFonts w:ascii="Arial Narrow" w:hAnsi="Arial Narrow"/>
                <w:b/>
                <w:bCs/>
                <w:sz w:val="20"/>
                <w:szCs w:val="20"/>
              </w:rPr>
              <w:t>Indication:</w:t>
            </w:r>
            <w:r w:rsidRPr="00B90523">
              <w:rPr>
                <w:rFonts w:ascii="Arial Narrow" w:hAnsi="Arial Narrow"/>
                <w:sz w:val="20"/>
                <w:szCs w:val="20"/>
              </w:rPr>
              <w:t xml:space="preserve"> Moderate to severe ulcerative colitis</w:t>
            </w:r>
          </w:p>
        </w:tc>
      </w:tr>
      <w:tr w:rsidR="00EF105B" w:rsidRPr="00B90523" w14:paraId="325F26F3" w14:textId="77777777" w:rsidTr="00D70468">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0D6BF13C" w14:textId="77777777" w:rsidR="00EF105B" w:rsidRPr="00B90523" w:rsidRDefault="00EF105B" w:rsidP="002503FB">
            <w:pPr>
              <w:jc w:val="center"/>
              <w:rPr>
                <w:rFonts w:ascii="Arial Narrow" w:hAnsi="Arial Narrow"/>
                <w:sz w:val="20"/>
                <w:szCs w:val="20"/>
              </w:rPr>
            </w:pPr>
          </w:p>
        </w:tc>
        <w:tc>
          <w:tcPr>
            <w:tcW w:w="8040" w:type="dxa"/>
            <w:gridSpan w:val="6"/>
            <w:vAlign w:val="center"/>
            <w:hideMark/>
          </w:tcPr>
          <w:p w14:paraId="011233F0" w14:textId="77777777" w:rsidR="00EF105B" w:rsidRPr="00B90523" w:rsidRDefault="00EF105B" w:rsidP="002503FB">
            <w:pPr>
              <w:rPr>
                <w:rFonts w:ascii="Arial Narrow" w:hAnsi="Arial Narrow"/>
                <w:sz w:val="20"/>
                <w:szCs w:val="20"/>
              </w:rPr>
            </w:pPr>
            <w:r w:rsidRPr="00B90523">
              <w:rPr>
                <w:rFonts w:ascii="Arial Narrow" w:hAnsi="Arial Narrow"/>
                <w:b/>
                <w:bCs/>
                <w:sz w:val="20"/>
                <w:szCs w:val="20"/>
              </w:rPr>
              <w:t>Treatment Phase:</w:t>
            </w:r>
            <w:r w:rsidRPr="00B90523">
              <w:rPr>
                <w:rFonts w:ascii="Arial Narrow" w:hAnsi="Arial Narrow"/>
                <w:sz w:val="20"/>
                <w:szCs w:val="20"/>
              </w:rPr>
              <w:t xml:space="preserve"> </w:t>
            </w:r>
            <w:r w:rsidRPr="00B90523">
              <w:rPr>
                <w:rFonts w:ascii="Arial Narrow" w:hAnsi="Arial Narrow"/>
                <w:strike/>
                <w:sz w:val="20"/>
                <w:szCs w:val="20"/>
              </w:rPr>
              <w:t>Initial treatment</w:t>
            </w:r>
            <w:r w:rsidRPr="00B90523">
              <w:rPr>
                <w:rFonts w:ascii="Arial Narrow" w:hAnsi="Arial Narrow"/>
                <w:sz w:val="20"/>
                <w:szCs w:val="20"/>
              </w:rPr>
              <w:t xml:space="preserve">  Dose modification</w:t>
            </w:r>
          </w:p>
        </w:tc>
      </w:tr>
      <w:tr w:rsidR="00EF105B" w:rsidRPr="00B90523" w14:paraId="72A7710C" w14:textId="77777777" w:rsidTr="00D70468">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70BDF27C" w14:textId="77777777" w:rsidR="00EF105B" w:rsidRPr="00B90523" w:rsidRDefault="00EF105B" w:rsidP="002503FB">
            <w:pPr>
              <w:jc w:val="center"/>
              <w:rPr>
                <w:rFonts w:ascii="Arial Narrow" w:hAnsi="Arial Narrow"/>
                <w:sz w:val="20"/>
                <w:szCs w:val="20"/>
              </w:rPr>
            </w:pPr>
          </w:p>
        </w:tc>
        <w:tc>
          <w:tcPr>
            <w:tcW w:w="8040" w:type="dxa"/>
            <w:gridSpan w:val="6"/>
            <w:vAlign w:val="center"/>
            <w:hideMark/>
          </w:tcPr>
          <w:p w14:paraId="420C7313" w14:textId="77777777" w:rsidR="00EF105B" w:rsidRPr="00B90523" w:rsidRDefault="00EF105B" w:rsidP="002503FB">
            <w:pPr>
              <w:rPr>
                <w:rFonts w:ascii="Arial Narrow" w:hAnsi="Arial Narrow"/>
                <w:sz w:val="20"/>
                <w:szCs w:val="20"/>
              </w:rPr>
            </w:pPr>
            <w:r w:rsidRPr="00B90523">
              <w:rPr>
                <w:rFonts w:ascii="Arial Narrow" w:hAnsi="Arial Narrow"/>
                <w:b/>
                <w:bCs/>
                <w:sz w:val="20"/>
                <w:szCs w:val="20"/>
              </w:rPr>
              <w:t xml:space="preserve">Treatment criteria: </w:t>
            </w:r>
          </w:p>
        </w:tc>
      </w:tr>
      <w:tr w:rsidR="00EF105B" w:rsidRPr="00B90523" w14:paraId="2B9A7488" w14:textId="77777777" w:rsidTr="00D70468">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1CA8CEB3" w14:textId="1279635C" w:rsidR="00EF105B" w:rsidRPr="00B90523" w:rsidRDefault="00EF105B" w:rsidP="002503FB">
            <w:pPr>
              <w:jc w:val="center"/>
              <w:rPr>
                <w:rFonts w:ascii="Arial Narrow" w:hAnsi="Arial Narrow"/>
                <w:sz w:val="20"/>
                <w:szCs w:val="20"/>
              </w:rPr>
            </w:pPr>
          </w:p>
        </w:tc>
        <w:tc>
          <w:tcPr>
            <w:tcW w:w="8040" w:type="dxa"/>
            <w:gridSpan w:val="6"/>
            <w:vAlign w:val="center"/>
            <w:hideMark/>
          </w:tcPr>
          <w:p w14:paraId="130E6DE4"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gastroenterologist (code 87); OR</w:t>
            </w:r>
          </w:p>
        </w:tc>
      </w:tr>
      <w:tr w:rsidR="00EF105B" w:rsidRPr="00B90523" w14:paraId="60A8E89F"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5F7561CB" w14:textId="55E57B9D" w:rsidR="00EF105B" w:rsidRPr="00B90523" w:rsidRDefault="00EF105B" w:rsidP="002503FB">
            <w:pPr>
              <w:jc w:val="center"/>
              <w:rPr>
                <w:rFonts w:ascii="Arial Narrow" w:hAnsi="Arial Narrow"/>
                <w:sz w:val="20"/>
                <w:szCs w:val="20"/>
              </w:rPr>
            </w:pPr>
          </w:p>
        </w:tc>
        <w:tc>
          <w:tcPr>
            <w:tcW w:w="8040" w:type="dxa"/>
            <w:gridSpan w:val="6"/>
            <w:vAlign w:val="center"/>
          </w:tcPr>
          <w:p w14:paraId="3535812A"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[internal medicine specialising in gastroenterology (code 81)]; OR</w:t>
            </w:r>
          </w:p>
        </w:tc>
      </w:tr>
      <w:tr w:rsidR="00EF105B" w:rsidRPr="00B90523" w14:paraId="485E4926"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4AF0F6B9" w14:textId="5FC422E8" w:rsidR="00EF105B" w:rsidRPr="00B90523" w:rsidRDefault="00EF105B" w:rsidP="002503FB">
            <w:pPr>
              <w:jc w:val="center"/>
              <w:rPr>
                <w:rFonts w:ascii="Arial Narrow" w:hAnsi="Arial Narrow"/>
                <w:sz w:val="20"/>
                <w:szCs w:val="20"/>
              </w:rPr>
            </w:pPr>
          </w:p>
        </w:tc>
        <w:tc>
          <w:tcPr>
            <w:tcW w:w="8040" w:type="dxa"/>
            <w:gridSpan w:val="6"/>
            <w:vAlign w:val="center"/>
          </w:tcPr>
          <w:p w14:paraId="193604AE"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[general medicine specialising in gastroenterology (code 82)].</w:t>
            </w:r>
          </w:p>
        </w:tc>
      </w:tr>
      <w:tr w:rsidR="00EF105B" w:rsidRPr="00B90523" w14:paraId="7976582B" w14:textId="77777777" w:rsidTr="00D70468">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64290AA6" w14:textId="77777777" w:rsidR="00EF105B" w:rsidRPr="00B90523" w:rsidRDefault="00EF105B" w:rsidP="002503FB">
            <w:pPr>
              <w:jc w:val="center"/>
              <w:rPr>
                <w:rFonts w:ascii="Arial Narrow" w:hAnsi="Arial Narrow"/>
                <w:sz w:val="20"/>
                <w:szCs w:val="20"/>
              </w:rPr>
            </w:pPr>
          </w:p>
        </w:tc>
        <w:tc>
          <w:tcPr>
            <w:tcW w:w="8040" w:type="dxa"/>
            <w:gridSpan w:val="6"/>
            <w:vAlign w:val="center"/>
            <w:hideMark/>
          </w:tcPr>
          <w:p w14:paraId="158A65F6" w14:textId="77777777" w:rsidR="00EF105B" w:rsidRPr="00B90523" w:rsidRDefault="00EF105B" w:rsidP="002503FB">
            <w:pPr>
              <w:rPr>
                <w:rFonts w:ascii="Arial Narrow" w:hAnsi="Arial Narrow"/>
                <w:sz w:val="20"/>
                <w:szCs w:val="20"/>
              </w:rPr>
            </w:pPr>
            <w:r w:rsidRPr="00B90523">
              <w:rPr>
                <w:rFonts w:ascii="Arial Narrow" w:hAnsi="Arial Narrow"/>
                <w:b/>
                <w:bCs/>
                <w:sz w:val="20"/>
                <w:szCs w:val="20"/>
              </w:rPr>
              <w:t>AND</w:t>
            </w:r>
          </w:p>
        </w:tc>
      </w:tr>
      <w:tr w:rsidR="00EF105B" w:rsidRPr="00B90523" w14:paraId="54CAA13E"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4C21669A" w14:textId="77777777" w:rsidR="00EF105B" w:rsidRPr="00B90523" w:rsidRDefault="00EF105B" w:rsidP="002503FB">
            <w:pPr>
              <w:jc w:val="center"/>
              <w:rPr>
                <w:rFonts w:ascii="Arial Narrow" w:hAnsi="Arial Narrow"/>
                <w:sz w:val="20"/>
                <w:szCs w:val="20"/>
              </w:rPr>
            </w:pPr>
          </w:p>
        </w:tc>
        <w:tc>
          <w:tcPr>
            <w:tcW w:w="8040" w:type="dxa"/>
            <w:gridSpan w:val="6"/>
            <w:vAlign w:val="center"/>
            <w:hideMark/>
          </w:tcPr>
          <w:p w14:paraId="3869FAE3" w14:textId="77777777" w:rsidR="00EF105B" w:rsidRPr="00B90523" w:rsidRDefault="00EF105B" w:rsidP="002503FB">
            <w:pPr>
              <w:rPr>
                <w:rFonts w:ascii="Arial Narrow" w:hAnsi="Arial Narrow"/>
                <w:sz w:val="20"/>
                <w:szCs w:val="20"/>
              </w:rPr>
            </w:pPr>
            <w:r w:rsidRPr="00B90523">
              <w:rPr>
                <w:rFonts w:ascii="Arial Narrow" w:hAnsi="Arial Narrow"/>
                <w:b/>
                <w:bCs/>
                <w:sz w:val="20"/>
                <w:szCs w:val="20"/>
              </w:rPr>
              <w:t xml:space="preserve"> Treatment criteria:</w:t>
            </w:r>
          </w:p>
        </w:tc>
      </w:tr>
      <w:tr w:rsidR="00EF105B" w:rsidRPr="00B90523" w14:paraId="393EA45E"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7C98AC00" w14:textId="027BF534" w:rsidR="00EF105B" w:rsidRPr="00B90523" w:rsidRDefault="00EF105B" w:rsidP="002503FB">
            <w:pPr>
              <w:jc w:val="center"/>
              <w:rPr>
                <w:rFonts w:ascii="Arial Narrow" w:hAnsi="Arial Narrow"/>
                <w:sz w:val="20"/>
                <w:szCs w:val="20"/>
              </w:rPr>
            </w:pPr>
          </w:p>
        </w:tc>
        <w:tc>
          <w:tcPr>
            <w:tcW w:w="8040" w:type="dxa"/>
            <w:gridSpan w:val="6"/>
            <w:vAlign w:val="center"/>
            <w:hideMark/>
          </w:tcPr>
          <w:p w14:paraId="080B6C19"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 xml:space="preserve">Patient must be undergoing existing PBS-subsidised treatment with this therapy </w:t>
            </w:r>
          </w:p>
        </w:tc>
      </w:tr>
      <w:tr w:rsidR="00EF105B" w:rsidRPr="00B90523" w14:paraId="62731394"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0133ED06" w14:textId="3CC01E7B" w:rsidR="00EF105B" w:rsidRPr="00B90523" w:rsidRDefault="00EF105B" w:rsidP="002503FB">
            <w:pPr>
              <w:jc w:val="center"/>
              <w:rPr>
                <w:rFonts w:ascii="Arial Narrow" w:hAnsi="Arial Narrow"/>
                <w:sz w:val="20"/>
                <w:szCs w:val="20"/>
              </w:rPr>
            </w:pPr>
          </w:p>
        </w:tc>
        <w:tc>
          <w:tcPr>
            <w:tcW w:w="8040" w:type="dxa"/>
            <w:gridSpan w:val="6"/>
            <w:vAlign w:val="center"/>
          </w:tcPr>
          <w:p w14:paraId="4018C0D1" w14:textId="77777777" w:rsidR="00EF105B" w:rsidRPr="00B90523" w:rsidRDefault="00EF105B" w:rsidP="002503FB">
            <w:pPr>
              <w:rPr>
                <w:rFonts w:ascii="Arial Narrow" w:hAnsi="Arial Narrow"/>
                <w:b/>
                <w:bCs/>
                <w:sz w:val="20"/>
                <w:szCs w:val="20"/>
              </w:rPr>
            </w:pPr>
            <w:r w:rsidRPr="00B90523">
              <w:rPr>
                <w:rFonts w:ascii="Arial Narrow" w:hAnsi="Arial Narrow"/>
                <w:b/>
                <w:bCs/>
                <w:sz w:val="20"/>
                <w:szCs w:val="20"/>
              </w:rPr>
              <w:t>Administrative advice:</w:t>
            </w:r>
          </w:p>
          <w:p w14:paraId="10A9F044"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F105B" w:rsidRPr="00B90523" w14:paraId="05226F2D" w14:textId="77777777" w:rsidTr="002503FB">
        <w:tblPrEx>
          <w:tblCellMar>
            <w:top w:w="15" w:type="dxa"/>
            <w:left w:w="15" w:type="dxa"/>
            <w:bottom w:w="15" w:type="dxa"/>
            <w:right w:w="15" w:type="dxa"/>
          </w:tblCellMar>
          <w:tblLook w:val="04A0" w:firstRow="1" w:lastRow="0" w:firstColumn="1" w:lastColumn="0" w:noHBand="0" w:noVBand="1"/>
        </w:tblPrEx>
        <w:tc>
          <w:tcPr>
            <w:tcW w:w="976" w:type="dxa"/>
            <w:gridSpan w:val="2"/>
            <w:vAlign w:val="center"/>
          </w:tcPr>
          <w:p w14:paraId="73C2FB6A" w14:textId="315E2B4D" w:rsidR="00EF105B" w:rsidRPr="00B90523" w:rsidRDefault="00EF105B" w:rsidP="002503FB">
            <w:pPr>
              <w:jc w:val="center"/>
              <w:rPr>
                <w:rFonts w:ascii="Arial Narrow" w:hAnsi="Arial Narrow"/>
                <w:sz w:val="20"/>
                <w:szCs w:val="20"/>
              </w:rPr>
            </w:pPr>
          </w:p>
        </w:tc>
        <w:tc>
          <w:tcPr>
            <w:tcW w:w="8040" w:type="dxa"/>
            <w:gridSpan w:val="6"/>
            <w:vAlign w:val="center"/>
          </w:tcPr>
          <w:p w14:paraId="1A340BDE" w14:textId="77777777" w:rsidR="00EF105B" w:rsidRPr="00B90523" w:rsidRDefault="00EF105B" w:rsidP="002503FB">
            <w:pPr>
              <w:rPr>
                <w:rFonts w:ascii="Arial Narrow" w:hAnsi="Arial Narrow"/>
                <w:b/>
                <w:bCs/>
                <w:sz w:val="20"/>
                <w:szCs w:val="20"/>
              </w:rPr>
            </w:pPr>
            <w:r w:rsidRPr="00B90523">
              <w:rPr>
                <w:rFonts w:ascii="Arial Narrow" w:hAnsi="Arial Narrow"/>
                <w:b/>
                <w:bCs/>
                <w:sz w:val="20"/>
                <w:szCs w:val="20"/>
              </w:rPr>
              <w:t>Administrative advice:</w:t>
            </w:r>
          </w:p>
          <w:p w14:paraId="59B80EF3"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Any further authority applications occurring immediately after access through this dose modification listing are not to occur through any of the following Treatment phase listings: (i) Balance of Supply, (ii) Initial Treatment</w:t>
            </w:r>
          </w:p>
        </w:tc>
      </w:tr>
    </w:tbl>
    <w:p w14:paraId="150FBE3C" w14:textId="77777777" w:rsidR="00EF105B" w:rsidRPr="00B90523" w:rsidRDefault="00EF105B" w:rsidP="00EF105B">
      <w:pPr>
        <w:rPr>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88"/>
        <w:gridCol w:w="2261"/>
        <w:gridCol w:w="1128"/>
        <w:gridCol w:w="987"/>
        <w:gridCol w:w="1128"/>
        <w:gridCol w:w="1128"/>
        <w:gridCol w:w="1409"/>
      </w:tblGrid>
      <w:tr w:rsidR="00EF105B" w:rsidRPr="00B90523" w14:paraId="0E716DDF" w14:textId="77777777" w:rsidTr="002503FB">
        <w:trPr>
          <w:cantSplit/>
          <w:trHeight w:val="471"/>
        </w:trPr>
        <w:tc>
          <w:tcPr>
            <w:tcW w:w="3256" w:type="dxa"/>
            <w:gridSpan w:val="3"/>
          </w:tcPr>
          <w:p w14:paraId="1801AFB5" w14:textId="77777777" w:rsidR="00EF105B" w:rsidRPr="00B90523" w:rsidRDefault="00EF105B" w:rsidP="002503FB">
            <w:pPr>
              <w:keepNext/>
              <w:ind w:left="-57"/>
              <w:rPr>
                <w:rFonts w:ascii="Arial Narrow" w:hAnsi="Arial Narrow"/>
                <w:b/>
                <w:bCs/>
                <w:sz w:val="20"/>
                <w:szCs w:val="20"/>
              </w:rPr>
            </w:pPr>
            <w:r w:rsidRPr="00B90523">
              <w:rPr>
                <w:rFonts w:ascii="Arial Narrow" w:hAnsi="Arial Narrow"/>
                <w:b/>
                <w:bCs/>
                <w:sz w:val="20"/>
                <w:szCs w:val="20"/>
              </w:rPr>
              <w:t>MEDICINAL PRODUCT</w:t>
            </w:r>
          </w:p>
          <w:p w14:paraId="13BE772B" w14:textId="77777777" w:rsidR="00EF105B" w:rsidRPr="00B90523" w:rsidRDefault="00EF105B" w:rsidP="002503FB">
            <w:pPr>
              <w:keepNext/>
              <w:ind w:left="-57"/>
              <w:rPr>
                <w:rFonts w:ascii="Arial Narrow" w:hAnsi="Arial Narrow"/>
                <w:b/>
                <w:sz w:val="20"/>
                <w:szCs w:val="20"/>
              </w:rPr>
            </w:pPr>
            <w:r w:rsidRPr="00B90523">
              <w:rPr>
                <w:rFonts w:ascii="Arial Narrow" w:hAnsi="Arial Narrow"/>
                <w:b/>
                <w:bCs/>
                <w:sz w:val="20"/>
                <w:szCs w:val="20"/>
              </w:rPr>
              <w:t>medicinal product pack</w:t>
            </w:r>
          </w:p>
        </w:tc>
        <w:tc>
          <w:tcPr>
            <w:tcW w:w="1134" w:type="dxa"/>
          </w:tcPr>
          <w:p w14:paraId="0CEE59E2"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PBS item code</w:t>
            </w:r>
          </w:p>
        </w:tc>
        <w:tc>
          <w:tcPr>
            <w:tcW w:w="992" w:type="dxa"/>
          </w:tcPr>
          <w:p w14:paraId="2EFADB7D"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Max. qty packs</w:t>
            </w:r>
          </w:p>
        </w:tc>
        <w:tc>
          <w:tcPr>
            <w:tcW w:w="1134" w:type="dxa"/>
          </w:tcPr>
          <w:p w14:paraId="68C32093"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Max. qty units</w:t>
            </w:r>
          </w:p>
        </w:tc>
        <w:tc>
          <w:tcPr>
            <w:tcW w:w="1134" w:type="dxa"/>
          </w:tcPr>
          <w:p w14:paraId="20C5A343"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№.of</w:t>
            </w:r>
          </w:p>
          <w:p w14:paraId="5914FE7B"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Rpts</w:t>
            </w:r>
          </w:p>
        </w:tc>
        <w:tc>
          <w:tcPr>
            <w:tcW w:w="1417" w:type="dxa"/>
          </w:tcPr>
          <w:p w14:paraId="157396EB" w14:textId="77777777" w:rsidR="00EF105B" w:rsidRPr="00B90523" w:rsidRDefault="00EF105B" w:rsidP="002503FB">
            <w:pPr>
              <w:keepNext/>
              <w:rPr>
                <w:rFonts w:ascii="Arial Narrow" w:hAnsi="Arial Narrow"/>
                <w:b/>
                <w:sz w:val="20"/>
                <w:szCs w:val="20"/>
                <w:lang w:val="fr-FR"/>
              </w:rPr>
            </w:pPr>
            <w:r w:rsidRPr="00B90523">
              <w:rPr>
                <w:rFonts w:ascii="Arial Narrow" w:hAnsi="Arial Narrow"/>
                <w:b/>
                <w:sz w:val="20"/>
                <w:szCs w:val="20"/>
              </w:rPr>
              <w:t>Available brands</w:t>
            </w:r>
          </w:p>
        </w:tc>
      </w:tr>
      <w:tr w:rsidR="00EF105B" w:rsidRPr="00B90523" w14:paraId="3A9CCAEE" w14:textId="77777777" w:rsidTr="002503FB">
        <w:trPr>
          <w:cantSplit/>
          <w:trHeight w:val="224"/>
        </w:trPr>
        <w:tc>
          <w:tcPr>
            <w:tcW w:w="9067" w:type="dxa"/>
            <w:gridSpan w:val="8"/>
          </w:tcPr>
          <w:p w14:paraId="3090B5D7"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UPADACITINIB</w:t>
            </w:r>
          </w:p>
        </w:tc>
      </w:tr>
      <w:tr w:rsidR="00EF105B" w:rsidRPr="00B90523" w14:paraId="26458E26" w14:textId="77777777" w:rsidTr="002503FB">
        <w:trPr>
          <w:cantSplit/>
          <w:trHeight w:val="553"/>
        </w:trPr>
        <w:tc>
          <w:tcPr>
            <w:tcW w:w="3256" w:type="dxa"/>
            <w:gridSpan w:val="3"/>
          </w:tcPr>
          <w:p w14:paraId="2C21CD6D"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upadacitinib 15 mg modified release tablet, 28</w:t>
            </w:r>
          </w:p>
        </w:tc>
        <w:tc>
          <w:tcPr>
            <w:tcW w:w="1134" w:type="dxa"/>
          </w:tcPr>
          <w:p w14:paraId="27D29495"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NEW</w:t>
            </w:r>
          </w:p>
        </w:tc>
        <w:tc>
          <w:tcPr>
            <w:tcW w:w="992" w:type="dxa"/>
          </w:tcPr>
          <w:p w14:paraId="549AE4A1"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p w14:paraId="5B33000E" w14:textId="77777777" w:rsidR="00EF105B" w:rsidRPr="00B90523" w:rsidRDefault="00EF105B" w:rsidP="00D70468">
            <w:pPr>
              <w:keepNext/>
              <w:rPr>
                <w:rFonts w:ascii="Arial Narrow" w:hAnsi="Arial Narrow"/>
                <w:sz w:val="20"/>
                <w:szCs w:val="20"/>
              </w:rPr>
            </w:pPr>
          </w:p>
        </w:tc>
        <w:tc>
          <w:tcPr>
            <w:tcW w:w="1134" w:type="dxa"/>
          </w:tcPr>
          <w:p w14:paraId="4E95F15A"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28</w:t>
            </w:r>
          </w:p>
          <w:p w14:paraId="11F59241" w14:textId="77777777" w:rsidR="00EF105B" w:rsidRPr="00B90523" w:rsidRDefault="00EF105B" w:rsidP="00D70468">
            <w:pPr>
              <w:keepNext/>
              <w:rPr>
                <w:rFonts w:ascii="Arial Narrow" w:hAnsi="Arial Narrow"/>
                <w:sz w:val="20"/>
                <w:szCs w:val="20"/>
              </w:rPr>
            </w:pPr>
          </w:p>
        </w:tc>
        <w:tc>
          <w:tcPr>
            <w:tcW w:w="1134" w:type="dxa"/>
          </w:tcPr>
          <w:p w14:paraId="14F88DF9"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5</w:t>
            </w:r>
          </w:p>
          <w:p w14:paraId="1E6B5271" w14:textId="04B001EB" w:rsidR="00EF105B" w:rsidRPr="00B90523" w:rsidRDefault="00EF105B" w:rsidP="002503FB">
            <w:pPr>
              <w:keepNext/>
              <w:jc w:val="center"/>
              <w:rPr>
                <w:rFonts w:ascii="Arial Narrow" w:hAnsi="Arial Narrow"/>
                <w:sz w:val="20"/>
                <w:szCs w:val="20"/>
              </w:rPr>
            </w:pPr>
          </w:p>
        </w:tc>
        <w:tc>
          <w:tcPr>
            <w:tcW w:w="1417" w:type="dxa"/>
          </w:tcPr>
          <w:p w14:paraId="16466962" w14:textId="77777777" w:rsidR="00EF105B" w:rsidRPr="00B90523" w:rsidRDefault="00EF105B" w:rsidP="002503FB">
            <w:pPr>
              <w:keepNext/>
              <w:rPr>
                <w:rFonts w:ascii="Arial Narrow" w:hAnsi="Arial Narrow"/>
                <w:sz w:val="20"/>
                <w:szCs w:val="20"/>
              </w:rPr>
            </w:pPr>
            <w:r w:rsidRPr="00B90523">
              <w:rPr>
                <w:rFonts w:ascii="Arial Narrow" w:hAnsi="Arial Narrow"/>
                <w:sz w:val="20"/>
                <w:szCs w:val="20"/>
              </w:rPr>
              <w:t>Rinvoq</w:t>
            </w:r>
          </w:p>
        </w:tc>
      </w:tr>
      <w:tr w:rsidR="00EF105B" w:rsidRPr="00B90523" w14:paraId="709839D1" w14:textId="77777777" w:rsidTr="002503FB">
        <w:trPr>
          <w:cantSplit/>
          <w:trHeight w:val="194"/>
        </w:trPr>
        <w:tc>
          <w:tcPr>
            <w:tcW w:w="3256" w:type="dxa"/>
            <w:gridSpan w:val="3"/>
          </w:tcPr>
          <w:p w14:paraId="556B0E76"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upadacitinib 30 mg modified release tablet, 28</w:t>
            </w:r>
          </w:p>
        </w:tc>
        <w:tc>
          <w:tcPr>
            <w:tcW w:w="1134" w:type="dxa"/>
          </w:tcPr>
          <w:p w14:paraId="0716A9B9"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NEW</w:t>
            </w:r>
          </w:p>
        </w:tc>
        <w:tc>
          <w:tcPr>
            <w:tcW w:w="992" w:type="dxa"/>
          </w:tcPr>
          <w:p w14:paraId="0B79E46B"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tc>
        <w:tc>
          <w:tcPr>
            <w:tcW w:w="1134" w:type="dxa"/>
          </w:tcPr>
          <w:p w14:paraId="5E3C97EA"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28</w:t>
            </w:r>
          </w:p>
        </w:tc>
        <w:tc>
          <w:tcPr>
            <w:tcW w:w="1134" w:type="dxa"/>
          </w:tcPr>
          <w:p w14:paraId="559CCAF1"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5</w:t>
            </w:r>
          </w:p>
        </w:tc>
        <w:tc>
          <w:tcPr>
            <w:tcW w:w="1417" w:type="dxa"/>
          </w:tcPr>
          <w:p w14:paraId="7B225EB5" w14:textId="77777777" w:rsidR="00EF105B" w:rsidRPr="00B90523" w:rsidRDefault="00EF105B" w:rsidP="002503FB">
            <w:pPr>
              <w:keepNext/>
              <w:rPr>
                <w:rFonts w:ascii="Arial Narrow" w:hAnsi="Arial Narrow"/>
                <w:sz w:val="20"/>
                <w:szCs w:val="20"/>
              </w:rPr>
            </w:pPr>
            <w:r w:rsidRPr="00B90523">
              <w:rPr>
                <w:rFonts w:ascii="Arial Narrow" w:hAnsi="Arial Narrow"/>
                <w:sz w:val="20"/>
                <w:szCs w:val="20"/>
              </w:rPr>
              <w:t>Rinvoq</w:t>
            </w:r>
          </w:p>
        </w:tc>
      </w:tr>
      <w:tr w:rsidR="00EF105B" w:rsidRPr="00B90523" w14:paraId="5B4838E5" w14:textId="77777777" w:rsidTr="002503F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1AEEEEB4" w14:textId="77777777" w:rsidR="00EF105B" w:rsidRPr="00B90523" w:rsidRDefault="00EF105B" w:rsidP="002503FB">
            <w:pPr>
              <w:rPr>
                <w:rFonts w:ascii="Arial Narrow" w:hAnsi="Arial Narrow"/>
                <w:sz w:val="20"/>
                <w:szCs w:val="20"/>
              </w:rPr>
            </w:pPr>
          </w:p>
        </w:tc>
      </w:tr>
      <w:tr w:rsidR="00EF105B" w:rsidRPr="00B90523" w14:paraId="41B56F09" w14:textId="77777777" w:rsidTr="002503F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7CBB8A4C"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 xml:space="preserve">Restriction Summary based on 11942 as attached to tofacitinib/ Treatment of Concept:11883 </w:t>
            </w:r>
          </w:p>
        </w:tc>
      </w:tr>
      <w:tr w:rsidR="00EF105B" w:rsidRPr="00B90523" w14:paraId="513EFA61"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6871759F" w14:textId="77777777" w:rsidR="00EF105B" w:rsidRPr="00B90523" w:rsidRDefault="00EF105B" w:rsidP="002503FB">
            <w:pPr>
              <w:jc w:val="center"/>
              <w:rPr>
                <w:rFonts w:ascii="Arial Narrow" w:hAnsi="Arial Narrow"/>
                <w:b/>
                <w:sz w:val="20"/>
                <w:szCs w:val="20"/>
              </w:rPr>
            </w:pPr>
            <w:r w:rsidRPr="00B90523">
              <w:rPr>
                <w:rFonts w:ascii="Arial Narrow" w:hAnsi="Arial Narrow"/>
                <w:b/>
                <w:sz w:val="20"/>
                <w:szCs w:val="20"/>
              </w:rPr>
              <w:t>Concept ID</w:t>
            </w:r>
          </w:p>
          <w:p w14:paraId="63BA4E4B" w14:textId="77777777" w:rsidR="00EF105B" w:rsidRPr="00B90523" w:rsidRDefault="00EF105B" w:rsidP="002503FB">
            <w:pPr>
              <w:jc w:val="center"/>
              <w:rPr>
                <w:rFonts w:ascii="Arial Narrow" w:hAnsi="Arial Narrow"/>
                <w:sz w:val="20"/>
                <w:szCs w:val="20"/>
              </w:rPr>
            </w:pPr>
            <w:r w:rsidRPr="00B90523">
              <w:rPr>
                <w:rFonts w:ascii="Arial Narrow" w:hAnsi="Arial Narrow"/>
                <w:sz w:val="20"/>
                <w:szCs w:val="20"/>
              </w:rPr>
              <w:t>(for internal Dept. use)</w:t>
            </w:r>
          </w:p>
          <w:p w14:paraId="7D5A84E9" w14:textId="77777777" w:rsidR="00EF105B" w:rsidRPr="00B90523" w:rsidRDefault="00EF105B" w:rsidP="002503FB">
            <w:pPr>
              <w:rPr>
                <w:rFonts w:ascii="Arial Narrow" w:hAnsi="Arial Narrow"/>
                <w:b/>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4A9CD8B" w14:textId="77777777" w:rsidR="00EF105B" w:rsidRPr="00B90523" w:rsidRDefault="00EF105B" w:rsidP="002503FB">
            <w:pPr>
              <w:rPr>
                <w:rFonts w:ascii="Arial Narrow" w:hAnsi="Arial Narrow"/>
                <w:sz w:val="20"/>
                <w:szCs w:val="20"/>
              </w:rPr>
            </w:pPr>
            <w:r w:rsidRPr="00B90523">
              <w:rPr>
                <w:rFonts w:ascii="Arial Narrow" w:hAnsi="Arial Narrow"/>
                <w:b/>
                <w:sz w:val="20"/>
                <w:szCs w:val="20"/>
              </w:rPr>
              <w:t xml:space="preserve">Category / Program:   </w:t>
            </w:r>
            <w:r w:rsidRPr="00B90523">
              <w:rPr>
                <w:rFonts w:ascii="Arial Narrow" w:hAnsi="Arial Narrow"/>
                <w:sz w:val="20"/>
                <w:szCs w:val="20"/>
              </w:rPr>
              <w:t>General Schedule (Code GE)</w:t>
            </w:r>
          </w:p>
        </w:tc>
      </w:tr>
      <w:tr w:rsidR="00EF105B" w:rsidRPr="00B90523" w14:paraId="7C2A36B1" w14:textId="77777777" w:rsidTr="002503FB">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78182D82" w14:textId="77777777" w:rsidR="00EF105B" w:rsidRPr="00B90523" w:rsidRDefault="00EF105B" w:rsidP="002503FB">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296BF00"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 xml:space="preserve">Prescriber type:   </w:t>
            </w:r>
            <w:r w:rsidRPr="00B90523">
              <w:rPr>
                <w:rFonts w:ascii="Arial Narrow" w:hAnsi="Arial Narrow"/>
                <w:sz w:val="20"/>
                <w:szCs w:val="20"/>
              </w:rPr>
              <w:fldChar w:fldCharType="begin" w:fldLock="1">
                <w:ffData>
                  <w:name w:val=""/>
                  <w:enabled/>
                  <w:calcOnExit w:val="0"/>
                  <w:checkBox>
                    <w:sizeAuto/>
                    <w:default w:val="1"/>
                  </w:checkBox>
                </w:ffData>
              </w:fldChar>
            </w:r>
            <w:r w:rsidRPr="00B90523">
              <w:rPr>
                <w:rFonts w:ascii="Arial Narrow" w:hAnsi="Arial Narrow"/>
                <w:sz w:val="20"/>
                <w:szCs w:val="20"/>
              </w:rPr>
              <w:instrText xml:space="preserve"> FORMCHECKBOX </w:instrText>
            </w:r>
            <w:r w:rsidR="007225AD">
              <w:rPr>
                <w:rFonts w:ascii="Arial Narrow" w:hAnsi="Arial Narrow"/>
                <w:sz w:val="20"/>
                <w:szCs w:val="20"/>
              </w:rPr>
            </w:r>
            <w:r w:rsidR="007225AD">
              <w:rPr>
                <w:rFonts w:ascii="Arial Narrow" w:hAnsi="Arial Narrow"/>
                <w:sz w:val="20"/>
                <w:szCs w:val="20"/>
              </w:rPr>
              <w:fldChar w:fldCharType="separate"/>
            </w:r>
            <w:r w:rsidRPr="00B90523">
              <w:rPr>
                <w:rFonts w:ascii="Arial Narrow" w:hAnsi="Arial Narrow"/>
                <w:sz w:val="20"/>
                <w:szCs w:val="20"/>
              </w:rPr>
              <w:fldChar w:fldCharType="end"/>
            </w:r>
            <w:r w:rsidRPr="00B90523">
              <w:rPr>
                <w:rFonts w:ascii="Arial Narrow" w:hAnsi="Arial Narrow"/>
                <w:sz w:val="20"/>
                <w:szCs w:val="20"/>
              </w:rPr>
              <w:t xml:space="preserve">Medical Practitioners    </w:t>
            </w:r>
          </w:p>
        </w:tc>
      </w:tr>
      <w:tr w:rsidR="00EF105B" w:rsidRPr="00B90523" w14:paraId="6D4BB33F"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7A812061" w14:textId="77777777" w:rsidR="00EF105B" w:rsidRPr="00B90523" w:rsidRDefault="00EF105B" w:rsidP="002503FB">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6C421A6" w14:textId="77777777" w:rsidR="00EF105B" w:rsidRPr="00B90523" w:rsidRDefault="00EF105B" w:rsidP="002503FB">
            <w:pPr>
              <w:rPr>
                <w:rFonts w:ascii="Arial Narrow" w:eastAsia="Calibri" w:hAnsi="Arial Narrow"/>
                <w:color w:val="FF00FF"/>
                <w:sz w:val="20"/>
                <w:szCs w:val="20"/>
              </w:rPr>
            </w:pPr>
            <w:r w:rsidRPr="00B90523">
              <w:rPr>
                <w:rFonts w:ascii="Arial Narrow" w:hAnsi="Arial Narrow"/>
                <w:b/>
                <w:sz w:val="20"/>
                <w:szCs w:val="20"/>
              </w:rPr>
              <w:t xml:space="preserve">Restriction type: </w:t>
            </w:r>
            <w:r w:rsidRPr="00B90523">
              <w:rPr>
                <w:rFonts w:ascii="Arial Narrow" w:eastAsia="Calibri" w:hAnsi="Arial Narrow"/>
                <w:sz w:val="20"/>
                <w:szCs w:val="20"/>
              </w:rPr>
              <w:fldChar w:fldCharType="begin" w:fldLock="1">
                <w:ffData>
                  <w:name w:val=""/>
                  <w:enabled/>
                  <w:calcOnExit w:val="0"/>
                  <w:checkBox>
                    <w:sizeAuto/>
                    <w:default w:val="1"/>
                  </w:checkBox>
                </w:ffData>
              </w:fldChar>
            </w:r>
            <w:r w:rsidRPr="00B90523">
              <w:rPr>
                <w:rFonts w:ascii="Arial Narrow" w:eastAsia="Calibri" w:hAnsi="Arial Narrow"/>
                <w:sz w:val="20"/>
                <w:szCs w:val="20"/>
              </w:rPr>
              <w:instrText xml:space="preserve"> FORMCHECKBOX </w:instrText>
            </w:r>
            <w:r w:rsidR="007225AD">
              <w:rPr>
                <w:rFonts w:ascii="Arial Narrow" w:eastAsia="Calibri" w:hAnsi="Arial Narrow"/>
                <w:sz w:val="20"/>
                <w:szCs w:val="20"/>
              </w:rPr>
            </w:r>
            <w:r w:rsidR="007225AD">
              <w:rPr>
                <w:rFonts w:ascii="Arial Narrow" w:eastAsia="Calibri" w:hAnsi="Arial Narrow"/>
                <w:sz w:val="20"/>
                <w:szCs w:val="20"/>
              </w:rPr>
              <w:fldChar w:fldCharType="separate"/>
            </w:r>
            <w:r w:rsidRPr="00B90523">
              <w:rPr>
                <w:rFonts w:ascii="Arial Narrow" w:eastAsia="Calibri" w:hAnsi="Arial Narrow"/>
                <w:sz w:val="20"/>
                <w:szCs w:val="20"/>
              </w:rPr>
              <w:fldChar w:fldCharType="end"/>
            </w:r>
            <w:r w:rsidRPr="00B90523">
              <w:rPr>
                <w:rFonts w:ascii="Arial Narrow" w:eastAsia="Calibri" w:hAnsi="Arial Narrow"/>
                <w:sz w:val="20"/>
                <w:szCs w:val="20"/>
              </w:rPr>
              <w:t>Authority Required (</w:t>
            </w:r>
            <w:r w:rsidRPr="00B90523">
              <w:rPr>
                <w:rFonts w:ascii="Arial Narrow" w:eastAsia="Calibri" w:hAnsi="Arial Narrow"/>
                <w:strike/>
                <w:sz w:val="20"/>
                <w:szCs w:val="20"/>
              </w:rPr>
              <w:t xml:space="preserve">in writing only via post/HPOS upload </w:t>
            </w:r>
            <w:r w:rsidRPr="00B90523">
              <w:rPr>
                <w:rFonts w:ascii="Arial Narrow" w:eastAsia="Calibri" w:hAnsi="Arial Narrow"/>
                <w:sz w:val="20"/>
                <w:szCs w:val="20"/>
              </w:rPr>
              <w:t xml:space="preserve">telephone/online PBS Authorities system) </w:t>
            </w:r>
          </w:p>
        </w:tc>
      </w:tr>
      <w:tr w:rsidR="00EF105B" w:rsidRPr="00B90523" w14:paraId="23C12C86"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tcBorders>
              <w:left w:val="single" w:sz="4" w:space="0" w:color="auto"/>
              <w:bottom w:val="single" w:sz="4" w:space="0" w:color="auto"/>
              <w:right w:val="single" w:sz="4" w:space="0" w:color="auto"/>
            </w:tcBorders>
          </w:tcPr>
          <w:p w14:paraId="0C285ED7" w14:textId="77777777" w:rsidR="00EF105B" w:rsidRPr="00B90523" w:rsidRDefault="00EF105B" w:rsidP="002503FB">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03CB27C4" w14:textId="77777777" w:rsidR="00EF105B" w:rsidRPr="00B90523" w:rsidRDefault="00EF105B" w:rsidP="002503FB">
            <w:pPr>
              <w:rPr>
                <w:rFonts w:ascii="Arial Narrow" w:hAnsi="Arial Narrow"/>
                <w:b/>
                <w:sz w:val="20"/>
                <w:szCs w:val="20"/>
              </w:rPr>
            </w:pPr>
          </w:p>
        </w:tc>
      </w:tr>
      <w:tr w:rsidR="00EF105B" w:rsidRPr="00B90523" w14:paraId="3757FD84" w14:textId="77777777" w:rsidTr="002503FB">
        <w:tblPrEx>
          <w:tblCellMar>
            <w:top w:w="15" w:type="dxa"/>
            <w:left w:w="15" w:type="dxa"/>
            <w:bottom w:w="15" w:type="dxa"/>
            <w:right w:w="15" w:type="dxa"/>
          </w:tblCellMar>
          <w:tblLook w:val="04A0" w:firstRow="1" w:lastRow="0" w:firstColumn="1" w:lastColumn="0" w:noHBand="0" w:noVBand="1"/>
        </w:tblPrEx>
        <w:tc>
          <w:tcPr>
            <w:tcW w:w="490" w:type="dxa"/>
            <w:vMerge w:val="restart"/>
            <w:tcBorders>
              <w:left w:val="single" w:sz="4" w:space="0" w:color="auto"/>
              <w:right w:val="single" w:sz="4" w:space="0" w:color="auto"/>
            </w:tcBorders>
            <w:textDirection w:val="btLr"/>
          </w:tcPr>
          <w:p w14:paraId="44D5CB80" w14:textId="6F4638C9" w:rsidR="00EF105B" w:rsidRPr="00B90523" w:rsidRDefault="00EF105B" w:rsidP="002503FB">
            <w:pPr>
              <w:ind w:left="113" w:right="113"/>
              <w:rPr>
                <w:rFonts w:ascii="Arial Narrow" w:hAnsi="Arial Narrow"/>
                <w:sz w:val="20"/>
                <w:szCs w:val="20"/>
              </w:rPr>
            </w:pPr>
          </w:p>
        </w:tc>
        <w:tc>
          <w:tcPr>
            <w:tcW w:w="491" w:type="dxa"/>
            <w:vAlign w:val="center"/>
          </w:tcPr>
          <w:p w14:paraId="58ECB787" w14:textId="73FD5B7F"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0C49A192"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Administrative Advice:</w:t>
            </w:r>
          </w:p>
          <w:p w14:paraId="7FC80440" w14:textId="77777777" w:rsidR="00EF105B" w:rsidRPr="00B90523" w:rsidRDefault="00EF105B" w:rsidP="002503FB">
            <w:pPr>
              <w:rPr>
                <w:rFonts w:ascii="Arial Narrow" w:hAnsi="Arial Narrow"/>
                <w:color w:val="333333"/>
                <w:sz w:val="20"/>
                <w:szCs w:val="20"/>
              </w:rPr>
            </w:pPr>
            <w:r w:rsidRPr="00B90523">
              <w:rPr>
                <w:rFonts w:ascii="Arial Narrow" w:hAnsi="Arial Narrow"/>
                <w:sz w:val="20"/>
                <w:szCs w:val="20"/>
              </w:rPr>
              <w:t>Changes to common administrative advice concept 27221 at the end of this section.</w:t>
            </w:r>
          </w:p>
        </w:tc>
      </w:tr>
      <w:tr w:rsidR="00EF105B" w:rsidRPr="00B90523" w14:paraId="76C12A0B" w14:textId="77777777" w:rsidTr="002503FB">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cPr>
          <w:p w14:paraId="45A58AF1" w14:textId="77777777" w:rsidR="00EF105B" w:rsidRPr="00B90523" w:rsidRDefault="00EF105B" w:rsidP="002503FB">
            <w:pPr>
              <w:rPr>
                <w:rFonts w:ascii="Arial Narrow" w:hAnsi="Arial Narrow"/>
                <w:sz w:val="20"/>
                <w:szCs w:val="20"/>
              </w:rPr>
            </w:pPr>
          </w:p>
        </w:tc>
        <w:tc>
          <w:tcPr>
            <w:tcW w:w="491" w:type="dxa"/>
            <w:vAlign w:val="center"/>
          </w:tcPr>
          <w:p w14:paraId="7AD01F28" w14:textId="59AC074E"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1D48390B"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 xml:space="preserve">Administrative Advice: </w:t>
            </w:r>
            <w:r w:rsidRPr="00B90523">
              <w:rPr>
                <w:rFonts w:ascii="Arial Narrow" w:hAnsi="Arial Narrow"/>
                <w:color w:val="333333"/>
                <w:sz w:val="20"/>
                <w:szCs w:val="20"/>
              </w:rPr>
              <w:t>No increase in the maximum quantity or number of units may be authorised.</w:t>
            </w:r>
          </w:p>
        </w:tc>
      </w:tr>
      <w:tr w:rsidR="00EF105B" w:rsidRPr="00B90523" w14:paraId="082919EE" w14:textId="77777777" w:rsidTr="002503FB">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cPr>
          <w:p w14:paraId="6B76DA09" w14:textId="77777777" w:rsidR="00EF105B" w:rsidRPr="00B90523" w:rsidRDefault="00EF105B" w:rsidP="002503FB">
            <w:pPr>
              <w:rPr>
                <w:rFonts w:ascii="Arial Narrow" w:hAnsi="Arial Narrow"/>
                <w:sz w:val="20"/>
                <w:szCs w:val="20"/>
              </w:rPr>
            </w:pPr>
          </w:p>
        </w:tc>
        <w:tc>
          <w:tcPr>
            <w:tcW w:w="491" w:type="dxa"/>
            <w:vAlign w:val="center"/>
          </w:tcPr>
          <w:p w14:paraId="499776CB" w14:textId="37A11207"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52B51666"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 xml:space="preserve">Administrative Advice: </w:t>
            </w:r>
            <w:r w:rsidRPr="00B90523">
              <w:rPr>
                <w:rFonts w:ascii="Arial Narrow" w:hAnsi="Arial Narrow"/>
                <w:color w:val="333333"/>
                <w:sz w:val="20"/>
                <w:szCs w:val="20"/>
              </w:rPr>
              <w:t>No increase in the maximum number of repeats may be authorised.</w:t>
            </w:r>
          </w:p>
        </w:tc>
      </w:tr>
      <w:tr w:rsidR="00EF105B" w:rsidRPr="00B90523" w14:paraId="74D60F56" w14:textId="77777777" w:rsidTr="002503FB">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bottom w:val="single" w:sz="4" w:space="0" w:color="auto"/>
              <w:right w:val="single" w:sz="4" w:space="0" w:color="auto"/>
            </w:tcBorders>
          </w:tcPr>
          <w:p w14:paraId="2BD46EE4" w14:textId="77777777" w:rsidR="00EF105B" w:rsidRPr="00B90523" w:rsidRDefault="00EF105B" w:rsidP="002503FB">
            <w:pPr>
              <w:rPr>
                <w:rFonts w:ascii="Arial Narrow" w:hAnsi="Arial Narrow"/>
                <w:sz w:val="20"/>
                <w:szCs w:val="20"/>
              </w:rPr>
            </w:pPr>
          </w:p>
        </w:tc>
        <w:tc>
          <w:tcPr>
            <w:tcW w:w="491" w:type="dxa"/>
            <w:vAlign w:val="center"/>
          </w:tcPr>
          <w:p w14:paraId="0FAEF9D9" w14:textId="393D7674"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46B3A537"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 xml:space="preserve">Administrative Advice: </w:t>
            </w:r>
            <w:r w:rsidRPr="00B90523">
              <w:rPr>
                <w:rFonts w:ascii="Arial Narrow" w:hAnsi="Arial Narrow"/>
                <w:color w:val="333333"/>
                <w:sz w:val="20"/>
                <w:szCs w:val="20"/>
              </w:rPr>
              <w:t>Special Pricing Arrangements apply.</w:t>
            </w:r>
          </w:p>
        </w:tc>
      </w:tr>
      <w:tr w:rsidR="00EF105B" w:rsidRPr="00B90523" w14:paraId="11479937"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31746B5" w14:textId="05F606CD"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3F008052"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Indication:</w:t>
            </w:r>
            <w:r w:rsidRPr="00B90523">
              <w:rPr>
                <w:rFonts w:ascii="Arial Narrow" w:hAnsi="Arial Narrow"/>
                <w:color w:val="333333"/>
                <w:sz w:val="20"/>
                <w:szCs w:val="20"/>
              </w:rPr>
              <w:t xml:space="preserve"> Moderate to severe ulcerative colitis</w:t>
            </w:r>
          </w:p>
        </w:tc>
      </w:tr>
      <w:tr w:rsidR="00EF105B" w:rsidRPr="00B90523" w14:paraId="43ACA990"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2CD9B24"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24C5647C" w14:textId="77777777" w:rsidR="00EF105B" w:rsidRPr="00B90523" w:rsidRDefault="00EF105B" w:rsidP="002503FB">
            <w:pPr>
              <w:rPr>
                <w:rFonts w:ascii="Arial Narrow" w:hAnsi="Arial Narrow"/>
                <w:color w:val="FF00FF"/>
                <w:sz w:val="20"/>
                <w:szCs w:val="20"/>
              </w:rPr>
            </w:pPr>
            <w:r w:rsidRPr="00B90523">
              <w:rPr>
                <w:rFonts w:ascii="Arial Narrow" w:hAnsi="Arial Narrow"/>
                <w:b/>
                <w:bCs/>
                <w:color w:val="333333"/>
                <w:sz w:val="20"/>
                <w:szCs w:val="20"/>
              </w:rPr>
              <w:t>Treatment Phase:</w:t>
            </w:r>
            <w:r w:rsidRPr="00B90523">
              <w:rPr>
                <w:rFonts w:ascii="Arial Narrow" w:hAnsi="Arial Narrow"/>
                <w:color w:val="FF0000"/>
                <w:sz w:val="20"/>
                <w:szCs w:val="20"/>
              </w:rPr>
              <w:t xml:space="preserve"> </w:t>
            </w:r>
            <w:r w:rsidRPr="00B90523">
              <w:rPr>
                <w:rFonts w:ascii="Arial Narrow" w:hAnsi="Arial Narrow"/>
                <w:sz w:val="20"/>
                <w:szCs w:val="20"/>
              </w:rPr>
              <w:t>Continuing treatment</w:t>
            </w:r>
          </w:p>
        </w:tc>
      </w:tr>
      <w:tr w:rsidR="00EF105B" w:rsidRPr="00B90523" w14:paraId="2CD0928D"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532D15B"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499679EF" w14:textId="77777777" w:rsidR="00EF105B" w:rsidRPr="00B90523" w:rsidRDefault="00EF105B" w:rsidP="002503FB">
            <w:pPr>
              <w:rPr>
                <w:rFonts w:ascii="Arial Narrow" w:hAnsi="Arial Narrow"/>
                <w:color w:val="FF00FF"/>
                <w:sz w:val="20"/>
                <w:szCs w:val="20"/>
              </w:rPr>
            </w:pPr>
            <w:r w:rsidRPr="00B90523">
              <w:rPr>
                <w:rFonts w:ascii="Arial Narrow" w:hAnsi="Arial Narrow"/>
                <w:b/>
                <w:bCs/>
                <w:color w:val="333333"/>
                <w:sz w:val="20"/>
                <w:szCs w:val="20"/>
              </w:rPr>
              <w:t xml:space="preserve">Treatment criteria: </w:t>
            </w:r>
          </w:p>
        </w:tc>
      </w:tr>
      <w:tr w:rsidR="00EF105B" w:rsidRPr="00B90523" w14:paraId="02F05671"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893050F" w14:textId="38185DF0"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1B36087D"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gastroenterologist (code 87); OR</w:t>
            </w:r>
          </w:p>
        </w:tc>
      </w:tr>
      <w:tr w:rsidR="00EF105B" w:rsidRPr="00B90523" w14:paraId="560F7BD2"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930D4E9" w14:textId="19D8A199"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4164E0C3"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[internal medicine specialising in gastroenterology (code 81)]; OR</w:t>
            </w:r>
          </w:p>
        </w:tc>
      </w:tr>
      <w:tr w:rsidR="00EF105B" w:rsidRPr="00B90523" w14:paraId="55DAA1BC"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B0DFF1B" w14:textId="26BC2328"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53008427"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[general medicine specialising in gastroenterology (code 82)].</w:t>
            </w:r>
          </w:p>
        </w:tc>
      </w:tr>
      <w:tr w:rsidR="00EF105B" w:rsidRPr="00B90523" w14:paraId="04CC2E16"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F7B93C5"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02E0CAAE"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AND</w:t>
            </w:r>
          </w:p>
        </w:tc>
      </w:tr>
      <w:tr w:rsidR="00EF105B" w:rsidRPr="00B90523" w14:paraId="27EC31F6"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810B04D" w14:textId="1A9D6E54"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23484E2F"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Clinical criteria:</w:t>
            </w:r>
          </w:p>
        </w:tc>
      </w:tr>
      <w:tr w:rsidR="00EF105B" w:rsidRPr="00B90523" w14:paraId="688FC1F0"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B457423" w14:textId="249E5A38"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228522AB" w14:textId="77777777" w:rsidR="00EF105B" w:rsidRPr="00B90523" w:rsidRDefault="00EF105B" w:rsidP="002503FB">
            <w:pPr>
              <w:rPr>
                <w:rFonts w:ascii="Arial Narrow" w:hAnsi="Arial Narrow"/>
                <w:color w:val="FF0000"/>
                <w:sz w:val="20"/>
                <w:szCs w:val="20"/>
              </w:rPr>
            </w:pPr>
            <w:r w:rsidRPr="00B90523">
              <w:rPr>
                <w:rFonts w:ascii="Arial Narrow" w:hAnsi="Arial Narrow"/>
                <w:sz w:val="20"/>
                <w:szCs w:val="20"/>
              </w:rPr>
              <w:t>Patient must have previously received PBS-subsidised treatment with this drug for this condition</w:t>
            </w:r>
          </w:p>
        </w:tc>
      </w:tr>
      <w:tr w:rsidR="00EF105B" w:rsidRPr="00B90523" w14:paraId="2123C6B5"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E100524"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77A21C47"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AND</w:t>
            </w:r>
          </w:p>
        </w:tc>
      </w:tr>
      <w:tr w:rsidR="00EF105B" w:rsidRPr="00B90523" w14:paraId="2EDC147B"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48ACB6B" w14:textId="69F7D7AE"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0BAAB485"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Clinical criteria:</w:t>
            </w:r>
          </w:p>
        </w:tc>
      </w:tr>
      <w:tr w:rsidR="00EF105B" w:rsidRPr="00B90523" w14:paraId="75BE584E"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C0A7512" w14:textId="641A1709"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483A0AD5"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have demonstrated or sustained an adequate response to treatment by having a partial Mayo clinic score less than or equal to 2, with no subscore greater than 1 while receiving treatment with this drug</w:t>
            </w:r>
          </w:p>
        </w:tc>
      </w:tr>
      <w:tr w:rsidR="00EF105B" w:rsidRPr="00B90523" w14:paraId="06618738" w14:textId="77777777" w:rsidTr="002503FB">
        <w:tblPrEx>
          <w:tblCellMar>
            <w:top w:w="15" w:type="dxa"/>
            <w:left w:w="15" w:type="dxa"/>
            <w:bottom w:w="15" w:type="dxa"/>
            <w:right w:w="15" w:type="dxa"/>
          </w:tblCellMar>
          <w:tblLook w:val="04A0" w:firstRow="1" w:lastRow="0" w:firstColumn="1" w:lastColumn="0" w:noHBand="0" w:noVBand="1"/>
        </w:tblPrEx>
        <w:trPr>
          <w:trHeight w:val="55"/>
        </w:trPr>
        <w:tc>
          <w:tcPr>
            <w:tcW w:w="981" w:type="dxa"/>
            <w:gridSpan w:val="2"/>
            <w:vAlign w:val="center"/>
          </w:tcPr>
          <w:p w14:paraId="224E9AC1"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3C939FAD"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AND</w:t>
            </w:r>
          </w:p>
        </w:tc>
      </w:tr>
      <w:tr w:rsidR="00EF105B" w:rsidRPr="00B90523" w14:paraId="78E01558"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68D1AE0" w14:textId="57F29287"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4E4CF1AB"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Population criteria:</w:t>
            </w:r>
          </w:p>
        </w:tc>
      </w:tr>
      <w:tr w:rsidR="00EF105B" w:rsidRPr="00B90523" w14:paraId="76017513"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79FC435" w14:textId="0FEC3237"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57370D2E" w14:textId="77777777" w:rsidR="00EF105B" w:rsidRPr="00B90523" w:rsidRDefault="00EF105B" w:rsidP="002503FB">
            <w:pPr>
              <w:rPr>
                <w:rFonts w:ascii="Arial Narrow" w:hAnsi="Arial Narrow"/>
                <w:color w:val="333333"/>
                <w:sz w:val="20"/>
                <w:szCs w:val="20"/>
              </w:rPr>
            </w:pPr>
            <w:r w:rsidRPr="00B90523">
              <w:rPr>
                <w:rFonts w:ascii="Arial Narrow" w:hAnsi="Arial Narrow"/>
                <w:sz w:val="20"/>
                <w:szCs w:val="20"/>
              </w:rPr>
              <w:t>Patient must be aged 18 years or older</w:t>
            </w:r>
          </w:p>
        </w:tc>
      </w:tr>
      <w:tr w:rsidR="00EF105B" w:rsidRPr="00B90523" w14:paraId="124B4A87"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0F5522A"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4E5DDD43"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 xml:space="preserve">Prescribing Instructions: </w:t>
            </w:r>
          </w:p>
          <w:p w14:paraId="01FE428A" w14:textId="77777777" w:rsidR="00EF105B" w:rsidRPr="00B90523" w:rsidRDefault="00EF105B" w:rsidP="002503FB">
            <w:pPr>
              <w:rPr>
                <w:rFonts w:ascii="Arial Narrow" w:hAnsi="Arial Narrow"/>
                <w:color w:val="FF0000"/>
                <w:sz w:val="20"/>
                <w:szCs w:val="20"/>
              </w:rPr>
            </w:pPr>
            <w:r w:rsidRPr="00B90523">
              <w:rPr>
                <w:rFonts w:ascii="Arial Narrow" w:hAnsi="Arial Narrow"/>
                <w:color w:val="333333"/>
                <w:sz w:val="20"/>
                <w:szCs w:val="20"/>
              </w:rPr>
              <w:t>Items 17150, 17047, 19535, 26394, 23934, 26614  and 23943 should apply.</w:t>
            </w:r>
          </w:p>
        </w:tc>
      </w:tr>
      <w:tr w:rsidR="00EF105B" w:rsidRPr="00B90523" w14:paraId="1A67095D"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D76DED4" w14:textId="734F3468"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044F6E4B"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Administrative advice:</w:t>
            </w:r>
          </w:p>
          <w:p w14:paraId="7646EFB6"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F105B" w:rsidRPr="00B90523" w14:paraId="3A9CE2F2" w14:textId="77777777" w:rsidTr="002503FB">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7DDEEC27" w14:textId="77777777" w:rsidR="00EF105B" w:rsidRPr="00B90523" w:rsidRDefault="00EF105B" w:rsidP="002503FB">
            <w:pPr>
              <w:rPr>
                <w:rFonts w:ascii="Arial Narrow" w:hAnsi="Arial Narrow"/>
                <w:b/>
                <w:bCs/>
                <w:color w:val="333333"/>
                <w:sz w:val="20"/>
                <w:szCs w:val="20"/>
              </w:rPr>
            </w:pPr>
          </w:p>
          <w:p w14:paraId="6C169D49" w14:textId="77777777" w:rsidR="00EF105B" w:rsidRPr="00B90523" w:rsidRDefault="00EF105B" w:rsidP="002503FB">
            <w:pPr>
              <w:rPr>
                <w:rFonts w:ascii="Arial Narrow" w:hAnsi="Arial Narrow"/>
                <w:b/>
                <w:bCs/>
                <w:color w:val="333333"/>
                <w:sz w:val="20"/>
                <w:szCs w:val="20"/>
              </w:rPr>
            </w:pPr>
          </w:p>
        </w:tc>
      </w:tr>
      <w:tr w:rsidR="00EF105B" w:rsidRPr="00B90523" w14:paraId="39DE553D" w14:textId="77777777" w:rsidTr="002503F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2FBB2745"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Restriction Summary New (based on 12279 tofacitinib’s GF listing underneath Continuing treatment, but with 3 variations)  / Treatment of Concept: New (based on 12317)</w:t>
            </w:r>
          </w:p>
        </w:tc>
      </w:tr>
      <w:tr w:rsidR="00EF105B" w:rsidRPr="00B90523" w14:paraId="2A026516"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178D077" w14:textId="409A5E1C"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32E22DC3"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Indication:</w:t>
            </w:r>
            <w:r w:rsidRPr="00B90523">
              <w:rPr>
                <w:rFonts w:ascii="Arial Narrow" w:hAnsi="Arial Narrow"/>
                <w:color w:val="333333"/>
                <w:sz w:val="20"/>
                <w:szCs w:val="20"/>
              </w:rPr>
              <w:t xml:space="preserve"> Moderate to severe ulcerative colitis</w:t>
            </w:r>
          </w:p>
        </w:tc>
      </w:tr>
      <w:tr w:rsidR="00EF105B" w:rsidRPr="00B90523" w14:paraId="5287B428"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8ECCF44"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6FD8281C" w14:textId="77777777" w:rsidR="00EF105B" w:rsidRPr="00B90523" w:rsidRDefault="00EF105B" w:rsidP="002503FB">
            <w:pPr>
              <w:rPr>
                <w:rFonts w:ascii="Arial Narrow" w:hAnsi="Arial Narrow"/>
                <w:b/>
                <w:bCs/>
                <w:color w:val="333333"/>
                <w:sz w:val="20"/>
                <w:szCs w:val="20"/>
              </w:rPr>
            </w:pPr>
          </w:p>
        </w:tc>
      </w:tr>
      <w:tr w:rsidR="00EF105B" w:rsidRPr="00B90523" w14:paraId="07D0DEA6"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B173148" w14:textId="7D193A66"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03CA6D54" w14:textId="77777777" w:rsidR="00EF105B" w:rsidRPr="00B90523" w:rsidRDefault="00EF105B" w:rsidP="002503FB">
            <w:pPr>
              <w:rPr>
                <w:rFonts w:ascii="Arial Narrow" w:hAnsi="Arial Narrow"/>
                <w:color w:val="FF00FF"/>
                <w:sz w:val="20"/>
                <w:szCs w:val="20"/>
              </w:rPr>
            </w:pPr>
            <w:r w:rsidRPr="00B90523">
              <w:rPr>
                <w:rFonts w:ascii="Arial Narrow" w:hAnsi="Arial Narrow"/>
                <w:b/>
                <w:bCs/>
                <w:color w:val="333333"/>
                <w:sz w:val="20"/>
                <w:szCs w:val="20"/>
              </w:rPr>
              <w:t>Treatment Phase:</w:t>
            </w:r>
            <w:r w:rsidRPr="00B90523">
              <w:rPr>
                <w:rFonts w:ascii="Arial Narrow" w:hAnsi="Arial Narrow"/>
                <w:color w:val="FF0000"/>
                <w:sz w:val="20"/>
                <w:szCs w:val="20"/>
              </w:rPr>
              <w:t xml:space="preserve"> </w:t>
            </w:r>
            <w:r w:rsidRPr="00B90523">
              <w:rPr>
                <w:rFonts w:ascii="Arial Narrow" w:hAnsi="Arial Narrow"/>
                <w:sz w:val="20"/>
                <w:szCs w:val="20"/>
              </w:rPr>
              <w:t>Transitioning from non-PBS to PBS-subsidised supply  – ‘Grandfather’ arrangements</w:t>
            </w:r>
          </w:p>
        </w:tc>
      </w:tr>
      <w:tr w:rsidR="00EF105B" w:rsidRPr="00B90523" w14:paraId="6EA7EEDF"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2FA4372"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05FA4EA6" w14:textId="77777777" w:rsidR="00EF105B" w:rsidRPr="00B90523" w:rsidRDefault="00EF105B" w:rsidP="002503FB">
            <w:pPr>
              <w:rPr>
                <w:rFonts w:ascii="Arial Narrow" w:hAnsi="Arial Narrow"/>
                <w:b/>
                <w:bCs/>
                <w:color w:val="333333"/>
                <w:sz w:val="20"/>
                <w:szCs w:val="20"/>
              </w:rPr>
            </w:pPr>
          </w:p>
        </w:tc>
      </w:tr>
      <w:tr w:rsidR="00EF105B" w:rsidRPr="00B90523" w14:paraId="02BFABDB"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E2FE39F"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1E3C1A0A" w14:textId="77777777" w:rsidR="00EF105B" w:rsidRPr="00B90523" w:rsidRDefault="00EF105B" w:rsidP="002503FB">
            <w:pPr>
              <w:rPr>
                <w:rFonts w:ascii="Arial Narrow" w:hAnsi="Arial Narrow"/>
                <w:color w:val="FF00FF"/>
                <w:sz w:val="20"/>
                <w:szCs w:val="20"/>
              </w:rPr>
            </w:pPr>
            <w:r w:rsidRPr="00B90523">
              <w:rPr>
                <w:rFonts w:ascii="Arial Narrow" w:hAnsi="Arial Narrow"/>
                <w:b/>
                <w:bCs/>
                <w:color w:val="333333"/>
                <w:sz w:val="20"/>
                <w:szCs w:val="20"/>
              </w:rPr>
              <w:t xml:space="preserve">Treatment criteria: </w:t>
            </w:r>
          </w:p>
        </w:tc>
      </w:tr>
      <w:tr w:rsidR="00EF105B" w:rsidRPr="00B90523" w14:paraId="2BD19E67"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E30A935" w14:textId="46945C22"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7BD81604"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gastroenterologist (code 87); OR</w:t>
            </w:r>
          </w:p>
        </w:tc>
      </w:tr>
      <w:tr w:rsidR="00EF105B" w:rsidRPr="00B90523" w14:paraId="66530E05"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3B68E24" w14:textId="449F641C"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2D77C1D0"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[internal medicine specialising in gastroenterology (code 81)]; OR</w:t>
            </w:r>
          </w:p>
        </w:tc>
      </w:tr>
      <w:tr w:rsidR="00EF105B" w:rsidRPr="00B90523" w14:paraId="767D2875"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B4DBE45" w14:textId="31D06542"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1089187D"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[general medicine specialising in gastroenterology (code 82)].</w:t>
            </w:r>
          </w:p>
        </w:tc>
      </w:tr>
      <w:tr w:rsidR="00EF105B" w:rsidRPr="00B90523" w14:paraId="635ECA29"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A86016C"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41F15BE2"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AND</w:t>
            </w:r>
          </w:p>
        </w:tc>
      </w:tr>
      <w:tr w:rsidR="00EF105B" w:rsidRPr="00B90523" w14:paraId="24E7DF07"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67E77A9" w14:textId="22C95BB6"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7CC17664"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Clinical criteria:</w:t>
            </w:r>
          </w:p>
        </w:tc>
      </w:tr>
      <w:tr w:rsidR="00EF105B" w:rsidRPr="00B90523" w14:paraId="63AFF676"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E63DD64" w14:textId="21D01A94"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08313AF8" w14:textId="77777777" w:rsidR="00EF105B" w:rsidRPr="00B90523" w:rsidRDefault="00EF105B" w:rsidP="002503FB">
            <w:pPr>
              <w:rPr>
                <w:rFonts w:ascii="Arial Narrow" w:hAnsi="Arial Narrow"/>
                <w:color w:val="FF0000"/>
                <w:sz w:val="20"/>
                <w:szCs w:val="20"/>
              </w:rPr>
            </w:pPr>
            <w:r w:rsidRPr="00B90523">
              <w:rPr>
                <w:rFonts w:ascii="Arial Narrow" w:hAnsi="Arial Narrow"/>
                <w:sz w:val="20"/>
                <w:szCs w:val="20"/>
              </w:rPr>
              <w:t>Patient must be receiving treatment with this drug for this condition at the time of application</w:t>
            </w:r>
          </w:p>
        </w:tc>
      </w:tr>
      <w:tr w:rsidR="00EF105B" w:rsidRPr="00B90523" w14:paraId="3889CC2F"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08EF9CF"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38127E73"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AND</w:t>
            </w:r>
          </w:p>
        </w:tc>
      </w:tr>
      <w:tr w:rsidR="00EF105B" w:rsidRPr="00B90523" w14:paraId="68436BEA"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96AE8B7"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356E6C74"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Clinical criteria:</w:t>
            </w:r>
          </w:p>
        </w:tc>
      </w:tr>
      <w:tr w:rsidR="00EF105B" w:rsidRPr="00B90523" w14:paraId="2A1D3ADC"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D8FDEAC" w14:textId="479861DA"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135E778E"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have received non-PBS-subsidised treatment with this drug for this condition prior to [insert PBS listing date]</w:t>
            </w:r>
          </w:p>
        </w:tc>
      </w:tr>
      <w:tr w:rsidR="00EF105B" w:rsidRPr="00B90523" w14:paraId="1D3FD6E4" w14:textId="77777777" w:rsidTr="002503FB">
        <w:tblPrEx>
          <w:tblCellMar>
            <w:top w:w="15" w:type="dxa"/>
            <w:left w:w="15" w:type="dxa"/>
            <w:bottom w:w="15" w:type="dxa"/>
            <w:right w:w="15" w:type="dxa"/>
          </w:tblCellMar>
          <w:tblLook w:val="04A0" w:firstRow="1" w:lastRow="0" w:firstColumn="1" w:lastColumn="0" w:noHBand="0" w:noVBand="1"/>
        </w:tblPrEx>
        <w:trPr>
          <w:trHeight w:val="55"/>
        </w:trPr>
        <w:tc>
          <w:tcPr>
            <w:tcW w:w="981" w:type="dxa"/>
            <w:gridSpan w:val="2"/>
            <w:vAlign w:val="center"/>
          </w:tcPr>
          <w:p w14:paraId="3E67CD35"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2F384871"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AND</w:t>
            </w:r>
          </w:p>
        </w:tc>
      </w:tr>
      <w:tr w:rsidR="00EF105B" w:rsidRPr="00B90523" w14:paraId="201A59B2" w14:textId="77777777" w:rsidTr="002503FB">
        <w:tblPrEx>
          <w:tblCellMar>
            <w:top w:w="15" w:type="dxa"/>
            <w:left w:w="15" w:type="dxa"/>
            <w:bottom w:w="15" w:type="dxa"/>
            <w:right w:w="15" w:type="dxa"/>
          </w:tblCellMar>
          <w:tblLook w:val="04A0" w:firstRow="1" w:lastRow="0" w:firstColumn="1" w:lastColumn="0" w:noHBand="0" w:noVBand="1"/>
        </w:tblPrEx>
        <w:trPr>
          <w:trHeight w:val="55"/>
        </w:trPr>
        <w:tc>
          <w:tcPr>
            <w:tcW w:w="981" w:type="dxa"/>
            <w:gridSpan w:val="2"/>
            <w:vAlign w:val="center"/>
          </w:tcPr>
          <w:p w14:paraId="3523B961" w14:textId="3BEEC9FA"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368B7BD5"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Clinical criteria:</w:t>
            </w:r>
          </w:p>
        </w:tc>
      </w:tr>
      <w:tr w:rsidR="00EF105B" w:rsidRPr="00B90523" w14:paraId="7C1E58E9" w14:textId="77777777" w:rsidTr="002503FB">
        <w:tblPrEx>
          <w:tblCellMar>
            <w:top w:w="15" w:type="dxa"/>
            <w:left w:w="15" w:type="dxa"/>
            <w:bottom w:w="15" w:type="dxa"/>
            <w:right w:w="15" w:type="dxa"/>
          </w:tblCellMar>
          <w:tblLook w:val="04A0" w:firstRow="1" w:lastRow="0" w:firstColumn="1" w:lastColumn="0" w:noHBand="0" w:noVBand="1"/>
        </w:tblPrEx>
        <w:trPr>
          <w:trHeight w:val="55"/>
        </w:trPr>
        <w:tc>
          <w:tcPr>
            <w:tcW w:w="981" w:type="dxa"/>
            <w:gridSpan w:val="2"/>
            <w:vAlign w:val="center"/>
          </w:tcPr>
          <w:p w14:paraId="2DEFC7CC" w14:textId="52C7573B"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62D0B78C"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have had a Mayo clinic score greater than or equal to 6 prior to commencing non-PBS-subsidised treatment with this drug for this condition; OR</w:t>
            </w:r>
          </w:p>
        </w:tc>
      </w:tr>
      <w:tr w:rsidR="00EF105B" w:rsidRPr="00B90523" w14:paraId="1B3F0AE9" w14:textId="77777777" w:rsidTr="002503FB">
        <w:tblPrEx>
          <w:tblCellMar>
            <w:top w:w="15" w:type="dxa"/>
            <w:left w:w="15" w:type="dxa"/>
            <w:bottom w:w="15" w:type="dxa"/>
            <w:right w:w="15" w:type="dxa"/>
          </w:tblCellMar>
          <w:tblLook w:val="04A0" w:firstRow="1" w:lastRow="0" w:firstColumn="1" w:lastColumn="0" w:noHBand="0" w:noVBand="1"/>
        </w:tblPrEx>
        <w:trPr>
          <w:trHeight w:val="55"/>
        </w:trPr>
        <w:tc>
          <w:tcPr>
            <w:tcW w:w="981" w:type="dxa"/>
            <w:gridSpan w:val="2"/>
            <w:vAlign w:val="center"/>
          </w:tcPr>
          <w:p w14:paraId="3345E7CB" w14:textId="446A635A"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1BDA280C"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have had a partial Mayo clinic score greater than or equal to 6, provided the rectal bleeding and stool frequency subscores were both greater than or equal to 2 (endoscopy subscore is not required for a partial Mayo score) prior to commencing non-PBS-subsidised treatment with this drug for this condition; OR</w:t>
            </w:r>
          </w:p>
        </w:tc>
      </w:tr>
      <w:tr w:rsidR="00EF105B" w:rsidRPr="00B90523" w14:paraId="21226B18" w14:textId="77777777" w:rsidTr="002503FB">
        <w:tblPrEx>
          <w:tblCellMar>
            <w:top w:w="15" w:type="dxa"/>
            <w:left w:w="15" w:type="dxa"/>
            <w:bottom w:w="15" w:type="dxa"/>
            <w:right w:w="15" w:type="dxa"/>
          </w:tblCellMar>
          <w:tblLook w:val="04A0" w:firstRow="1" w:lastRow="0" w:firstColumn="1" w:lastColumn="0" w:noHBand="0" w:noVBand="1"/>
        </w:tblPrEx>
        <w:trPr>
          <w:trHeight w:val="55"/>
        </w:trPr>
        <w:tc>
          <w:tcPr>
            <w:tcW w:w="981" w:type="dxa"/>
            <w:gridSpan w:val="2"/>
            <w:vAlign w:val="center"/>
          </w:tcPr>
          <w:p w14:paraId="5C92491C" w14:textId="40724345"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730BA769"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Patient must have a documented history of moderate to severe refractory ulcerative colitis prior to having commenced non-PBS-subsidised treatment with this drug for this condition where a Mayo clinic or partial Mayo clinic baseline assessment is not available</w:t>
            </w:r>
          </w:p>
        </w:tc>
      </w:tr>
      <w:tr w:rsidR="00EF105B" w:rsidRPr="00B90523" w14:paraId="4A1FDC5E" w14:textId="77777777" w:rsidTr="002503FB">
        <w:tblPrEx>
          <w:tblCellMar>
            <w:top w:w="15" w:type="dxa"/>
            <w:left w:w="15" w:type="dxa"/>
            <w:bottom w:w="15" w:type="dxa"/>
            <w:right w:w="15" w:type="dxa"/>
          </w:tblCellMar>
          <w:tblLook w:val="04A0" w:firstRow="1" w:lastRow="0" w:firstColumn="1" w:lastColumn="0" w:noHBand="0" w:noVBand="1"/>
        </w:tblPrEx>
        <w:trPr>
          <w:trHeight w:val="55"/>
        </w:trPr>
        <w:tc>
          <w:tcPr>
            <w:tcW w:w="981" w:type="dxa"/>
            <w:gridSpan w:val="2"/>
            <w:vAlign w:val="center"/>
          </w:tcPr>
          <w:p w14:paraId="40734C9D"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224EF529"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AND</w:t>
            </w:r>
          </w:p>
        </w:tc>
      </w:tr>
      <w:tr w:rsidR="00EF105B" w:rsidRPr="00B90523" w14:paraId="4BD83A91"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355DE03" w14:textId="7A8B8428"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5032E717"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Population criteria:</w:t>
            </w:r>
          </w:p>
        </w:tc>
      </w:tr>
      <w:tr w:rsidR="00EF105B" w:rsidRPr="00B90523" w14:paraId="272578B4"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14BA504" w14:textId="5559E76B"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0E066A37" w14:textId="77777777" w:rsidR="00EF105B" w:rsidRPr="00B90523" w:rsidRDefault="00EF105B" w:rsidP="002503FB">
            <w:pPr>
              <w:rPr>
                <w:rFonts w:ascii="Arial Narrow" w:hAnsi="Arial Narrow"/>
                <w:color w:val="333333"/>
                <w:sz w:val="20"/>
                <w:szCs w:val="20"/>
              </w:rPr>
            </w:pPr>
            <w:r w:rsidRPr="00B90523">
              <w:rPr>
                <w:rFonts w:ascii="Arial Narrow" w:hAnsi="Arial Narrow"/>
                <w:sz w:val="20"/>
                <w:szCs w:val="20"/>
              </w:rPr>
              <w:t>Patient must be aged 18 years or older</w:t>
            </w:r>
          </w:p>
        </w:tc>
      </w:tr>
      <w:tr w:rsidR="00EF105B" w:rsidRPr="00B90523" w14:paraId="6868D314"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394581F"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4D058915" w14:textId="77777777" w:rsidR="00EF105B" w:rsidRPr="00B90523" w:rsidRDefault="00EF105B" w:rsidP="002503FB">
            <w:pPr>
              <w:rPr>
                <w:rFonts w:ascii="Arial Narrow" w:hAnsi="Arial Narrow"/>
                <w:sz w:val="20"/>
                <w:szCs w:val="20"/>
              </w:rPr>
            </w:pPr>
          </w:p>
        </w:tc>
      </w:tr>
      <w:tr w:rsidR="00EF105B" w:rsidRPr="00B90523" w14:paraId="1C6D09A0" w14:textId="77777777" w:rsidTr="00D70468">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876880D" w14:textId="77777777" w:rsidR="00EF105B" w:rsidRPr="00B90523" w:rsidRDefault="00EF105B" w:rsidP="002503FB">
            <w:pPr>
              <w:jc w:val="center"/>
              <w:rPr>
                <w:rFonts w:ascii="Arial Narrow" w:hAnsi="Arial Narrow"/>
                <w:color w:val="333333"/>
                <w:sz w:val="20"/>
                <w:szCs w:val="20"/>
              </w:rPr>
            </w:pPr>
          </w:p>
        </w:tc>
        <w:tc>
          <w:tcPr>
            <w:tcW w:w="8086" w:type="dxa"/>
            <w:gridSpan w:val="6"/>
            <w:vAlign w:val="center"/>
            <w:hideMark/>
          </w:tcPr>
          <w:p w14:paraId="164E0FC6"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 xml:space="preserve">Prescribing Instructions: </w:t>
            </w:r>
          </w:p>
          <w:p w14:paraId="4BBFE97C" w14:textId="77777777" w:rsidR="00EF105B" w:rsidRPr="00B90523" w:rsidRDefault="00EF105B" w:rsidP="002503FB">
            <w:pPr>
              <w:rPr>
                <w:rFonts w:ascii="Arial Narrow" w:hAnsi="Arial Narrow"/>
                <w:color w:val="FF0000"/>
                <w:sz w:val="20"/>
                <w:szCs w:val="20"/>
              </w:rPr>
            </w:pPr>
            <w:r w:rsidRPr="00B90523">
              <w:rPr>
                <w:rFonts w:ascii="Arial Narrow" w:hAnsi="Arial Narrow"/>
                <w:color w:val="333333"/>
                <w:sz w:val="20"/>
                <w:szCs w:val="20"/>
              </w:rPr>
              <w:t>Items 27842, 12980, 17110, 23637, 23643, 17150, 17047 and 19535 should apply.</w:t>
            </w:r>
          </w:p>
        </w:tc>
      </w:tr>
      <w:tr w:rsidR="00EF105B" w:rsidRPr="00B90523" w14:paraId="622E9E8B" w14:textId="77777777" w:rsidTr="002503F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E16EEDB" w14:textId="750FDB7E" w:rsidR="00EF105B" w:rsidRPr="00B90523" w:rsidRDefault="00EF105B" w:rsidP="002503FB">
            <w:pPr>
              <w:jc w:val="center"/>
              <w:rPr>
                <w:rFonts w:ascii="Arial Narrow" w:hAnsi="Arial Narrow"/>
                <w:color w:val="333333"/>
                <w:sz w:val="20"/>
                <w:szCs w:val="20"/>
              </w:rPr>
            </w:pPr>
          </w:p>
        </w:tc>
        <w:tc>
          <w:tcPr>
            <w:tcW w:w="8086" w:type="dxa"/>
            <w:gridSpan w:val="6"/>
            <w:vAlign w:val="center"/>
          </w:tcPr>
          <w:p w14:paraId="70D61615"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Administrative advice:</w:t>
            </w:r>
          </w:p>
          <w:p w14:paraId="601A0B41"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318523D9" w14:textId="77777777" w:rsidR="00EF105B" w:rsidRPr="00B90523" w:rsidRDefault="00EF105B" w:rsidP="00EF105B">
      <w:pPr>
        <w:rPr>
          <w:b/>
          <w:sz w:val="20"/>
          <w:szCs w:val="20"/>
          <w:u w:val="single"/>
        </w:rPr>
      </w:pPr>
    </w:p>
    <w:p w14:paraId="5BBCFE24" w14:textId="77777777" w:rsidR="00EF105B" w:rsidRPr="00B90523" w:rsidRDefault="00EF105B" w:rsidP="00EF105B">
      <w:pPr>
        <w:rPr>
          <w:b/>
          <w:sz w:val="20"/>
          <w:szCs w:val="20"/>
          <w:u w:val="single"/>
        </w:rPr>
      </w:pPr>
    </w:p>
    <w:tbl>
      <w:tblPr>
        <w:tblStyle w:val="PlainTable2"/>
        <w:tblW w:w="5000" w:type="pct"/>
        <w:tblLayout w:type="fixed"/>
        <w:tblLook w:val="0000" w:firstRow="0" w:lastRow="0" w:firstColumn="0" w:lastColumn="0" w:noHBand="0" w:noVBand="0"/>
      </w:tblPr>
      <w:tblGrid>
        <w:gridCol w:w="3377"/>
        <w:gridCol w:w="1410"/>
        <w:gridCol w:w="987"/>
        <w:gridCol w:w="987"/>
        <w:gridCol w:w="988"/>
        <w:gridCol w:w="1268"/>
      </w:tblGrid>
      <w:tr w:rsidR="00EF105B" w:rsidRPr="00B90523" w14:paraId="392FFC89" w14:textId="77777777" w:rsidTr="002503FB">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3397" w:type="dxa"/>
          </w:tcPr>
          <w:p w14:paraId="7C6EA1C3" w14:textId="77777777" w:rsidR="00EF105B" w:rsidRPr="00B90523" w:rsidRDefault="00EF105B" w:rsidP="002503FB">
            <w:pPr>
              <w:keepNext/>
              <w:ind w:left="-57"/>
              <w:rPr>
                <w:rFonts w:ascii="Arial Narrow" w:hAnsi="Arial Narrow"/>
                <w:b/>
                <w:bCs/>
                <w:sz w:val="20"/>
                <w:szCs w:val="20"/>
              </w:rPr>
            </w:pPr>
            <w:r w:rsidRPr="00B90523">
              <w:rPr>
                <w:rFonts w:ascii="Arial Narrow" w:hAnsi="Arial Narrow"/>
                <w:b/>
                <w:bCs/>
                <w:sz w:val="20"/>
                <w:szCs w:val="20"/>
              </w:rPr>
              <w:t>MEDICINAL PRODUCT</w:t>
            </w:r>
          </w:p>
          <w:p w14:paraId="3B40AB41" w14:textId="77777777" w:rsidR="00EF105B" w:rsidRPr="00B90523" w:rsidRDefault="00EF105B" w:rsidP="002503FB">
            <w:pPr>
              <w:keepNext/>
              <w:ind w:left="-57"/>
              <w:rPr>
                <w:rFonts w:ascii="Arial Narrow" w:hAnsi="Arial Narrow"/>
                <w:b/>
                <w:sz w:val="20"/>
                <w:szCs w:val="20"/>
              </w:rPr>
            </w:pPr>
            <w:r w:rsidRPr="00B90523">
              <w:rPr>
                <w:rFonts w:ascii="Arial Narrow" w:hAnsi="Arial Narrow"/>
                <w:b/>
                <w:bCs/>
                <w:sz w:val="20"/>
                <w:szCs w:val="20"/>
              </w:rPr>
              <w:t>medicinal product pack</w:t>
            </w:r>
          </w:p>
        </w:tc>
        <w:tc>
          <w:tcPr>
            <w:cnfStyle w:val="000001000000" w:firstRow="0" w:lastRow="0" w:firstColumn="0" w:lastColumn="0" w:oddVBand="0" w:evenVBand="1" w:oddHBand="0" w:evenHBand="0" w:firstRowFirstColumn="0" w:firstRowLastColumn="0" w:lastRowFirstColumn="0" w:lastRowLastColumn="0"/>
            <w:tcW w:w="1418" w:type="dxa"/>
          </w:tcPr>
          <w:p w14:paraId="3AF6A85E"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PBS item code</w:t>
            </w:r>
          </w:p>
        </w:tc>
        <w:tc>
          <w:tcPr>
            <w:cnfStyle w:val="000010000000" w:firstRow="0" w:lastRow="0" w:firstColumn="0" w:lastColumn="0" w:oddVBand="1" w:evenVBand="0" w:oddHBand="0" w:evenHBand="0" w:firstRowFirstColumn="0" w:firstRowLastColumn="0" w:lastRowFirstColumn="0" w:lastRowLastColumn="0"/>
            <w:tcW w:w="992" w:type="dxa"/>
          </w:tcPr>
          <w:p w14:paraId="23A5EA21"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Max. qty packs</w:t>
            </w:r>
          </w:p>
        </w:tc>
        <w:tc>
          <w:tcPr>
            <w:cnfStyle w:val="000001000000" w:firstRow="0" w:lastRow="0" w:firstColumn="0" w:lastColumn="0" w:oddVBand="0" w:evenVBand="1" w:oddHBand="0" w:evenHBand="0" w:firstRowFirstColumn="0" w:firstRowLastColumn="0" w:lastRowFirstColumn="0" w:lastRowLastColumn="0"/>
            <w:tcW w:w="992" w:type="dxa"/>
          </w:tcPr>
          <w:p w14:paraId="2F13AE82"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Max. qty units</w:t>
            </w:r>
          </w:p>
        </w:tc>
        <w:tc>
          <w:tcPr>
            <w:cnfStyle w:val="000010000000" w:firstRow="0" w:lastRow="0" w:firstColumn="0" w:lastColumn="0" w:oddVBand="1" w:evenVBand="0" w:oddHBand="0" w:evenHBand="0" w:firstRowFirstColumn="0" w:firstRowLastColumn="0" w:lastRowFirstColumn="0" w:lastRowLastColumn="0"/>
            <w:tcW w:w="993" w:type="dxa"/>
          </w:tcPr>
          <w:p w14:paraId="211A85BF"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№.of</w:t>
            </w:r>
          </w:p>
          <w:p w14:paraId="1189C608" w14:textId="77777777" w:rsidR="00EF105B" w:rsidRPr="00B90523" w:rsidRDefault="00EF105B" w:rsidP="002503FB">
            <w:pPr>
              <w:keepNext/>
              <w:ind w:left="-108"/>
              <w:jc w:val="center"/>
              <w:rPr>
                <w:rFonts w:ascii="Arial Narrow" w:hAnsi="Arial Narrow"/>
                <w:b/>
                <w:sz w:val="20"/>
                <w:szCs w:val="20"/>
              </w:rPr>
            </w:pPr>
            <w:r w:rsidRPr="00B90523">
              <w:rPr>
                <w:rFonts w:ascii="Arial Narrow" w:hAnsi="Arial Narrow"/>
                <w:b/>
                <w:sz w:val="20"/>
                <w:szCs w:val="20"/>
              </w:rPr>
              <w:t>Rpts</w:t>
            </w:r>
          </w:p>
        </w:tc>
        <w:tc>
          <w:tcPr>
            <w:cnfStyle w:val="000001000000" w:firstRow="0" w:lastRow="0" w:firstColumn="0" w:lastColumn="0" w:oddVBand="0" w:evenVBand="1" w:oddHBand="0" w:evenHBand="0" w:firstRowFirstColumn="0" w:firstRowLastColumn="0" w:lastRowFirstColumn="0" w:lastRowLastColumn="0"/>
            <w:tcW w:w="1275" w:type="dxa"/>
          </w:tcPr>
          <w:p w14:paraId="6D7EEBFB" w14:textId="77777777" w:rsidR="00EF105B" w:rsidRPr="00B90523" w:rsidRDefault="00EF105B" w:rsidP="002503FB">
            <w:pPr>
              <w:keepNext/>
              <w:rPr>
                <w:rFonts w:ascii="Arial Narrow" w:hAnsi="Arial Narrow"/>
                <w:b/>
                <w:sz w:val="20"/>
                <w:szCs w:val="20"/>
                <w:lang w:val="fr-FR"/>
              </w:rPr>
            </w:pPr>
            <w:r w:rsidRPr="00B90523">
              <w:rPr>
                <w:rFonts w:ascii="Arial Narrow" w:hAnsi="Arial Narrow"/>
                <w:b/>
                <w:sz w:val="20"/>
                <w:szCs w:val="20"/>
              </w:rPr>
              <w:t>Available brands</w:t>
            </w:r>
          </w:p>
        </w:tc>
      </w:tr>
      <w:tr w:rsidR="00EF105B" w:rsidRPr="00B90523" w14:paraId="43438142" w14:textId="77777777" w:rsidTr="002503FB">
        <w:trPr>
          <w:trHeight w:val="224"/>
        </w:trPr>
        <w:tc>
          <w:tcPr>
            <w:cnfStyle w:val="000010000000" w:firstRow="0" w:lastRow="0" w:firstColumn="0" w:lastColumn="0" w:oddVBand="1" w:evenVBand="0" w:oddHBand="0" w:evenHBand="0" w:firstRowFirstColumn="0" w:firstRowLastColumn="0" w:lastRowFirstColumn="0" w:lastRowLastColumn="0"/>
            <w:tcW w:w="9067" w:type="dxa"/>
            <w:gridSpan w:val="6"/>
          </w:tcPr>
          <w:p w14:paraId="00F7F375"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UPADACITINIB</w:t>
            </w:r>
          </w:p>
        </w:tc>
      </w:tr>
      <w:tr w:rsidR="00EF105B" w:rsidRPr="00B90523" w14:paraId="6B1AD486" w14:textId="77777777" w:rsidTr="002503FB">
        <w:trPr>
          <w:cnfStyle w:val="000000100000" w:firstRow="0" w:lastRow="0" w:firstColumn="0" w:lastColumn="0" w:oddVBand="0" w:evenVBand="0" w:oddHBand="1" w:evenHBand="0" w:firstRowFirstColumn="0" w:firstRowLastColumn="0" w:lastRowFirstColumn="0" w:lastRowLastColumn="0"/>
          <w:trHeight w:val="221"/>
        </w:trPr>
        <w:tc>
          <w:tcPr>
            <w:cnfStyle w:val="000010000000" w:firstRow="0" w:lastRow="0" w:firstColumn="0" w:lastColumn="0" w:oddVBand="1" w:evenVBand="0" w:oddHBand="0" w:evenHBand="0" w:firstRowFirstColumn="0" w:firstRowLastColumn="0" w:lastRowFirstColumn="0" w:lastRowLastColumn="0"/>
            <w:tcW w:w="3397" w:type="dxa"/>
            <w:tcBorders>
              <w:bottom w:val="single" w:sz="4" w:space="0" w:color="auto"/>
            </w:tcBorders>
          </w:tcPr>
          <w:p w14:paraId="0FC28BD6" w14:textId="77777777" w:rsidR="00EF105B" w:rsidRPr="00B90523" w:rsidRDefault="00EF105B" w:rsidP="002503FB">
            <w:pPr>
              <w:keepNext/>
              <w:ind w:left="-57"/>
              <w:rPr>
                <w:rFonts w:ascii="Arial Narrow" w:hAnsi="Arial Narrow"/>
                <w:sz w:val="20"/>
                <w:szCs w:val="20"/>
              </w:rPr>
            </w:pPr>
            <w:r w:rsidRPr="00B90523">
              <w:rPr>
                <w:rFonts w:ascii="Arial Narrow" w:hAnsi="Arial Narrow"/>
                <w:sz w:val="20"/>
                <w:szCs w:val="20"/>
              </w:rPr>
              <w:t>upadacitinib 45 mg modified release tablet, 28</w:t>
            </w:r>
          </w:p>
        </w:tc>
        <w:tc>
          <w:tcPr>
            <w:cnfStyle w:val="000001000000" w:firstRow="0" w:lastRow="0" w:firstColumn="0" w:lastColumn="0" w:oddVBand="0" w:evenVBand="1" w:oddHBand="0" w:evenHBand="0" w:firstRowFirstColumn="0" w:firstRowLastColumn="0" w:lastRowFirstColumn="0" w:lastRowLastColumn="0"/>
            <w:tcW w:w="1418" w:type="dxa"/>
            <w:tcBorders>
              <w:bottom w:val="single" w:sz="4" w:space="0" w:color="auto"/>
            </w:tcBorders>
          </w:tcPr>
          <w:p w14:paraId="357B3AEE"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NEW</w:t>
            </w:r>
          </w:p>
        </w:tc>
        <w:tc>
          <w:tcPr>
            <w:cnfStyle w:val="000010000000" w:firstRow="0" w:lastRow="0" w:firstColumn="0" w:lastColumn="0" w:oddVBand="1" w:evenVBand="0" w:oddHBand="0" w:evenHBand="0" w:firstRowFirstColumn="0" w:firstRowLastColumn="0" w:lastRowFirstColumn="0" w:lastRowLastColumn="0"/>
            <w:tcW w:w="992" w:type="dxa"/>
            <w:tcBorders>
              <w:bottom w:val="single" w:sz="4" w:space="0" w:color="auto"/>
            </w:tcBorders>
          </w:tcPr>
          <w:p w14:paraId="53907A0D"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tc>
        <w:tc>
          <w:tcPr>
            <w:cnfStyle w:val="000001000000" w:firstRow="0" w:lastRow="0" w:firstColumn="0" w:lastColumn="0" w:oddVBand="0" w:evenVBand="1" w:oddHBand="0" w:evenHBand="0" w:firstRowFirstColumn="0" w:firstRowLastColumn="0" w:lastRowFirstColumn="0" w:lastRowLastColumn="0"/>
            <w:tcW w:w="992" w:type="dxa"/>
            <w:tcBorders>
              <w:bottom w:val="single" w:sz="4" w:space="0" w:color="auto"/>
            </w:tcBorders>
          </w:tcPr>
          <w:p w14:paraId="68A72A66"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28</w:t>
            </w:r>
          </w:p>
        </w:tc>
        <w:tc>
          <w:tcPr>
            <w:cnfStyle w:val="000010000000" w:firstRow="0" w:lastRow="0" w:firstColumn="0" w:lastColumn="0" w:oddVBand="1" w:evenVBand="0" w:oddHBand="0" w:evenHBand="0" w:firstRowFirstColumn="0" w:firstRowLastColumn="0" w:lastRowFirstColumn="0" w:lastRowLastColumn="0"/>
            <w:tcW w:w="993" w:type="dxa"/>
            <w:tcBorders>
              <w:bottom w:val="single" w:sz="4" w:space="0" w:color="auto"/>
            </w:tcBorders>
          </w:tcPr>
          <w:p w14:paraId="7012778C"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0</w:t>
            </w:r>
          </w:p>
        </w:tc>
        <w:tc>
          <w:tcPr>
            <w:cnfStyle w:val="000001000000" w:firstRow="0" w:lastRow="0" w:firstColumn="0" w:lastColumn="0" w:oddVBand="0" w:evenVBand="1" w:oddHBand="0" w:evenHBand="0" w:firstRowFirstColumn="0" w:firstRowLastColumn="0" w:lastRowFirstColumn="0" w:lastRowLastColumn="0"/>
            <w:tcW w:w="1275" w:type="dxa"/>
            <w:tcBorders>
              <w:bottom w:val="single" w:sz="4" w:space="0" w:color="auto"/>
            </w:tcBorders>
          </w:tcPr>
          <w:p w14:paraId="0F8136AA" w14:textId="77777777" w:rsidR="00EF105B" w:rsidRPr="00B90523" w:rsidRDefault="00EF105B" w:rsidP="002503FB">
            <w:pPr>
              <w:keepNext/>
              <w:rPr>
                <w:rFonts w:ascii="Arial Narrow" w:hAnsi="Arial Narrow"/>
                <w:sz w:val="20"/>
                <w:szCs w:val="20"/>
              </w:rPr>
            </w:pPr>
            <w:r w:rsidRPr="00B90523">
              <w:rPr>
                <w:rFonts w:ascii="Arial Narrow" w:hAnsi="Arial Narrow"/>
                <w:sz w:val="20"/>
                <w:szCs w:val="20"/>
              </w:rPr>
              <w:t>Rinvoq</w:t>
            </w:r>
          </w:p>
        </w:tc>
      </w:tr>
      <w:tr w:rsidR="00EF105B" w:rsidRPr="00B90523" w14:paraId="182BCD2E" w14:textId="77777777" w:rsidTr="002503FB">
        <w:trPr>
          <w:trHeight w:val="221"/>
        </w:trPr>
        <w:tc>
          <w:tcPr>
            <w:cnfStyle w:val="000010000000" w:firstRow="0" w:lastRow="0" w:firstColumn="0" w:lastColumn="0" w:oddVBand="1" w:evenVBand="0" w:oddHBand="0" w:evenHBand="0" w:firstRowFirstColumn="0" w:firstRowLastColumn="0" w:lastRowFirstColumn="0" w:lastRowLastColumn="0"/>
            <w:tcW w:w="3397" w:type="dxa"/>
            <w:tcBorders>
              <w:bottom w:val="single" w:sz="4" w:space="0" w:color="auto"/>
            </w:tcBorders>
          </w:tcPr>
          <w:p w14:paraId="7F57FE6E" w14:textId="77777777" w:rsidR="00EF105B" w:rsidRPr="00B90523" w:rsidDel="00F85B78" w:rsidRDefault="00EF105B" w:rsidP="002503FB">
            <w:pPr>
              <w:keepNext/>
              <w:ind w:left="-57"/>
              <w:rPr>
                <w:rFonts w:ascii="Arial Narrow" w:hAnsi="Arial Narrow"/>
                <w:sz w:val="20"/>
                <w:szCs w:val="20"/>
              </w:rPr>
            </w:pPr>
            <w:r w:rsidRPr="00B90523">
              <w:rPr>
                <w:rFonts w:ascii="Arial Narrow" w:hAnsi="Arial Narrow"/>
                <w:sz w:val="20"/>
                <w:szCs w:val="20"/>
              </w:rPr>
              <w:t>upadacitinib 30 mg modified release tablet, 28</w:t>
            </w:r>
          </w:p>
        </w:tc>
        <w:tc>
          <w:tcPr>
            <w:cnfStyle w:val="000001000000" w:firstRow="0" w:lastRow="0" w:firstColumn="0" w:lastColumn="0" w:oddVBand="0" w:evenVBand="1" w:oddHBand="0" w:evenHBand="0" w:firstRowFirstColumn="0" w:firstRowLastColumn="0" w:lastRowFirstColumn="0" w:lastRowLastColumn="0"/>
            <w:tcW w:w="1418" w:type="dxa"/>
            <w:tcBorders>
              <w:bottom w:val="single" w:sz="4" w:space="0" w:color="auto"/>
            </w:tcBorders>
          </w:tcPr>
          <w:p w14:paraId="6DC8B593"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NEW</w:t>
            </w:r>
          </w:p>
        </w:tc>
        <w:tc>
          <w:tcPr>
            <w:cnfStyle w:val="000010000000" w:firstRow="0" w:lastRow="0" w:firstColumn="0" w:lastColumn="0" w:oddVBand="1" w:evenVBand="0" w:oddHBand="0" w:evenHBand="0" w:firstRowFirstColumn="0" w:firstRowLastColumn="0" w:lastRowFirstColumn="0" w:lastRowLastColumn="0"/>
            <w:tcW w:w="992" w:type="dxa"/>
            <w:tcBorders>
              <w:bottom w:val="single" w:sz="4" w:space="0" w:color="auto"/>
            </w:tcBorders>
          </w:tcPr>
          <w:p w14:paraId="47EAACBB"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tc>
        <w:tc>
          <w:tcPr>
            <w:cnfStyle w:val="000001000000" w:firstRow="0" w:lastRow="0" w:firstColumn="0" w:lastColumn="0" w:oddVBand="0" w:evenVBand="1" w:oddHBand="0" w:evenHBand="0" w:firstRowFirstColumn="0" w:firstRowLastColumn="0" w:lastRowFirstColumn="0" w:lastRowLastColumn="0"/>
            <w:tcW w:w="992" w:type="dxa"/>
            <w:tcBorders>
              <w:bottom w:val="single" w:sz="4" w:space="0" w:color="auto"/>
            </w:tcBorders>
          </w:tcPr>
          <w:p w14:paraId="10F1642B"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28</w:t>
            </w:r>
          </w:p>
        </w:tc>
        <w:tc>
          <w:tcPr>
            <w:cnfStyle w:val="000010000000" w:firstRow="0" w:lastRow="0" w:firstColumn="0" w:lastColumn="0" w:oddVBand="1" w:evenVBand="0" w:oddHBand="0" w:evenHBand="0" w:firstRowFirstColumn="0" w:firstRowLastColumn="0" w:lastRowFirstColumn="0" w:lastRowLastColumn="0"/>
            <w:tcW w:w="993" w:type="dxa"/>
            <w:tcBorders>
              <w:bottom w:val="single" w:sz="4" w:space="0" w:color="auto"/>
            </w:tcBorders>
          </w:tcPr>
          <w:p w14:paraId="179C7E1F"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0</w:t>
            </w:r>
          </w:p>
        </w:tc>
        <w:tc>
          <w:tcPr>
            <w:cnfStyle w:val="000001000000" w:firstRow="0" w:lastRow="0" w:firstColumn="0" w:lastColumn="0" w:oddVBand="0" w:evenVBand="1" w:oddHBand="0" w:evenHBand="0" w:firstRowFirstColumn="0" w:firstRowLastColumn="0" w:lastRowFirstColumn="0" w:lastRowLastColumn="0"/>
            <w:tcW w:w="1275" w:type="dxa"/>
            <w:tcBorders>
              <w:bottom w:val="single" w:sz="4" w:space="0" w:color="auto"/>
            </w:tcBorders>
          </w:tcPr>
          <w:p w14:paraId="699F1D16" w14:textId="77777777" w:rsidR="00EF105B" w:rsidRPr="00B90523" w:rsidRDefault="00EF105B" w:rsidP="002503FB">
            <w:pPr>
              <w:keepNext/>
              <w:rPr>
                <w:rFonts w:ascii="Arial Narrow" w:hAnsi="Arial Narrow"/>
                <w:sz w:val="20"/>
                <w:szCs w:val="20"/>
              </w:rPr>
            </w:pPr>
            <w:r w:rsidRPr="00B90523">
              <w:rPr>
                <w:rFonts w:ascii="Arial Narrow" w:hAnsi="Arial Narrow"/>
                <w:sz w:val="20"/>
                <w:szCs w:val="20"/>
              </w:rPr>
              <w:t>Rinvoq</w:t>
            </w:r>
          </w:p>
        </w:tc>
      </w:tr>
      <w:tr w:rsidR="00EF105B" w:rsidRPr="00B90523" w14:paraId="17C5D1BD" w14:textId="77777777" w:rsidTr="002503FB">
        <w:trPr>
          <w:cnfStyle w:val="000000100000" w:firstRow="0" w:lastRow="0" w:firstColumn="0" w:lastColumn="0" w:oddVBand="0" w:evenVBand="0" w:oddHBand="1" w:evenHBand="0" w:firstRowFirstColumn="0" w:firstRowLastColumn="0" w:lastRowFirstColumn="0" w:lastRowLastColumn="0"/>
          <w:trHeight w:val="221"/>
        </w:trPr>
        <w:tc>
          <w:tcPr>
            <w:cnfStyle w:val="000010000000" w:firstRow="0" w:lastRow="0" w:firstColumn="0" w:lastColumn="0" w:oddVBand="1" w:evenVBand="0" w:oddHBand="0" w:evenHBand="0" w:firstRowFirstColumn="0" w:firstRowLastColumn="0" w:lastRowFirstColumn="0" w:lastRowLastColumn="0"/>
            <w:tcW w:w="3397" w:type="dxa"/>
            <w:tcBorders>
              <w:bottom w:val="single" w:sz="4" w:space="0" w:color="auto"/>
            </w:tcBorders>
          </w:tcPr>
          <w:p w14:paraId="636B1EAC" w14:textId="77777777" w:rsidR="00EF105B" w:rsidRPr="00B90523" w:rsidDel="00F85B78" w:rsidRDefault="00EF105B" w:rsidP="002503FB">
            <w:pPr>
              <w:keepNext/>
              <w:ind w:left="-57"/>
              <w:rPr>
                <w:rFonts w:ascii="Arial Narrow" w:hAnsi="Arial Narrow"/>
                <w:sz w:val="20"/>
                <w:szCs w:val="20"/>
              </w:rPr>
            </w:pPr>
            <w:r w:rsidRPr="00B90523">
              <w:rPr>
                <w:rFonts w:ascii="Arial Narrow" w:hAnsi="Arial Narrow"/>
                <w:sz w:val="20"/>
                <w:szCs w:val="20"/>
              </w:rPr>
              <w:t>upadacitinib 15 mg modified release tablet, 28</w:t>
            </w:r>
          </w:p>
        </w:tc>
        <w:tc>
          <w:tcPr>
            <w:cnfStyle w:val="000001000000" w:firstRow="0" w:lastRow="0" w:firstColumn="0" w:lastColumn="0" w:oddVBand="0" w:evenVBand="1" w:oddHBand="0" w:evenHBand="0" w:firstRowFirstColumn="0" w:firstRowLastColumn="0" w:lastRowFirstColumn="0" w:lastRowLastColumn="0"/>
            <w:tcW w:w="1418" w:type="dxa"/>
            <w:tcBorders>
              <w:bottom w:val="single" w:sz="4" w:space="0" w:color="auto"/>
            </w:tcBorders>
          </w:tcPr>
          <w:p w14:paraId="1F8498D5"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NEW</w:t>
            </w:r>
          </w:p>
        </w:tc>
        <w:tc>
          <w:tcPr>
            <w:cnfStyle w:val="000010000000" w:firstRow="0" w:lastRow="0" w:firstColumn="0" w:lastColumn="0" w:oddVBand="1" w:evenVBand="0" w:oddHBand="0" w:evenHBand="0" w:firstRowFirstColumn="0" w:firstRowLastColumn="0" w:lastRowFirstColumn="0" w:lastRowLastColumn="0"/>
            <w:tcW w:w="992" w:type="dxa"/>
            <w:tcBorders>
              <w:bottom w:val="single" w:sz="4" w:space="0" w:color="auto"/>
            </w:tcBorders>
          </w:tcPr>
          <w:p w14:paraId="3CE7EFE2"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1</w:t>
            </w:r>
          </w:p>
        </w:tc>
        <w:tc>
          <w:tcPr>
            <w:cnfStyle w:val="000001000000" w:firstRow="0" w:lastRow="0" w:firstColumn="0" w:lastColumn="0" w:oddVBand="0" w:evenVBand="1" w:oddHBand="0" w:evenHBand="0" w:firstRowFirstColumn="0" w:firstRowLastColumn="0" w:lastRowFirstColumn="0" w:lastRowLastColumn="0"/>
            <w:tcW w:w="992" w:type="dxa"/>
            <w:tcBorders>
              <w:bottom w:val="single" w:sz="4" w:space="0" w:color="auto"/>
            </w:tcBorders>
          </w:tcPr>
          <w:p w14:paraId="28EA760A"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28</w:t>
            </w:r>
          </w:p>
        </w:tc>
        <w:tc>
          <w:tcPr>
            <w:cnfStyle w:val="000010000000" w:firstRow="0" w:lastRow="0" w:firstColumn="0" w:lastColumn="0" w:oddVBand="1" w:evenVBand="0" w:oddHBand="0" w:evenHBand="0" w:firstRowFirstColumn="0" w:firstRowLastColumn="0" w:lastRowFirstColumn="0" w:lastRowLastColumn="0"/>
            <w:tcW w:w="993" w:type="dxa"/>
            <w:tcBorders>
              <w:bottom w:val="single" w:sz="4" w:space="0" w:color="auto"/>
            </w:tcBorders>
          </w:tcPr>
          <w:p w14:paraId="45BF154E" w14:textId="77777777" w:rsidR="00EF105B" w:rsidRPr="00B90523" w:rsidRDefault="00EF105B" w:rsidP="002503FB">
            <w:pPr>
              <w:keepNext/>
              <w:jc w:val="center"/>
              <w:rPr>
                <w:rFonts w:ascii="Arial Narrow" w:hAnsi="Arial Narrow"/>
                <w:sz w:val="20"/>
                <w:szCs w:val="20"/>
              </w:rPr>
            </w:pPr>
            <w:r w:rsidRPr="00B90523">
              <w:rPr>
                <w:rFonts w:ascii="Arial Narrow" w:hAnsi="Arial Narrow"/>
                <w:sz w:val="20"/>
                <w:szCs w:val="20"/>
              </w:rPr>
              <w:t>0</w:t>
            </w:r>
          </w:p>
        </w:tc>
        <w:tc>
          <w:tcPr>
            <w:cnfStyle w:val="000001000000" w:firstRow="0" w:lastRow="0" w:firstColumn="0" w:lastColumn="0" w:oddVBand="0" w:evenVBand="1" w:oddHBand="0" w:evenHBand="0" w:firstRowFirstColumn="0" w:firstRowLastColumn="0" w:lastRowFirstColumn="0" w:lastRowLastColumn="0"/>
            <w:tcW w:w="1275" w:type="dxa"/>
            <w:tcBorders>
              <w:bottom w:val="single" w:sz="4" w:space="0" w:color="auto"/>
            </w:tcBorders>
          </w:tcPr>
          <w:p w14:paraId="4EA1299A" w14:textId="77777777" w:rsidR="00EF105B" w:rsidRPr="00B90523" w:rsidRDefault="00EF105B" w:rsidP="002503FB">
            <w:pPr>
              <w:keepNext/>
              <w:rPr>
                <w:rFonts w:ascii="Arial Narrow" w:hAnsi="Arial Narrow"/>
                <w:sz w:val="20"/>
                <w:szCs w:val="20"/>
              </w:rPr>
            </w:pPr>
            <w:r w:rsidRPr="00B90523">
              <w:rPr>
                <w:rFonts w:ascii="Arial Narrow" w:hAnsi="Arial Narrow"/>
                <w:sz w:val="20"/>
                <w:szCs w:val="20"/>
              </w:rPr>
              <w:t>Rinvoq</w:t>
            </w:r>
          </w:p>
        </w:tc>
      </w:tr>
      <w:tr w:rsidR="00EF105B" w:rsidRPr="00B90523" w14:paraId="35E2A739" w14:textId="77777777" w:rsidTr="002503FB">
        <w:tc>
          <w:tcPr>
            <w:cnfStyle w:val="000010000000" w:firstRow="0" w:lastRow="0" w:firstColumn="0" w:lastColumn="0" w:oddVBand="1" w:evenVBand="0" w:oddHBand="0" w:evenHBand="0" w:firstRowFirstColumn="0" w:firstRowLastColumn="0" w:lastRowFirstColumn="0" w:lastRowLastColumn="0"/>
            <w:tcW w:w="9067" w:type="dxa"/>
            <w:gridSpan w:val="6"/>
            <w:tcBorders>
              <w:top w:val="single" w:sz="4" w:space="0" w:color="auto"/>
            </w:tcBorders>
          </w:tcPr>
          <w:p w14:paraId="1B0BFC81" w14:textId="77777777" w:rsidR="00EF105B" w:rsidRPr="00B90523" w:rsidRDefault="00EF105B" w:rsidP="002503FB">
            <w:pPr>
              <w:rPr>
                <w:rFonts w:ascii="Arial Narrow" w:hAnsi="Arial Narrow"/>
                <w:sz w:val="20"/>
                <w:szCs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7"/>
        <w:gridCol w:w="501"/>
        <w:gridCol w:w="8029"/>
      </w:tblGrid>
      <w:tr w:rsidR="00EF105B" w:rsidRPr="00B90523" w14:paraId="59787CA1" w14:textId="77777777" w:rsidTr="00D70468">
        <w:tc>
          <w:tcPr>
            <w:tcW w:w="9017" w:type="dxa"/>
            <w:gridSpan w:val="3"/>
            <w:tcBorders>
              <w:top w:val="single" w:sz="4" w:space="0" w:color="auto"/>
              <w:left w:val="single" w:sz="4" w:space="0" w:color="auto"/>
              <w:right w:val="single" w:sz="4" w:space="0" w:color="auto"/>
            </w:tcBorders>
          </w:tcPr>
          <w:p w14:paraId="5335FEB0"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 xml:space="preserve">Restriction Summary based on 11882 as attached to tofacitinib/ Treatment of Concept:11882 </w:t>
            </w:r>
          </w:p>
        </w:tc>
      </w:tr>
      <w:tr w:rsidR="00EF105B" w:rsidRPr="00B90523" w14:paraId="1D81D40F" w14:textId="77777777" w:rsidTr="00D70468">
        <w:tc>
          <w:tcPr>
            <w:tcW w:w="988" w:type="dxa"/>
            <w:gridSpan w:val="2"/>
            <w:vMerge w:val="restart"/>
            <w:tcBorders>
              <w:top w:val="single" w:sz="4" w:space="0" w:color="auto"/>
              <w:left w:val="single" w:sz="4" w:space="0" w:color="auto"/>
              <w:right w:val="single" w:sz="4" w:space="0" w:color="auto"/>
            </w:tcBorders>
          </w:tcPr>
          <w:p w14:paraId="7E520C65" w14:textId="77777777" w:rsidR="00EF105B" w:rsidRPr="00B90523" w:rsidRDefault="00EF105B" w:rsidP="002503FB">
            <w:pPr>
              <w:jc w:val="center"/>
              <w:rPr>
                <w:rFonts w:ascii="Arial Narrow" w:hAnsi="Arial Narrow"/>
                <w:b/>
                <w:sz w:val="20"/>
                <w:szCs w:val="20"/>
              </w:rPr>
            </w:pPr>
            <w:r w:rsidRPr="00B90523">
              <w:rPr>
                <w:rFonts w:ascii="Arial Narrow" w:hAnsi="Arial Narrow"/>
                <w:b/>
                <w:sz w:val="20"/>
                <w:szCs w:val="20"/>
              </w:rPr>
              <w:t>Concept ID</w:t>
            </w:r>
          </w:p>
          <w:p w14:paraId="53DB0A0B" w14:textId="7C6478FD" w:rsidR="00EF105B" w:rsidRPr="00B90523" w:rsidRDefault="00EF105B" w:rsidP="00D70468">
            <w:pPr>
              <w:jc w:val="center"/>
              <w:rPr>
                <w:rFonts w:ascii="Arial Narrow" w:hAnsi="Arial Narrow"/>
                <w:b/>
                <w:sz w:val="20"/>
                <w:szCs w:val="20"/>
              </w:rPr>
            </w:pPr>
            <w:r w:rsidRPr="00B90523">
              <w:rPr>
                <w:rFonts w:ascii="Arial Narrow" w:hAnsi="Arial Narrow"/>
                <w:sz w:val="20"/>
                <w:szCs w:val="20"/>
              </w:rPr>
              <w:t>(for internal Dept. use)</w:t>
            </w:r>
          </w:p>
        </w:tc>
        <w:tc>
          <w:tcPr>
            <w:tcW w:w="8029" w:type="dxa"/>
            <w:tcBorders>
              <w:top w:val="single" w:sz="4" w:space="0" w:color="auto"/>
              <w:left w:val="single" w:sz="4" w:space="0" w:color="auto"/>
              <w:bottom w:val="single" w:sz="4" w:space="0" w:color="auto"/>
              <w:right w:val="single" w:sz="4" w:space="0" w:color="auto"/>
            </w:tcBorders>
          </w:tcPr>
          <w:p w14:paraId="151D3B8A" w14:textId="77777777" w:rsidR="00EF105B" w:rsidRPr="00B90523" w:rsidRDefault="00EF105B" w:rsidP="002503FB">
            <w:pPr>
              <w:rPr>
                <w:rFonts w:ascii="Arial Narrow" w:hAnsi="Arial Narrow"/>
                <w:sz w:val="20"/>
                <w:szCs w:val="20"/>
              </w:rPr>
            </w:pPr>
            <w:r w:rsidRPr="00B90523">
              <w:rPr>
                <w:rFonts w:ascii="Arial Narrow" w:hAnsi="Arial Narrow"/>
                <w:b/>
                <w:sz w:val="20"/>
                <w:szCs w:val="20"/>
              </w:rPr>
              <w:t xml:space="preserve">Category / Program:   </w:t>
            </w:r>
            <w:r w:rsidRPr="00B90523">
              <w:rPr>
                <w:rFonts w:ascii="Arial Narrow" w:hAnsi="Arial Narrow"/>
                <w:sz w:val="20"/>
                <w:szCs w:val="20"/>
              </w:rPr>
              <w:t>General Schedule (Code GE)</w:t>
            </w:r>
          </w:p>
        </w:tc>
      </w:tr>
      <w:tr w:rsidR="00EF105B" w:rsidRPr="00B90523" w14:paraId="2CFA97FA" w14:textId="77777777" w:rsidTr="00D70468">
        <w:trPr>
          <w:trHeight w:val="240"/>
        </w:trPr>
        <w:tc>
          <w:tcPr>
            <w:tcW w:w="988" w:type="dxa"/>
            <w:gridSpan w:val="2"/>
            <w:vMerge/>
            <w:tcBorders>
              <w:left w:val="single" w:sz="4" w:space="0" w:color="auto"/>
              <w:right w:val="single" w:sz="4" w:space="0" w:color="auto"/>
            </w:tcBorders>
          </w:tcPr>
          <w:p w14:paraId="18B0FC66" w14:textId="77777777" w:rsidR="00EF105B" w:rsidRPr="00B90523" w:rsidRDefault="00EF105B" w:rsidP="002503FB">
            <w:pPr>
              <w:rPr>
                <w:rFonts w:ascii="Arial Narrow" w:hAnsi="Arial Narrow"/>
                <w:sz w:val="20"/>
                <w:szCs w:val="20"/>
              </w:rPr>
            </w:pPr>
          </w:p>
        </w:tc>
        <w:tc>
          <w:tcPr>
            <w:tcW w:w="8029" w:type="dxa"/>
            <w:tcBorders>
              <w:top w:val="single" w:sz="4" w:space="0" w:color="auto"/>
              <w:left w:val="single" w:sz="4" w:space="0" w:color="auto"/>
              <w:bottom w:val="single" w:sz="4" w:space="0" w:color="auto"/>
              <w:right w:val="single" w:sz="4" w:space="0" w:color="auto"/>
            </w:tcBorders>
          </w:tcPr>
          <w:p w14:paraId="58CF8A54" w14:textId="77777777" w:rsidR="00EF105B" w:rsidRPr="00B90523" w:rsidRDefault="00EF105B" w:rsidP="002503FB">
            <w:pPr>
              <w:rPr>
                <w:rFonts w:ascii="Arial Narrow" w:hAnsi="Arial Narrow"/>
                <w:b/>
                <w:sz w:val="20"/>
                <w:szCs w:val="20"/>
              </w:rPr>
            </w:pPr>
            <w:r w:rsidRPr="00B90523">
              <w:rPr>
                <w:rFonts w:ascii="Arial Narrow" w:hAnsi="Arial Narrow"/>
                <w:b/>
                <w:sz w:val="20"/>
                <w:szCs w:val="20"/>
              </w:rPr>
              <w:t xml:space="preserve">Prescriber type:   </w:t>
            </w:r>
            <w:r w:rsidRPr="00B90523">
              <w:rPr>
                <w:rFonts w:ascii="Arial Narrow" w:hAnsi="Arial Narrow"/>
                <w:sz w:val="20"/>
                <w:szCs w:val="20"/>
              </w:rPr>
              <w:fldChar w:fldCharType="begin" w:fldLock="1">
                <w:ffData>
                  <w:name w:val=""/>
                  <w:enabled/>
                  <w:calcOnExit w:val="0"/>
                  <w:checkBox>
                    <w:sizeAuto/>
                    <w:default w:val="1"/>
                  </w:checkBox>
                </w:ffData>
              </w:fldChar>
            </w:r>
            <w:r w:rsidRPr="00B90523">
              <w:rPr>
                <w:rFonts w:ascii="Arial Narrow" w:hAnsi="Arial Narrow"/>
                <w:sz w:val="20"/>
                <w:szCs w:val="20"/>
              </w:rPr>
              <w:instrText xml:space="preserve"> FORMCHECKBOX </w:instrText>
            </w:r>
            <w:r w:rsidR="007225AD">
              <w:rPr>
                <w:rFonts w:ascii="Arial Narrow" w:hAnsi="Arial Narrow"/>
                <w:sz w:val="20"/>
                <w:szCs w:val="20"/>
              </w:rPr>
            </w:r>
            <w:r w:rsidR="007225AD">
              <w:rPr>
                <w:rFonts w:ascii="Arial Narrow" w:hAnsi="Arial Narrow"/>
                <w:sz w:val="20"/>
                <w:szCs w:val="20"/>
              </w:rPr>
              <w:fldChar w:fldCharType="separate"/>
            </w:r>
            <w:r w:rsidRPr="00B90523">
              <w:rPr>
                <w:rFonts w:ascii="Arial Narrow" w:hAnsi="Arial Narrow"/>
                <w:sz w:val="20"/>
                <w:szCs w:val="20"/>
              </w:rPr>
              <w:fldChar w:fldCharType="end"/>
            </w:r>
            <w:r w:rsidRPr="00B90523">
              <w:rPr>
                <w:rFonts w:ascii="Arial Narrow" w:hAnsi="Arial Narrow"/>
                <w:sz w:val="20"/>
                <w:szCs w:val="20"/>
              </w:rPr>
              <w:t xml:space="preserve">Medical Practitioners    </w:t>
            </w:r>
          </w:p>
        </w:tc>
      </w:tr>
      <w:tr w:rsidR="00EF105B" w:rsidRPr="00B90523" w14:paraId="55C5AE95" w14:textId="77777777" w:rsidTr="00D70468">
        <w:tc>
          <w:tcPr>
            <w:tcW w:w="988" w:type="dxa"/>
            <w:gridSpan w:val="2"/>
            <w:vMerge/>
            <w:tcBorders>
              <w:left w:val="single" w:sz="4" w:space="0" w:color="auto"/>
              <w:bottom w:val="single" w:sz="4" w:space="0" w:color="auto"/>
              <w:right w:val="single" w:sz="4" w:space="0" w:color="auto"/>
            </w:tcBorders>
          </w:tcPr>
          <w:p w14:paraId="24A51508" w14:textId="77777777" w:rsidR="00EF105B" w:rsidRPr="00B90523" w:rsidRDefault="00EF105B" w:rsidP="002503FB">
            <w:pPr>
              <w:rPr>
                <w:rFonts w:ascii="Arial Narrow" w:hAnsi="Arial Narrow"/>
                <w:sz w:val="20"/>
                <w:szCs w:val="20"/>
              </w:rPr>
            </w:pPr>
          </w:p>
        </w:tc>
        <w:tc>
          <w:tcPr>
            <w:tcW w:w="8029" w:type="dxa"/>
            <w:tcBorders>
              <w:top w:val="single" w:sz="4" w:space="0" w:color="auto"/>
              <w:left w:val="single" w:sz="4" w:space="0" w:color="auto"/>
              <w:bottom w:val="single" w:sz="4" w:space="0" w:color="auto"/>
              <w:right w:val="single" w:sz="4" w:space="0" w:color="auto"/>
            </w:tcBorders>
          </w:tcPr>
          <w:p w14:paraId="6C24AB1F" w14:textId="77777777" w:rsidR="00EF105B" w:rsidRPr="00B90523" w:rsidRDefault="00EF105B" w:rsidP="002503FB">
            <w:pPr>
              <w:rPr>
                <w:rFonts w:ascii="Arial Narrow" w:eastAsia="Calibri" w:hAnsi="Arial Narrow"/>
                <w:color w:val="FF00FF"/>
                <w:sz w:val="20"/>
                <w:szCs w:val="20"/>
              </w:rPr>
            </w:pPr>
            <w:r w:rsidRPr="00B90523">
              <w:rPr>
                <w:rFonts w:ascii="Arial Narrow" w:hAnsi="Arial Narrow"/>
                <w:b/>
                <w:sz w:val="20"/>
                <w:szCs w:val="20"/>
              </w:rPr>
              <w:t xml:space="preserve">Restriction type: </w:t>
            </w:r>
            <w:r w:rsidRPr="00B90523">
              <w:rPr>
                <w:rFonts w:ascii="Arial Narrow" w:eastAsia="Calibri" w:hAnsi="Arial Narrow"/>
                <w:sz w:val="20"/>
                <w:szCs w:val="20"/>
              </w:rPr>
              <w:fldChar w:fldCharType="begin" w:fldLock="1">
                <w:ffData>
                  <w:name w:val=""/>
                  <w:enabled/>
                  <w:calcOnExit w:val="0"/>
                  <w:checkBox>
                    <w:sizeAuto/>
                    <w:default w:val="1"/>
                  </w:checkBox>
                </w:ffData>
              </w:fldChar>
            </w:r>
            <w:r w:rsidRPr="00B90523">
              <w:rPr>
                <w:rFonts w:ascii="Arial Narrow" w:eastAsia="Calibri" w:hAnsi="Arial Narrow"/>
                <w:sz w:val="20"/>
                <w:szCs w:val="20"/>
              </w:rPr>
              <w:instrText xml:space="preserve"> FORMCHECKBOX </w:instrText>
            </w:r>
            <w:r w:rsidR="007225AD">
              <w:rPr>
                <w:rFonts w:ascii="Arial Narrow" w:eastAsia="Calibri" w:hAnsi="Arial Narrow"/>
                <w:sz w:val="20"/>
                <w:szCs w:val="20"/>
              </w:rPr>
            </w:r>
            <w:r w:rsidR="007225AD">
              <w:rPr>
                <w:rFonts w:ascii="Arial Narrow" w:eastAsia="Calibri" w:hAnsi="Arial Narrow"/>
                <w:sz w:val="20"/>
                <w:szCs w:val="20"/>
              </w:rPr>
              <w:fldChar w:fldCharType="separate"/>
            </w:r>
            <w:r w:rsidRPr="00B90523">
              <w:rPr>
                <w:rFonts w:ascii="Arial Narrow" w:eastAsia="Calibri" w:hAnsi="Arial Narrow"/>
                <w:sz w:val="20"/>
                <w:szCs w:val="20"/>
              </w:rPr>
              <w:fldChar w:fldCharType="end"/>
            </w:r>
            <w:r w:rsidRPr="00B90523">
              <w:rPr>
                <w:rFonts w:ascii="Arial Narrow" w:eastAsia="Calibri" w:hAnsi="Arial Narrow"/>
                <w:sz w:val="20"/>
                <w:szCs w:val="20"/>
              </w:rPr>
              <w:t xml:space="preserve">Authority Required (telephone/online PBS Authorities system) </w:t>
            </w:r>
          </w:p>
        </w:tc>
      </w:tr>
      <w:tr w:rsidR="00EF105B" w:rsidRPr="00B90523" w14:paraId="31D6F89C" w14:textId="77777777" w:rsidTr="00D70468">
        <w:tc>
          <w:tcPr>
            <w:tcW w:w="988" w:type="dxa"/>
            <w:gridSpan w:val="2"/>
            <w:tcBorders>
              <w:left w:val="single" w:sz="4" w:space="0" w:color="auto"/>
              <w:bottom w:val="single" w:sz="4" w:space="0" w:color="auto"/>
              <w:right w:val="single" w:sz="4" w:space="0" w:color="auto"/>
            </w:tcBorders>
          </w:tcPr>
          <w:p w14:paraId="1BC780BE" w14:textId="77777777" w:rsidR="00EF105B" w:rsidRPr="00B90523" w:rsidRDefault="00EF105B" w:rsidP="002503FB">
            <w:pPr>
              <w:rPr>
                <w:rFonts w:ascii="Arial Narrow" w:hAnsi="Arial Narrow"/>
                <w:sz w:val="20"/>
                <w:szCs w:val="20"/>
              </w:rPr>
            </w:pPr>
          </w:p>
        </w:tc>
        <w:tc>
          <w:tcPr>
            <w:tcW w:w="8029" w:type="dxa"/>
            <w:tcBorders>
              <w:top w:val="single" w:sz="4" w:space="0" w:color="auto"/>
              <w:left w:val="single" w:sz="4" w:space="0" w:color="auto"/>
              <w:bottom w:val="single" w:sz="4" w:space="0" w:color="auto"/>
              <w:right w:val="single" w:sz="4" w:space="0" w:color="auto"/>
            </w:tcBorders>
          </w:tcPr>
          <w:p w14:paraId="4FA2C11B" w14:textId="77777777" w:rsidR="00EF105B" w:rsidRPr="00B90523" w:rsidRDefault="00EF105B" w:rsidP="002503FB">
            <w:pPr>
              <w:rPr>
                <w:rFonts w:ascii="Arial Narrow" w:hAnsi="Arial Narrow"/>
                <w:b/>
                <w:sz w:val="20"/>
                <w:szCs w:val="20"/>
              </w:rPr>
            </w:pPr>
          </w:p>
        </w:tc>
      </w:tr>
      <w:tr w:rsidR="00EF105B" w:rsidRPr="00B90523" w14:paraId="74A84B38" w14:textId="77777777" w:rsidTr="00D70468">
        <w:trPr>
          <w:trHeight w:val="517"/>
        </w:trPr>
        <w:tc>
          <w:tcPr>
            <w:tcW w:w="487" w:type="dxa"/>
            <w:vMerge w:val="restart"/>
            <w:tcBorders>
              <w:left w:val="single" w:sz="4" w:space="0" w:color="auto"/>
              <w:right w:val="single" w:sz="4" w:space="0" w:color="auto"/>
            </w:tcBorders>
            <w:textDirection w:val="btLr"/>
          </w:tcPr>
          <w:p w14:paraId="1F0C3D4F" w14:textId="35828ACE" w:rsidR="00EF105B" w:rsidRPr="00B90523" w:rsidRDefault="00EF105B" w:rsidP="002503FB">
            <w:pPr>
              <w:ind w:left="113" w:right="113"/>
              <w:rPr>
                <w:rFonts w:ascii="Arial Narrow" w:hAnsi="Arial Narrow"/>
                <w:sz w:val="20"/>
                <w:szCs w:val="20"/>
              </w:rPr>
            </w:pPr>
          </w:p>
        </w:tc>
        <w:tc>
          <w:tcPr>
            <w:tcW w:w="501" w:type="dxa"/>
            <w:vAlign w:val="center"/>
          </w:tcPr>
          <w:p w14:paraId="3398C1DD" w14:textId="6C13D547" w:rsidR="00EF105B" w:rsidRPr="00B90523" w:rsidRDefault="00EF105B" w:rsidP="002503FB">
            <w:pPr>
              <w:jc w:val="center"/>
              <w:rPr>
                <w:rFonts w:ascii="Arial Narrow" w:hAnsi="Arial Narrow"/>
                <w:color w:val="333333"/>
                <w:sz w:val="20"/>
                <w:szCs w:val="20"/>
              </w:rPr>
            </w:pPr>
          </w:p>
        </w:tc>
        <w:tc>
          <w:tcPr>
            <w:tcW w:w="8029" w:type="dxa"/>
            <w:vAlign w:val="center"/>
          </w:tcPr>
          <w:p w14:paraId="0651FDAD" w14:textId="77777777" w:rsidR="00EF105B" w:rsidRPr="00B90523" w:rsidRDefault="00EF105B" w:rsidP="002503FB">
            <w:pPr>
              <w:rPr>
                <w:rFonts w:ascii="Arial Narrow" w:hAnsi="Arial Narrow"/>
                <w:color w:val="333333"/>
                <w:sz w:val="20"/>
                <w:szCs w:val="20"/>
              </w:rPr>
            </w:pPr>
            <w:r w:rsidRPr="00B90523">
              <w:rPr>
                <w:rFonts w:ascii="Arial Narrow" w:hAnsi="Arial Narrow"/>
                <w:b/>
                <w:bCs/>
                <w:color w:val="333333"/>
                <w:sz w:val="20"/>
                <w:szCs w:val="20"/>
              </w:rPr>
              <w:t>Administrative Advice:</w:t>
            </w:r>
          </w:p>
          <w:p w14:paraId="127D86C7" w14:textId="77777777" w:rsidR="00EF105B" w:rsidRPr="00B90523" w:rsidRDefault="00EF105B" w:rsidP="002503FB">
            <w:pPr>
              <w:rPr>
                <w:rFonts w:ascii="Arial Narrow" w:hAnsi="Arial Narrow"/>
                <w:color w:val="333333"/>
                <w:sz w:val="20"/>
                <w:szCs w:val="20"/>
              </w:rPr>
            </w:pPr>
            <w:r w:rsidRPr="00B90523">
              <w:rPr>
                <w:rFonts w:ascii="Arial Narrow" w:hAnsi="Arial Narrow"/>
                <w:sz w:val="20"/>
                <w:szCs w:val="20"/>
              </w:rPr>
              <w:t>Changes to common administrative advice concept 27221 at the end of this section.</w:t>
            </w:r>
          </w:p>
        </w:tc>
      </w:tr>
      <w:tr w:rsidR="00EF105B" w:rsidRPr="00B90523" w14:paraId="668B71C9" w14:textId="77777777" w:rsidTr="00D70468">
        <w:trPr>
          <w:trHeight w:val="344"/>
        </w:trPr>
        <w:tc>
          <w:tcPr>
            <w:tcW w:w="487" w:type="dxa"/>
            <w:vMerge/>
            <w:tcBorders>
              <w:left w:val="single" w:sz="4" w:space="0" w:color="auto"/>
              <w:right w:val="single" w:sz="4" w:space="0" w:color="auto"/>
            </w:tcBorders>
          </w:tcPr>
          <w:p w14:paraId="775A95C2" w14:textId="77777777" w:rsidR="00EF105B" w:rsidRPr="00B90523" w:rsidRDefault="00EF105B" w:rsidP="002503FB">
            <w:pPr>
              <w:rPr>
                <w:rFonts w:ascii="Arial Narrow" w:hAnsi="Arial Narrow"/>
                <w:sz w:val="20"/>
                <w:szCs w:val="20"/>
              </w:rPr>
            </w:pPr>
          </w:p>
        </w:tc>
        <w:tc>
          <w:tcPr>
            <w:tcW w:w="501" w:type="dxa"/>
            <w:vAlign w:val="center"/>
          </w:tcPr>
          <w:p w14:paraId="69301B66" w14:textId="4FE9F9D5" w:rsidR="00EF105B" w:rsidRPr="00B90523" w:rsidRDefault="00EF105B" w:rsidP="002503FB">
            <w:pPr>
              <w:jc w:val="center"/>
              <w:rPr>
                <w:rFonts w:ascii="Arial Narrow" w:hAnsi="Arial Narrow"/>
                <w:color w:val="333333"/>
                <w:sz w:val="20"/>
                <w:szCs w:val="20"/>
              </w:rPr>
            </w:pPr>
          </w:p>
        </w:tc>
        <w:tc>
          <w:tcPr>
            <w:tcW w:w="8029" w:type="dxa"/>
            <w:vAlign w:val="center"/>
          </w:tcPr>
          <w:p w14:paraId="759815DB"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 xml:space="preserve">Administrative Advice: </w:t>
            </w:r>
            <w:r w:rsidRPr="00B90523">
              <w:rPr>
                <w:rFonts w:ascii="Arial Narrow" w:hAnsi="Arial Narrow"/>
                <w:color w:val="333333"/>
                <w:sz w:val="20"/>
                <w:szCs w:val="20"/>
              </w:rPr>
              <w:t>No increase in the maximum quantity or number of units may be authorised.</w:t>
            </w:r>
          </w:p>
        </w:tc>
      </w:tr>
      <w:tr w:rsidR="00EF105B" w:rsidRPr="00B90523" w14:paraId="25A72582" w14:textId="77777777" w:rsidTr="00D70468">
        <w:trPr>
          <w:trHeight w:val="380"/>
        </w:trPr>
        <w:tc>
          <w:tcPr>
            <w:tcW w:w="487" w:type="dxa"/>
            <w:vMerge/>
            <w:tcBorders>
              <w:left w:val="single" w:sz="4" w:space="0" w:color="auto"/>
              <w:bottom w:val="single" w:sz="4" w:space="0" w:color="auto"/>
              <w:right w:val="single" w:sz="4" w:space="0" w:color="auto"/>
            </w:tcBorders>
          </w:tcPr>
          <w:p w14:paraId="0E991659" w14:textId="77777777" w:rsidR="00EF105B" w:rsidRPr="00B90523" w:rsidRDefault="00EF105B" w:rsidP="002503FB">
            <w:pPr>
              <w:rPr>
                <w:rFonts w:ascii="Arial Narrow" w:hAnsi="Arial Narrow"/>
                <w:sz w:val="20"/>
                <w:szCs w:val="20"/>
              </w:rPr>
            </w:pPr>
          </w:p>
        </w:tc>
        <w:tc>
          <w:tcPr>
            <w:tcW w:w="501" w:type="dxa"/>
            <w:vAlign w:val="center"/>
          </w:tcPr>
          <w:p w14:paraId="21FAFE25" w14:textId="5E222FBA" w:rsidR="00EF105B" w:rsidRPr="00B90523" w:rsidRDefault="00EF105B" w:rsidP="002503FB">
            <w:pPr>
              <w:jc w:val="center"/>
              <w:rPr>
                <w:rFonts w:ascii="Arial Narrow" w:hAnsi="Arial Narrow"/>
                <w:color w:val="333333"/>
                <w:sz w:val="20"/>
                <w:szCs w:val="20"/>
              </w:rPr>
            </w:pPr>
          </w:p>
        </w:tc>
        <w:tc>
          <w:tcPr>
            <w:tcW w:w="8029" w:type="dxa"/>
            <w:vAlign w:val="center"/>
          </w:tcPr>
          <w:p w14:paraId="34F4928E"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 xml:space="preserve">Administrative Advice: </w:t>
            </w:r>
            <w:r w:rsidRPr="00B90523">
              <w:rPr>
                <w:rFonts w:ascii="Arial Narrow" w:hAnsi="Arial Narrow"/>
                <w:color w:val="333333"/>
                <w:sz w:val="20"/>
                <w:szCs w:val="20"/>
              </w:rPr>
              <w:t>Special Pricing Arrangements apply.</w:t>
            </w:r>
          </w:p>
        </w:tc>
      </w:tr>
      <w:tr w:rsidR="00EF105B" w:rsidRPr="00B90523" w14:paraId="0EA87CB7" w14:textId="77777777" w:rsidTr="00D70468">
        <w:tc>
          <w:tcPr>
            <w:tcW w:w="988" w:type="dxa"/>
            <w:gridSpan w:val="2"/>
            <w:vAlign w:val="center"/>
          </w:tcPr>
          <w:p w14:paraId="1856B07D" w14:textId="608DDA1F" w:rsidR="00EF105B" w:rsidRPr="00B90523" w:rsidRDefault="00EF105B" w:rsidP="002503FB">
            <w:pPr>
              <w:jc w:val="center"/>
              <w:rPr>
                <w:rFonts w:ascii="Arial Narrow" w:hAnsi="Arial Narrow"/>
                <w:color w:val="333333"/>
                <w:sz w:val="20"/>
                <w:szCs w:val="20"/>
              </w:rPr>
            </w:pPr>
          </w:p>
        </w:tc>
        <w:tc>
          <w:tcPr>
            <w:tcW w:w="8029" w:type="dxa"/>
            <w:vAlign w:val="center"/>
          </w:tcPr>
          <w:p w14:paraId="50BD7118" w14:textId="77777777" w:rsidR="00EF105B" w:rsidRPr="00B90523" w:rsidRDefault="00EF105B" w:rsidP="002503FB">
            <w:pPr>
              <w:rPr>
                <w:rFonts w:ascii="Arial Narrow" w:hAnsi="Arial Narrow"/>
                <w:sz w:val="20"/>
                <w:szCs w:val="20"/>
              </w:rPr>
            </w:pPr>
            <w:r w:rsidRPr="00B90523">
              <w:rPr>
                <w:rFonts w:ascii="Arial Narrow" w:hAnsi="Arial Narrow"/>
                <w:b/>
                <w:bCs/>
                <w:color w:val="333333"/>
                <w:sz w:val="20"/>
                <w:szCs w:val="20"/>
              </w:rPr>
              <w:t>Indication:</w:t>
            </w:r>
            <w:r w:rsidRPr="00B90523">
              <w:rPr>
                <w:rFonts w:ascii="Arial Narrow" w:hAnsi="Arial Narrow"/>
                <w:color w:val="333333"/>
                <w:sz w:val="20"/>
                <w:szCs w:val="20"/>
              </w:rPr>
              <w:t xml:space="preserve"> Moderate to severe ulcerative colitis</w:t>
            </w:r>
          </w:p>
        </w:tc>
      </w:tr>
      <w:tr w:rsidR="00EF105B" w:rsidRPr="00B90523" w14:paraId="1CA889C4" w14:textId="77777777" w:rsidTr="00D70468">
        <w:tc>
          <w:tcPr>
            <w:tcW w:w="988" w:type="dxa"/>
            <w:gridSpan w:val="2"/>
            <w:vAlign w:val="center"/>
          </w:tcPr>
          <w:p w14:paraId="70C52788" w14:textId="77777777" w:rsidR="00EF105B" w:rsidRPr="00B90523" w:rsidRDefault="00EF105B" w:rsidP="002503FB">
            <w:pPr>
              <w:jc w:val="center"/>
              <w:rPr>
                <w:rFonts w:ascii="Arial Narrow" w:hAnsi="Arial Narrow"/>
                <w:color w:val="333333"/>
                <w:sz w:val="20"/>
                <w:szCs w:val="20"/>
              </w:rPr>
            </w:pPr>
          </w:p>
        </w:tc>
        <w:tc>
          <w:tcPr>
            <w:tcW w:w="8029" w:type="dxa"/>
            <w:vAlign w:val="center"/>
          </w:tcPr>
          <w:p w14:paraId="568A8F4E" w14:textId="77777777" w:rsidR="00EF105B" w:rsidRPr="00B90523" w:rsidRDefault="00EF105B" w:rsidP="002503FB">
            <w:pPr>
              <w:rPr>
                <w:rFonts w:ascii="Arial Narrow" w:hAnsi="Arial Narrow"/>
                <w:sz w:val="20"/>
                <w:szCs w:val="20"/>
              </w:rPr>
            </w:pPr>
            <w:r w:rsidRPr="00B90523">
              <w:rPr>
                <w:rFonts w:ascii="Arial Narrow" w:hAnsi="Arial Narrow"/>
                <w:b/>
                <w:bCs/>
                <w:color w:val="333333"/>
                <w:sz w:val="20"/>
                <w:szCs w:val="20"/>
              </w:rPr>
              <w:t xml:space="preserve">Treatment Phase: </w:t>
            </w:r>
            <w:r w:rsidRPr="00B90523">
              <w:rPr>
                <w:rFonts w:ascii="Arial Narrow" w:hAnsi="Arial Narrow"/>
                <w:color w:val="333333"/>
                <w:sz w:val="20"/>
                <w:szCs w:val="20"/>
              </w:rPr>
              <w:t>Balance of supply</w:t>
            </w:r>
          </w:p>
        </w:tc>
      </w:tr>
      <w:tr w:rsidR="00EF105B" w:rsidRPr="00B90523" w14:paraId="796E778A" w14:textId="77777777" w:rsidTr="00D70468">
        <w:tc>
          <w:tcPr>
            <w:tcW w:w="988" w:type="dxa"/>
            <w:gridSpan w:val="2"/>
            <w:vAlign w:val="center"/>
          </w:tcPr>
          <w:p w14:paraId="08B9E34C" w14:textId="3CF5B226" w:rsidR="00EF105B" w:rsidRPr="00B90523" w:rsidRDefault="00EF105B" w:rsidP="002503FB">
            <w:pPr>
              <w:jc w:val="center"/>
              <w:rPr>
                <w:rFonts w:ascii="Arial Narrow" w:hAnsi="Arial Narrow"/>
                <w:color w:val="333333"/>
                <w:sz w:val="20"/>
                <w:szCs w:val="20"/>
              </w:rPr>
            </w:pPr>
          </w:p>
        </w:tc>
        <w:tc>
          <w:tcPr>
            <w:tcW w:w="8029" w:type="dxa"/>
            <w:vAlign w:val="center"/>
          </w:tcPr>
          <w:p w14:paraId="5E518BD6" w14:textId="77777777" w:rsidR="00EF105B" w:rsidRPr="00B90523" w:rsidRDefault="00EF105B" w:rsidP="002503FB">
            <w:pPr>
              <w:rPr>
                <w:rFonts w:ascii="Arial Narrow" w:hAnsi="Arial Narrow"/>
                <w:sz w:val="20"/>
                <w:szCs w:val="20"/>
              </w:rPr>
            </w:pPr>
            <w:r w:rsidRPr="00B90523">
              <w:rPr>
                <w:rFonts w:ascii="Arial Narrow" w:hAnsi="Arial Narrow"/>
                <w:b/>
                <w:bCs/>
                <w:color w:val="333333"/>
                <w:sz w:val="20"/>
                <w:szCs w:val="20"/>
              </w:rPr>
              <w:t xml:space="preserve">Treatment criteria: </w:t>
            </w:r>
          </w:p>
        </w:tc>
      </w:tr>
      <w:tr w:rsidR="00EF105B" w:rsidRPr="00B90523" w14:paraId="07FDCB77" w14:textId="77777777" w:rsidTr="00D70468">
        <w:tc>
          <w:tcPr>
            <w:tcW w:w="988" w:type="dxa"/>
            <w:gridSpan w:val="2"/>
            <w:vAlign w:val="center"/>
          </w:tcPr>
          <w:p w14:paraId="1DECF16E" w14:textId="38C0424F" w:rsidR="00EF105B" w:rsidRPr="00B90523" w:rsidRDefault="00EF105B" w:rsidP="002503FB">
            <w:pPr>
              <w:jc w:val="center"/>
              <w:rPr>
                <w:rFonts w:ascii="Arial Narrow" w:hAnsi="Arial Narrow"/>
                <w:color w:val="333333"/>
                <w:sz w:val="20"/>
                <w:szCs w:val="20"/>
              </w:rPr>
            </w:pPr>
          </w:p>
        </w:tc>
        <w:tc>
          <w:tcPr>
            <w:tcW w:w="8029" w:type="dxa"/>
            <w:vAlign w:val="center"/>
          </w:tcPr>
          <w:p w14:paraId="25F6CC06"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gastroenterologist (code 87); OR</w:t>
            </w:r>
          </w:p>
        </w:tc>
      </w:tr>
      <w:tr w:rsidR="00EF105B" w:rsidRPr="00B90523" w14:paraId="0D4432E4" w14:textId="77777777" w:rsidTr="00D70468">
        <w:tc>
          <w:tcPr>
            <w:tcW w:w="988" w:type="dxa"/>
            <w:gridSpan w:val="2"/>
            <w:vAlign w:val="center"/>
          </w:tcPr>
          <w:p w14:paraId="2E733A12" w14:textId="42BC96C2" w:rsidR="00EF105B" w:rsidRPr="00B90523" w:rsidRDefault="00EF105B" w:rsidP="002503FB">
            <w:pPr>
              <w:jc w:val="center"/>
              <w:rPr>
                <w:rFonts w:ascii="Arial Narrow" w:hAnsi="Arial Narrow"/>
                <w:color w:val="333333"/>
                <w:sz w:val="20"/>
                <w:szCs w:val="20"/>
              </w:rPr>
            </w:pPr>
          </w:p>
        </w:tc>
        <w:tc>
          <w:tcPr>
            <w:tcW w:w="8029" w:type="dxa"/>
            <w:vAlign w:val="center"/>
          </w:tcPr>
          <w:p w14:paraId="158793F7"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[internal medicine specialising in gastroenterology (code 81)]; OR</w:t>
            </w:r>
          </w:p>
        </w:tc>
      </w:tr>
      <w:tr w:rsidR="00EF105B" w:rsidRPr="00B90523" w14:paraId="4010B299" w14:textId="77777777" w:rsidTr="00D70468">
        <w:tc>
          <w:tcPr>
            <w:tcW w:w="988" w:type="dxa"/>
            <w:gridSpan w:val="2"/>
            <w:vAlign w:val="center"/>
          </w:tcPr>
          <w:p w14:paraId="0C61053C" w14:textId="57F063F2" w:rsidR="00EF105B" w:rsidRPr="00B90523" w:rsidRDefault="00EF105B" w:rsidP="002503FB">
            <w:pPr>
              <w:jc w:val="center"/>
              <w:rPr>
                <w:rFonts w:ascii="Arial Narrow" w:hAnsi="Arial Narrow"/>
                <w:color w:val="333333"/>
                <w:sz w:val="20"/>
                <w:szCs w:val="20"/>
              </w:rPr>
            </w:pPr>
          </w:p>
        </w:tc>
        <w:tc>
          <w:tcPr>
            <w:tcW w:w="8029" w:type="dxa"/>
            <w:vAlign w:val="center"/>
          </w:tcPr>
          <w:p w14:paraId="01128F50"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Must be treated by a consultant physician [general medicine specialising in gastroenterology (code 82)].</w:t>
            </w:r>
          </w:p>
        </w:tc>
      </w:tr>
      <w:tr w:rsidR="00EF105B" w:rsidRPr="00B90523" w14:paraId="71A50243" w14:textId="77777777" w:rsidTr="00D70468">
        <w:tc>
          <w:tcPr>
            <w:tcW w:w="988" w:type="dxa"/>
            <w:gridSpan w:val="2"/>
            <w:vAlign w:val="center"/>
          </w:tcPr>
          <w:p w14:paraId="5BA07CCF" w14:textId="77777777" w:rsidR="00EF105B" w:rsidRPr="00B90523" w:rsidRDefault="00EF105B" w:rsidP="002503FB">
            <w:pPr>
              <w:jc w:val="center"/>
              <w:rPr>
                <w:rFonts w:ascii="Arial Narrow" w:hAnsi="Arial Narrow"/>
                <w:color w:val="333333"/>
                <w:sz w:val="20"/>
                <w:szCs w:val="20"/>
              </w:rPr>
            </w:pPr>
          </w:p>
        </w:tc>
        <w:tc>
          <w:tcPr>
            <w:tcW w:w="8029" w:type="dxa"/>
            <w:vAlign w:val="center"/>
          </w:tcPr>
          <w:p w14:paraId="36E105B7" w14:textId="77777777" w:rsidR="00EF105B" w:rsidRPr="00B90523" w:rsidRDefault="00EF105B" w:rsidP="002503FB">
            <w:pPr>
              <w:rPr>
                <w:rFonts w:ascii="Arial Narrow" w:hAnsi="Arial Narrow"/>
                <w:sz w:val="20"/>
                <w:szCs w:val="20"/>
              </w:rPr>
            </w:pPr>
            <w:r w:rsidRPr="00B90523">
              <w:rPr>
                <w:rFonts w:ascii="Arial Narrow" w:hAnsi="Arial Narrow"/>
                <w:b/>
                <w:bCs/>
                <w:sz w:val="20"/>
                <w:szCs w:val="20"/>
              </w:rPr>
              <w:t>AND</w:t>
            </w:r>
          </w:p>
        </w:tc>
      </w:tr>
      <w:tr w:rsidR="00EF105B" w:rsidRPr="00B90523" w14:paraId="7A739717" w14:textId="77777777" w:rsidTr="00D70468">
        <w:tc>
          <w:tcPr>
            <w:tcW w:w="988" w:type="dxa"/>
            <w:gridSpan w:val="2"/>
            <w:vAlign w:val="center"/>
          </w:tcPr>
          <w:p w14:paraId="6254BACD" w14:textId="3C372217" w:rsidR="00EF105B" w:rsidRPr="00B90523" w:rsidRDefault="00EF105B" w:rsidP="002503FB">
            <w:pPr>
              <w:jc w:val="center"/>
              <w:rPr>
                <w:rFonts w:ascii="Arial Narrow" w:hAnsi="Arial Narrow"/>
                <w:color w:val="333333"/>
                <w:sz w:val="20"/>
                <w:szCs w:val="20"/>
              </w:rPr>
            </w:pPr>
          </w:p>
        </w:tc>
        <w:tc>
          <w:tcPr>
            <w:tcW w:w="8029" w:type="dxa"/>
            <w:vAlign w:val="center"/>
          </w:tcPr>
          <w:p w14:paraId="678F2B0E" w14:textId="77777777" w:rsidR="00EF105B" w:rsidRPr="00B90523" w:rsidRDefault="00EF105B" w:rsidP="002503FB">
            <w:pPr>
              <w:rPr>
                <w:rFonts w:ascii="Arial Narrow" w:hAnsi="Arial Narrow"/>
                <w:sz w:val="20"/>
                <w:szCs w:val="20"/>
              </w:rPr>
            </w:pPr>
            <w:r w:rsidRPr="00B90523">
              <w:rPr>
                <w:rFonts w:ascii="Arial Narrow" w:hAnsi="Arial Narrow"/>
                <w:b/>
                <w:bCs/>
                <w:sz w:val="20"/>
                <w:szCs w:val="20"/>
              </w:rPr>
              <w:t>Clinical criteria:</w:t>
            </w:r>
          </w:p>
        </w:tc>
      </w:tr>
      <w:tr w:rsidR="00EF105B" w:rsidRPr="00B90523" w14:paraId="3C25428A" w14:textId="77777777" w:rsidTr="00D70468">
        <w:tc>
          <w:tcPr>
            <w:tcW w:w="988" w:type="dxa"/>
            <w:gridSpan w:val="2"/>
            <w:vAlign w:val="center"/>
          </w:tcPr>
          <w:p w14:paraId="3F7859D9" w14:textId="2A23AAC4" w:rsidR="00EF105B" w:rsidRPr="00B90523" w:rsidRDefault="00EF105B" w:rsidP="002503FB">
            <w:pPr>
              <w:jc w:val="center"/>
              <w:rPr>
                <w:rFonts w:ascii="Arial Narrow" w:hAnsi="Arial Narrow"/>
                <w:color w:val="333333"/>
                <w:sz w:val="20"/>
                <w:szCs w:val="20"/>
              </w:rPr>
            </w:pPr>
          </w:p>
        </w:tc>
        <w:tc>
          <w:tcPr>
            <w:tcW w:w="8029" w:type="dxa"/>
            <w:vAlign w:val="center"/>
          </w:tcPr>
          <w:p w14:paraId="4A5BBB17" w14:textId="77777777" w:rsidR="00EF105B" w:rsidRPr="00B90523" w:rsidRDefault="00EF105B" w:rsidP="002503FB">
            <w:pPr>
              <w:rPr>
                <w:rFonts w:ascii="Arial Narrow" w:hAnsi="Arial Narrow"/>
                <w:sz w:val="20"/>
                <w:szCs w:val="20"/>
              </w:rPr>
            </w:pPr>
            <w:r w:rsidRPr="00B90523">
              <w:rPr>
                <w:rFonts w:ascii="Arial Narrow" w:hAnsi="Arial Narrow"/>
                <w:sz w:val="20"/>
                <w:szCs w:val="20"/>
              </w:rPr>
              <w:t>The treatment must provide no more than the balance of up to 16 weeks therapy available under Initial 1, 2 or 3 treatment; or</w:t>
            </w:r>
          </w:p>
        </w:tc>
      </w:tr>
      <w:tr w:rsidR="00EF105B" w:rsidRPr="00B90523" w14:paraId="7E932785" w14:textId="77777777" w:rsidTr="00D70468">
        <w:tc>
          <w:tcPr>
            <w:tcW w:w="988" w:type="dxa"/>
            <w:gridSpan w:val="2"/>
            <w:vAlign w:val="center"/>
          </w:tcPr>
          <w:p w14:paraId="7C767229" w14:textId="355AF5F3" w:rsidR="00EF105B" w:rsidRPr="00B90523" w:rsidRDefault="00EF105B" w:rsidP="002503FB">
            <w:pPr>
              <w:jc w:val="center"/>
              <w:rPr>
                <w:rFonts w:ascii="Arial Narrow" w:hAnsi="Arial Narrow"/>
                <w:color w:val="333333"/>
                <w:sz w:val="20"/>
                <w:szCs w:val="20"/>
              </w:rPr>
            </w:pPr>
          </w:p>
        </w:tc>
        <w:tc>
          <w:tcPr>
            <w:tcW w:w="8029" w:type="dxa"/>
            <w:vAlign w:val="center"/>
          </w:tcPr>
          <w:p w14:paraId="67067A6A" w14:textId="77777777" w:rsidR="00EF105B" w:rsidRPr="00B90523" w:rsidDel="00313778" w:rsidRDefault="00EF105B" w:rsidP="002503FB">
            <w:pPr>
              <w:rPr>
                <w:rFonts w:ascii="Arial Narrow" w:hAnsi="Arial Narrow"/>
                <w:sz w:val="20"/>
                <w:szCs w:val="20"/>
              </w:rPr>
            </w:pPr>
            <w:r w:rsidRPr="00B90523">
              <w:rPr>
                <w:rFonts w:ascii="Arial Narrow" w:hAnsi="Arial Narrow"/>
                <w:sz w:val="20"/>
                <w:szCs w:val="20"/>
              </w:rPr>
              <w:t>The treatment must provide no more than the balance of up to 24 weeks therapy available under Continuing treatment.</w:t>
            </w:r>
          </w:p>
        </w:tc>
      </w:tr>
      <w:tr w:rsidR="00EF105B" w:rsidRPr="00B90523" w14:paraId="5EA15421" w14:textId="77777777" w:rsidTr="00D70468">
        <w:tc>
          <w:tcPr>
            <w:tcW w:w="988" w:type="dxa"/>
            <w:gridSpan w:val="2"/>
            <w:vAlign w:val="center"/>
          </w:tcPr>
          <w:p w14:paraId="6E60128C" w14:textId="7D9A2F75" w:rsidR="00EF105B" w:rsidRPr="00B90523" w:rsidRDefault="00EF105B" w:rsidP="002503FB">
            <w:pPr>
              <w:jc w:val="center"/>
              <w:rPr>
                <w:rFonts w:ascii="Arial Narrow" w:hAnsi="Arial Narrow"/>
                <w:color w:val="333333"/>
                <w:sz w:val="20"/>
                <w:szCs w:val="20"/>
              </w:rPr>
            </w:pPr>
          </w:p>
        </w:tc>
        <w:tc>
          <w:tcPr>
            <w:tcW w:w="8029" w:type="dxa"/>
            <w:vAlign w:val="center"/>
          </w:tcPr>
          <w:p w14:paraId="76B4812A"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Administrative advice:</w:t>
            </w:r>
          </w:p>
          <w:p w14:paraId="00733412" w14:textId="1F1BA6F3" w:rsidR="00EF105B" w:rsidRPr="00B90523" w:rsidRDefault="00EF105B" w:rsidP="002503FB">
            <w:pPr>
              <w:rPr>
                <w:rFonts w:ascii="Arial Narrow" w:hAnsi="Arial Narrow"/>
                <w:sz w:val="20"/>
                <w:szCs w:val="20"/>
              </w:rPr>
            </w:pPr>
            <w:r w:rsidRPr="00B90523">
              <w:rPr>
                <w:rFonts w:ascii="Arial Narrow" w:hAnsi="Arial Narrow"/>
                <w:color w:val="333333"/>
                <w:sz w:val="20"/>
                <w:szCs w:val="20"/>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F105B" w:rsidRPr="00B90523" w14:paraId="503313EB" w14:textId="77777777" w:rsidTr="00D70468">
        <w:tc>
          <w:tcPr>
            <w:tcW w:w="988" w:type="dxa"/>
            <w:gridSpan w:val="2"/>
            <w:vAlign w:val="center"/>
          </w:tcPr>
          <w:p w14:paraId="6E255BAA" w14:textId="02E06D1B" w:rsidR="00EF105B" w:rsidRPr="00B90523" w:rsidRDefault="00EF105B" w:rsidP="002503FB">
            <w:pPr>
              <w:jc w:val="center"/>
              <w:rPr>
                <w:rFonts w:ascii="Arial Narrow" w:hAnsi="Arial Narrow"/>
                <w:color w:val="333333"/>
                <w:sz w:val="20"/>
                <w:szCs w:val="20"/>
              </w:rPr>
            </w:pPr>
          </w:p>
        </w:tc>
        <w:tc>
          <w:tcPr>
            <w:tcW w:w="8029" w:type="dxa"/>
            <w:vAlign w:val="center"/>
          </w:tcPr>
          <w:p w14:paraId="2A3A80B8" w14:textId="77777777" w:rsidR="00EF105B" w:rsidRPr="00B90523" w:rsidRDefault="00EF105B" w:rsidP="002503FB">
            <w:pPr>
              <w:rPr>
                <w:rFonts w:ascii="Arial Narrow" w:hAnsi="Arial Narrow"/>
                <w:b/>
                <w:bCs/>
                <w:color w:val="333333"/>
                <w:sz w:val="20"/>
                <w:szCs w:val="20"/>
              </w:rPr>
            </w:pPr>
            <w:r w:rsidRPr="00B90523">
              <w:rPr>
                <w:rFonts w:ascii="Arial Narrow" w:hAnsi="Arial Narrow"/>
                <w:b/>
                <w:bCs/>
                <w:color w:val="333333"/>
                <w:sz w:val="20"/>
                <w:szCs w:val="20"/>
              </w:rPr>
              <w:t>Administrative advice:</w:t>
            </w:r>
          </w:p>
          <w:p w14:paraId="2168E558" w14:textId="77777777" w:rsidR="00EF105B" w:rsidRPr="00B90523" w:rsidRDefault="00EF105B" w:rsidP="002503FB">
            <w:pPr>
              <w:rPr>
                <w:rFonts w:ascii="Arial Narrow" w:hAnsi="Arial Narrow"/>
                <w:color w:val="333333"/>
                <w:sz w:val="20"/>
                <w:szCs w:val="20"/>
              </w:rPr>
            </w:pPr>
            <w:r w:rsidRPr="00B90523">
              <w:rPr>
                <w:rFonts w:ascii="Arial Narrow" w:hAnsi="Arial Narrow"/>
                <w:color w:val="333333"/>
                <w:sz w:val="20"/>
                <w:szCs w:val="20"/>
              </w:rPr>
              <w:t>Seek an increase in repeat prescriptions to that stated (zero) only where applicable.</w:t>
            </w:r>
          </w:p>
        </w:tc>
      </w:tr>
    </w:tbl>
    <w:p w14:paraId="52900BFE" w14:textId="77777777" w:rsidR="00EF105B" w:rsidRPr="00B90523" w:rsidRDefault="00EF105B" w:rsidP="00EF105B">
      <w:pPr>
        <w:rPr>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4F4"/>
        <w:tblCellMar>
          <w:left w:w="0" w:type="dxa"/>
          <w:right w:w="0" w:type="dxa"/>
        </w:tblCellMar>
        <w:tblLook w:val="04A0" w:firstRow="1" w:lastRow="0" w:firstColumn="1" w:lastColumn="0" w:noHBand="0" w:noVBand="1"/>
      </w:tblPr>
      <w:tblGrid>
        <w:gridCol w:w="988"/>
        <w:gridCol w:w="8029"/>
      </w:tblGrid>
      <w:tr w:rsidR="00EF105B" w:rsidRPr="00B90523" w14:paraId="7911AED3" w14:textId="77777777" w:rsidTr="002503FB">
        <w:tc>
          <w:tcPr>
            <w:tcW w:w="548" w:type="pct"/>
            <w:shd w:val="clear" w:color="auto" w:fill="auto"/>
            <w:tcMar>
              <w:top w:w="120" w:type="dxa"/>
              <w:left w:w="240" w:type="dxa"/>
              <w:bottom w:w="120" w:type="dxa"/>
              <w:right w:w="240" w:type="dxa"/>
            </w:tcMar>
            <w:hideMark/>
          </w:tcPr>
          <w:p w14:paraId="7B28DF25" w14:textId="76C65A74" w:rsidR="00EF105B" w:rsidRPr="00B90523" w:rsidRDefault="00EF105B" w:rsidP="002503FB">
            <w:pPr>
              <w:textAlignment w:val="baseline"/>
              <w:rPr>
                <w:rFonts w:ascii="Arial Narrow" w:hAnsi="Arial Narrow" w:cs="Open Sans"/>
                <w:color w:val="333333"/>
                <w:sz w:val="20"/>
                <w:szCs w:val="20"/>
              </w:rPr>
            </w:pPr>
          </w:p>
        </w:tc>
        <w:tc>
          <w:tcPr>
            <w:tcW w:w="4452" w:type="pct"/>
            <w:shd w:val="clear" w:color="auto" w:fill="auto"/>
            <w:tcMar>
              <w:top w:w="120" w:type="dxa"/>
              <w:left w:w="240" w:type="dxa"/>
              <w:bottom w:w="120" w:type="dxa"/>
              <w:right w:w="240" w:type="dxa"/>
            </w:tcMar>
            <w:hideMark/>
          </w:tcPr>
          <w:p w14:paraId="6A058068" w14:textId="77777777" w:rsidR="00EF105B" w:rsidRPr="00B90523" w:rsidRDefault="00EF105B" w:rsidP="002503FB">
            <w:pPr>
              <w:ind w:left="-217"/>
              <w:textAlignment w:val="baseline"/>
              <w:rPr>
                <w:rFonts w:ascii="Arial Narrow" w:hAnsi="Arial Narrow" w:cs="Open Sans"/>
                <w:b/>
                <w:bCs/>
                <w:color w:val="333333"/>
                <w:sz w:val="20"/>
                <w:szCs w:val="20"/>
                <w:bdr w:val="none" w:sz="0" w:space="0" w:color="auto" w:frame="1"/>
              </w:rPr>
            </w:pPr>
            <w:r w:rsidRPr="00B90523">
              <w:rPr>
                <w:rFonts w:ascii="Arial Narrow" w:hAnsi="Arial Narrow" w:cs="Open Sans"/>
                <w:b/>
                <w:bCs/>
                <w:color w:val="333333"/>
                <w:sz w:val="20"/>
                <w:szCs w:val="20"/>
                <w:bdr w:val="none" w:sz="0" w:space="0" w:color="auto" w:frame="1"/>
              </w:rPr>
              <w:t xml:space="preserve">NOTE: </w:t>
            </w:r>
          </w:p>
          <w:p w14:paraId="701BFA42" w14:textId="77777777" w:rsidR="00EF105B" w:rsidRPr="00B90523" w:rsidRDefault="00EF105B" w:rsidP="002503FB">
            <w:pPr>
              <w:ind w:left="-217"/>
              <w:textAlignment w:val="baseline"/>
              <w:rPr>
                <w:rFonts w:ascii="Arial Narrow" w:hAnsi="Arial Narrow" w:cs="Open Sans"/>
                <w:b/>
                <w:bCs/>
                <w:color w:val="333333"/>
                <w:sz w:val="20"/>
                <w:szCs w:val="20"/>
                <w:bdr w:val="none" w:sz="0" w:space="0" w:color="auto" w:frame="1"/>
              </w:rPr>
            </w:pPr>
            <w:r w:rsidRPr="00B90523">
              <w:rPr>
                <w:rFonts w:ascii="Arial Narrow" w:hAnsi="Arial Narrow" w:cs="Open Sans"/>
                <w:b/>
                <w:bCs/>
                <w:color w:val="333333"/>
                <w:sz w:val="20"/>
                <w:szCs w:val="20"/>
                <w:bdr w:val="none" w:sz="0" w:space="0" w:color="auto" w:frame="1"/>
              </w:rPr>
              <w:t>TREATMENT OF ADULT PATIENTS WITH MODERATE TO SEVERE ULCERATIVE COLITIS</w:t>
            </w:r>
          </w:p>
          <w:p w14:paraId="7C5CA611" w14:textId="77777777" w:rsidR="00EF105B" w:rsidRPr="00B90523" w:rsidRDefault="00EF105B" w:rsidP="002503FB">
            <w:pPr>
              <w:ind w:left="-57"/>
              <w:textAlignment w:val="baseline"/>
              <w:rPr>
                <w:rFonts w:ascii="Arial Narrow" w:hAnsi="Arial Narrow" w:cs="Open Sans"/>
                <w:color w:val="333333"/>
                <w:sz w:val="20"/>
                <w:szCs w:val="20"/>
                <w:bdr w:val="none" w:sz="0" w:space="0" w:color="auto" w:frame="1"/>
              </w:rPr>
            </w:pPr>
          </w:p>
          <w:p w14:paraId="095BD031"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 xml:space="preserve">The following information applies to Pharmaceutical Benefits Scheme (PBS) benefits for the indication of moderate to severe ulcerative colitis (MSUC). Patients are eligible for one PBS-subsidised drug treatment indicated for MSUC at any one time. </w:t>
            </w:r>
          </w:p>
          <w:p w14:paraId="224E9E93" w14:textId="77777777" w:rsidR="00EF105B" w:rsidRPr="00B90523" w:rsidRDefault="00EF105B" w:rsidP="002503FB">
            <w:pPr>
              <w:ind w:left="-57"/>
              <w:textAlignment w:val="baseline"/>
              <w:rPr>
                <w:rFonts w:ascii="Arial Narrow" w:hAnsi="Arial Narrow" w:cs="Open Sans"/>
                <w:color w:val="333333"/>
                <w:sz w:val="20"/>
                <w:szCs w:val="20"/>
                <w:bdr w:val="none" w:sz="0" w:space="0" w:color="auto" w:frame="1"/>
              </w:rPr>
            </w:pPr>
          </w:p>
          <w:p w14:paraId="3D263EC6"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 xml:space="preserve">Where the term 'biological medicine' appears in this note and restrictions, it refers to any PBS benefit indicated for MSUC. </w:t>
            </w:r>
          </w:p>
          <w:p w14:paraId="7F4315CE"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 xml:space="preserve">Some benefits are not biological medicines, but are small molecules. However, for practical purposes, these benefits are included within the term “biological medicine”.  </w:t>
            </w:r>
          </w:p>
          <w:p w14:paraId="4BA884E8"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1AFFA8E7"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From 1 July 2021, under the PBS, all adult patients will be able to commence a treatment cycle where they may trial PBS-subsidised biological medicine without having to experience a disease flare when swapping to one of the alternate agents. Under these arrangements, within a single treatment cycle, a patient may continue to receive long-term treatment with a PBS subsidised biological medicine while they continue to show a response to therapy.</w:t>
            </w:r>
          </w:p>
          <w:p w14:paraId="5CFF599E"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4B1DE8FA"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A patient who received PBS-subsidised biological medicine treatment prior to 1 July 2021 is considered to have started their first cycle as of 1 July 2021. Within the same treatment cycle, the same biological medicine cannot be trialled twice.  Where 3 biological medicines have failed to provide the patient with an adequate response a treatment cycle is considered complete. There must be a 5-year break in PBS-subsidised therapy before starting the next cycle. The 5-year break is measured from the date of the last approval for PBS-subsidised biological medicine treatment in the most recent cycle to the date of the first application for initial treatment with a PBS-subsidised biological medicine under the new treatment cycle.</w:t>
            </w:r>
          </w:p>
          <w:p w14:paraId="557F8BD8"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1924D32F"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A 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34C67343"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3C40AC3A"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Selecting the correct treatment phase listing to seek the authority application:</w:t>
            </w:r>
          </w:p>
          <w:p w14:paraId="181C1393"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0827B477"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(1) Initial treatment.</w:t>
            </w:r>
          </w:p>
          <w:p w14:paraId="7642E656"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 xml:space="preserve">Apply under an initial 1 treatment listing where the patient has never received a biological medicine. </w:t>
            </w:r>
          </w:p>
          <w:p w14:paraId="7F8B586A"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1FCBDF5C"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(2) Continuing treatment.</w:t>
            </w:r>
          </w:p>
          <w:p w14:paraId="6B4481D8"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 xml:space="preserve">Under no circumstance is continuing treatment to proceed initial treatment. An authority application for continuing treatment is not to be made on the same day as initial treatment. </w:t>
            </w:r>
          </w:p>
          <w:p w14:paraId="3E3628DD"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3ECA879E"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(3) Changing therapy.</w:t>
            </w:r>
          </w:p>
          <w:p w14:paraId="7AC1905C"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 xml:space="preserve">Apply under an initial 2 treatment listing. The indices of disease severity (i.e. Mayo clinic score or partial Mayo clinic score), or the prior corticosteroid therapy and immunosuppressive therapy will not need to be restated. A patient may trial an alternate biological medicine treatment at any time, regardless of whether they are receiving therapy (initial or continuing) at the time of the application. However, they cannot change to a particular biological medicine if they have failed to respond to prior treatment with that drug once within the same treatment cycle. A response assessment to the preceding supply of biological medicine must accompany this initial 2 treatment authority application. </w:t>
            </w:r>
          </w:p>
          <w:p w14:paraId="6ECC2310"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286A1094"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(4) Recommencement of treatment after a 5-year break in PBS-subsidised therapy.</w:t>
            </w:r>
          </w:p>
          <w:p w14:paraId="080AC9AC"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Apply under initial 3 treatment listing. Prior corticosteroid and immunosuppressive therapies need not be re-trialled.</w:t>
            </w:r>
          </w:p>
          <w:p w14:paraId="20E77F0A"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6C0154E8"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(5) Balance of supply.</w:t>
            </w:r>
          </w:p>
          <w:p w14:paraId="0A2343EB"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Where the full number of repeat prescriptions have not been requested under any initial or continuing listing, apply for the balance of the supply of the repeats under any treatment phase listing containing the words “balance of supply”.</w:t>
            </w:r>
          </w:p>
          <w:p w14:paraId="05F136C3"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p>
          <w:p w14:paraId="11CE86A6" w14:textId="77777777" w:rsidR="00EF105B" w:rsidRPr="00B90523" w:rsidRDefault="00EF105B" w:rsidP="002503FB">
            <w:pPr>
              <w:ind w:left="-217"/>
              <w:textAlignment w:val="baseline"/>
              <w:rPr>
                <w:rFonts w:ascii="Arial Narrow" w:hAnsi="Arial Narrow" w:cs="Open Sans"/>
                <w:color w:val="333333"/>
                <w:sz w:val="20"/>
                <w:szCs w:val="20"/>
                <w:bdr w:val="none" w:sz="0" w:space="0" w:color="auto" w:frame="1"/>
              </w:rPr>
            </w:pPr>
            <w:r w:rsidRPr="00B90523">
              <w:rPr>
                <w:rFonts w:ascii="Arial Narrow" w:hAnsi="Arial Narrow" w:cs="Open Sans"/>
                <w:color w:val="333333"/>
                <w:sz w:val="20"/>
                <w:szCs w:val="20"/>
                <w:bdr w:val="none" w:sz="0" w:space="0" w:color="auto" w:frame="1"/>
              </w:rPr>
              <w:t>(6) Dose modification</w:t>
            </w:r>
          </w:p>
          <w:p w14:paraId="3B103D6F" w14:textId="77777777" w:rsidR="00EF105B" w:rsidRPr="00B90523" w:rsidRDefault="00EF105B" w:rsidP="002503FB">
            <w:pPr>
              <w:ind w:left="-217"/>
              <w:textAlignment w:val="baseline"/>
              <w:rPr>
                <w:rFonts w:ascii="Arial Narrow" w:hAnsi="Arial Narrow" w:cs="Open Sans"/>
                <w:color w:val="333333"/>
                <w:sz w:val="20"/>
                <w:szCs w:val="20"/>
              </w:rPr>
            </w:pPr>
            <w:r w:rsidRPr="00B90523">
              <w:rPr>
                <w:rFonts w:ascii="Arial Narrow" w:hAnsi="Arial Narrow" w:cs="Open Sans"/>
                <w:color w:val="333333"/>
                <w:sz w:val="20"/>
                <w:szCs w:val="20"/>
              </w:rPr>
              <w:t xml:space="preserve">Where the drug’s Product Information indicates variable dosing regimens based on the individual’s response/tolerance, apply under this listing to continue treatment with the new strength.  Mark any remaining repeat prescriptions for the discontinued strength with the word ‘cancelled’. This treatment phase listing recognises that a patient’s optimal dose may not always be immediately apparent at the time of treatment initiation and therefore does not require confirmation of an objective, adequate response to the preceding supply of drug.  </w:t>
            </w:r>
          </w:p>
        </w:tc>
      </w:tr>
    </w:tbl>
    <w:p w14:paraId="366CDD3F" w14:textId="77777777" w:rsidR="00EF105B" w:rsidRPr="009A0F3E" w:rsidRDefault="00EF105B" w:rsidP="00EF105B">
      <w:pPr>
        <w:rPr>
          <w:b/>
          <w:sz w:val="20"/>
          <w:szCs w:val="20"/>
          <w:u w:val="single"/>
        </w:rPr>
      </w:pPr>
    </w:p>
    <w:p w14:paraId="142EB27B" w14:textId="2226E5A8" w:rsidR="00910686" w:rsidRDefault="00EF105B" w:rsidP="00EF105B">
      <w:pPr>
        <w:widowControl w:val="0"/>
        <w:spacing w:after="120"/>
        <w:rPr>
          <w:rFonts w:asciiTheme="minorHAnsi" w:hAnsiTheme="minorHAnsi"/>
          <w:b/>
          <w:bCs/>
          <w:i/>
          <w:szCs w:val="22"/>
        </w:rPr>
      </w:pPr>
      <w:r w:rsidRPr="00BB6D30">
        <w:rPr>
          <w:rFonts w:asciiTheme="minorHAnsi" w:hAnsiTheme="minorHAnsi"/>
          <w:b/>
          <w:bCs/>
          <w:i/>
          <w:szCs w:val="22"/>
        </w:rPr>
        <w:t>This restriction may be subject to further review. Should there be any changes made to the restriction the sponsor will be informed</w:t>
      </w:r>
      <w:r>
        <w:rPr>
          <w:rFonts w:asciiTheme="minorHAnsi" w:hAnsiTheme="minorHAnsi"/>
          <w:b/>
          <w:bCs/>
          <w:i/>
          <w:szCs w:val="22"/>
        </w:rPr>
        <w:t>.</w:t>
      </w:r>
    </w:p>
    <w:p w14:paraId="7C9D58CA" w14:textId="25809B37" w:rsidR="00D94877" w:rsidRDefault="00D94877" w:rsidP="00D94877">
      <w:pPr>
        <w:pStyle w:val="2-SectionHeading"/>
        <w:numPr>
          <w:ilvl w:val="0"/>
          <w:numId w:val="1"/>
        </w:numPr>
        <w:rPr>
          <w:bCs/>
          <w:lang w:val="en-GB"/>
        </w:rPr>
      </w:pPr>
      <w:r w:rsidRPr="00D94877">
        <w:rPr>
          <w:bCs/>
          <w:lang w:val="en-GB"/>
        </w:rPr>
        <w:t>Context for Decision</w:t>
      </w:r>
    </w:p>
    <w:p w14:paraId="3B6429F4" w14:textId="77777777" w:rsidR="00D94877" w:rsidRPr="00D94877" w:rsidRDefault="00D94877" w:rsidP="00D94877">
      <w:pPr>
        <w:pStyle w:val="3-BodyText"/>
        <w:numPr>
          <w:ilvl w:val="0"/>
          <w:numId w:val="0"/>
        </w:numPr>
        <w:ind w:left="720"/>
        <w:rPr>
          <w:lang w:val="en-GB"/>
        </w:rPr>
      </w:pPr>
      <w:r w:rsidRPr="00D94877">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CAA5720" w14:textId="2AA96462" w:rsidR="00D94877" w:rsidRPr="00D94877" w:rsidRDefault="00D94877" w:rsidP="00D94877">
      <w:pPr>
        <w:pStyle w:val="2-SectionHeading"/>
        <w:numPr>
          <w:ilvl w:val="0"/>
          <w:numId w:val="1"/>
        </w:numPr>
        <w:rPr>
          <w:bCs/>
          <w:lang w:val="en-GB"/>
        </w:rPr>
      </w:pPr>
      <w:r w:rsidRPr="00D94877">
        <w:rPr>
          <w:bCs/>
          <w:lang w:val="en-GB"/>
        </w:rPr>
        <w:t>Sponsor’s Comment</w:t>
      </w:r>
    </w:p>
    <w:p w14:paraId="280DF44C" w14:textId="77777777" w:rsidR="00D94877" w:rsidRPr="00D94877" w:rsidRDefault="00D94877" w:rsidP="00D94877">
      <w:pPr>
        <w:pStyle w:val="3-BodyText"/>
        <w:numPr>
          <w:ilvl w:val="0"/>
          <w:numId w:val="0"/>
        </w:numPr>
        <w:ind w:left="720"/>
        <w:rPr>
          <w:lang w:val="en-GB"/>
        </w:rPr>
      </w:pPr>
      <w:r w:rsidRPr="00D94877">
        <w:rPr>
          <w:lang w:val="en-GB"/>
        </w:rPr>
        <w:t>The sponsor had no comment.</w:t>
      </w:r>
    </w:p>
    <w:p w14:paraId="494524B0" w14:textId="77777777" w:rsidR="00D94877" w:rsidRPr="00EF105B" w:rsidRDefault="00D94877" w:rsidP="00EF105B">
      <w:pPr>
        <w:widowControl w:val="0"/>
        <w:spacing w:after="120"/>
        <w:rPr>
          <w:rFonts w:asciiTheme="minorHAnsi" w:hAnsiTheme="minorHAnsi"/>
          <w:bCs/>
          <w:snapToGrid w:val="0"/>
        </w:rPr>
      </w:pPr>
    </w:p>
    <w:sectPr w:rsidR="00D94877" w:rsidRPr="00EF105B" w:rsidSect="0091068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7C23" w14:textId="77777777" w:rsidR="00CF3A1C" w:rsidRDefault="00CF3A1C" w:rsidP="00124A51">
      <w:r>
        <w:separator/>
      </w:r>
    </w:p>
    <w:p w14:paraId="59910109" w14:textId="77777777" w:rsidR="00CF3A1C" w:rsidRDefault="00CF3A1C"/>
  </w:endnote>
  <w:endnote w:type="continuationSeparator" w:id="0">
    <w:p w14:paraId="2E590631" w14:textId="77777777" w:rsidR="00CF3A1C" w:rsidRDefault="00CF3A1C" w:rsidP="00124A51">
      <w:r>
        <w:continuationSeparator/>
      </w:r>
    </w:p>
    <w:p w14:paraId="284F6244" w14:textId="77777777" w:rsidR="00CF3A1C" w:rsidRDefault="00CF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69B0" w14:textId="77777777" w:rsidR="00035272" w:rsidRDefault="00035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F851" w14:textId="0C896AFB" w:rsidR="00CF3A1C" w:rsidRDefault="00CF3A1C" w:rsidP="00BE5605">
    <w:pPr>
      <w:ind w:right="360"/>
      <w:jc w:val="center"/>
    </w:pPr>
  </w:p>
  <w:sdt>
    <w:sdtPr>
      <w:id w:val="365408217"/>
      <w:docPartObj>
        <w:docPartGallery w:val="Page Numbers (Bottom of Page)"/>
        <w:docPartUnique/>
      </w:docPartObj>
    </w:sdtPr>
    <w:sdtEndPr>
      <w:rPr>
        <w:b/>
        <w:bCs/>
        <w:noProof/>
      </w:rPr>
    </w:sdtEndPr>
    <w:sdtContent>
      <w:p w14:paraId="361EBB5E" w14:textId="77777777" w:rsidR="00CF3A1C" w:rsidRPr="007B26B3" w:rsidRDefault="00CF3A1C" w:rsidP="003476C7">
        <w:pPr>
          <w:pStyle w:val="Footer"/>
          <w:jc w:val="center"/>
          <w:rPr>
            <w:b/>
            <w:bCs/>
          </w:rPr>
        </w:pPr>
        <w:r w:rsidRPr="007B26B3">
          <w:rPr>
            <w:b/>
            <w:bCs/>
          </w:rPr>
          <w:fldChar w:fldCharType="begin"/>
        </w:r>
        <w:r w:rsidRPr="007B26B3">
          <w:rPr>
            <w:b/>
            <w:bCs/>
          </w:rPr>
          <w:instrText xml:space="preserve"> PAGE   \* MERGEFORMAT </w:instrText>
        </w:r>
        <w:r w:rsidRPr="007B26B3">
          <w:rPr>
            <w:b/>
            <w:bCs/>
          </w:rPr>
          <w:fldChar w:fldCharType="separate"/>
        </w:r>
        <w:r>
          <w:rPr>
            <w:b/>
            <w:bCs/>
          </w:rPr>
          <w:t>1</w:t>
        </w:r>
        <w:r w:rsidRPr="007B26B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9524" w14:textId="77777777" w:rsidR="00035272" w:rsidRDefault="00035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9B32" w14:textId="77777777" w:rsidR="00CF3A1C" w:rsidRDefault="00CF3A1C" w:rsidP="00124A51">
      <w:r>
        <w:separator/>
      </w:r>
    </w:p>
    <w:p w14:paraId="1162946D" w14:textId="77777777" w:rsidR="00CF3A1C" w:rsidRDefault="00CF3A1C"/>
  </w:footnote>
  <w:footnote w:type="continuationSeparator" w:id="0">
    <w:p w14:paraId="1C1DD4C7" w14:textId="77777777" w:rsidR="00CF3A1C" w:rsidRDefault="00CF3A1C" w:rsidP="00124A51">
      <w:r>
        <w:continuationSeparator/>
      </w:r>
    </w:p>
    <w:p w14:paraId="3F789455" w14:textId="77777777" w:rsidR="00CF3A1C" w:rsidRDefault="00CF3A1C"/>
  </w:footnote>
  <w:footnote w:id="1">
    <w:p w14:paraId="46EF4217" w14:textId="77777777" w:rsidR="00CF3A1C" w:rsidRPr="005A4824" w:rsidRDefault="00CF3A1C" w:rsidP="009424B8">
      <w:pPr>
        <w:pStyle w:val="FootnoteText"/>
      </w:pPr>
      <w:r w:rsidRPr="005A4824">
        <w:rPr>
          <w:rStyle w:val="FootnoteReference"/>
        </w:rPr>
        <w:footnoteRef/>
      </w:r>
      <w:r w:rsidRPr="005A4824">
        <w:t xml:space="preserve"> </w:t>
      </w:r>
      <w:r w:rsidRPr="005A4824">
        <w:rPr>
          <w:i/>
          <w:iCs/>
        </w:rPr>
        <w:t xml:space="preserve">FDA Guidance Document, 2016. Ulcerative Colitis: Clinical Trial Endpoints Guidance for Industry. Available from: </w:t>
      </w:r>
      <w:hyperlink r:id="rId1" w:history="1">
        <w:r w:rsidRPr="005A4824">
          <w:rPr>
            <w:rStyle w:val="Hyperlink"/>
            <w:i/>
            <w:iCs/>
          </w:rPr>
          <w:t>https://www.fda.gov/regulatory-information/search-fda-guidance-documents/ulcerative-colitis-clinical-trial-endpoints-guidance-industry</w:t>
        </w:r>
      </w:hyperlink>
    </w:p>
  </w:footnote>
  <w:footnote w:id="2">
    <w:p w14:paraId="63C73FD3" w14:textId="77777777" w:rsidR="00CF3A1C" w:rsidRPr="005A4824" w:rsidRDefault="00CF3A1C" w:rsidP="009424B8">
      <w:pPr>
        <w:pStyle w:val="FootnoteText"/>
      </w:pPr>
      <w:r w:rsidRPr="005A4824">
        <w:rPr>
          <w:rStyle w:val="FootnoteReference"/>
        </w:rPr>
        <w:footnoteRef/>
      </w:r>
      <w:r w:rsidRPr="005A4824">
        <w:rPr>
          <w:lang w:val="fr-FR"/>
        </w:rPr>
        <w:t xml:space="preserve"> Lewis JD, Chhuai S, Nessel L et al. </w:t>
      </w:r>
      <w:r w:rsidRPr="005A4824">
        <w:t xml:space="preserve">Use of the noninvasive components of the Mayo score to assess clinical response in ulcerative colitis. </w:t>
      </w:r>
      <w:r w:rsidRPr="005A4824">
        <w:rPr>
          <w:i/>
          <w:iCs/>
        </w:rPr>
        <w:t>Inflammatory bowel diseases</w:t>
      </w:r>
      <w:r w:rsidRPr="005A4824">
        <w:t xml:space="preserve"> 2008; 14: 1660-1666.</w:t>
      </w:r>
    </w:p>
  </w:footnote>
  <w:footnote w:id="3">
    <w:p w14:paraId="080A6B6E" w14:textId="5F7B8A42" w:rsidR="00CF3A1C" w:rsidRPr="005A4824" w:rsidRDefault="00CF3A1C" w:rsidP="009424B8">
      <w:pPr>
        <w:pStyle w:val="FootnoteText"/>
      </w:pPr>
      <w:r w:rsidRPr="005A4824">
        <w:rPr>
          <w:rStyle w:val="FootnoteReference"/>
        </w:rPr>
        <w:footnoteRef/>
      </w:r>
      <w:r w:rsidRPr="005A4824">
        <w:t xml:space="preserve"> Naegeli AN, Hunter T, Dong Y et al. Full, partial and modified permutations of the Mayo score: Characterizing clinical and patient-reported outcomes in ulcerative colitis patients. Crohn’s &amp; Colitis 360 2021; 13 (1) doi: 10.1093/crocol/otab007.</w:t>
      </w:r>
    </w:p>
  </w:footnote>
  <w:footnote w:id="4">
    <w:p w14:paraId="433BEA92" w14:textId="22F9BA73" w:rsidR="00CF3A1C" w:rsidRDefault="00CF3A1C">
      <w:pPr>
        <w:pStyle w:val="FootnoteText"/>
      </w:pPr>
      <w:r>
        <w:rPr>
          <w:rStyle w:val="FootnoteReference"/>
        </w:rPr>
        <w:footnoteRef/>
      </w:r>
      <w:r w:rsidRPr="00320114">
        <w:t>Lasa, J. S., Olivera, P. A., Danese, S., &amp; Peyrin-Biroulet, L. (2022). Efficacy and safety of biologics and small molecule drugs for patients with moderate-to-severe ulcerative colitis: a systematic review and network meta-analysis. The lancet. Gastroenterology &amp; hepatology, 7(2), 161–170. https://doi.org/10.1016/S2468-1253(21)00377-0</w:t>
      </w:r>
    </w:p>
  </w:footnote>
  <w:footnote w:id="5">
    <w:p w14:paraId="16D6CE0E" w14:textId="1797721A" w:rsidR="00CF3A1C" w:rsidRDefault="00CF3A1C">
      <w:pPr>
        <w:pStyle w:val="FootnoteText"/>
      </w:pPr>
      <w:r>
        <w:rPr>
          <w:rStyle w:val="FootnoteReference"/>
        </w:rPr>
        <w:footnoteRef/>
      </w:r>
      <w:r>
        <w:t xml:space="preserve"> </w:t>
      </w:r>
      <w:r w:rsidRPr="00320114">
        <w:t>Burr NE, Gracie DJ, Black CJ, et alEfficacy of biological therapies and small molecules in moderate to severe ulcerative colitis: systematic review and network meta-analysisGut Published Online First: 22 December 2021. doi: 10.1136/gutjnl-2021-326390</w:t>
      </w:r>
    </w:p>
  </w:footnote>
  <w:footnote w:id="6">
    <w:p w14:paraId="718B32D6" w14:textId="59DCB2F4" w:rsidR="00CF3A1C" w:rsidRDefault="00CF3A1C">
      <w:pPr>
        <w:pStyle w:val="FootnoteText"/>
      </w:pPr>
      <w:r>
        <w:rPr>
          <w:rStyle w:val="FootnoteReference"/>
        </w:rPr>
        <w:footnoteRef/>
      </w:r>
      <w:r>
        <w:t xml:space="preserve"> </w:t>
      </w:r>
      <w:r w:rsidRPr="00320114">
        <w:t>R Panaccione, E B Collins, G Y Melmed, S Vermeire, S Danese, P D R Higgins, W Zhou, D Ilo, D Sharma, Y Sanchez Gonzalez, S T Wang, OP34 Efficacy and safety of advanced induction and maintenance therapies in patients with moderately to severely active Ulcerative Colitis: An indirect treatment comparison using Bayesian network meta-analysis, Journal of Crohn's and Colitis, Volume 16, Issue Supplement_1, January 2022, Pages i037–i041, https://doi.org/10.1093/ecco-jcc/jjab232.033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2F98" w14:textId="77777777" w:rsidR="00035272" w:rsidRDefault="00035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4598" w14:textId="2E890F20" w:rsidR="00FC48E0" w:rsidRPr="00E3136B" w:rsidRDefault="00FC48E0" w:rsidP="00FC48E0">
    <w:pPr>
      <w:pStyle w:val="Header"/>
      <w:ind w:left="360"/>
      <w:rPr>
        <w:rFonts w:asciiTheme="minorHAnsi" w:hAnsiTheme="minorHAnsi"/>
        <w:i/>
        <w:color w:val="808080"/>
      </w:rPr>
    </w:pPr>
    <w:bookmarkStart w:id="61" w:name="_Hlk76375146"/>
    <w:r w:rsidRPr="00E3136B">
      <w:rPr>
        <w:rFonts w:asciiTheme="minorHAnsi" w:hAnsiTheme="minorHAnsi"/>
        <w:i/>
        <w:color w:val="808080"/>
      </w:rPr>
      <w:t>Public Summary Document – July 2022 PBAC Meeting</w:t>
    </w:r>
    <w:r w:rsidR="00D94877">
      <w:rPr>
        <w:rFonts w:asciiTheme="minorHAnsi" w:hAnsiTheme="minorHAnsi"/>
        <w:i/>
        <w:color w:val="808080"/>
      </w:rPr>
      <w:t xml:space="preserve"> with Addendum November 2022</w:t>
    </w:r>
  </w:p>
  <w:bookmarkEnd w:id="61"/>
  <w:p w14:paraId="001E101F" w14:textId="77777777" w:rsidR="00CF3A1C" w:rsidRPr="008C7ECB" w:rsidRDefault="00CF3A1C" w:rsidP="00BC647E">
    <w:pPr>
      <w:tabs>
        <w:tab w:val="left" w:pos="142"/>
        <w:tab w:val="right" w:pos="9026"/>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A7A7" w14:textId="77777777" w:rsidR="00035272" w:rsidRDefault="00035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CA90DE"/>
    <w:lvl w:ilvl="0">
      <w:start w:val="1"/>
      <w:numFmt w:val="bullet"/>
      <w:pStyle w:val="ListBullet"/>
      <w:lvlText w:val=""/>
      <w:lvlJc w:val="left"/>
      <w:pPr>
        <w:tabs>
          <w:tab w:val="num" w:pos="786"/>
        </w:tabs>
        <w:ind w:left="786" w:hanging="360"/>
      </w:pPr>
      <w:rPr>
        <w:rFonts w:ascii="Symbol" w:hAnsi="Symbol" w:hint="default"/>
        <w:color w:val="auto"/>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9F7817"/>
    <w:multiLevelType w:val="hybridMultilevel"/>
    <w:tmpl w:val="9746E990"/>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913996"/>
    <w:multiLevelType w:val="hybridMultilevel"/>
    <w:tmpl w:val="CE9480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C44591"/>
    <w:multiLevelType w:val="hybridMultilevel"/>
    <w:tmpl w:val="EBBAE782"/>
    <w:lvl w:ilvl="0" w:tplc="103AEEDE">
      <w:start w:val="1"/>
      <w:numFmt w:val="decimal"/>
      <w:lvlText w:val="%1."/>
      <w:lvlJc w:val="left"/>
      <w:pPr>
        <w:ind w:left="720" w:hanging="360"/>
      </w:pPr>
      <w:rPr>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0E36C2"/>
    <w:multiLevelType w:val="hybridMultilevel"/>
    <w:tmpl w:val="CA8E5E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E3F47"/>
    <w:multiLevelType w:val="hybridMultilevel"/>
    <w:tmpl w:val="93BAED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083015B"/>
    <w:multiLevelType w:val="multilevel"/>
    <w:tmpl w:val="4684AA8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3815E7"/>
    <w:multiLevelType w:val="hybridMultilevel"/>
    <w:tmpl w:val="A728352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001ECB"/>
    <w:multiLevelType w:val="hybridMultilevel"/>
    <w:tmpl w:val="002E5FE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1"/>
  </w:num>
  <w:num w:numId="4">
    <w:abstractNumId w:val="0"/>
  </w:num>
  <w:num w:numId="5">
    <w:abstractNumId w:val="20"/>
  </w:num>
  <w:num w:numId="6">
    <w:abstractNumId w:val="7"/>
  </w:num>
  <w:num w:numId="7">
    <w:abstractNumId w:val="12"/>
  </w:num>
  <w:num w:numId="8">
    <w:abstractNumId w:val="19"/>
  </w:num>
  <w:num w:numId="9">
    <w:abstractNumId w:val="13"/>
  </w:num>
  <w:num w:numId="10">
    <w:abstractNumId w:val="8"/>
  </w:num>
  <w:num w:numId="11">
    <w:abstractNumId w:val="0"/>
    <w:lvlOverride w:ilvl="0">
      <w:startOverride w:val="1"/>
    </w:lvlOverride>
  </w:num>
  <w:num w:numId="12">
    <w:abstractNumId w:val="15"/>
  </w:num>
  <w:num w:numId="13">
    <w:abstractNumId w:val="16"/>
  </w:num>
  <w:num w:numId="14">
    <w:abstractNumId w:val="2"/>
  </w:num>
  <w:num w:numId="15">
    <w:abstractNumId w:val="1"/>
  </w:num>
  <w:num w:numId="16">
    <w:abstractNumId w:val="5"/>
  </w:num>
  <w:num w:numId="17">
    <w:abstractNumId w:val="6"/>
  </w:num>
  <w:num w:numId="18">
    <w:abstractNumId w:val="4"/>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0"/>
  </w:num>
  <w:num w:numId="22">
    <w:abstractNumId w:val="20"/>
  </w:num>
  <w:num w:numId="23">
    <w:abstractNumId w:val="3"/>
  </w:num>
  <w:num w:numId="24">
    <w:abstractNumId w:val="14"/>
  </w:num>
  <w:num w:numId="25">
    <w:abstractNumId w:val="9"/>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s-MX"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4096" w:nlCheck="1" w:checkStyle="0"/>
  <w:activeWritingStyle w:appName="MSWord" w:lang="fr-FR" w:vendorID="64" w:dllVersion="0" w:nlCheck="1" w:checkStyle="0"/>
  <w:activeWritingStyle w:appName="MSWord" w:lang="es-MX"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DCB"/>
    <w:rsid w:val="0000110B"/>
    <w:rsid w:val="000011CB"/>
    <w:rsid w:val="00003499"/>
    <w:rsid w:val="000039B7"/>
    <w:rsid w:val="00003EB5"/>
    <w:rsid w:val="000041DB"/>
    <w:rsid w:val="000047B6"/>
    <w:rsid w:val="00004DA9"/>
    <w:rsid w:val="000056A5"/>
    <w:rsid w:val="00005C61"/>
    <w:rsid w:val="0000639A"/>
    <w:rsid w:val="00007ABC"/>
    <w:rsid w:val="000108A4"/>
    <w:rsid w:val="00013247"/>
    <w:rsid w:val="0001472C"/>
    <w:rsid w:val="0001476B"/>
    <w:rsid w:val="00014B7F"/>
    <w:rsid w:val="00015886"/>
    <w:rsid w:val="000162EF"/>
    <w:rsid w:val="00016F98"/>
    <w:rsid w:val="000207C9"/>
    <w:rsid w:val="00021432"/>
    <w:rsid w:val="0002225F"/>
    <w:rsid w:val="00022D00"/>
    <w:rsid w:val="0002307B"/>
    <w:rsid w:val="00023447"/>
    <w:rsid w:val="00023632"/>
    <w:rsid w:val="00023763"/>
    <w:rsid w:val="000274B8"/>
    <w:rsid w:val="00033863"/>
    <w:rsid w:val="00035272"/>
    <w:rsid w:val="00035A2D"/>
    <w:rsid w:val="00035DC0"/>
    <w:rsid w:val="000367BD"/>
    <w:rsid w:val="00036829"/>
    <w:rsid w:val="000374B1"/>
    <w:rsid w:val="00040895"/>
    <w:rsid w:val="00041841"/>
    <w:rsid w:val="00041B72"/>
    <w:rsid w:val="0004237C"/>
    <w:rsid w:val="00042433"/>
    <w:rsid w:val="00043303"/>
    <w:rsid w:val="000435EE"/>
    <w:rsid w:val="00043ABA"/>
    <w:rsid w:val="00043C37"/>
    <w:rsid w:val="00045017"/>
    <w:rsid w:val="00045133"/>
    <w:rsid w:val="00045343"/>
    <w:rsid w:val="00045A2B"/>
    <w:rsid w:val="0004698F"/>
    <w:rsid w:val="00046B71"/>
    <w:rsid w:val="00050967"/>
    <w:rsid w:val="000539D0"/>
    <w:rsid w:val="00054621"/>
    <w:rsid w:val="000546D7"/>
    <w:rsid w:val="00056CCE"/>
    <w:rsid w:val="00056ECF"/>
    <w:rsid w:val="000604DF"/>
    <w:rsid w:val="00061A35"/>
    <w:rsid w:val="0006247E"/>
    <w:rsid w:val="000628BA"/>
    <w:rsid w:val="000630FD"/>
    <w:rsid w:val="00063193"/>
    <w:rsid w:val="000653B5"/>
    <w:rsid w:val="00066360"/>
    <w:rsid w:val="000664A6"/>
    <w:rsid w:val="00066AF8"/>
    <w:rsid w:val="00067ED6"/>
    <w:rsid w:val="000710FB"/>
    <w:rsid w:val="00071248"/>
    <w:rsid w:val="000720B9"/>
    <w:rsid w:val="0007224E"/>
    <w:rsid w:val="000722CF"/>
    <w:rsid w:val="000737F7"/>
    <w:rsid w:val="00074D95"/>
    <w:rsid w:val="0007672F"/>
    <w:rsid w:val="00076B54"/>
    <w:rsid w:val="000774F0"/>
    <w:rsid w:val="00077AEA"/>
    <w:rsid w:val="00080909"/>
    <w:rsid w:val="000812CA"/>
    <w:rsid w:val="00081BFD"/>
    <w:rsid w:val="00081E63"/>
    <w:rsid w:val="0008258D"/>
    <w:rsid w:val="00082AD6"/>
    <w:rsid w:val="00083BC6"/>
    <w:rsid w:val="00083E99"/>
    <w:rsid w:val="00084F08"/>
    <w:rsid w:val="00084FA8"/>
    <w:rsid w:val="000856C5"/>
    <w:rsid w:val="00085750"/>
    <w:rsid w:val="00085C31"/>
    <w:rsid w:val="000874A4"/>
    <w:rsid w:val="000902D9"/>
    <w:rsid w:val="0009030F"/>
    <w:rsid w:val="00090908"/>
    <w:rsid w:val="00090C7E"/>
    <w:rsid w:val="00092600"/>
    <w:rsid w:val="0009262B"/>
    <w:rsid w:val="00093310"/>
    <w:rsid w:val="00094351"/>
    <w:rsid w:val="0009445C"/>
    <w:rsid w:val="00094EF5"/>
    <w:rsid w:val="00095200"/>
    <w:rsid w:val="00095FE5"/>
    <w:rsid w:val="00096284"/>
    <w:rsid w:val="00097BDE"/>
    <w:rsid w:val="000A172F"/>
    <w:rsid w:val="000A1BC0"/>
    <w:rsid w:val="000A1D87"/>
    <w:rsid w:val="000A1FE6"/>
    <w:rsid w:val="000A3369"/>
    <w:rsid w:val="000A40FF"/>
    <w:rsid w:val="000A4A19"/>
    <w:rsid w:val="000A4DCF"/>
    <w:rsid w:val="000A6039"/>
    <w:rsid w:val="000A7453"/>
    <w:rsid w:val="000A7D08"/>
    <w:rsid w:val="000A7DF4"/>
    <w:rsid w:val="000B0121"/>
    <w:rsid w:val="000B0216"/>
    <w:rsid w:val="000B0670"/>
    <w:rsid w:val="000B0E75"/>
    <w:rsid w:val="000B284F"/>
    <w:rsid w:val="000B2DA5"/>
    <w:rsid w:val="000B2DCB"/>
    <w:rsid w:val="000B2FB4"/>
    <w:rsid w:val="000B37DC"/>
    <w:rsid w:val="000B3A0E"/>
    <w:rsid w:val="000B5CE0"/>
    <w:rsid w:val="000B63A2"/>
    <w:rsid w:val="000B6CAC"/>
    <w:rsid w:val="000B7612"/>
    <w:rsid w:val="000B78AE"/>
    <w:rsid w:val="000C017A"/>
    <w:rsid w:val="000C09AE"/>
    <w:rsid w:val="000C3DF9"/>
    <w:rsid w:val="000C43C7"/>
    <w:rsid w:val="000C441F"/>
    <w:rsid w:val="000C4985"/>
    <w:rsid w:val="000C51CE"/>
    <w:rsid w:val="000C5A02"/>
    <w:rsid w:val="000C6713"/>
    <w:rsid w:val="000C6EB3"/>
    <w:rsid w:val="000D1BFC"/>
    <w:rsid w:val="000D1D5D"/>
    <w:rsid w:val="000D27BB"/>
    <w:rsid w:val="000D281A"/>
    <w:rsid w:val="000D2848"/>
    <w:rsid w:val="000D2856"/>
    <w:rsid w:val="000D326A"/>
    <w:rsid w:val="000D3613"/>
    <w:rsid w:val="000D3B0A"/>
    <w:rsid w:val="000D51FB"/>
    <w:rsid w:val="000D602C"/>
    <w:rsid w:val="000D607D"/>
    <w:rsid w:val="000E0640"/>
    <w:rsid w:val="000E0A26"/>
    <w:rsid w:val="000E135D"/>
    <w:rsid w:val="000E198D"/>
    <w:rsid w:val="000E1A5A"/>
    <w:rsid w:val="000E1E6D"/>
    <w:rsid w:val="000E3A5A"/>
    <w:rsid w:val="000E3B7C"/>
    <w:rsid w:val="000E3D20"/>
    <w:rsid w:val="000E4035"/>
    <w:rsid w:val="000E4FAF"/>
    <w:rsid w:val="000E76C4"/>
    <w:rsid w:val="000E7C06"/>
    <w:rsid w:val="000F00BA"/>
    <w:rsid w:val="000F0EFD"/>
    <w:rsid w:val="000F1A8C"/>
    <w:rsid w:val="000F2989"/>
    <w:rsid w:val="000F316A"/>
    <w:rsid w:val="000F3C74"/>
    <w:rsid w:val="000F3DA2"/>
    <w:rsid w:val="000F4696"/>
    <w:rsid w:val="000F4BB8"/>
    <w:rsid w:val="000F4FA9"/>
    <w:rsid w:val="000F53FB"/>
    <w:rsid w:val="000F7127"/>
    <w:rsid w:val="000F755D"/>
    <w:rsid w:val="000F7B54"/>
    <w:rsid w:val="00100154"/>
    <w:rsid w:val="00100F8A"/>
    <w:rsid w:val="0010452E"/>
    <w:rsid w:val="00104564"/>
    <w:rsid w:val="00104B53"/>
    <w:rsid w:val="00105AE2"/>
    <w:rsid w:val="00105E11"/>
    <w:rsid w:val="00106004"/>
    <w:rsid w:val="001060C6"/>
    <w:rsid w:val="001068D1"/>
    <w:rsid w:val="00106A4E"/>
    <w:rsid w:val="00106B80"/>
    <w:rsid w:val="001072A1"/>
    <w:rsid w:val="00107DE5"/>
    <w:rsid w:val="00110027"/>
    <w:rsid w:val="0011032E"/>
    <w:rsid w:val="00110482"/>
    <w:rsid w:val="00110F45"/>
    <w:rsid w:val="0011348B"/>
    <w:rsid w:val="0011386B"/>
    <w:rsid w:val="00115982"/>
    <w:rsid w:val="0011619A"/>
    <w:rsid w:val="00116C53"/>
    <w:rsid w:val="00117219"/>
    <w:rsid w:val="001201DA"/>
    <w:rsid w:val="001207AB"/>
    <w:rsid w:val="00120841"/>
    <w:rsid w:val="00121799"/>
    <w:rsid w:val="001222FC"/>
    <w:rsid w:val="001226A5"/>
    <w:rsid w:val="001235EE"/>
    <w:rsid w:val="0012379A"/>
    <w:rsid w:val="00123902"/>
    <w:rsid w:val="0012441A"/>
    <w:rsid w:val="001249FF"/>
    <w:rsid w:val="00124A51"/>
    <w:rsid w:val="00125D4A"/>
    <w:rsid w:val="00126621"/>
    <w:rsid w:val="00126B1D"/>
    <w:rsid w:val="00126B41"/>
    <w:rsid w:val="00127B5F"/>
    <w:rsid w:val="001301E9"/>
    <w:rsid w:val="00130C90"/>
    <w:rsid w:val="00131161"/>
    <w:rsid w:val="00131BF2"/>
    <w:rsid w:val="00131D82"/>
    <w:rsid w:val="00132B22"/>
    <w:rsid w:val="00133D36"/>
    <w:rsid w:val="00134CA7"/>
    <w:rsid w:val="00134F4E"/>
    <w:rsid w:val="00135732"/>
    <w:rsid w:val="00137592"/>
    <w:rsid w:val="00137645"/>
    <w:rsid w:val="00137EDC"/>
    <w:rsid w:val="0014015A"/>
    <w:rsid w:val="0014045A"/>
    <w:rsid w:val="00140E99"/>
    <w:rsid w:val="00140F24"/>
    <w:rsid w:val="001428E2"/>
    <w:rsid w:val="00143730"/>
    <w:rsid w:val="00143C00"/>
    <w:rsid w:val="00143DA2"/>
    <w:rsid w:val="00143F67"/>
    <w:rsid w:val="00145540"/>
    <w:rsid w:val="001456B0"/>
    <w:rsid w:val="00146685"/>
    <w:rsid w:val="00151BAD"/>
    <w:rsid w:val="00151C13"/>
    <w:rsid w:val="00151DBF"/>
    <w:rsid w:val="00151E13"/>
    <w:rsid w:val="00152422"/>
    <w:rsid w:val="00152B76"/>
    <w:rsid w:val="00156F8F"/>
    <w:rsid w:val="00157006"/>
    <w:rsid w:val="00157130"/>
    <w:rsid w:val="00157413"/>
    <w:rsid w:val="001576B1"/>
    <w:rsid w:val="0016047B"/>
    <w:rsid w:val="00160A4C"/>
    <w:rsid w:val="00160B35"/>
    <w:rsid w:val="0016163D"/>
    <w:rsid w:val="00161DC6"/>
    <w:rsid w:val="00162913"/>
    <w:rsid w:val="00163EFF"/>
    <w:rsid w:val="00163F66"/>
    <w:rsid w:val="0016400E"/>
    <w:rsid w:val="00164609"/>
    <w:rsid w:val="00164F70"/>
    <w:rsid w:val="00165849"/>
    <w:rsid w:val="001661FB"/>
    <w:rsid w:val="0016653C"/>
    <w:rsid w:val="001666E8"/>
    <w:rsid w:val="001671A0"/>
    <w:rsid w:val="0016767F"/>
    <w:rsid w:val="001708D3"/>
    <w:rsid w:val="0017125E"/>
    <w:rsid w:val="00171F59"/>
    <w:rsid w:val="00173565"/>
    <w:rsid w:val="001737CD"/>
    <w:rsid w:val="00173B07"/>
    <w:rsid w:val="0017424C"/>
    <w:rsid w:val="001751FA"/>
    <w:rsid w:val="0017733F"/>
    <w:rsid w:val="00177EE4"/>
    <w:rsid w:val="001807E5"/>
    <w:rsid w:val="00181D9C"/>
    <w:rsid w:val="00181FB9"/>
    <w:rsid w:val="00184B0B"/>
    <w:rsid w:val="00184B0E"/>
    <w:rsid w:val="001851B8"/>
    <w:rsid w:val="00186478"/>
    <w:rsid w:val="00186DFF"/>
    <w:rsid w:val="0018752F"/>
    <w:rsid w:val="00187DBE"/>
    <w:rsid w:val="001925E6"/>
    <w:rsid w:val="00192A13"/>
    <w:rsid w:val="00193838"/>
    <w:rsid w:val="001938FA"/>
    <w:rsid w:val="00194AD8"/>
    <w:rsid w:val="00194FFB"/>
    <w:rsid w:val="00195222"/>
    <w:rsid w:val="001958AA"/>
    <w:rsid w:val="00197071"/>
    <w:rsid w:val="00197572"/>
    <w:rsid w:val="001975D8"/>
    <w:rsid w:val="00197F35"/>
    <w:rsid w:val="001A0606"/>
    <w:rsid w:val="001A178E"/>
    <w:rsid w:val="001A42F3"/>
    <w:rsid w:val="001A43FA"/>
    <w:rsid w:val="001A47C5"/>
    <w:rsid w:val="001A4833"/>
    <w:rsid w:val="001A51F7"/>
    <w:rsid w:val="001A5747"/>
    <w:rsid w:val="001A585F"/>
    <w:rsid w:val="001A59FB"/>
    <w:rsid w:val="001A5E9E"/>
    <w:rsid w:val="001A6354"/>
    <w:rsid w:val="001A6366"/>
    <w:rsid w:val="001A6445"/>
    <w:rsid w:val="001A69D3"/>
    <w:rsid w:val="001A6BF1"/>
    <w:rsid w:val="001A7AE8"/>
    <w:rsid w:val="001B0EA8"/>
    <w:rsid w:val="001B204E"/>
    <w:rsid w:val="001B2372"/>
    <w:rsid w:val="001B2E0E"/>
    <w:rsid w:val="001B3090"/>
    <w:rsid w:val="001B30D1"/>
    <w:rsid w:val="001B3443"/>
    <w:rsid w:val="001B4D20"/>
    <w:rsid w:val="001B55E7"/>
    <w:rsid w:val="001B74EC"/>
    <w:rsid w:val="001C2509"/>
    <w:rsid w:val="001C2A9B"/>
    <w:rsid w:val="001C3397"/>
    <w:rsid w:val="001C4299"/>
    <w:rsid w:val="001C4874"/>
    <w:rsid w:val="001C5AA9"/>
    <w:rsid w:val="001C5F87"/>
    <w:rsid w:val="001C5F94"/>
    <w:rsid w:val="001C6649"/>
    <w:rsid w:val="001C6E66"/>
    <w:rsid w:val="001C7004"/>
    <w:rsid w:val="001C7109"/>
    <w:rsid w:val="001D1100"/>
    <w:rsid w:val="001D1391"/>
    <w:rsid w:val="001D25D7"/>
    <w:rsid w:val="001D292B"/>
    <w:rsid w:val="001D2E66"/>
    <w:rsid w:val="001D50B2"/>
    <w:rsid w:val="001D7645"/>
    <w:rsid w:val="001E017C"/>
    <w:rsid w:val="001E1E86"/>
    <w:rsid w:val="001E1F13"/>
    <w:rsid w:val="001E238E"/>
    <w:rsid w:val="001E2483"/>
    <w:rsid w:val="001E27C4"/>
    <w:rsid w:val="001E2B1E"/>
    <w:rsid w:val="001E2CFF"/>
    <w:rsid w:val="001E2F24"/>
    <w:rsid w:val="001E30D4"/>
    <w:rsid w:val="001E34DF"/>
    <w:rsid w:val="001E407A"/>
    <w:rsid w:val="001E492C"/>
    <w:rsid w:val="001E52EB"/>
    <w:rsid w:val="001E56A0"/>
    <w:rsid w:val="001E59AD"/>
    <w:rsid w:val="001E61D2"/>
    <w:rsid w:val="001E740C"/>
    <w:rsid w:val="001F1235"/>
    <w:rsid w:val="001F1CB3"/>
    <w:rsid w:val="001F25E6"/>
    <w:rsid w:val="001F38B5"/>
    <w:rsid w:val="001F4081"/>
    <w:rsid w:val="001F42F0"/>
    <w:rsid w:val="001F5CB4"/>
    <w:rsid w:val="001F6305"/>
    <w:rsid w:val="001F6BA7"/>
    <w:rsid w:val="001F7361"/>
    <w:rsid w:val="00200DC1"/>
    <w:rsid w:val="002011B0"/>
    <w:rsid w:val="002016FE"/>
    <w:rsid w:val="00203181"/>
    <w:rsid w:val="00203783"/>
    <w:rsid w:val="0020385F"/>
    <w:rsid w:val="002068A0"/>
    <w:rsid w:val="00206CCB"/>
    <w:rsid w:val="00207021"/>
    <w:rsid w:val="0020732F"/>
    <w:rsid w:val="002076EC"/>
    <w:rsid w:val="00207D00"/>
    <w:rsid w:val="002105C1"/>
    <w:rsid w:val="00210B47"/>
    <w:rsid w:val="00211975"/>
    <w:rsid w:val="002123E2"/>
    <w:rsid w:val="00213278"/>
    <w:rsid w:val="00213EF5"/>
    <w:rsid w:val="00216BF5"/>
    <w:rsid w:val="002203EB"/>
    <w:rsid w:val="00221505"/>
    <w:rsid w:val="002226C6"/>
    <w:rsid w:val="00223B49"/>
    <w:rsid w:val="00223D5A"/>
    <w:rsid w:val="00224BD4"/>
    <w:rsid w:val="00224DD4"/>
    <w:rsid w:val="002251ED"/>
    <w:rsid w:val="00225DD3"/>
    <w:rsid w:val="00226451"/>
    <w:rsid w:val="002278A0"/>
    <w:rsid w:val="002307D7"/>
    <w:rsid w:val="002309CC"/>
    <w:rsid w:val="00231864"/>
    <w:rsid w:val="0023209F"/>
    <w:rsid w:val="00232BAD"/>
    <w:rsid w:val="00232F1F"/>
    <w:rsid w:val="00233BF7"/>
    <w:rsid w:val="00233C01"/>
    <w:rsid w:val="0023413C"/>
    <w:rsid w:val="002346F0"/>
    <w:rsid w:val="0023629D"/>
    <w:rsid w:val="00237255"/>
    <w:rsid w:val="002424AF"/>
    <w:rsid w:val="002439DC"/>
    <w:rsid w:val="00243DDA"/>
    <w:rsid w:val="002441D2"/>
    <w:rsid w:val="00244469"/>
    <w:rsid w:val="00244DC8"/>
    <w:rsid w:val="002458BA"/>
    <w:rsid w:val="00245CE9"/>
    <w:rsid w:val="0024636C"/>
    <w:rsid w:val="0024662D"/>
    <w:rsid w:val="00246860"/>
    <w:rsid w:val="00247925"/>
    <w:rsid w:val="00247AE8"/>
    <w:rsid w:val="00250E9D"/>
    <w:rsid w:val="00251006"/>
    <w:rsid w:val="00251C8D"/>
    <w:rsid w:val="002524D5"/>
    <w:rsid w:val="00253B1D"/>
    <w:rsid w:val="00254DCF"/>
    <w:rsid w:val="00255193"/>
    <w:rsid w:val="0025534B"/>
    <w:rsid w:val="002554E2"/>
    <w:rsid w:val="00255BB7"/>
    <w:rsid w:val="0025671B"/>
    <w:rsid w:val="00256E98"/>
    <w:rsid w:val="0025742B"/>
    <w:rsid w:val="00257541"/>
    <w:rsid w:val="00257A39"/>
    <w:rsid w:val="00257AC4"/>
    <w:rsid w:val="002609E0"/>
    <w:rsid w:val="00261EEF"/>
    <w:rsid w:val="002623FC"/>
    <w:rsid w:val="00262A1A"/>
    <w:rsid w:val="00262A87"/>
    <w:rsid w:val="00262A90"/>
    <w:rsid w:val="00262FB0"/>
    <w:rsid w:val="002634D3"/>
    <w:rsid w:val="00264D26"/>
    <w:rsid w:val="00264D28"/>
    <w:rsid w:val="0026676B"/>
    <w:rsid w:val="00267545"/>
    <w:rsid w:val="00267642"/>
    <w:rsid w:val="00267AEA"/>
    <w:rsid w:val="002700E6"/>
    <w:rsid w:val="00270225"/>
    <w:rsid w:val="00270B2E"/>
    <w:rsid w:val="00270D71"/>
    <w:rsid w:val="00271A9D"/>
    <w:rsid w:val="0027294B"/>
    <w:rsid w:val="00273EB4"/>
    <w:rsid w:val="00274682"/>
    <w:rsid w:val="00274A85"/>
    <w:rsid w:val="00274B3E"/>
    <w:rsid w:val="00275172"/>
    <w:rsid w:val="002751B5"/>
    <w:rsid w:val="00275322"/>
    <w:rsid w:val="00275C5A"/>
    <w:rsid w:val="00281014"/>
    <w:rsid w:val="002831A8"/>
    <w:rsid w:val="0028665D"/>
    <w:rsid w:val="00287DBF"/>
    <w:rsid w:val="00290855"/>
    <w:rsid w:val="0029173E"/>
    <w:rsid w:val="00292403"/>
    <w:rsid w:val="002926D3"/>
    <w:rsid w:val="00293523"/>
    <w:rsid w:val="00296349"/>
    <w:rsid w:val="00296CA0"/>
    <w:rsid w:val="00297C24"/>
    <w:rsid w:val="002A14AB"/>
    <w:rsid w:val="002A24C1"/>
    <w:rsid w:val="002A284C"/>
    <w:rsid w:val="002A2ADE"/>
    <w:rsid w:val="002A2F50"/>
    <w:rsid w:val="002A3C73"/>
    <w:rsid w:val="002A3DB9"/>
    <w:rsid w:val="002A6AD9"/>
    <w:rsid w:val="002A6E36"/>
    <w:rsid w:val="002A6EA9"/>
    <w:rsid w:val="002B0409"/>
    <w:rsid w:val="002B05A1"/>
    <w:rsid w:val="002B09A4"/>
    <w:rsid w:val="002B0A52"/>
    <w:rsid w:val="002B0BC5"/>
    <w:rsid w:val="002B1C1F"/>
    <w:rsid w:val="002B2848"/>
    <w:rsid w:val="002B432F"/>
    <w:rsid w:val="002B5FE7"/>
    <w:rsid w:val="002B62B3"/>
    <w:rsid w:val="002B6436"/>
    <w:rsid w:val="002B6754"/>
    <w:rsid w:val="002B6A3D"/>
    <w:rsid w:val="002B6CCE"/>
    <w:rsid w:val="002B7711"/>
    <w:rsid w:val="002C1D14"/>
    <w:rsid w:val="002C1F25"/>
    <w:rsid w:val="002C2510"/>
    <w:rsid w:val="002C2775"/>
    <w:rsid w:val="002C27C1"/>
    <w:rsid w:val="002C5099"/>
    <w:rsid w:val="002C5889"/>
    <w:rsid w:val="002C5FF8"/>
    <w:rsid w:val="002C71CE"/>
    <w:rsid w:val="002C74F5"/>
    <w:rsid w:val="002C7DD2"/>
    <w:rsid w:val="002D08F8"/>
    <w:rsid w:val="002D0E8D"/>
    <w:rsid w:val="002D2AC3"/>
    <w:rsid w:val="002D577C"/>
    <w:rsid w:val="002D5E66"/>
    <w:rsid w:val="002D6459"/>
    <w:rsid w:val="002E03F4"/>
    <w:rsid w:val="002E1071"/>
    <w:rsid w:val="002E15B9"/>
    <w:rsid w:val="002E2158"/>
    <w:rsid w:val="002E2B5C"/>
    <w:rsid w:val="002E4F02"/>
    <w:rsid w:val="002E6864"/>
    <w:rsid w:val="002E6B88"/>
    <w:rsid w:val="002E7164"/>
    <w:rsid w:val="002E7722"/>
    <w:rsid w:val="002F07BA"/>
    <w:rsid w:val="002F0DA9"/>
    <w:rsid w:val="002F0F1E"/>
    <w:rsid w:val="002F1014"/>
    <w:rsid w:val="002F2668"/>
    <w:rsid w:val="002F2F43"/>
    <w:rsid w:val="002F4D2C"/>
    <w:rsid w:val="002F6126"/>
    <w:rsid w:val="002F643C"/>
    <w:rsid w:val="002F71C0"/>
    <w:rsid w:val="002F74F1"/>
    <w:rsid w:val="00301017"/>
    <w:rsid w:val="003013CF"/>
    <w:rsid w:val="0030155F"/>
    <w:rsid w:val="00302CEC"/>
    <w:rsid w:val="0030308D"/>
    <w:rsid w:val="003034F5"/>
    <w:rsid w:val="0030587B"/>
    <w:rsid w:val="00305B80"/>
    <w:rsid w:val="003067B5"/>
    <w:rsid w:val="00306D98"/>
    <w:rsid w:val="0030786C"/>
    <w:rsid w:val="0031031A"/>
    <w:rsid w:val="00310524"/>
    <w:rsid w:val="00310981"/>
    <w:rsid w:val="003124D9"/>
    <w:rsid w:val="00312594"/>
    <w:rsid w:val="00312AA3"/>
    <w:rsid w:val="003137A2"/>
    <w:rsid w:val="00313837"/>
    <w:rsid w:val="00313F8C"/>
    <w:rsid w:val="003145CE"/>
    <w:rsid w:val="00315498"/>
    <w:rsid w:val="0031550E"/>
    <w:rsid w:val="00316474"/>
    <w:rsid w:val="003169DA"/>
    <w:rsid w:val="00320114"/>
    <w:rsid w:val="003215D6"/>
    <w:rsid w:val="003216D0"/>
    <w:rsid w:val="00322107"/>
    <w:rsid w:val="00322355"/>
    <w:rsid w:val="00322846"/>
    <w:rsid w:val="00323623"/>
    <w:rsid w:val="00324775"/>
    <w:rsid w:val="00326095"/>
    <w:rsid w:val="00326DA7"/>
    <w:rsid w:val="00326DF0"/>
    <w:rsid w:val="003270E4"/>
    <w:rsid w:val="00330498"/>
    <w:rsid w:val="00330DAA"/>
    <w:rsid w:val="00330F5C"/>
    <w:rsid w:val="00331D9B"/>
    <w:rsid w:val="00331ED8"/>
    <w:rsid w:val="00333F2D"/>
    <w:rsid w:val="003345DC"/>
    <w:rsid w:val="00334A37"/>
    <w:rsid w:val="0033534A"/>
    <w:rsid w:val="003366C9"/>
    <w:rsid w:val="00336CC1"/>
    <w:rsid w:val="00336DA7"/>
    <w:rsid w:val="003371B0"/>
    <w:rsid w:val="00340DF1"/>
    <w:rsid w:val="003410B2"/>
    <w:rsid w:val="00342647"/>
    <w:rsid w:val="00342F76"/>
    <w:rsid w:val="0034375F"/>
    <w:rsid w:val="00343D35"/>
    <w:rsid w:val="0034523A"/>
    <w:rsid w:val="00347316"/>
    <w:rsid w:val="003476C7"/>
    <w:rsid w:val="00347C78"/>
    <w:rsid w:val="00350620"/>
    <w:rsid w:val="0035078C"/>
    <w:rsid w:val="00351592"/>
    <w:rsid w:val="003517F9"/>
    <w:rsid w:val="00351BA9"/>
    <w:rsid w:val="0035295B"/>
    <w:rsid w:val="00353B93"/>
    <w:rsid w:val="0035413C"/>
    <w:rsid w:val="00354F64"/>
    <w:rsid w:val="0035620E"/>
    <w:rsid w:val="00356DBB"/>
    <w:rsid w:val="00360345"/>
    <w:rsid w:val="003608AF"/>
    <w:rsid w:val="003619A3"/>
    <w:rsid w:val="00361A05"/>
    <w:rsid w:val="00361B16"/>
    <w:rsid w:val="003624C4"/>
    <w:rsid w:val="00363B00"/>
    <w:rsid w:val="003647AB"/>
    <w:rsid w:val="00364CC4"/>
    <w:rsid w:val="003654AC"/>
    <w:rsid w:val="003710CF"/>
    <w:rsid w:val="003719C9"/>
    <w:rsid w:val="00371DE2"/>
    <w:rsid w:val="0037358A"/>
    <w:rsid w:val="003750F6"/>
    <w:rsid w:val="003760FC"/>
    <w:rsid w:val="00377745"/>
    <w:rsid w:val="00377DF9"/>
    <w:rsid w:val="00381661"/>
    <w:rsid w:val="00381C36"/>
    <w:rsid w:val="00381E5D"/>
    <w:rsid w:val="0038282D"/>
    <w:rsid w:val="0038365C"/>
    <w:rsid w:val="0038369B"/>
    <w:rsid w:val="00383B78"/>
    <w:rsid w:val="00384921"/>
    <w:rsid w:val="00385A9D"/>
    <w:rsid w:val="00386675"/>
    <w:rsid w:val="003902B1"/>
    <w:rsid w:val="00391084"/>
    <w:rsid w:val="0039179C"/>
    <w:rsid w:val="00391F6A"/>
    <w:rsid w:val="00393BFA"/>
    <w:rsid w:val="003941B8"/>
    <w:rsid w:val="00394A1D"/>
    <w:rsid w:val="00395B42"/>
    <w:rsid w:val="00396896"/>
    <w:rsid w:val="00396FD0"/>
    <w:rsid w:val="003A088C"/>
    <w:rsid w:val="003A0999"/>
    <w:rsid w:val="003A0E7E"/>
    <w:rsid w:val="003A1A7A"/>
    <w:rsid w:val="003A1D6C"/>
    <w:rsid w:val="003A2392"/>
    <w:rsid w:val="003A2831"/>
    <w:rsid w:val="003A3789"/>
    <w:rsid w:val="003A3CB6"/>
    <w:rsid w:val="003A3CD2"/>
    <w:rsid w:val="003A3ED1"/>
    <w:rsid w:val="003A44DB"/>
    <w:rsid w:val="003A503A"/>
    <w:rsid w:val="003A5C3C"/>
    <w:rsid w:val="003A6A02"/>
    <w:rsid w:val="003A73AF"/>
    <w:rsid w:val="003A73B0"/>
    <w:rsid w:val="003B1721"/>
    <w:rsid w:val="003B1896"/>
    <w:rsid w:val="003B2784"/>
    <w:rsid w:val="003B2944"/>
    <w:rsid w:val="003B2A1F"/>
    <w:rsid w:val="003B3971"/>
    <w:rsid w:val="003B5112"/>
    <w:rsid w:val="003B52A7"/>
    <w:rsid w:val="003B55D1"/>
    <w:rsid w:val="003B5B61"/>
    <w:rsid w:val="003B5EF3"/>
    <w:rsid w:val="003B6254"/>
    <w:rsid w:val="003C095A"/>
    <w:rsid w:val="003C14B6"/>
    <w:rsid w:val="003C1654"/>
    <w:rsid w:val="003C239F"/>
    <w:rsid w:val="003C4CFD"/>
    <w:rsid w:val="003C5542"/>
    <w:rsid w:val="003C7D19"/>
    <w:rsid w:val="003C7D2F"/>
    <w:rsid w:val="003D07D5"/>
    <w:rsid w:val="003D0DE1"/>
    <w:rsid w:val="003D118C"/>
    <w:rsid w:val="003D1828"/>
    <w:rsid w:val="003D1DE4"/>
    <w:rsid w:val="003D1DF6"/>
    <w:rsid w:val="003D1E9A"/>
    <w:rsid w:val="003D2422"/>
    <w:rsid w:val="003D39A1"/>
    <w:rsid w:val="003D3B08"/>
    <w:rsid w:val="003D3FBF"/>
    <w:rsid w:val="003D4A30"/>
    <w:rsid w:val="003D4B97"/>
    <w:rsid w:val="003D57A8"/>
    <w:rsid w:val="003D7452"/>
    <w:rsid w:val="003D79BB"/>
    <w:rsid w:val="003D79FD"/>
    <w:rsid w:val="003D7C98"/>
    <w:rsid w:val="003D7D9D"/>
    <w:rsid w:val="003E00D9"/>
    <w:rsid w:val="003E0543"/>
    <w:rsid w:val="003E0640"/>
    <w:rsid w:val="003E15DB"/>
    <w:rsid w:val="003E16CD"/>
    <w:rsid w:val="003E2263"/>
    <w:rsid w:val="003E36F4"/>
    <w:rsid w:val="003E3A0D"/>
    <w:rsid w:val="003E3B72"/>
    <w:rsid w:val="003E4AAF"/>
    <w:rsid w:val="003E4AC7"/>
    <w:rsid w:val="003E63C1"/>
    <w:rsid w:val="003E6B9E"/>
    <w:rsid w:val="003E749E"/>
    <w:rsid w:val="003F0637"/>
    <w:rsid w:val="003F0C65"/>
    <w:rsid w:val="003F160C"/>
    <w:rsid w:val="003F2365"/>
    <w:rsid w:val="003F4156"/>
    <w:rsid w:val="003F5ADF"/>
    <w:rsid w:val="003F6C66"/>
    <w:rsid w:val="00400B29"/>
    <w:rsid w:val="00401146"/>
    <w:rsid w:val="00401438"/>
    <w:rsid w:val="00402BF2"/>
    <w:rsid w:val="0040504B"/>
    <w:rsid w:val="00405321"/>
    <w:rsid w:val="004059F4"/>
    <w:rsid w:val="00407FE5"/>
    <w:rsid w:val="004101B0"/>
    <w:rsid w:val="00410326"/>
    <w:rsid w:val="00410708"/>
    <w:rsid w:val="00410EC7"/>
    <w:rsid w:val="00411487"/>
    <w:rsid w:val="00411B39"/>
    <w:rsid w:val="004127A7"/>
    <w:rsid w:val="00412CFF"/>
    <w:rsid w:val="0041323A"/>
    <w:rsid w:val="00413A1E"/>
    <w:rsid w:val="004143FE"/>
    <w:rsid w:val="00414476"/>
    <w:rsid w:val="00414C2E"/>
    <w:rsid w:val="004151CF"/>
    <w:rsid w:val="00415EA2"/>
    <w:rsid w:val="00416364"/>
    <w:rsid w:val="00420130"/>
    <w:rsid w:val="0042047F"/>
    <w:rsid w:val="00420AA6"/>
    <w:rsid w:val="00420B9F"/>
    <w:rsid w:val="00421560"/>
    <w:rsid w:val="0042192C"/>
    <w:rsid w:val="00421ADA"/>
    <w:rsid w:val="00421B4A"/>
    <w:rsid w:val="00422260"/>
    <w:rsid w:val="0042413F"/>
    <w:rsid w:val="00427748"/>
    <w:rsid w:val="00427A3F"/>
    <w:rsid w:val="004306BC"/>
    <w:rsid w:val="004319F8"/>
    <w:rsid w:val="00431D98"/>
    <w:rsid w:val="00431E55"/>
    <w:rsid w:val="004321F6"/>
    <w:rsid w:val="00433044"/>
    <w:rsid w:val="0043354B"/>
    <w:rsid w:val="00433DBA"/>
    <w:rsid w:val="00434088"/>
    <w:rsid w:val="004369C2"/>
    <w:rsid w:val="004374F6"/>
    <w:rsid w:val="004375B9"/>
    <w:rsid w:val="00441F4A"/>
    <w:rsid w:val="0044260B"/>
    <w:rsid w:val="004428D0"/>
    <w:rsid w:val="00444185"/>
    <w:rsid w:val="004443A7"/>
    <w:rsid w:val="0044442C"/>
    <w:rsid w:val="00444FFD"/>
    <w:rsid w:val="00445901"/>
    <w:rsid w:val="00445941"/>
    <w:rsid w:val="00445C1B"/>
    <w:rsid w:val="004464EB"/>
    <w:rsid w:val="00447D26"/>
    <w:rsid w:val="00447DFC"/>
    <w:rsid w:val="004525CB"/>
    <w:rsid w:val="00452A20"/>
    <w:rsid w:val="00452B3F"/>
    <w:rsid w:val="00452C04"/>
    <w:rsid w:val="004536B3"/>
    <w:rsid w:val="00455D45"/>
    <w:rsid w:val="0046146F"/>
    <w:rsid w:val="00461E73"/>
    <w:rsid w:val="00462374"/>
    <w:rsid w:val="004626D3"/>
    <w:rsid w:val="00464595"/>
    <w:rsid w:val="004658B5"/>
    <w:rsid w:val="00465CD0"/>
    <w:rsid w:val="00466C23"/>
    <w:rsid w:val="00471EA5"/>
    <w:rsid w:val="0047294B"/>
    <w:rsid w:val="00472A79"/>
    <w:rsid w:val="00473F19"/>
    <w:rsid w:val="004740E6"/>
    <w:rsid w:val="00474689"/>
    <w:rsid w:val="00475756"/>
    <w:rsid w:val="00475E22"/>
    <w:rsid w:val="00476DEA"/>
    <w:rsid w:val="0048088E"/>
    <w:rsid w:val="00480F2B"/>
    <w:rsid w:val="00481222"/>
    <w:rsid w:val="00482621"/>
    <w:rsid w:val="00482720"/>
    <w:rsid w:val="004835E7"/>
    <w:rsid w:val="00483B82"/>
    <w:rsid w:val="00483F69"/>
    <w:rsid w:val="00484298"/>
    <w:rsid w:val="004845AE"/>
    <w:rsid w:val="00485625"/>
    <w:rsid w:val="00485F81"/>
    <w:rsid w:val="00486596"/>
    <w:rsid w:val="004867E2"/>
    <w:rsid w:val="00490B17"/>
    <w:rsid w:val="00491B3A"/>
    <w:rsid w:val="004922A8"/>
    <w:rsid w:val="00492CFD"/>
    <w:rsid w:val="00494207"/>
    <w:rsid w:val="00494DD5"/>
    <w:rsid w:val="004962D2"/>
    <w:rsid w:val="004A07DE"/>
    <w:rsid w:val="004A0DA1"/>
    <w:rsid w:val="004A13D6"/>
    <w:rsid w:val="004A1784"/>
    <w:rsid w:val="004A2542"/>
    <w:rsid w:val="004A2676"/>
    <w:rsid w:val="004A26DC"/>
    <w:rsid w:val="004A481D"/>
    <w:rsid w:val="004A496C"/>
    <w:rsid w:val="004A52E9"/>
    <w:rsid w:val="004A5C58"/>
    <w:rsid w:val="004A6040"/>
    <w:rsid w:val="004A6597"/>
    <w:rsid w:val="004A7848"/>
    <w:rsid w:val="004B1CB4"/>
    <w:rsid w:val="004B2F18"/>
    <w:rsid w:val="004B37FF"/>
    <w:rsid w:val="004B3DDB"/>
    <w:rsid w:val="004B44FD"/>
    <w:rsid w:val="004B537E"/>
    <w:rsid w:val="004B5CFC"/>
    <w:rsid w:val="004B6281"/>
    <w:rsid w:val="004B6F79"/>
    <w:rsid w:val="004B774D"/>
    <w:rsid w:val="004C465C"/>
    <w:rsid w:val="004C4AED"/>
    <w:rsid w:val="004C4FAD"/>
    <w:rsid w:val="004D0E8C"/>
    <w:rsid w:val="004D1535"/>
    <w:rsid w:val="004D23AF"/>
    <w:rsid w:val="004D2C2D"/>
    <w:rsid w:val="004D3779"/>
    <w:rsid w:val="004D5BE6"/>
    <w:rsid w:val="004D5FE8"/>
    <w:rsid w:val="004D69B5"/>
    <w:rsid w:val="004D7227"/>
    <w:rsid w:val="004E0E7F"/>
    <w:rsid w:val="004E0EB8"/>
    <w:rsid w:val="004E18E9"/>
    <w:rsid w:val="004E1E64"/>
    <w:rsid w:val="004E1FE4"/>
    <w:rsid w:val="004E2ADC"/>
    <w:rsid w:val="004E30D9"/>
    <w:rsid w:val="004E3E95"/>
    <w:rsid w:val="004E43B2"/>
    <w:rsid w:val="004E4664"/>
    <w:rsid w:val="004E5273"/>
    <w:rsid w:val="004E64C7"/>
    <w:rsid w:val="004E67AE"/>
    <w:rsid w:val="004F0BCB"/>
    <w:rsid w:val="004F1D02"/>
    <w:rsid w:val="004F2679"/>
    <w:rsid w:val="004F2F21"/>
    <w:rsid w:val="004F3DE5"/>
    <w:rsid w:val="004F6506"/>
    <w:rsid w:val="004F6913"/>
    <w:rsid w:val="004F7051"/>
    <w:rsid w:val="004F7865"/>
    <w:rsid w:val="004F7CC8"/>
    <w:rsid w:val="0050092C"/>
    <w:rsid w:val="0050174E"/>
    <w:rsid w:val="00501854"/>
    <w:rsid w:val="00502105"/>
    <w:rsid w:val="0050219B"/>
    <w:rsid w:val="00502315"/>
    <w:rsid w:val="0050277A"/>
    <w:rsid w:val="00503F17"/>
    <w:rsid w:val="00504E20"/>
    <w:rsid w:val="00504E93"/>
    <w:rsid w:val="00506676"/>
    <w:rsid w:val="00506928"/>
    <w:rsid w:val="005069E7"/>
    <w:rsid w:val="005077EF"/>
    <w:rsid w:val="00507856"/>
    <w:rsid w:val="00511AD5"/>
    <w:rsid w:val="00511B47"/>
    <w:rsid w:val="00511DC7"/>
    <w:rsid w:val="005142C5"/>
    <w:rsid w:val="00514EDE"/>
    <w:rsid w:val="0051501B"/>
    <w:rsid w:val="005152B5"/>
    <w:rsid w:val="00515B0A"/>
    <w:rsid w:val="00515E17"/>
    <w:rsid w:val="00517728"/>
    <w:rsid w:val="00517C8C"/>
    <w:rsid w:val="0052123C"/>
    <w:rsid w:val="00521319"/>
    <w:rsid w:val="00522A44"/>
    <w:rsid w:val="00522BC8"/>
    <w:rsid w:val="00522DB5"/>
    <w:rsid w:val="00523C28"/>
    <w:rsid w:val="00525B0C"/>
    <w:rsid w:val="00526D0A"/>
    <w:rsid w:val="00527858"/>
    <w:rsid w:val="00531344"/>
    <w:rsid w:val="0053176B"/>
    <w:rsid w:val="00531894"/>
    <w:rsid w:val="005326AC"/>
    <w:rsid w:val="00532783"/>
    <w:rsid w:val="005337E9"/>
    <w:rsid w:val="005344CD"/>
    <w:rsid w:val="005355A6"/>
    <w:rsid w:val="005358FA"/>
    <w:rsid w:val="00536919"/>
    <w:rsid w:val="00536F42"/>
    <w:rsid w:val="00537182"/>
    <w:rsid w:val="0054173C"/>
    <w:rsid w:val="00541860"/>
    <w:rsid w:val="00541884"/>
    <w:rsid w:val="00541B6F"/>
    <w:rsid w:val="00541D16"/>
    <w:rsid w:val="00541EDD"/>
    <w:rsid w:val="00542743"/>
    <w:rsid w:val="00542C2D"/>
    <w:rsid w:val="00542E10"/>
    <w:rsid w:val="00544274"/>
    <w:rsid w:val="005442D8"/>
    <w:rsid w:val="00544426"/>
    <w:rsid w:val="005460EB"/>
    <w:rsid w:val="005478BD"/>
    <w:rsid w:val="005479E3"/>
    <w:rsid w:val="00551985"/>
    <w:rsid w:val="00551BA8"/>
    <w:rsid w:val="00552697"/>
    <w:rsid w:val="00552BD3"/>
    <w:rsid w:val="005532A0"/>
    <w:rsid w:val="00553653"/>
    <w:rsid w:val="00553EEF"/>
    <w:rsid w:val="0055486B"/>
    <w:rsid w:val="005548A0"/>
    <w:rsid w:val="00555109"/>
    <w:rsid w:val="005553D5"/>
    <w:rsid w:val="00555779"/>
    <w:rsid w:val="00555FE2"/>
    <w:rsid w:val="00556B35"/>
    <w:rsid w:val="00556E4C"/>
    <w:rsid w:val="0055741A"/>
    <w:rsid w:val="005611B7"/>
    <w:rsid w:val="005618D4"/>
    <w:rsid w:val="00561C1A"/>
    <w:rsid w:val="00565940"/>
    <w:rsid w:val="00565A93"/>
    <w:rsid w:val="00565C87"/>
    <w:rsid w:val="00565DF0"/>
    <w:rsid w:val="00565E3A"/>
    <w:rsid w:val="005663B0"/>
    <w:rsid w:val="00566419"/>
    <w:rsid w:val="00566442"/>
    <w:rsid w:val="0056696F"/>
    <w:rsid w:val="00566CE6"/>
    <w:rsid w:val="00567024"/>
    <w:rsid w:val="00572269"/>
    <w:rsid w:val="0057244A"/>
    <w:rsid w:val="00572F26"/>
    <w:rsid w:val="0057432D"/>
    <w:rsid w:val="005745F2"/>
    <w:rsid w:val="005746B8"/>
    <w:rsid w:val="005750C5"/>
    <w:rsid w:val="005752DE"/>
    <w:rsid w:val="00575D8D"/>
    <w:rsid w:val="00576972"/>
    <w:rsid w:val="005774A0"/>
    <w:rsid w:val="00577D96"/>
    <w:rsid w:val="00580092"/>
    <w:rsid w:val="00581567"/>
    <w:rsid w:val="00581C6A"/>
    <w:rsid w:val="005820BD"/>
    <w:rsid w:val="00583699"/>
    <w:rsid w:val="00584841"/>
    <w:rsid w:val="00584C61"/>
    <w:rsid w:val="00585CDD"/>
    <w:rsid w:val="00587058"/>
    <w:rsid w:val="0058762D"/>
    <w:rsid w:val="00591957"/>
    <w:rsid w:val="00592A4A"/>
    <w:rsid w:val="00592BB4"/>
    <w:rsid w:val="005938F0"/>
    <w:rsid w:val="00594EE2"/>
    <w:rsid w:val="00596366"/>
    <w:rsid w:val="005964DD"/>
    <w:rsid w:val="005968A3"/>
    <w:rsid w:val="00597433"/>
    <w:rsid w:val="00597966"/>
    <w:rsid w:val="00597BF9"/>
    <w:rsid w:val="00597E62"/>
    <w:rsid w:val="005A1C45"/>
    <w:rsid w:val="005A2A48"/>
    <w:rsid w:val="005A309A"/>
    <w:rsid w:val="005A373D"/>
    <w:rsid w:val="005A3D11"/>
    <w:rsid w:val="005A4824"/>
    <w:rsid w:val="005A73FC"/>
    <w:rsid w:val="005B0B58"/>
    <w:rsid w:val="005B1CE9"/>
    <w:rsid w:val="005B4E53"/>
    <w:rsid w:val="005B5857"/>
    <w:rsid w:val="005B7873"/>
    <w:rsid w:val="005C00BE"/>
    <w:rsid w:val="005C1B83"/>
    <w:rsid w:val="005C1FDA"/>
    <w:rsid w:val="005C2097"/>
    <w:rsid w:val="005C25FF"/>
    <w:rsid w:val="005C2D55"/>
    <w:rsid w:val="005C346B"/>
    <w:rsid w:val="005C36DC"/>
    <w:rsid w:val="005D044D"/>
    <w:rsid w:val="005D0ABD"/>
    <w:rsid w:val="005D18AD"/>
    <w:rsid w:val="005D2283"/>
    <w:rsid w:val="005D26B4"/>
    <w:rsid w:val="005D2CDF"/>
    <w:rsid w:val="005D3312"/>
    <w:rsid w:val="005D33B2"/>
    <w:rsid w:val="005D4432"/>
    <w:rsid w:val="005D7316"/>
    <w:rsid w:val="005E0EF2"/>
    <w:rsid w:val="005E2289"/>
    <w:rsid w:val="005E3D43"/>
    <w:rsid w:val="005E6CBC"/>
    <w:rsid w:val="005E6DEF"/>
    <w:rsid w:val="005E72FF"/>
    <w:rsid w:val="005E73C0"/>
    <w:rsid w:val="005F0670"/>
    <w:rsid w:val="005F0757"/>
    <w:rsid w:val="005F2706"/>
    <w:rsid w:val="005F3DDB"/>
    <w:rsid w:val="005F3E71"/>
    <w:rsid w:val="005F44AD"/>
    <w:rsid w:val="005F5956"/>
    <w:rsid w:val="005F6508"/>
    <w:rsid w:val="005F67B1"/>
    <w:rsid w:val="005F6A8F"/>
    <w:rsid w:val="005F6BB7"/>
    <w:rsid w:val="005F7588"/>
    <w:rsid w:val="005F7E04"/>
    <w:rsid w:val="005F7E76"/>
    <w:rsid w:val="00602350"/>
    <w:rsid w:val="00603DB9"/>
    <w:rsid w:val="00604401"/>
    <w:rsid w:val="00606FBA"/>
    <w:rsid w:val="00607464"/>
    <w:rsid w:val="0060756D"/>
    <w:rsid w:val="00607669"/>
    <w:rsid w:val="006076F4"/>
    <w:rsid w:val="0060774D"/>
    <w:rsid w:val="00607AFD"/>
    <w:rsid w:val="00612068"/>
    <w:rsid w:val="00612F97"/>
    <w:rsid w:val="0061336E"/>
    <w:rsid w:val="0061345D"/>
    <w:rsid w:val="0061549B"/>
    <w:rsid w:val="00615DDC"/>
    <w:rsid w:val="00615F6E"/>
    <w:rsid w:val="00616802"/>
    <w:rsid w:val="00616B46"/>
    <w:rsid w:val="00616B77"/>
    <w:rsid w:val="00617E12"/>
    <w:rsid w:val="006202B3"/>
    <w:rsid w:val="00620C05"/>
    <w:rsid w:val="00620C25"/>
    <w:rsid w:val="00621477"/>
    <w:rsid w:val="00621ADA"/>
    <w:rsid w:val="00623F7B"/>
    <w:rsid w:val="006254F1"/>
    <w:rsid w:val="006259C4"/>
    <w:rsid w:val="00627A07"/>
    <w:rsid w:val="0063158F"/>
    <w:rsid w:val="00631D6B"/>
    <w:rsid w:val="00632183"/>
    <w:rsid w:val="00632E54"/>
    <w:rsid w:val="006330A1"/>
    <w:rsid w:val="00633113"/>
    <w:rsid w:val="0063479F"/>
    <w:rsid w:val="006349D7"/>
    <w:rsid w:val="006353F0"/>
    <w:rsid w:val="006357B5"/>
    <w:rsid w:val="006364A1"/>
    <w:rsid w:val="0063678E"/>
    <w:rsid w:val="00637BFD"/>
    <w:rsid w:val="00637E00"/>
    <w:rsid w:val="00637E6C"/>
    <w:rsid w:val="00640154"/>
    <w:rsid w:val="00641C4E"/>
    <w:rsid w:val="00641FB3"/>
    <w:rsid w:val="00643DF0"/>
    <w:rsid w:val="0064434C"/>
    <w:rsid w:val="0064550B"/>
    <w:rsid w:val="00646D42"/>
    <w:rsid w:val="006471CC"/>
    <w:rsid w:val="0064785A"/>
    <w:rsid w:val="00647A29"/>
    <w:rsid w:val="0065079F"/>
    <w:rsid w:val="00651CAF"/>
    <w:rsid w:val="00652A28"/>
    <w:rsid w:val="0065334F"/>
    <w:rsid w:val="00653619"/>
    <w:rsid w:val="0065379F"/>
    <w:rsid w:val="00654DA3"/>
    <w:rsid w:val="00655C07"/>
    <w:rsid w:val="00655CD4"/>
    <w:rsid w:val="00656188"/>
    <w:rsid w:val="006566EC"/>
    <w:rsid w:val="00656AC6"/>
    <w:rsid w:val="0065715A"/>
    <w:rsid w:val="0065783D"/>
    <w:rsid w:val="00657CFD"/>
    <w:rsid w:val="00657F2A"/>
    <w:rsid w:val="006608A8"/>
    <w:rsid w:val="006610F1"/>
    <w:rsid w:val="00661C6B"/>
    <w:rsid w:val="00662CA9"/>
    <w:rsid w:val="00665ECD"/>
    <w:rsid w:val="00666989"/>
    <w:rsid w:val="00670448"/>
    <w:rsid w:val="006706D3"/>
    <w:rsid w:val="00671004"/>
    <w:rsid w:val="00671B3D"/>
    <w:rsid w:val="00672646"/>
    <w:rsid w:val="006727B7"/>
    <w:rsid w:val="00674E42"/>
    <w:rsid w:val="00675E2F"/>
    <w:rsid w:val="006813F8"/>
    <w:rsid w:val="00682112"/>
    <w:rsid w:val="00682BA6"/>
    <w:rsid w:val="00683AEE"/>
    <w:rsid w:val="00683BD4"/>
    <w:rsid w:val="00685182"/>
    <w:rsid w:val="00686957"/>
    <w:rsid w:val="006872BA"/>
    <w:rsid w:val="00690795"/>
    <w:rsid w:val="006907DC"/>
    <w:rsid w:val="00691648"/>
    <w:rsid w:val="006917D7"/>
    <w:rsid w:val="006919DA"/>
    <w:rsid w:val="00691CC3"/>
    <w:rsid w:val="00693D9A"/>
    <w:rsid w:val="00693F64"/>
    <w:rsid w:val="0069434C"/>
    <w:rsid w:val="0069468D"/>
    <w:rsid w:val="006947B0"/>
    <w:rsid w:val="00694F44"/>
    <w:rsid w:val="00694F45"/>
    <w:rsid w:val="00696094"/>
    <w:rsid w:val="00696F51"/>
    <w:rsid w:val="006975A9"/>
    <w:rsid w:val="006979A5"/>
    <w:rsid w:val="00697D71"/>
    <w:rsid w:val="006A2AB0"/>
    <w:rsid w:val="006A2F9D"/>
    <w:rsid w:val="006A6B99"/>
    <w:rsid w:val="006A7E5F"/>
    <w:rsid w:val="006B261B"/>
    <w:rsid w:val="006B2C90"/>
    <w:rsid w:val="006B35E6"/>
    <w:rsid w:val="006B37FD"/>
    <w:rsid w:val="006B465A"/>
    <w:rsid w:val="006B46B9"/>
    <w:rsid w:val="006B47A6"/>
    <w:rsid w:val="006B6DD0"/>
    <w:rsid w:val="006C0399"/>
    <w:rsid w:val="006C1C32"/>
    <w:rsid w:val="006C1E22"/>
    <w:rsid w:val="006C2A8E"/>
    <w:rsid w:val="006C3255"/>
    <w:rsid w:val="006C3F26"/>
    <w:rsid w:val="006C3F65"/>
    <w:rsid w:val="006C439C"/>
    <w:rsid w:val="006C44EF"/>
    <w:rsid w:val="006C4B96"/>
    <w:rsid w:val="006D0BE4"/>
    <w:rsid w:val="006D0D17"/>
    <w:rsid w:val="006D1D22"/>
    <w:rsid w:val="006D2BE0"/>
    <w:rsid w:val="006D3468"/>
    <w:rsid w:val="006D3C7D"/>
    <w:rsid w:val="006D4659"/>
    <w:rsid w:val="006D5D5F"/>
    <w:rsid w:val="006D62B9"/>
    <w:rsid w:val="006D68FB"/>
    <w:rsid w:val="006D6DD6"/>
    <w:rsid w:val="006E0CDF"/>
    <w:rsid w:val="006E11C3"/>
    <w:rsid w:val="006E11F5"/>
    <w:rsid w:val="006E19FB"/>
    <w:rsid w:val="006E22A1"/>
    <w:rsid w:val="006E2868"/>
    <w:rsid w:val="006E363D"/>
    <w:rsid w:val="006E37AE"/>
    <w:rsid w:val="006E4818"/>
    <w:rsid w:val="006E4A38"/>
    <w:rsid w:val="006E530E"/>
    <w:rsid w:val="006E542B"/>
    <w:rsid w:val="006E5E51"/>
    <w:rsid w:val="006E6EB2"/>
    <w:rsid w:val="006F0AE3"/>
    <w:rsid w:val="006F1477"/>
    <w:rsid w:val="006F2AC5"/>
    <w:rsid w:val="006F306C"/>
    <w:rsid w:val="006F57F4"/>
    <w:rsid w:val="006F5FB5"/>
    <w:rsid w:val="006F5FEE"/>
    <w:rsid w:val="006F63A5"/>
    <w:rsid w:val="006F77D7"/>
    <w:rsid w:val="006F7A47"/>
    <w:rsid w:val="007012B7"/>
    <w:rsid w:val="0070142B"/>
    <w:rsid w:val="0070276E"/>
    <w:rsid w:val="00702F8F"/>
    <w:rsid w:val="00704853"/>
    <w:rsid w:val="00704AC3"/>
    <w:rsid w:val="00704ADC"/>
    <w:rsid w:val="007060C6"/>
    <w:rsid w:val="00706FED"/>
    <w:rsid w:val="007079FC"/>
    <w:rsid w:val="00707B1B"/>
    <w:rsid w:val="00711335"/>
    <w:rsid w:val="00711A36"/>
    <w:rsid w:val="00711F4E"/>
    <w:rsid w:val="00713B1D"/>
    <w:rsid w:val="00714C26"/>
    <w:rsid w:val="0071529C"/>
    <w:rsid w:val="007170DA"/>
    <w:rsid w:val="007172AD"/>
    <w:rsid w:val="00717625"/>
    <w:rsid w:val="00720485"/>
    <w:rsid w:val="00720801"/>
    <w:rsid w:val="007225AD"/>
    <w:rsid w:val="00722B1B"/>
    <w:rsid w:val="0072355C"/>
    <w:rsid w:val="0072416F"/>
    <w:rsid w:val="00724302"/>
    <w:rsid w:val="00725211"/>
    <w:rsid w:val="00725653"/>
    <w:rsid w:val="007259A5"/>
    <w:rsid w:val="00725ADE"/>
    <w:rsid w:val="00725F2A"/>
    <w:rsid w:val="00727C94"/>
    <w:rsid w:val="00731B0A"/>
    <w:rsid w:val="00731EA3"/>
    <w:rsid w:val="00731EAE"/>
    <w:rsid w:val="00733073"/>
    <w:rsid w:val="00735033"/>
    <w:rsid w:val="00735328"/>
    <w:rsid w:val="0073569A"/>
    <w:rsid w:val="007362EF"/>
    <w:rsid w:val="00736657"/>
    <w:rsid w:val="0073685B"/>
    <w:rsid w:val="007369E1"/>
    <w:rsid w:val="00737899"/>
    <w:rsid w:val="00737AA3"/>
    <w:rsid w:val="00740BC5"/>
    <w:rsid w:val="0074122C"/>
    <w:rsid w:val="00741D46"/>
    <w:rsid w:val="0074225E"/>
    <w:rsid w:val="007449BF"/>
    <w:rsid w:val="007464A6"/>
    <w:rsid w:val="00746BC0"/>
    <w:rsid w:val="007510B4"/>
    <w:rsid w:val="00751550"/>
    <w:rsid w:val="00752142"/>
    <w:rsid w:val="007523F9"/>
    <w:rsid w:val="0075357E"/>
    <w:rsid w:val="00753A55"/>
    <w:rsid w:val="0075557D"/>
    <w:rsid w:val="007573E8"/>
    <w:rsid w:val="00760C4E"/>
    <w:rsid w:val="00760F9E"/>
    <w:rsid w:val="0076150C"/>
    <w:rsid w:val="00761A56"/>
    <w:rsid w:val="007627BE"/>
    <w:rsid w:val="00762B07"/>
    <w:rsid w:val="00764090"/>
    <w:rsid w:val="00764F03"/>
    <w:rsid w:val="00765B1A"/>
    <w:rsid w:val="00766836"/>
    <w:rsid w:val="0077119D"/>
    <w:rsid w:val="007732CD"/>
    <w:rsid w:val="007733A2"/>
    <w:rsid w:val="00774FD0"/>
    <w:rsid w:val="00777335"/>
    <w:rsid w:val="0078091A"/>
    <w:rsid w:val="00780D31"/>
    <w:rsid w:val="007810C6"/>
    <w:rsid w:val="007843F2"/>
    <w:rsid w:val="007844C8"/>
    <w:rsid w:val="00784F65"/>
    <w:rsid w:val="007851AB"/>
    <w:rsid w:val="0078590C"/>
    <w:rsid w:val="00785A9F"/>
    <w:rsid w:val="00786F93"/>
    <w:rsid w:val="00787729"/>
    <w:rsid w:val="00790100"/>
    <w:rsid w:val="007921B5"/>
    <w:rsid w:val="007925DF"/>
    <w:rsid w:val="0079260B"/>
    <w:rsid w:val="0079464C"/>
    <w:rsid w:val="007947F6"/>
    <w:rsid w:val="00795552"/>
    <w:rsid w:val="00795DC4"/>
    <w:rsid w:val="00797435"/>
    <w:rsid w:val="007974EA"/>
    <w:rsid w:val="007A012A"/>
    <w:rsid w:val="007A08AA"/>
    <w:rsid w:val="007A0A12"/>
    <w:rsid w:val="007A1023"/>
    <w:rsid w:val="007A132D"/>
    <w:rsid w:val="007A1345"/>
    <w:rsid w:val="007A2DDB"/>
    <w:rsid w:val="007A5A2B"/>
    <w:rsid w:val="007A5FAF"/>
    <w:rsid w:val="007A6A9C"/>
    <w:rsid w:val="007A70BA"/>
    <w:rsid w:val="007B0860"/>
    <w:rsid w:val="007B0D68"/>
    <w:rsid w:val="007B1DD7"/>
    <w:rsid w:val="007B220E"/>
    <w:rsid w:val="007B251D"/>
    <w:rsid w:val="007B4BAD"/>
    <w:rsid w:val="007B4F58"/>
    <w:rsid w:val="007B528D"/>
    <w:rsid w:val="007B63CA"/>
    <w:rsid w:val="007B77D1"/>
    <w:rsid w:val="007B7F12"/>
    <w:rsid w:val="007B7FA9"/>
    <w:rsid w:val="007C07C7"/>
    <w:rsid w:val="007C1848"/>
    <w:rsid w:val="007C1CD9"/>
    <w:rsid w:val="007C32EF"/>
    <w:rsid w:val="007C361D"/>
    <w:rsid w:val="007C3FE0"/>
    <w:rsid w:val="007C4B84"/>
    <w:rsid w:val="007C5956"/>
    <w:rsid w:val="007C6201"/>
    <w:rsid w:val="007C659F"/>
    <w:rsid w:val="007C70FF"/>
    <w:rsid w:val="007C776F"/>
    <w:rsid w:val="007C789E"/>
    <w:rsid w:val="007C7C25"/>
    <w:rsid w:val="007D004F"/>
    <w:rsid w:val="007D0B38"/>
    <w:rsid w:val="007D1917"/>
    <w:rsid w:val="007D1EBD"/>
    <w:rsid w:val="007D4115"/>
    <w:rsid w:val="007D5440"/>
    <w:rsid w:val="007D69EB"/>
    <w:rsid w:val="007D6A04"/>
    <w:rsid w:val="007E0E0E"/>
    <w:rsid w:val="007E128F"/>
    <w:rsid w:val="007E2C13"/>
    <w:rsid w:val="007E453E"/>
    <w:rsid w:val="007E45B2"/>
    <w:rsid w:val="007E4EBB"/>
    <w:rsid w:val="007E4F80"/>
    <w:rsid w:val="007E5B3F"/>
    <w:rsid w:val="007F0C74"/>
    <w:rsid w:val="007F1017"/>
    <w:rsid w:val="007F1ADE"/>
    <w:rsid w:val="007F1CE5"/>
    <w:rsid w:val="007F1E39"/>
    <w:rsid w:val="007F2232"/>
    <w:rsid w:val="007F3E35"/>
    <w:rsid w:val="007F4A3F"/>
    <w:rsid w:val="007F4A61"/>
    <w:rsid w:val="007F4B13"/>
    <w:rsid w:val="007F5255"/>
    <w:rsid w:val="007F56CC"/>
    <w:rsid w:val="007F57B2"/>
    <w:rsid w:val="007F59CF"/>
    <w:rsid w:val="007F61C2"/>
    <w:rsid w:val="007F713E"/>
    <w:rsid w:val="00801089"/>
    <w:rsid w:val="00801596"/>
    <w:rsid w:val="00804010"/>
    <w:rsid w:val="00805142"/>
    <w:rsid w:val="00805FCE"/>
    <w:rsid w:val="00806AAA"/>
    <w:rsid w:val="00807A8B"/>
    <w:rsid w:val="0081051D"/>
    <w:rsid w:val="00811383"/>
    <w:rsid w:val="008113A5"/>
    <w:rsid w:val="0081168C"/>
    <w:rsid w:val="00812149"/>
    <w:rsid w:val="00812B30"/>
    <w:rsid w:val="00812CAC"/>
    <w:rsid w:val="008139EB"/>
    <w:rsid w:val="00813C6C"/>
    <w:rsid w:val="00814383"/>
    <w:rsid w:val="0081442F"/>
    <w:rsid w:val="00816361"/>
    <w:rsid w:val="008166EF"/>
    <w:rsid w:val="00816FEF"/>
    <w:rsid w:val="00817E79"/>
    <w:rsid w:val="00820069"/>
    <w:rsid w:val="008200ED"/>
    <w:rsid w:val="00820A8C"/>
    <w:rsid w:val="008211D4"/>
    <w:rsid w:val="008215FB"/>
    <w:rsid w:val="008225E5"/>
    <w:rsid w:val="00823174"/>
    <w:rsid w:val="00823438"/>
    <w:rsid w:val="00823609"/>
    <w:rsid w:val="00825751"/>
    <w:rsid w:val="008264EB"/>
    <w:rsid w:val="0083021E"/>
    <w:rsid w:val="008331FD"/>
    <w:rsid w:val="00833B05"/>
    <w:rsid w:val="008347C7"/>
    <w:rsid w:val="008354B0"/>
    <w:rsid w:val="00836134"/>
    <w:rsid w:val="008362B4"/>
    <w:rsid w:val="00840CA2"/>
    <w:rsid w:val="008433B2"/>
    <w:rsid w:val="0084374F"/>
    <w:rsid w:val="00844A22"/>
    <w:rsid w:val="008470FA"/>
    <w:rsid w:val="00847703"/>
    <w:rsid w:val="00847DF5"/>
    <w:rsid w:val="008503D0"/>
    <w:rsid w:val="00850884"/>
    <w:rsid w:val="0085090E"/>
    <w:rsid w:val="008509D4"/>
    <w:rsid w:val="00850EC4"/>
    <w:rsid w:val="00853034"/>
    <w:rsid w:val="0085309D"/>
    <w:rsid w:val="00854F36"/>
    <w:rsid w:val="00856897"/>
    <w:rsid w:val="00856E9A"/>
    <w:rsid w:val="00856ED5"/>
    <w:rsid w:val="00857151"/>
    <w:rsid w:val="00857CF4"/>
    <w:rsid w:val="00860006"/>
    <w:rsid w:val="0086075D"/>
    <w:rsid w:val="008614C3"/>
    <w:rsid w:val="00862502"/>
    <w:rsid w:val="00862CC1"/>
    <w:rsid w:val="00862E7B"/>
    <w:rsid w:val="00863E6D"/>
    <w:rsid w:val="008657FB"/>
    <w:rsid w:val="0086596E"/>
    <w:rsid w:val="008660D4"/>
    <w:rsid w:val="00866399"/>
    <w:rsid w:val="008664BD"/>
    <w:rsid w:val="00870AEB"/>
    <w:rsid w:val="00871FA9"/>
    <w:rsid w:val="008728E9"/>
    <w:rsid w:val="00873465"/>
    <w:rsid w:val="008741BC"/>
    <w:rsid w:val="0087497B"/>
    <w:rsid w:val="00877A87"/>
    <w:rsid w:val="00880E51"/>
    <w:rsid w:val="0088150E"/>
    <w:rsid w:val="00882874"/>
    <w:rsid w:val="00882E3C"/>
    <w:rsid w:val="00883787"/>
    <w:rsid w:val="008855E4"/>
    <w:rsid w:val="00886CD2"/>
    <w:rsid w:val="00887AA4"/>
    <w:rsid w:val="00887F0F"/>
    <w:rsid w:val="0089147D"/>
    <w:rsid w:val="00891E6F"/>
    <w:rsid w:val="008920B5"/>
    <w:rsid w:val="00892674"/>
    <w:rsid w:val="0089275D"/>
    <w:rsid w:val="00892A36"/>
    <w:rsid w:val="00893239"/>
    <w:rsid w:val="00894489"/>
    <w:rsid w:val="00895432"/>
    <w:rsid w:val="008963A5"/>
    <w:rsid w:val="00896D5D"/>
    <w:rsid w:val="008970FA"/>
    <w:rsid w:val="008A0239"/>
    <w:rsid w:val="008A1466"/>
    <w:rsid w:val="008A2749"/>
    <w:rsid w:val="008A3363"/>
    <w:rsid w:val="008A3371"/>
    <w:rsid w:val="008A3743"/>
    <w:rsid w:val="008A3C3E"/>
    <w:rsid w:val="008A498F"/>
    <w:rsid w:val="008A79DE"/>
    <w:rsid w:val="008A7C6A"/>
    <w:rsid w:val="008B0499"/>
    <w:rsid w:val="008B121E"/>
    <w:rsid w:val="008B1757"/>
    <w:rsid w:val="008B23BC"/>
    <w:rsid w:val="008B2D34"/>
    <w:rsid w:val="008B2ED7"/>
    <w:rsid w:val="008B6BEB"/>
    <w:rsid w:val="008B7992"/>
    <w:rsid w:val="008B7D7E"/>
    <w:rsid w:val="008C038F"/>
    <w:rsid w:val="008C115C"/>
    <w:rsid w:val="008C132B"/>
    <w:rsid w:val="008C4C05"/>
    <w:rsid w:val="008C4DD9"/>
    <w:rsid w:val="008C5610"/>
    <w:rsid w:val="008C5739"/>
    <w:rsid w:val="008C74A6"/>
    <w:rsid w:val="008C777F"/>
    <w:rsid w:val="008C7A5A"/>
    <w:rsid w:val="008C7ECB"/>
    <w:rsid w:val="008D0A36"/>
    <w:rsid w:val="008D3B86"/>
    <w:rsid w:val="008D4755"/>
    <w:rsid w:val="008D4C3D"/>
    <w:rsid w:val="008D4E8D"/>
    <w:rsid w:val="008D540F"/>
    <w:rsid w:val="008D58AC"/>
    <w:rsid w:val="008D6559"/>
    <w:rsid w:val="008D696B"/>
    <w:rsid w:val="008D6DD5"/>
    <w:rsid w:val="008D743C"/>
    <w:rsid w:val="008D7CF2"/>
    <w:rsid w:val="008D7E82"/>
    <w:rsid w:val="008E041F"/>
    <w:rsid w:val="008E0D3C"/>
    <w:rsid w:val="008E1B9E"/>
    <w:rsid w:val="008E23B8"/>
    <w:rsid w:val="008E367C"/>
    <w:rsid w:val="008E55AB"/>
    <w:rsid w:val="008E59DF"/>
    <w:rsid w:val="008E5ABA"/>
    <w:rsid w:val="008E5F1E"/>
    <w:rsid w:val="008F120A"/>
    <w:rsid w:val="008F213B"/>
    <w:rsid w:val="008F27E0"/>
    <w:rsid w:val="008F29EB"/>
    <w:rsid w:val="008F3461"/>
    <w:rsid w:val="008F4073"/>
    <w:rsid w:val="008F4276"/>
    <w:rsid w:val="008F48EB"/>
    <w:rsid w:val="008F4F0B"/>
    <w:rsid w:val="008F55E6"/>
    <w:rsid w:val="008F5836"/>
    <w:rsid w:val="008F5E29"/>
    <w:rsid w:val="008F71B3"/>
    <w:rsid w:val="0090032F"/>
    <w:rsid w:val="009046C4"/>
    <w:rsid w:val="009062A5"/>
    <w:rsid w:val="00906807"/>
    <w:rsid w:val="009074DE"/>
    <w:rsid w:val="00910686"/>
    <w:rsid w:val="00910967"/>
    <w:rsid w:val="00910FA7"/>
    <w:rsid w:val="00911272"/>
    <w:rsid w:val="009116AE"/>
    <w:rsid w:val="00911CBF"/>
    <w:rsid w:val="0091276C"/>
    <w:rsid w:val="009135D6"/>
    <w:rsid w:val="00914C77"/>
    <w:rsid w:val="00915D52"/>
    <w:rsid w:val="00916689"/>
    <w:rsid w:val="00917371"/>
    <w:rsid w:val="00917B4C"/>
    <w:rsid w:val="009204BE"/>
    <w:rsid w:val="009217B6"/>
    <w:rsid w:val="00921ACB"/>
    <w:rsid w:val="00922008"/>
    <w:rsid w:val="00922509"/>
    <w:rsid w:val="0092369B"/>
    <w:rsid w:val="00923D1B"/>
    <w:rsid w:val="009244C6"/>
    <w:rsid w:val="009271FF"/>
    <w:rsid w:val="00930585"/>
    <w:rsid w:val="00930D8F"/>
    <w:rsid w:val="009312D1"/>
    <w:rsid w:val="009318CB"/>
    <w:rsid w:val="009341F4"/>
    <w:rsid w:val="009345B8"/>
    <w:rsid w:val="00934988"/>
    <w:rsid w:val="00934C91"/>
    <w:rsid w:val="00934ED6"/>
    <w:rsid w:val="00937089"/>
    <w:rsid w:val="00940142"/>
    <w:rsid w:val="00941199"/>
    <w:rsid w:val="009424B8"/>
    <w:rsid w:val="00942C6C"/>
    <w:rsid w:val="00943B1C"/>
    <w:rsid w:val="0094462C"/>
    <w:rsid w:val="00944AA1"/>
    <w:rsid w:val="00944F8A"/>
    <w:rsid w:val="009466F5"/>
    <w:rsid w:val="009510A2"/>
    <w:rsid w:val="009523EB"/>
    <w:rsid w:val="00953257"/>
    <w:rsid w:val="00953F15"/>
    <w:rsid w:val="00954282"/>
    <w:rsid w:val="0095474C"/>
    <w:rsid w:val="00954D2C"/>
    <w:rsid w:val="00954F6B"/>
    <w:rsid w:val="00955EEC"/>
    <w:rsid w:val="0095654B"/>
    <w:rsid w:val="00957585"/>
    <w:rsid w:val="009603BC"/>
    <w:rsid w:val="009604B8"/>
    <w:rsid w:val="00962AA5"/>
    <w:rsid w:val="00962CB9"/>
    <w:rsid w:val="00964312"/>
    <w:rsid w:val="00964AB1"/>
    <w:rsid w:val="00965016"/>
    <w:rsid w:val="0096520E"/>
    <w:rsid w:val="009657A1"/>
    <w:rsid w:val="00965B8A"/>
    <w:rsid w:val="00965FB5"/>
    <w:rsid w:val="00966358"/>
    <w:rsid w:val="009673C8"/>
    <w:rsid w:val="0097071F"/>
    <w:rsid w:val="009717AC"/>
    <w:rsid w:val="00973B86"/>
    <w:rsid w:val="009751C1"/>
    <w:rsid w:val="00976836"/>
    <w:rsid w:val="00976F82"/>
    <w:rsid w:val="00980A88"/>
    <w:rsid w:val="009811F1"/>
    <w:rsid w:val="00981210"/>
    <w:rsid w:val="0098389D"/>
    <w:rsid w:val="00983E57"/>
    <w:rsid w:val="00985DE2"/>
    <w:rsid w:val="0098619F"/>
    <w:rsid w:val="009862A0"/>
    <w:rsid w:val="0098675D"/>
    <w:rsid w:val="00987A0B"/>
    <w:rsid w:val="009903D4"/>
    <w:rsid w:val="00990A84"/>
    <w:rsid w:val="00990C99"/>
    <w:rsid w:val="009926E0"/>
    <w:rsid w:val="00992E1B"/>
    <w:rsid w:val="00993839"/>
    <w:rsid w:val="0099451E"/>
    <w:rsid w:val="0099555F"/>
    <w:rsid w:val="00996230"/>
    <w:rsid w:val="00996602"/>
    <w:rsid w:val="00996B1A"/>
    <w:rsid w:val="00997556"/>
    <w:rsid w:val="009A0F3E"/>
    <w:rsid w:val="009A1325"/>
    <w:rsid w:val="009A2DCC"/>
    <w:rsid w:val="009A42EB"/>
    <w:rsid w:val="009A465B"/>
    <w:rsid w:val="009A5ABC"/>
    <w:rsid w:val="009A64A3"/>
    <w:rsid w:val="009A7F10"/>
    <w:rsid w:val="009B0048"/>
    <w:rsid w:val="009B1DBD"/>
    <w:rsid w:val="009B3158"/>
    <w:rsid w:val="009B33F6"/>
    <w:rsid w:val="009B3A0B"/>
    <w:rsid w:val="009B3E26"/>
    <w:rsid w:val="009B5CAC"/>
    <w:rsid w:val="009B616A"/>
    <w:rsid w:val="009B79FF"/>
    <w:rsid w:val="009C0C89"/>
    <w:rsid w:val="009C12C5"/>
    <w:rsid w:val="009C3706"/>
    <w:rsid w:val="009C3A3A"/>
    <w:rsid w:val="009C420C"/>
    <w:rsid w:val="009C50EC"/>
    <w:rsid w:val="009C5613"/>
    <w:rsid w:val="009C6CEA"/>
    <w:rsid w:val="009C7A9E"/>
    <w:rsid w:val="009C7B85"/>
    <w:rsid w:val="009D0254"/>
    <w:rsid w:val="009D0570"/>
    <w:rsid w:val="009D0DD3"/>
    <w:rsid w:val="009D1A64"/>
    <w:rsid w:val="009D5B91"/>
    <w:rsid w:val="009D6244"/>
    <w:rsid w:val="009D6EE2"/>
    <w:rsid w:val="009D792E"/>
    <w:rsid w:val="009D7B6F"/>
    <w:rsid w:val="009E0DFE"/>
    <w:rsid w:val="009E29D7"/>
    <w:rsid w:val="009E31F6"/>
    <w:rsid w:val="009E3DF8"/>
    <w:rsid w:val="009E4B55"/>
    <w:rsid w:val="009E4C07"/>
    <w:rsid w:val="009E4F22"/>
    <w:rsid w:val="009E5654"/>
    <w:rsid w:val="009E629C"/>
    <w:rsid w:val="009E674C"/>
    <w:rsid w:val="009F0297"/>
    <w:rsid w:val="009F0920"/>
    <w:rsid w:val="009F1773"/>
    <w:rsid w:val="009F201B"/>
    <w:rsid w:val="009F295C"/>
    <w:rsid w:val="009F2C15"/>
    <w:rsid w:val="009F7335"/>
    <w:rsid w:val="009F7EF7"/>
    <w:rsid w:val="00A004B8"/>
    <w:rsid w:val="00A00560"/>
    <w:rsid w:val="00A01184"/>
    <w:rsid w:val="00A0138E"/>
    <w:rsid w:val="00A01F3E"/>
    <w:rsid w:val="00A02E2B"/>
    <w:rsid w:val="00A037C2"/>
    <w:rsid w:val="00A03D43"/>
    <w:rsid w:val="00A03ED7"/>
    <w:rsid w:val="00A04380"/>
    <w:rsid w:val="00A04BF9"/>
    <w:rsid w:val="00A05472"/>
    <w:rsid w:val="00A055F6"/>
    <w:rsid w:val="00A05C32"/>
    <w:rsid w:val="00A05C35"/>
    <w:rsid w:val="00A0653F"/>
    <w:rsid w:val="00A06DF6"/>
    <w:rsid w:val="00A06FAA"/>
    <w:rsid w:val="00A0725A"/>
    <w:rsid w:val="00A07579"/>
    <w:rsid w:val="00A11CD0"/>
    <w:rsid w:val="00A1258F"/>
    <w:rsid w:val="00A12C97"/>
    <w:rsid w:val="00A132AD"/>
    <w:rsid w:val="00A13948"/>
    <w:rsid w:val="00A14B7E"/>
    <w:rsid w:val="00A1555B"/>
    <w:rsid w:val="00A155C5"/>
    <w:rsid w:val="00A16AD8"/>
    <w:rsid w:val="00A21C95"/>
    <w:rsid w:val="00A21CF3"/>
    <w:rsid w:val="00A237DE"/>
    <w:rsid w:val="00A24813"/>
    <w:rsid w:val="00A252CC"/>
    <w:rsid w:val="00A2616B"/>
    <w:rsid w:val="00A2626C"/>
    <w:rsid w:val="00A27AEC"/>
    <w:rsid w:val="00A308FA"/>
    <w:rsid w:val="00A320DB"/>
    <w:rsid w:val="00A33261"/>
    <w:rsid w:val="00A359C4"/>
    <w:rsid w:val="00A35D16"/>
    <w:rsid w:val="00A36767"/>
    <w:rsid w:val="00A3753D"/>
    <w:rsid w:val="00A37BB1"/>
    <w:rsid w:val="00A37BCD"/>
    <w:rsid w:val="00A40BEF"/>
    <w:rsid w:val="00A4143A"/>
    <w:rsid w:val="00A41689"/>
    <w:rsid w:val="00A41964"/>
    <w:rsid w:val="00A42592"/>
    <w:rsid w:val="00A429ED"/>
    <w:rsid w:val="00A43C59"/>
    <w:rsid w:val="00A44A17"/>
    <w:rsid w:val="00A457B5"/>
    <w:rsid w:val="00A47A54"/>
    <w:rsid w:val="00A50ECD"/>
    <w:rsid w:val="00A518F3"/>
    <w:rsid w:val="00A52729"/>
    <w:rsid w:val="00A52C8A"/>
    <w:rsid w:val="00A53675"/>
    <w:rsid w:val="00A53BD8"/>
    <w:rsid w:val="00A564D7"/>
    <w:rsid w:val="00A56B6A"/>
    <w:rsid w:val="00A56BDE"/>
    <w:rsid w:val="00A56E6D"/>
    <w:rsid w:val="00A5743C"/>
    <w:rsid w:val="00A578DC"/>
    <w:rsid w:val="00A60BF2"/>
    <w:rsid w:val="00A61BB3"/>
    <w:rsid w:val="00A622F4"/>
    <w:rsid w:val="00A6274C"/>
    <w:rsid w:val="00A62A9E"/>
    <w:rsid w:val="00A62ACF"/>
    <w:rsid w:val="00A63913"/>
    <w:rsid w:val="00A640E2"/>
    <w:rsid w:val="00A64D65"/>
    <w:rsid w:val="00A66FC3"/>
    <w:rsid w:val="00A6725B"/>
    <w:rsid w:val="00A70605"/>
    <w:rsid w:val="00A70C82"/>
    <w:rsid w:val="00A70D3B"/>
    <w:rsid w:val="00A73134"/>
    <w:rsid w:val="00A757EA"/>
    <w:rsid w:val="00A75EBE"/>
    <w:rsid w:val="00A76001"/>
    <w:rsid w:val="00A7711D"/>
    <w:rsid w:val="00A776B2"/>
    <w:rsid w:val="00A777B2"/>
    <w:rsid w:val="00A77812"/>
    <w:rsid w:val="00A77F00"/>
    <w:rsid w:val="00A825D4"/>
    <w:rsid w:val="00A828F6"/>
    <w:rsid w:val="00A82961"/>
    <w:rsid w:val="00A82B73"/>
    <w:rsid w:val="00A86E8B"/>
    <w:rsid w:val="00A87164"/>
    <w:rsid w:val="00A87466"/>
    <w:rsid w:val="00A87E21"/>
    <w:rsid w:val="00A92294"/>
    <w:rsid w:val="00A92346"/>
    <w:rsid w:val="00A925C9"/>
    <w:rsid w:val="00A93072"/>
    <w:rsid w:val="00A938BD"/>
    <w:rsid w:val="00A9391B"/>
    <w:rsid w:val="00A93948"/>
    <w:rsid w:val="00A93953"/>
    <w:rsid w:val="00A941DD"/>
    <w:rsid w:val="00A945C2"/>
    <w:rsid w:val="00A950DF"/>
    <w:rsid w:val="00A959D8"/>
    <w:rsid w:val="00A963AD"/>
    <w:rsid w:val="00AA089D"/>
    <w:rsid w:val="00AA113D"/>
    <w:rsid w:val="00AA1CD7"/>
    <w:rsid w:val="00AA2C8B"/>
    <w:rsid w:val="00AA3A6F"/>
    <w:rsid w:val="00AA4807"/>
    <w:rsid w:val="00AA5202"/>
    <w:rsid w:val="00AA546A"/>
    <w:rsid w:val="00AA643C"/>
    <w:rsid w:val="00AA6BD5"/>
    <w:rsid w:val="00AA6BD8"/>
    <w:rsid w:val="00AA6C7D"/>
    <w:rsid w:val="00AA73B4"/>
    <w:rsid w:val="00AA73BF"/>
    <w:rsid w:val="00AA7FD6"/>
    <w:rsid w:val="00AB042A"/>
    <w:rsid w:val="00AB1344"/>
    <w:rsid w:val="00AB19EF"/>
    <w:rsid w:val="00AB1D3C"/>
    <w:rsid w:val="00AB2582"/>
    <w:rsid w:val="00AB2D34"/>
    <w:rsid w:val="00AB3430"/>
    <w:rsid w:val="00AB37B9"/>
    <w:rsid w:val="00AB49BE"/>
    <w:rsid w:val="00AB4AD1"/>
    <w:rsid w:val="00AB5E07"/>
    <w:rsid w:val="00AB7CFA"/>
    <w:rsid w:val="00AC10C0"/>
    <w:rsid w:val="00AC13D3"/>
    <w:rsid w:val="00AC3723"/>
    <w:rsid w:val="00AC5B48"/>
    <w:rsid w:val="00AC647F"/>
    <w:rsid w:val="00AC743C"/>
    <w:rsid w:val="00AC79B5"/>
    <w:rsid w:val="00AD048F"/>
    <w:rsid w:val="00AD1245"/>
    <w:rsid w:val="00AD1450"/>
    <w:rsid w:val="00AD1D4A"/>
    <w:rsid w:val="00AD2409"/>
    <w:rsid w:val="00AD3166"/>
    <w:rsid w:val="00AD346D"/>
    <w:rsid w:val="00AD4218"/>
    <w:rsid w:val="00AD53CD"/>
    <w:rsid w:val="00AD55E3"/>
    <w:rsid w:val="00AD5A7A"/>
    <w:rsid w:val="00AD6502"/>
    <w:rsid w:val="00AD69CC"/>
    <w:rsid w:val="00AD76BC"/>
    <w:rsid w:val="00AE047D"/>
    <w:rsid w:val="00AE0695"/>
    <w:rsid w:val="00AE0792"/>
    <w:rsid w:val="00AE2795"/>
    <w:rsid w:val="00AE3E7E"/>
    <w:rsid w:val="00AE5C68"/>
    <w:rsid w:val="00AE7308"/>
    <w:rsid w:val="00AF009D"/>
    <w:rsid w:val="00AF0AA5"/>
    <w:rsid w:val="00AF0B9E"/>
    <w:rsid w:val="00AF1315"/>
    <w:rsid w:val="00AF19BF"/>
    <w:rsid w:val="00AF2DC3"/>
    <w:rsid w:val="00AF5B42"/>
    <w:rsid w:val="00AF655C"/>
    <w:rsid w:val="00AF6A32"/>
    <w:rsid w:val="00AF7500"/>
    <w:rsid w:val="00B031AE"/>
    <w:rsid w:val="00B033E5"/>
    <w:rsid w:val="00B03A63"/>
    <w:rsid w:val="00B04673"/>
    <w:rsid w:val="00B055AF"/>
    <w:rsid w:val="00B07C77"/>
    <w:rsid w:val="00B102CE"/>
    <w:rsid w:val="00B13384"/>
    <w:rsid w:val="00B140DD"/>
    <w:rsid w:val="00B1453D"/>
    <w:rsid w:val="00B14687"/>
    <w:rsid w:val="00B15399"/>
    <w:rsid w:val="00B1589C"/>
    <w:rsid w:val="00B201A4"/>
    <w:rsid w:val="00B201D1"/>
    <w:rsid w:val="00B205A7"/>
    <w:rsid w:val="00B213A6"/>
    <w:rsid w:val="00B23113"/>
    <w:rsid w:val="00B232BF"/>
    <w:rsid w:val="00B235B0"/>
    <w:rsid w:val="00B2463F"/>
    <w:rsid w:val="00B24DF6"/>
    <w:rsid w:val="00B25A1D"/>
    <w:rsid w:val="00B25E98"/>
    <w:rsid w:val="00B26FAC"/>
    <w:rsid w:val="00B2704A"/>
    <w:rsid w:val="00B274FC"/>
    <w:rsid w:val="00B3252D"/>
    <w:rsid w:val="00B33C17"/>
    <w:rsid w:val="00B34649"/>
    <w:rsid w:val="00B34FE2"/>
    <w:rsid w:val="00B35166"/>
    <w:rsid w:val="00B357D8"/>
    <w:rsid w:val="00B35EE8"/>
    <w:rsid w:val="00B360F4"/>
    <w:rsid w:val="00B3622D"/>
    <w:rsid w:val="00B36A00"/>
    <w:rsid w:val="00B376B0"/>
    <w:rsid w:val="00B379DA"/>
    <w:rsid w:val="00B37BFC"/>
    <w:rsid w:val="00B40358"/>
    <w:rsid w:val="00B40AFC"/>
    <w:rsid w:val="00B41614"/>
    <w:rsid w:val="00B41C35"/>
    <w:rsid w:val="00B42851"/>
    <w:rsid w:val="00B42887"/>
    <w:rsid w:val="00B42F80"/>
    <w:rsid w:val="00B435CB"/>
    <w:rsid w:val="00B43D59"/>
    <w:rsid w:val="00B453F4"/>
    <w:rsid w:val="00B45506"/>
    <w:rsid w:val="00B46D52"/>
    <w:rsid w:val="00B47B5A"/>
    <w:rsid w:val="00B505C8"/>
    <w:rsid w:val="00B50DB8"/>
    <w:rsid w:val="00B511F2"/>
    <w:rsid w:val="00B51B9E"/>
    <w:rsid w:val="00B53654"/>
    <w:rsid w:val="00B53905"/>
    <w:rsid w:val="00B54709"/>
    <w:rsid w:val="00B54B5B"/>
    <w:rsid w:val="00B5562E"/>
    <w:rsid w:val="00B55D65"/>
    <w:rsid w:val="00B57000"/>
    <w:rsid w:val="00B60939"/>
    <w:rsid w:val="00B60AFD"/>
    <w:rsid w:val="00B62715"/>
    <w:rsid w:val="00B63CEF"/>
    <w:rsid w:val="00B65611"/>
    <w:rsid w:val="00B6581D"/>
    <w:rsid w:val="00B66CFC"/>
    <w:rsid w:val="00B66F38"/>
    <w:rsid w:val="00B70E8E"/>
    <w:rsid w:val="00B7383D"/>
    <w:rsid w:val="00B74BE1"/>
    <w:rsid w:val="00B74CD6"/>
    <w:rsid w:val="00B74ED8"/>
    <w:rsid w:val="00B75ABE"/>
    <w:rsid w:val="00B76C92"/>
    <w:rsid w:val="00B773EF"/>
    <w:rsid w:val="00B818A4"/>
    <w:rsid w:val="00B83DEB"/>
    <w:rsid w:val="00B84117"/>
    <w:rsid w:val="00B849D7"/>
    <w:rsid w:val="00B84B97"/>
    <w:rsid w:val="00B8543C"/>
    <w:rsid w:val="00B85687"/>
    <w:rsid w:val="00B858F0"/>
    <w:rsid w:val="00B85AA2"/>
    <w:rsid w:val="00B8649C"/>
    <w:rsid w:val="00B866CD"/>
    <w:rsid w:val="00B8695D"/>
    <w:rsid w:val="00B87294"/>
    <w:rsid w:val="00B87C1D"/>
    <w:rsid w:val="00B87F0A"/>
    <w:rsid w:val="00B92D0B"/>
    <w:rsid w:val="00B9435A"/>
    <w:rsid w:val="00B94719"/>
    <w:rsid w:val="00B94945"/>
    <w:rsid w:val="00B94DD6"/>
    <w:rsid w:val="00B97418"/>
    <w:rsid w:val="00BA2245"/>
    <w:rsid w:val="00BA322D"/>
    <w:rsid w:val="00BA338D"/>
    <w:rsid w:val="00BA619F"/>
    <w:rsid w:val="00BA63FA"/>
    <w:rsid w:val="00BB00B3"/>
    <w:rsid w:val="00BB0BDD"/>
    <w:rsid w:val="00BB176C"/>
    <w:rsid w:val="00BB2A73"/>
    <w:rsid w:val="00BB2C89"/>
    <w:rsid w:val="00BB3A45"/>
    <w:rsid w:val="00BB41D1"/>
    <w:rsid w:val="00BB4ACC"/>
    <w:rsid w:val="00BB5932"/>
    <w:rsid w:val="00BB5BEC"/>
    <w:rsid w:val="00BB64FB"/>
    <w:rsid w:val="00BB703E"/>
    <w:rsid w:val="00BB732D"/>
    <w:rsid w:val="00BB7405"/>
    <w:rsid w:val="00BC000B"/>
    <w:rsid w:val="00BC144A"/>
    <w:rsid w:val="00BC26F3"/>
    <w:rsid w:val="00BC3631"/>
    <w:rsid w:val="00BC4D65"/>
    <w:rsid w:val="00BC591F"/>
    <w:rsid w:val="00BC5A40"/>
    <w:rsid w:val="00BC647E"/>
    <w:rsid w:val="00BC6AAF"/>
    <w:rsid w:val="00BC7281"/>
    <w:rsid w:val="00BC7926"/>
    <w:rsid w:val="00BC7956"/>
    <w:rsid w:val="00BC7AB9"/>
    <w:rsid w:val="00BC7D6D"/>
    <w:rsid w:val="00BD0D12"/>
    <w:rsid w:val="00BD20D5"/>
    <w:rsid w:val="00BD2108"/>
    <w:rsid w:val="00BD21C5"/>
    <w:rsid w:val="00BD28B6"/>
    <w:rsid w:val="00BD4658"/>
    <w:rsid w:val="00BD4765"/>
    <w:rsid w:val="00BD68A3"/>
    <w:rsid w:val="00BD6938"/>
    <w:rsid w:val="00BD6CF3"/>
    <w:rsid w:val="00BD6D99"/>
    <w:rsid w:val="00BD72B1"/>
    <w:rsid w:val="00BE0243"/>
    <w:rsid w:val="00BE0E47"/>
    <w:rsid w:val="00BE0ECA"/>
    <w:rsid w:val="00BE18B3"/>
    <w:rsid w:val="00BE2180"/>
    <w:rsid w:val="00BE21F2"/>
    <w:rsid w:val="00BE2F44"/>
    <w:rsid w:val="00BE383D"/>
    <w:rsid w:val="00BE4275"/>
    <w:rsid w:val="00BE5605"/>
    <w:rsid w:val="00BE7843"/>
    <w:rsid w:val="00BE7DCC"/>
    <w:rsid w:val="00BF06AE"/>
    <w:rsid w:val="00BF0F95"/>
    <w:rsid w:val="00BF2433"/>
    <w:rsid w:val="00BF2659"/>
    <w:rsid w:val="00BF4131"/>
    <w:rsid w:val="00BF4809"/>
    <w:rsid w:val="00BF61C9"/>
    <w:rsid w:val="00BF6C94"/>
    <w:rsid w:val="00BF7AFC"/>
    <w:rsid w:val="00C00424"/>
    <w:rsid w:val="00C054DB"/>
    <w:rsid w:val="00C05620"/>
    <w:rsid w:val="00C05625"/>
    <w:rsid w:val="00C10872"/>
    <w:rsid w:val="00C1179F"/>
    <w:rsid w:val="00C12C14"/>
    <w:rsid w:val="00C1350E"/>
    <w:rsid w:val="00C13D03"/>
    <w:rsid w:val="00C15189"/>
    <w:rsid w:val="00C159E8"/>
    <w:rsid w:val="00C15F04"/>
    <w:rsid w:val="00C179B3"/>
    <w:rsid w:val="00C17CB6"/>
    <w:rsid w:val="00C17E3F"/>
    <w:rsid w:val="00C200AA"/>
    <w:rsid w:val="00C20C33"/>
    <w:rsid w:val="00C2165A"/>
    <w:rsid w:val="00C21A0A"/>
    <w:rsid w:val="00C226A2"/>
    <w:rsid w:val="00C237ED"/>
    <w:rsid w:val="00C23FE7"/>
    <w:rsid w:val="00C24632"/>
    <w:rsid w:val="00C25418"/>
    <w:rsid w:val="00C25D9C"/>
    <w:rsid w:val="00C2674A"/>
    <w:rsid w:val="00C270BA"/>
    <w:rsid w:val="00C2778B"/>
    <w:rsid w:val="00C30B51"/>
    <w:rsid w:val="00C30B87"/>
    <w:rsid w:val="00C30BBE"/>
    <w:rsid w:val="00C31649"/>
    <w:rsid w:val="00C33007"/>
    <w:rsid w:val="00C33AD5"/>
    <w:rsid w:val="00C3434C"/>
    <w:rsid w:val="00C34887"/>
    <w:rsid w:val="00C34F09"/>
    <w:rsid w:val="00C35926"/>
    <w:rsid w:val="00C3620D"/>
    <w:rsid w:val="00C362EB"/>
    <w:rsid w:val="00C3662E"/>
    <w:rsid w:val="00C40385"/>
    <w:rsid w:val="00C412DB"/>
    <w:rsid w:val="00C41768"/>
    <w:rsid w:val="00C418A8"/>
    <w:rsid w:val="00C42F85"/>
    <w:rsid w:val="00C439C4"/>
    <w:rsid w:val="00C43BB5"/>
    <w:rsid w:val="00C442BC"/>
    <w:rsid w:val="00C469F2"/>
    <w:rsid w:val="00C46D15"/>
    <w:rsid w:val="00C475AA"/>
    <w:rsid w:val="00C503DE"/>
    <w:rsid w:val="00C51777"/>
    <w:rsid w:val="00C52FF0"/>
    <w:rsid w:val="00C53134"/>
    <w:rsid w:val="00C53875"/>
    <w:rsid w:val="00C53C98"/>
    <w:rsid w:val="00C56F07"/>
    <w:rsid w:val="00C56FCF"/>
    <w:rsid w:val="00C57B6C"/>
    <w:rsid w:val="00C61054"/>
    <w:rsid w:val="00C6149D"/>
    <w:rsid w:val="00C628A6"/>
    <w:rsid w:val="00C63270"/>
    <w:rsid w:val="00C64344"/>
    <w:rsid w:val="00C64A52"/>
    <w:rsid w:val="00C64D0B"/>
    <w:rsid w:val="00C65108"/>
    <w:rsid w:val="00C65576"/>
    <w:rsid w:val="00C66165"/>
    <w:rsid w:val="00C7060A"/>
    <w:rsid w:val="00C714D0"/>
    <w:rsid w:val="00C7151A"/>
    <w:rsid w:val="00C717E3"/>
    <w:rsid w:val="00C71F60"/>
    <w:rsid w:val="00C72241"/>
    <w:rsid w:val="00C73248"/>
    <w:rsid w:val="00C732B7"/>
    <w:rsid w:val="00C74D7F"/>
    <w:rsid w:val="00C750C8"/>
    <w:rsid w:val="00C7560F"/>
    <w:rsid w:val="00C75DFE"/>
    <w:rsid w:val="00C76835"/>
    <w:rsid w:val="00C77443"/>
    <w:rsid w:val="00C8065E"/>
    <w:rsid w:val="00C80A0E"/>
    <w:rsid w:val="00C812F0"/>
    <w:rsid w:val="00C8206C"/>
    <w:rsid w:val="00C8213F"/>
    <w:rsid w:val="00C8282F"/>
    <w:rsid w:val="00C8289C"/>
    <w:rsid w:val="00C83AF5"/>
    <w:rsid w:val="00C84D33"/>
    <w:rsid w:val="00C85154"/>
    <w:rsid w:val="00C8797A"/>
    <w:rsid w:val="00C87E1E"/>
    <w:rsid w:val="00C900B8"/>
    <w:rsid w:val="00C90C71"/>
    <w:rsid w:val="00C91FD1"/>
    <w:rsid w:val="00C92AE5"/>
    <w:rsid w:val="00C931CF"/>
    <w:rsid w:val="00C938CF"/>
    <w:rsid w:val="00C94053"/>
    <w:rsid w:val="00C9405F"/>
    <w:rsid w:val="00C9624D"/>
    <w:rsid w:val="00C969DA"/>
    <w:rsid w:val="00C97851"/>
    <w:rsid w:val="00CA217F"/>
    <w:rsid w:val="00CA2C77"/>
    <w:rsid w:val="00CA35EF"/>
    <w:rsid w:val="00CA444F"/>
    <w:rsid w:val="00CA4649"/>
    <w:rsid w:val="00CA4E1D"/>
    <w:rsid w:val="00CA5245"/>
    <w:rsid w:val="00CA59F3"/>
    <w:rsid w:val="00CA71F4"/>
    <w:rsid w:val="00CA7B09"/>
    <w:rsid w:val="00CB052E"/>
    <w:rsid w:val="00CB0AC8"/>
    <w:rsid w:val="00CB12A5"/>
    <w:rsid w:val="00CB1CAC"/>
    <w:rsid w:val="00CB2F2A"/>
    <w:rsid w:val="00CB33BD"/>
    <w:rsid w:val="00CB3410"/>
    <w:rsid w:val="00CB36CB"/>
    <w:rsid w:val="00CB4D6C"/>
    <w:rsid w:val="00CB56F9"/>
    <w:rsid w:val="00CB5B1A"/>
    <w:rsid w:val="00CB62E8"/>
    <w:rsid w:val="00CB67E5"/>
    <w:rsid w:val="00CB6B22"/>
    <w:rsid w:val="00CB7881"/>
    <w:rsid w:val="00CB7F5F"/>
    <w:rsid w:val="00CC0C02"/>
    <w:rsid w:val="00CC1B39"/>
    <w:rsid w:val="00CC1C0E"/>
    <w:rsid w:val="00CC2857"/>
    <w:rsid w:val="00CC35EA"/>
    <w:rsid w:val="00CC3848"/>
    <w:rsid w:val="00CC6241"/>
    <w:rsid w:val="00CC7667"/>
    <w:rsid w:val="00CC787B"/>
    <w:rsid w:val="00CD0FE1"/>
    <w:rsid w:val="00CD1630"/>
    <w:rsid w:val="00CD1B53"/>
    <w:rsid w:val="00CD2622"/>
    <w:rsid w:val="00CD3B00"/>
    <w:rsid w:val="00CD3F77"/>
    <w:rsid w:val="00CD4273"/>
    <w:rsid w:val="00CD42F0"/>
    <w:rsid w:val="00CD4A05"/>
    <w:rsid w:val="00CD6ADC"/>
    <w:rsid w:val="00CD7193"/>
    <w:rsid w:val="00CD7CD2"/>
    <w:rsid w:val="00CE0B57"/>
    <w:rsid w:val="00CE12DD"/>
    <w:rsid w:val="00CE16C1"/>
    <w:rsid w:val="00CE17D7"/>
    <w:rsid w:val="00CE1BC7"/>
    <w:rsid w:val="00CE37DC"/>
    <w:rsid w:val="00CE38C8"/>
    <w:rsid w:val="00CE3B21"/>
    <w:rsid w:val="00CE5318"/>
    <w:rsid w:val="00CE5796"/>
    <w:rsid w:val="00CE6085"/>
    <w:rsid w:val="00CE6274"/>
    <w:rsid w:val="00CE77B6"/>
    <w:rsid w:val="00CE7FE3"/>
    <w:rsid w:val="00CF03D9"/>
    <w:rsid w:val="00CF2B8D"/>
    <w:rsid w:val="00CF398F"/>
    <w:rsid w:val="00CF3A1C"/>
    <w:rsid w:val="00CF4463"/>
    <w:rsid w:val="00CF456B"/>
    <w:rsid w:val="00CF4F69"/>
    <w:rsid w:val="00CF5A22"/>
    <w:rsid w:val="00CF7E6F"/>
    <w:rsid w:val="00D01C65"/>
    <w:rsid w:val="00D0262E"/>
    <w:rsid w:val="00D04EE7"/>
    <w:rsid w:val="00D055DA"/>
    <w:rsid w:val="00D05E3D"/>
    <w:rsid w:val="00D06139"/>
    <w:rsid w:val="00D10B31"/>
    <w:rsid w:val="00D10EEE"/>
    <w:rsid w:val="00D110BD"/>
    <w:rsid w:val="00D13675"/>
    <w:rsid w:val="00D141E1"/>
    <w:rsid w:val="00D14CB7"/>
    <w:rsid w:val="00D15314"/>
    <w:rsid w:val="00D1611C"/>
    <w:rsid w:val="00D17D6C"/>
    <w:rsid w:val="00D214B0"/>
    <w:rsid w:val="00D2155B"/>
    <w:rsid w:val="00D22FB1"/>
    <w:rsid w:val="00D23D11"/>
    <w:rsid w:val="00D244B6"/>
    <w:rsid w:val="00D25137"/>
    <w:rsid w:val="00D25C08"/>
    <w:rsid w:val="00D2754D"/>
    <w:rsid w:val="00D276D0"/>
    <w:rsid w:val="00D27B27"/>
    <w:rsid w:val="00D27C77"/>
    <w:rsid w:val="00D27F14"/>
    <w:rsid w:val="00D32953"/>
    <w:rsid w:val="00D3324D"/>
    <w:rsid w:val="00D334C5"/>
    <w:rsid w:val="00D33A53"/>
    <w:rsid w:val="00D33BE9"/>
    <w:rsid w:val="00D33F93"/>
    <w:rsid w:val="00D34F23"/>
    <w:rsid w:val="00D357FF"/>
    <w:rsid w:val="00D3609F"/>
    <w:rsid w:val="00D40380"/>
    <w:rsid w:val="00D410EB"/>
    <w:rsid w:val="00D41887"/>
    <w:rsid w:val="00D424C7"/>
    <w:rsid w:val="00D42AD2"/>
    <w:rsid w:val="00D43495"/>
    <w:rsid w:val="00D43B2A"/>
    <w:rsid w:val="00D43C7C"/>
    <w:rsid w:val="00D43D83"/>
    <w:rsid w:val="00D46410"/>
    <w:rsid w:val="00D47575"/>
    <w:rsid w:val="00D47BCE"/>
    <w:rsid w:val="00D515B5"/>
    <w:rsid w:val="00D51696"/>
    <w:rsid w:val="00D51FA2"/>
    <w:rsid w:val="00D51FCB"/>
    <w:rsid w:val="00D5243B"/>
    <w:rsid w:val="00D52A83"/>
    <w:rsid w:val="00D533EC"/>
    <w:rsid w:val="00D53E73"/>
    <w:rsid w:val="00D546A9"/>
    <w:rsid w:val="00D54D4C"/>
    <w:rsid w:val="00D55944"/>
    <w:rsid w:val="00D5668E"/>
    <w:rsid w:val="00D56A95"/>
    <w:rsid w:val="00D57071"/>
    <w:rsid w:val="00D577C5"/>
    <w:rsid w:val="00D5786F"/>
    <w:rsid w:val="00D61854"/>
    <w:rsid w:val="00D61AB2"/>
    <w:rsid w:val="00D62FFD"/>
    <w:rsid w:val="00D63015"/>
    <w:rsid w:val="00D66BEC"/>
    <w:rsid w:val="00D70135"/>
    <w:rsid w:val="00D70468"/>
    <w:rsid w:val="00D705FF"/>
    <w:rsid w:val="00D70F16"/>
    <w:rsid w:val="00D72790"/>
    <w:rsid w:val="00D72F57"/>
    <w:rsid w:val="00D738D0"/>
    <w:rsid w:val="00D73F73"/>
    <w:rsid w:val="00D754B7"/>
    <w:rsid w:val="00D7601B"/>
    <w:rsid w:val="00D76A44"/>
    <w:rsid w:val="00D770DF"/>
    <w:rsid w:val="00D77666"/>
    <w:rsid w:val="00D815EF"/>
    <w:rsid w:val="00D81F26"/>
    <w:rsid w:val="00D82102"/>
    <w:rsid w:val="00D8210E"/>
    <w:rsid w:val="00D82ABD"/>
    <w:rsid w:val="00D82B41"/>
    <w:rsid w:val="00D83230"/>
    <w:rsid w:val="00D832C9"/>
    <w:rsid w:val="00D83593"/>
    <w:rsid w:val="00D85729"/>
    <w:rsid w:val="00D85A4B"/>
    <w:rsid w:val="00D86231"/>
    <w:rsid w:val="00D8655D"/>
    <w:rsid w:val="00D86C83"/>
    <w:rsid w:val="00D90BB4"/>
    <w:rsid w:val="00D91923"/>
    <w:rsid w:val="00D92975"/>
    <w:rsid w:val="00D93753"/>
    <w:rsid w:val="00D94877"/>
    <w:rsid w:val="00D94C9A"/>
    <w:rsid w:val="00D9625C"/>
    <w:rsid w:val="00D96356"/>
    <w:rsid w:val="00D975F8"/>
    <w:rsid w:val="00D97618"/>
    <w:rsid w:val="00D97CAE"/>
    <w:rsid w:val="00DA3167"/>
    <w:rsid w:val="00DA4DC3"/>
    <w:rsid w:val="00DA71B2"/>
    <w:rsid w:val="00DA77A5"/>
    <w:rsid w:val="00DB045C"/>
    <w:rsid w:val="00DB1374"/>
    <w:rsid w:val="00DB3951"/>
    <w:rsid w:val="00DB3DBF"/>
    <w:rsid w:val="00DB46E5"/>
    <w:rsid w:val="00DB484F"/>
    <w:rsid w:val="00DB7974"/>
    <w:rsid w:val="00DB7D46"/>
    <w:rsid w:val="00DC0023"/>
    <w:rsid w:val="00DC04F6"/>
    <w:rsid w:val="00DC0690"/>
    <w:rsid w:val="00DC1BAC"/>
    <w:rsid w:val="00DC1D65"/>
    <w:rsid w:val="00DC3C57"/>
    <w:rsid w:val="00DC5501"/>
    <w:rsid w:val="00DC6494"/>
    <w:rsid w:val="00DC6997"/>
    <w:rsid w:val="00DC7154"/>
    <w:rsid w:val="00DC749E"/>
    <w:rsid w:val="00DC7E8A"/>
    <w:rsid w:val="00DC7F61"/>
    <w:rsid w:val="00DC7FC8"/>
    <w:rsid w:val="00DD016E"/>
    <w:rsid w:val="00DD0F78"/>
    <w:rsid w:val="00DD1077"/>
    <w:rsid w:val="00DD171C"/>
    <w:rsid w:val="00DD1720"/>
    <w:rsid w:val="00DD273C"/>
    <w:rsid w:val="00DD2C06"/>
    <w:rsid w:val="00DD3F28"/>
    <w:rsid w:val="00DD436A"/>
    <w:rsid w:val="00DD4537"/>
    <w:rsid w:val="00DD47FC"/>
    <w:rsid w:val="00DD4945"/>
    <w:rsid w:val="00DD4E15"/>
    <w:rsid w:val="00DD5414"/>
    <w:rsid w:val="00DD7391"/>
    <w:rsid w:val="00DD74DA"/>
    <w:rsid w:val="00DE051C"/>
    <w:rsid w:val="00DE07B5"/>
    <w:rsid w:val="00DE1071"/>
    <w:rsid w:val="00DE14BF"/>
    <w:rsid w:val="00DE2304"/>
    <w:rsid w:val="00DE2513"/>
    <w:rsid w:val="00DE3138"/>
    <w:rsid w:val="00DE37F8"/>
    <w:rsid w:val="00DE4FCB"/>
    <w:rsid w:val="00DE5633"/>
    <w:rsid w:val="00DE565E"/>
    <w:rsid w:val="00DE5D07"/>
    <w:rsid w:val="00DE6500"/>
    <w:rsid w:val="00DE6C56"/>
    <w:rsid w:val="00DE72A7"/>
    <w:rsid w:val="00DE747E"/>
    <w:rsid w:val="00DE7832"/>
    <w:rsid w:val="00DF18FC"/>
    <w:rsid w:val="00DF317D"/>
    <w:rsid w:val="00DF4BA5"/>
    <w:rsid w:val="00DF5D2B"/>
    <w:rsid w:val="00DF6CFA"/>
    <w:rsid w:val="00E0027E"/>
    <w:rsid w:val="00E00959"/>
    <w:rsid w:val="00E00E8E"/>
    <w:rsid w:val="00E01C34"/>
    <w:rsid w:val="00E01F60"/>
    <w:rsid w:val="00E02FBB"/>
    <w:rsid w:val="00E031FE"/>
    <w:rsid w:val="00E04319"/>
    <w:rsid w:val="00E044C3"/>
    <w:rsid w:val="00E046B3"/>
    <w:rsid w:val="00E05630"/>
    <w:rsid w:val="00E05B89"/>
    <w:rsid w:val="00E06B94"/>
    <w:rsid w:val="00E06DBB"/>
    <w:rsid w:val="00E074FF"/>
    <w:rsid w:val="00E10149"/>
    <w:rsid w:val="00E109A4"/>
    <w:rsid w:val="00E11340"/>
    <w:rsid w:val="00E1169F"/>
    <w:rsid w:val="00E122A1"/>
    <w:rsid w:val="00E12A80"/>
    <w:rsid w:val="00E12B5A"/>
    <w:rsid w:val="00E12C26"/>
    <w:rsid w:val="00E13D63"/>
    <w:rsid w:val="00E161EA"/>
    <w:rsid w:val="00E16372"/>
    <w:rsid w:val="00E16798"/>
    <w:rsid w:val="00E16AD6"/>
    <w:rsid w:val="00E17094"/>
    <w:rsid w:val="00E17131"/>
    <w:rsid w:val="00E171D3"/>
    <w:rsid w:val="00E20508"/>
    <w:rsid w:val="00E20E4D"/>
    <w:rsid w:val="00E20ED6"/>
    <w:rsid w:val="00E21358"/>
    <w:rsid w:val="00E21625"/>
    <w:rsid w:val="00E2249B"/>
    <w:rsid w:val="00E22A0D"/>
    <w:rsid w:val="00E24151"/>
    <w:rsid w:val="00E244F6"/>
    <w:rsid w:val="00E258F1"/>
    <w:rsid w:val="00E25B4D"/>
    <w:rsid w:val="00E2771E"/>
    <w:rsid w:val="00E30330"/>
    <w:rsid w:val="00E311EF"/>
    <w:rsid w:val="00E3162E"/>
    <w:rsid w:val="00E32180"/>
    <w:rsid w:val="00E32BDD"/>
    <w:rsid w:val="00E33DAA"/>
    <w:rsid w:val="00E34473"/>
    <w:rsid w:val="00E34789"/>
    <w:rsid w:val="00E34948"/>
    <w:rsid w:val="00E3506E"/>
    <w:rsid w:val="00E350DF"/>
    <w:rsid w:val="00E3672C"/>
    <w:rsid w:val="00E36E60"/>
    <w:rsid w:val="00E37569"/>
    <w:rsid w:val="00E401B2"/>
    <w:rsid w:val="00E40215"/>
    <w:rsid w:val="00E41B40"/>
    <w:rsid w:val="00E41E30"/>
    <w:rsid w:val="00E426F9"/>
    <w:rsid w:val="00E42F73"/>
    <w:rsid w:val="00E42F81"/>
    <w:rsid w:val="00E43D70"/>
    <w:rsid w:val="00E44779"/>
    <w:rsid w:val="00E46102"/>
    <w:rsid w:val="00E466F3"/>
    <w:rsid w:val="00E471A3"/>
    <w:rsid w:val="00E473E4"/>
    <w:rsid w:val="00E47B2C"/>
    <w:rsid w:val="00E50AE1"/>
    <w:rsid w:val="00E51560"/>
    <w:rsid w:val="00E51F97"/>
    <w:rsid w:val="00E527DB"/>
    <w:rsid w:val="00E52C79"/>
    <w:rsid w:val="00E53856"/>
    <w:rsid w:val="00E53FC8"/>
    <w:rsid w:val="00E54347"/>
    <w:rsid w:val="00E54F7D"/>
    <w:rsid w:val="00E55075"/>
    <w:rsid w:val="00E55424"/>
    <w:rsid w:val="00E55915"/>
    <w:rsid w:val="00E55BB5"/>
    <w:rsid w:val="00E566A5"/>
    <w:rsid w:val="00E56AD8"/>
    <w:rsid w:val="00E5740E"/>
    <w:rsid w:val="00E6015B"/>
    <w:rsid w:val="00E621DF"/>
    <w:rsid w:val="00E624DC"/>
    <w:rsid w:val="00E63D54"/>
    <w:rsid w:val="00E64162"/>
    <w:rsid w:val="00E64790"/>
    <w:rsid w:val="00E651E3"/>
    <w:rsid w:val="00E65E79"/>
    <w:rsid w:val="00E66BA2"/>
    <w:rsid w:val="00E67416"/>
    <w:rsid w:val="00E706E2"/>
    <w:rsid w:val="00E71348"/>
    <w:rsid w:val="00E7186A"/>
    <w:rsid w:val="00E718B6"/>
    <w:rsid w:val="00E72116"/>
    <w:rsid w:val="00E723BA"/>
    <w:rsid w:val="00E73013"/>
    <w:rsid w:val="00E73581"/>
    <w:rsid w:val="00E74474"/>
    <w:rsid w:val="00E7681F"/>
    <w:rsid w:val="00E800D1"/>
    <w:rsid w:val="00E80A6E"/>
    <w:rsid w:val="00E80B86"/>
    <w:rsid w:val="00E81766"/>
    <w:rsid w:val="00E819EF"/>
    <w:rsid w:val="00E833F7"/>
    <w:rsid w:val="00E837AE"/>
    <w:rsid w:val="00E83BDF"/>
    <w:rsid w:val="00E84708"/>
    <w:rsid w:val="00E85FE3"/>
    <w:rsid w:val="00E86892"/>
    <w:rsid w:val="00E87A1D"/>
    <w:rsid w:val="00E9094A"/>
    <w:rsid w:val="00E91CCC"/>
    <w:rsid w:val="00E91D35"/>
    <w:rsid w:val="00E926A5"/>
    <w:rsid w:val="00E93DAE"/>
    <w:rsid w:val="00E95DDB"/>
    <w:rsid w:val="00EA1041"/>
    <w:rsid w:val="00EA1666"/>
    <w:rsid w:val="00EA17C3"/>
    <w:rsid w:val="00EA2521"/>
    <w:rsid w:val="00EA2CAA"/>
    <w:rsid w:val="00EA31E5"/>
    <w:rsid w:val="00EA324B"/>
    <w:rsid w:val="00EA3864"/>
    <w:rsid w:val="00EA6ABA"/>
    <w:rsid w:val="00EA7F1C"/>
    <w:rsid w:val="00EB15B6"/>
    <w:rsid w:val="00EB26AF"/>
    <w:rsid w:val="00EB3962"/>
    <w:rsid w:val="00EB3964"/>
    <w:rsid w:val="00EB3D06"/>
    <w:rsid w:val="00EB47FB"/>
    <w:rsid w:val="00EB4916"/>
    <w:rsid w:val="00EB5FB1"/>
    <w:rsid w:val="00EC00C9"/>
    <w:rsid w:val="00EC0DD9"/>
    <w:rsid w:val="00EC1929"/>
    <w:rsid w:val="00EC2508"/>
    <w:rsid w:val="00EC2649"/>
    <w:rsid w:val="00EC31ED"/>
    <w:rsid w:val="00EC5836"/>
    <w:rsid w:val="00EC6624"/>
    <w:rsid w:val="00EC688C"/>
    <w:rsid w:val="00EC7CD5"/>
    <w:rsid w:val="00ED0F18"/>
    <w:rsid w:val="00ED17C6"/>
    <w:rsid w:val="00ED1CC4"/>
    <w:rsid w:val="00ED364C"/>
    <w:rsid w:val="00ED3CD4"/>
    <w:rsid w:val="00ED48B3"/>
    <w:rsid w:val="00ED5481"/>
    <w:rsid w:val="00ED57EA"/>
    <w:rsid w:val="00ED5BD4"/>
    <w:rsid w:val="00ED5E0C"/>
    <w:rsid w:val="00ED6522"/>
    <w:rsid w:val="00ED7960"/>
    <w:rsid w:val="00ED7FD6"/>
    <w:rsid w:val="00EE064D"/>
    <w:rsid w:val="00EE07D3"/>
    <w:rsid w:val="00EE1996"/>
    <w:rsid w:val="00EE1C01"/>
    <w:rsid w:val="00EE22AF"/>
    <w:rsid w:val="00EE245A"/>
    <w:rsid w:val="00EE2F27"/>
    <w:rsid w:val="00EE2FEF"/>
    <w:rsid w:val="00EE332F"/>
    <w:rsid w:val="00EE399C"/>
    <w:rsid w:val="00EE3EE2"/>
    <w:rsid w:val="00EE4715"/>
    <w:rsid w:val="00EE5E1B"/>
    <w:rsid w:val="00EE7858"/>
    <w:rsid w:val="00EF0171"/>
    <w:rsid w:val="00EF0D4D"/>
    <w:rsid w:val="00EF105B"/>
    <w:rsid w:val="00EF1999"/>
    <w:rsid w:val="00EF1B25"/>
    <w:rsid w:val="00EF1DA0"/>
    <w:rsid w:val="00EF32C2"/>
    <w:rsid w:val="00EF3430"/>
    <w:rsid w:val="00EF4747"/>
    <w:rsid w:val="00EF4BF8"/>
    <w:rsid w:val="00EF633C"/>
    <w:rsid w:val="00EF7A09"/>
    <w:rsid w:val="00F00487"/>
    <w:rsid w:val="00F02253"/>
    <w:rsid w:val="00F0337C"/>
    <w:rsid w:val="00F036C6"/>
    <w:rsid w:val="00F03C2E"/>
    <w:rsid w:val="00F04A66"/>
    <w:rsid w:val="00F04B4B"/>
    <w:rsid w:val="00F0516C"/>
    <w:rsid w:val="00F053B1"/>
    <w:rsid w:val="00F06148"/>
    <w:rsid w:val="00F067A2"/>
    <w:rsid w:val="00F06E11"/>
    <w:rsid w:val="00F07B9E"/>
    <w:rsid w:val="00F07DB4"/>
    <w:rsid w:val="00F1116F"/>
    <w:rsid w:val="00F12198"/>
    <w:rsid w:val="00F1263A"/>
    <w:rsid w:val="00F12B51"/>
    <w:rsid w:val="00F13064"/>
    <w:rsid w:val="00F15B77"/>
    <w:rsid w:val="00F16365"/>
    <w:rsid w:val="00F171E2"/>
    <w:rsid w:val="00F1792F"/>
    <w:rsid w:val="00F206B8"/>
    <w:rsid w:val="00F21150"/>
    <w:rsid w:val="00F22820"/>
    <w:rsid w:val="00F234D4"/>
    <w:rsid w:val="00F24837"/>
    <w:rsid w:val="00F24FA5"/>
    <w:rsid w:val="00F25139"/>
    <w:rsid w:val="00F2575F"/>
    <w:rsid w:val="00F267D9"/>
    <w:rsid w:val="00F27441"/>
    <w:rsid w:val="00F27565"/>
    <w:rsid w:val="00F310D4"/>
    <w:rsid w:val="00F31D5A"/>
    <w:rsid w:val="00F333C9"/>
    <w:rsid w:val="00F33975"/>
    <w:rsid w:val="00F33DE9"/>
    <w:rsid w:val="00F350B2"/>
    <w:rsid w:val="00F35E6D"/>
    <w:rsid w:val="00F3619A"/>
    <w:rsid w:val="00F40AAA"/>
    <w:rsid w:val="00F40BA7"/>
    <w:rsid w:val="00F40D6C"/>
    <w:rsid w:val="00F40F9D"/>
    <w:rsid w:val="00F41ACD"/>
    <w:rsid w:val="00F42945"/>
    <w:rsid w:val="00F42C9C"/>
    <w:rsid w:val="00F432EB"/>
    <w:rsid w:val="00F44807"/>
    <w:rsid w:val="00F44FB3"/>
    <w:rsid w:val="00F45039"/>
    <w:rsid w:val="00F45FA6"/>
    <w:rsid w:val="00F46CB6"/>
    <w:rsid w:val="00F472D1"/>
    <w:rsid w:val="00F4734B"/>
    <w:rsid w:val="00F4756D"/>
    <w:rsid w:val="00F47B52"/>
    <w:rsid w:val="00F47DE8"/>
    <w:rsid w:val="00F51A7B"/>
    <w:rsid w:val="00F5218B"/>
    <w:rsid w:val="00F527E8"/>
    <w:rsid w:val="00F542C1"/>
    <w:rsid w:val="00F54713"/>
    <w:rsid w:val="00F54DEA"/>
    <w:rsid w:val="00F551C5"/>
    <w:rsid w:val="00F55E73"/>
    <w:rsid w:val="00F55EB0"/>
    <w:rsid w:val="00F55EDA"/>
    <w:rsid w:val="00F55F8E"/>
    <w:rsid w:val="00F56C80"/>
    <w:rsid w:val="00F56E10"/>
    <w:rsid w:val="00F57246"/>
    <w:rsid w:val="00F60092"/>
    <w:rsid w:val="00F61C18"/>
    <w:rsid w:val="00F6262F"/>
    <w:rsid w:val="00F638ED"/>
    <w:rsid w:val="00F63CDC"/>
    <w:rsid w:val="00F65850"/>
    <w:rsid w:val="00F65F4B"/>
    <w:rsid w:val="00F6602F"/>
    <w:rsid w:val="00F67728"/>
    <w:rsid w:val="00F67A69"/>
    <w:rsid w:val="00F70093"/>
    <w:rsid w:val="00F70BFF"/>
    <w:rsid w:val="00F70C9D"/>
    <w:rsid w:val="00F7198A"/>
    <w:rsid w:val="00F7376D"/>
    <w:rsid w:val="00F74363"/>
    <w:rsid w:val="00F749EA"/>
    <w:rsid w:val="00F74CD9"/>
    <w:rsid w:val="00F752D5"/>
    <w:rsid w:val="00F7546C"/>
    <w:rsid w:val="00F77DFE"/>
    <w:rsid w:val="00F80390"/>
    <w:rsid w:val="00F805D0"/>
    <w:rsid w:val="00F80A7B"/>
    <w:rsid w:val="00F80E5D"/>
    <w:rsid w:val="00F81098"/>
    <w:rsid w:val="00F81E78"/>
    <w:rsid w:val="00F82702"/>
    <w:rsid w:val="00F827A7"/>
    <w:rsid w:val="00F8361E"/>
    <w:rsid w:val="00F851CE"/>
    <w:rsid w:val="00F86836"/>
    <w:rsid w:val="00F87602"/>
    <w:rsid w:val="00F91219"/>
    <w:rsid w:val="00F92444"/>
    <w:rsid w:val="00F92D49"/>
    <w:rsid w:val="00F92F27"/>
    <w:rsid w:val="00F9362F"/>
    <w:rsid w:val="00F9393E"/>
    <w:rsid w:val="00F93CFC"/>
    <w:rsid w:val="00F9590F"/>
    <w:rsid w:val="00F95FF4"/>
    <w:rsid w:val="00F961AA"/>
    <w:rsid w:val="00F9684A"/>
    <w:rsid w:val="00F96FD0"/>
    <w:rsid w:val="00F9756A"/>
    <w:rsid w:val="00F97663"/>
    <w:rsid w:val="00F978D0"/>
    <w:rsid w:val="00F97A78"/>
    <w:rsid w:val="00FA0A6C"/>
    <w:rsid w:val="00FA0B20"/>
    <w:rsid w:val="00FA24E7"/>
    <w:rsid w:val="00FA2AAF"/>
    <w:rsid w:val="00FA2F9E"/>
    <w:rsid w:val="00FA318D"/>
    <w:rsid w:val="00FA4060"/>
    <w:rsid w:val="00FA4431"/>
    <w:rsid w:val="00FA5EE6"/>
    <w:rsid w:val="00FA7956"/>
    <w:rsid w:val="00FA7DCF"/>
    <w:rsid w:val="00FB13CC"/>
    <w:rsid w:val="00FB24FD"/>
    <w:rsid w:val="00FB2FCB"/>
    <w:rsid w:val="00FB3105"/>
    <w:rsid w:val="00FB317A"/>
    <w:rsid w:val="00FB7C55"/>
    <w:rsid w:val="00FC1074"/>
    <w:rsid w:val="00FC1879"/>
    <w:rsid w:val="00FC1884"/>
    <w:rsid w:val="00FC18E9"/>
    <w:rsid w:val="00FC191D"/>
    <w:rsid w:val="00FC1BC7"/>
    <w:rsid w:val="00FC371D"/>
    <w:rsid w:val="00FC376F"/>
    <w:rsid w:val="00FC3CA4"/>
    <w:rsid w:val="00FC40B9"/>
    <w:rsid w:val="00FC440C"/>
    <w:rsid w:val="00FC48E0"/>
    <w:rsid w:val="00FC4C50"/>
    <w:rsid w:val="00FC4CDA"/>
    <w:rsid w:val="00FC5F0B"/>
    <w:rsid w:val="00FC67AC"/>
    <w:rsid w:val="00FD1894"/>
    <w:rsid w:val="00FD2100"/>
    <w:rsid w:val="00FD2EA0"/>
    <w:rsid w:val="00FD3C6D"/>
    <w:rsid w:val="00FD436C"/>
    <w:rsid w:val="00FD446D"/>
    <w:rsid w:val="00FD4F2C"/>
    <w:rsid w:val="00FD6394"/>
    <w:rsid w:val="00FE0337"/>
    <w:rsid w:val="00FE0DF8"/>
    <w:rsid w:val="00FE0E6C"/>
    <w:rsid w:val="00FE1B8E"/>
    <w:rsid w:val="00FE1CDC"/>
    <w:rsid w:val="00FE2A53"/>
    <w:rsid w:val="00FE3A1B"/>
    <w:rsid w:val="00FE41A5"/>
    <w:rsid w:val="00FE602A"/>
    <w:rsid w:val="00FE6503"/>
    <w:rsid w:val="00FE70C3"/>
    <w:rsid w:val="00FE738E"/>
    <w:rsid w:val="00FE7673"/>
    <w:rsid w:val="00FF09A3"/>
    <w:rsid w:val="00FF18FE"/>
    <w:rsid w:val="00FF2186"/>
    <w:rsid w:val="00FF2AD9"/>
    <w:rsid w:val="00FF359F"/>
    <w:rsid w:val="00FF362B"/>
    <w:rsid w:val="00FF3DCF"/>
    <w:rsid w:val="00FF492C"/>
    <w:rsid w:val="00FF4A21"/>
    <w:rsid w:val="00FF4E30"/>
    <w:rsid w:val="00FF5AA3"/>
    <w:rsid w:val="00FF5AD8"/>
    <w:rsid w:val="00FF6065"/>
    <w:rsid w:val="00FF70C2"/>
    <w:rsid w:val="00FF7507"/>
    <w:rsid w:val="00FF7F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4"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Lash Style Table,Header Table,Source table_,NICE instructions,HealthConsult,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iPriority w:val="99"/>
    <w:semiHidden/>
    <w:unhideWhenUsed/>
    <w:rsid w:val="00134F4E"/>
    <w:rPr>
      <w:sz w:val="20"/>
      <w:szCs w:val="20"/>
    </w:rPr>
  </w:style>
  <w:style w:type="character" w:customStyle="1" w:styleId="FootnoteTextChar">
    <w:name w:val="Footnote Text Char"/>
    <w:basedOn w:val="DefaultParagraphFont"/>
    <w:link w:val="FootnoteText"/>
    <w:uiPriority w:val="99"/>
    <w:semiHidden/>
    <w:rsid w:val="00134F4E"/>
    <w:rPr>
      <w:rFonts w:ascii="Calibri" w:hAnsi="Calibri" w:cs="Arial"/>
    </w:rPr>
  </w:style>
  <w:style w:type="character" w:styleId="FootnoteReference">
    <w:name w:val="footnote reference"/>
    <w:basedOn w:val="DefaultParagraphFont"/>
    <w:uiPriority w:val="99"/>
    <w:semiHidden/>
    <w:unhideWhenUsed/>
    <w:rsid w:val="00134F4E"/>
    <w:rPr>
      <w:vertAlign w:val="superscript"/>
    </w:rPr>
  </w:style>
  <w:style w:type="table" w:customStyle="1" w:styleId="TableGridbeth1">
    <w:name w:val="Table Gridbeth1"/>
    <w:basedOn w:val="TableNormal"/>
    <w:next w:val="TableGrid"/>
    <w:uiPriority w:val="39"/>
    <w:rsid w:val="00541D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1B5"/>
    <w:pPr>
      <w:autoSpaceDE w:val="0"/>
      <w:autoSpaceDN w:val="0"/>
      <w:adjustRightInd w:val="0"/>
    </w:pPr>
    <w:rPr>
      <w:rFonts w:ascii="Calibri" w:hAnsi="Calibri" w:cs="Calibri"/>
      <w:color w:val="000000"/>
      <w:sz w:val="24"/>
      <w:szCs w:val="24"/>
    </w:rPr>
  </w:style>
  <w:style w:type="table" w:customStyle="1" w:styleId="TableGridbeth2">
    <w:name w:val="Table Gridbeth2"/>
    <w:basedOn w:val="TableNormal"/>
    <w:next w:val="TableGrid"/>
    <w:uiPriority w:val="39"/>
    <w:rsid w:val="0057432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39"/>
    <w:rsid w:val="005663B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link w:val="BodyTextChar0"/>
    <w:qFormat/>
    <w:rsid w:val="00DE051C"/>
    <w:pPr>
      <w:spacing w:before="120" w:after="240" w:line="288" w:lineRule="auto"/>
    </w:pPr>
    <w:rPr>
      <w:rFonts w:cs="Tahoma"/>
      <w:sz w:val="22"/>
      <w:szCs w:val="22"/>
    </w:rPr>
  </w:style>
  <w:style w:type="character" w:customStyle="1" w:styleId="BodyTextChar0">
    <w:name w:val="BodyText Char"/>
    <w:basedOn w:val="DefaultParagraphFont"/>
    <w:link w:val="BodyText0"/>
    <w:rsid w:val="00DE051C"/>
    <w:rPr>
      <w:rFonts w:ascii="Calibri" w:hAnsi="Calibri" w:cs="Tahoma"/>
      <w:sz w:val="22"/>
      <w:szCs w:val="22"/>
    </w:rPr>
  </w:style>
  <w:style w:type="table" w:customStyle="1" w:styleId="TableGridbeth4">
    <w:name w:val="Table Gridbeth4"/>
    <w:basedOn w:val="TableNormal"/>
    <w:next w:val="TableGrid"/>
    <w:uiPriority w:val="39"/>
    <w:rsid w:val="00863E6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39"/>
    <w:rsid w:val="00B1468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39"/>
    <w:rsid w:val="00FA7DC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39"/>
    <w:rsid w:val="00371DE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462374"/>
    <w:pPr>
      <w:keepNext/>
      <w:spacing w:after="60"/>
      <w:jc w:val="left"/>
    </w:pPr>
    <w:rPr>
      <w:rFonts w:ascii="Arial Narrow" w:eastAsiaTheme="minorHAnsi" w:hAnsi="Arial Narrow" w:cstheme="minorBidi"/>
      <w:b/>
      <w:sz w:val="20"/>
      <w:szCs w:val="22"/>
      <w:lang w:eastAsia="en-US"/>
    </w:rPr>
  </w:style>
  <w:style w:type="table" w:customStyle="1" w:styleId="TableGridbeth8">
    <w:name w:val="Table Gridbeth8"/>
    <w:basedOn w:val="TableNormal"/>
    <w:next w:val="TableGrid"/>
    <w:uiPriority w:val="39"/>
    <w:rsid w:val="008F40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F4073"/>
    <w:rPr>
      <w:rFonts w:ascii="Segoe UI" w:hAnsi="Segoe UI" w:cs="Segoe UI" w:hint="default"/>
      <w:sz w:val="18"/>
      <w:szCs w:val="18"/>
    </w:rPr>
  </w:style>
  <w:style w:type="character" w:customStyle="1" w:styleId="Heading4Char">
    <w:name w:val="Heading 4 Char"/>
    <w:basedOn w:val="DefaultParagraphFont"/>
    <w:link w:val="Heading4"/>
    <w:rsid w:val="008F4073"/>
    <w:rPr>
      <w:rFonts w:ascii="Calibri" w:hAnsi="Calibri" w:cs="Arial"/>
      <w:b/>
      <w:bCs/>
      <w:i/>
      <w:sz w:val="26"/>
      <w:szCs w:val="28"/>
    </w:rPr>
  </w:style>
  <w:style w:type="paragraph" w:customStyle="1" w:styleId="V50Instructions">
    <w:name w:val="V5.0 Instructions"/>
    <w:basedOn w:val="Normal"/>
    <w:link w:val="V50InstructionsChar"/>
    <w:qFormat/>
    <w:rsid w:val="008F4073"/>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8F4073"/>
    <w:rPr>
      <w:rFonts w:asciiTheme="minorHAnsi" w:eastAsiaTheme="minorHAnsi" w:hAnsiTheme="minorHAnsi" w:cstheme="minorBidi"/>
      <w:color w:val="4BACC6" w:themeColor="accent5"/>
      <w:sz w:val="24"/>
      <w:szCs w:val="22"/>
      <w:lang w:eastAsia="en-US"/>
    </w:rPr>
  </w:style>
  <w:style w:type="paragraph" w:customStyle="1" w:styleId="pf0">
    <w:name w:val="pf0"/>
    <w:basedOn w:val="Normal"/>
    <w:rsid w:val="002B0BC5"/>
    <w:pPr>
      <w:spacing w:before="100" w:beforeAutospacing="1" w:after="100" w:afterAutospacing="1"/>
      <w:jc w:val="left"/>
    </w:pPr>
    <w:rPr>
      <w:rFonts w:ascii="Times New Roman" w:hAnsi="Times New Roman" w:cs="Times New Roman"/>
    </w:rPr>
  </w:style>
  <w:style w:type="table" w:customStyle="1" w:styleId="Summarybox2">
    <w:name w:val="Summary box2"/>
    <w:basedOn w:val="TableNormal"/>
    <w:uiPriority w:val="59"/>
    <w:rsid w:val="008741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E198D"/>
    <w:rPr>
      <w:color w:val="605E5C"/>
      <w:shd w:val="clear" w:color="auto" w:fill="E1DFDD"/>
    </w:rPr>
  </w:style>
  <w:style w:type="character" w:styleId="UnresolvedMention">
    <w:name w:val="Unresolved Mention"/>
    <w:basedOn w:val="DefaultParagraphFont"/>
    <w:uiPriority w:val="99"/>
    <w:semiHidden/>
    <w:unhideWhenUsed/>
    <w:rsid w:val="009F201B"/>
    <w:rPr>
      <w:color w:val="605E5C"/>
      <w:shd w:val="clear" w:color="auto" w:fill="E1DFDD"/>
    </w:rPr>
  </w:style>
  <w:style w:type="table" w:styleId="TableGridLight">
    <w:name w:val="Grid Table Light"/>
    <w:basedOn w:val="TableNormal"/>
    <w:uiPriority w:val="40"/>
    <w:rsid w:val="009F201B"/>
    <w:rPr>
      <w:rFonts w:eastAsiaTheme="minorHAns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F201B"/>
    <w:rPr>
      <w:rFonts w:eastAsiaTheme="minorHAnsi"/>
      <w:sz w:val="24"/>
      <w:szCs w:val="24"/>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F201B"/>
    <w:rPr>
      <w:rFonts w:eastAsiaTheme="minorHAns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F201B"/>
    <w:rPr>
      <w:rFonts w:eastAsiaTheme="minorHAns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SubsectionHeading">
    <w:name w:val="3-Subsection Heading"/>
    <w:basedOn w:val="Heading2"/>
    <w:next w:val="Normal"/>
    <w:link w:val="3-SubsectionHeadingChar"/>
    <w:qFormat/>
    <w:rsid w:val="004626D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626D3"/>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7987">
      <w:bodyDiv w:val="1"/>
      <w:marLeft w:val="0"/>
      <w:marRight w:val="0"/>
      <w:marTop w:val="0"/>
      <w:marBottom w:val="0"/>
      <w:divBdr>
        <w:top w:val="none" w:sz="0" w:space="0" w:color="auto"/>
        <w:left w:val="none" w:sz="0" w:space="0" w:color="auto"/>
        <w:bottom w:val="none" w:sz="0" w:space="0" w:color="auto"/>
        <w:right w:val="none" w:sz="0" w:space="0" w:color="auto"/>
      </w:divBdr>
    </w:div>
    <w:div w:id="185522247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7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regulatory-information/search-fda-guidance-documents/ulcerative-colitis-clinical-trial-endpoints-guidance-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205F7-2161-40F4-B3B0-C4B5378A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17288</Words>
  <Characters>95893</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2023-02-27T01:54:00Z</dcterms:created>
  <dcterms:modified xsi:type="dcterms:W3CDTF">2023-02-27T01:57:00Z</dcterms:modified>
</cp:coreProperties>
</file>