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BE474FB" w:rsidR="00B60939" w:rsidRDefault="00562E8B" w:rsidP="006A54E3">
      <w:pPr>
        <w:pStyle w:val="1-MainHeading"/>
      </w:pPr>
      <w:bookmarkStart w:id="0" w:name="_Toc103766817"/>
      <w:r w:rsidRPr="00EA7611">
        <w:t>6</w:t>
      </w:r>
      <w:r w:rsidR="00433044" w:rsidRPr="00EA7611">
        <w:t>.</w:t>
      </w:r>
      <w:r w:rsidRPr="00EA7611">
        <w:t>09</w:t>
      </w:r>
      <w:r w:rsidR="00163F66" w:rsidRPr="00EA7611">
        <w:tab/>
      </w:r>
      <w:r w:rsidRPr="00EA7611">
        <w:t>SAPROPTERIN</w:t>
      </w:r>
      <w:r w:rsidR="00163F66" w:rsidRPr="00EA7611">
        <w:t>,</w:t>
      </w:r>
      <w:r w:rsidR="00163F66" w:rsidRPr="00EA7611">
        <w:br/>
      </w:r>
      <w:r w:rsidR="006A54E3" w:rsidRPr="00EA7611">
        <w:t>Tablet (soluble) containing sapropterin dihydrochloride 100 mg</w:t>
      </w:r>
      <w:r w:rsidR="006A54E3" w:rsidRPr="00EA7611">
        <w:br/>
        <w:t>Powder for oral solution 500 mg (as dihydrochloride),</w:t>
      </w:r>
      <w:r w:rsidR="00163F66" w:rsidRPr="00EA7611">
        <w:br/>
      </w:r>
      <w:r w:rsidR="006A54E3" w:rsidRPr="00EA7611">
        <w:t xml:space="preserve">Kuvan </w:t>
      </w:r>
      <w:r w:rsidR="00B60939" w:rsidRPr="00EA7611">
        <w:rPr>
          <w:vertAlign w:val="superscript"/>
        </w:rPr>
        <w:t>®</w:t>
      </w:r>
      <w:r w:rsidR="004A6040" w:rsidRPr="00EA7611">
        <w:t>,</w:t>
      </w:r>
      <w:r w:rsidR="004A6040" w:rsidRPr="00EA7611">
        <w:br/>
      </w:r>
      <w:bookmarkStart w:id="1" w:name="_Hlk108088223"/>
      <w:bookmarkStart w:id="2" w:name="_Hlk108088207"/>
      <w:r w:rsidR="006A54E3" w:rsidRPr="00EA7611">
        <w:t>BioMarin Pharmaceutical Australia Pty Ltd</w:t>
      </w:r>
      <w:bookmarkEnd w:id="1"/>
      <w:r w:rsidR="00B60939" w:rsidRPr="00EA7611">
        <w:t>.</w:t>
      </w:r>
      <w:bookmarkEnd w:id="0"/>
    </w:p>
    <w:p w14:paraId="11C00795" w14:textId="3DFB6D23" w:rsidR="00B50DB8" w:rsidRPr="00501526" w:rsidRDefault="00B50DB8" w:rsidP="004A6040">
      <w:pPr>
        <w:pStyle w:val="2-SectionHeading"/>
        <w:rPr>
          <w:iCs/>
        </w:rPr>
      </w:pPr>
      <w:bookmarkStart w:id="3" w:name="_Toc103766819"/>
      <w:bookmarkEnd w:id="2"/>
      <w:r w:rsidRPr="00501526">
        <w:rPr>
          <w:iCs/>
        </w:rPr>
        <w:t xml:space="preserve">Purpose of </w:t>
      </w:r>
      <w:r w:rsidR="00CD7193" w:rsidRPr="00501526">
        <w:rPr>
          <w:iCs/>
        </w:rPr>
        <w:t>s</w:t>
      </w:r>
      <w:r w:rsidR="00BB3A45" w:rsidRPr="00501526">
        <w:rPr>
          <w:iCs/>
        </w:rPr>
        <w:t>ubmission</w:t>
      </w:r>
      <w:bookmarkEnd w:id="3"/>
    </w:p>
    <w:p w14:paraId="6987EFDE" w14:textId="17D73FDE" w:rsidR="00CE72E3" w:rsidRPr="00501526" w:rsidRDefault="007170DA" w:rsidP="00CB5654">
      <w:pPr>
        <w:pStyle w:val="3-BodyText"/>
        <w:rPr>
          <w:iCs/>
        </w:rPr>
      </w:pPr>
      <w:r w:rsidRPr="00501526">
        <w:rPr>
          <w:iCs/>
        </w:rPr>
        <w:t xml:space="preserve">The </w:t>
      </w:r>
      <w:r w:rsidR="00767B57" w:rsidRPr="00501526">
        <w:rPr>
          <w:iCs/>
        </w:rPr>
        <w:t xml:space="preserve">Category 2 </w:t>
      </w:r>
      <w:r w:rsidRPr="00501526">
        <w:rPr>
          <w:iCs/>
        </w:rPr>
        <w:t xml:space="preserve">submission requested </w:t>
      </w:r>
      <w:r w:rsidR="00251226" w:rsidRPr="00501526">
        <w:rPr>
          <w:iCs/>
        </w:rPr>
        <w:t>a</w:t>
      </w:r>
      <w:r w:rsidR="00767B57" w:rsidRPr="00501526">
        <w:rPr>
          <w:iCs/>
        </w:rPr>
        <w:t xml:space="preserve">n extension to the current PBS listing for sapropterin for the treatment of hyperphenylalaninemia </w:t>
      </w:r>
      <w:r w:rsidR="00BB2370" w:rsidRPr="00501526">
        <w:rPr>
          <w:iCs/>
        </w:rPr>
        <w:t xml:space="preserve">(HPA) </w:t>
      </w:r>
      <w:r w:rsidR="00767B57" w:rsidRPr="00501526">
        <w:rPr>
          <w:iCs/>
        </w:rPr>
        <w:t>due to phenylketonuria</w:t>
      </w:r>
      <w:r w:rsidR="00BB2370" w:rsidRPr="00501526">
        <w:rPr>
          <w:iCs/>
        </w:rPr>
        <w:t xml:space="preserve"> (PKU)</w:t>
      </w:r>
      <w:r w:rsidR="00767B57" w:rsidRPr="00501526">
        <w:rPr>
          <w:iCs/>
        </w:rPr>
        <w:t xml:space="preserve"> to allow adults to be eligible for sapropterin responsiveness testing and continuing treatment for those who are sapropterin responsive.</w:t>
      </w:r>
      <w:r w:rsidR="00CB5654" w:rsidRPr="00501526">
        <w:rPr>
          <w:iCs/>
        </w:rPr>
        <w:t xml:space="preserve"> </w:t>
      </w:r>
    </w:p>
    <w:p w14:paraId="570BF7B2" w14:textId="33F8475F" w:rsidR="00CB5654" w:rsidRPr="00501526" w:rsidRDefault="00CB5654" w:rsidP="00CB5654">
      <w:pPr>
        <w:pStyle w:val="3-BodyText"/>
        <w:rPr>
          <w:iCs/>
        </w:rPr>
      </w:pPr>
      <w:r w:rsidRPr="00501526">
        <w:rPr>
          <w:iCs/>
        </w:rPr>
        <w:t xml:space="preserve">Sapropterin is currently PBS-listed for </w:t>
      </w:r>
      <w:r w:rsidR="00CE72E3" w:rsidRPr="00501526">
        <w:rPr>
          <w:iCs/>
        </w:rPr>
        <w:t>initiation in</w:t>
      </w:r>
      <w:r w:rsidRPr="00501526">
        <w:rPr>
          <w:iCs/>
        </w:rPr>
        <w:t xml:space="preserve"> patients who are &lt;</w:t>
      </w:r>
      <w:r w:rsidR="00D020EA">
        <w:rPr>
          <w:iCs/>
        </w:rPr>
        <w:t> </w:t>
      </w:r>
      <w:r w:rsidRPr="00501526">
        <w:rPr>
          <w:iCs/>
        </w:rPr>
        <w:t>18 years old</w:t>
      </w:r>
      <w:r w:rsidR="00CE72E3" w:rsidRPr="00501526">
        <w:rPr>
          <w:iCs/>
        </w:rPr>
        <w:t>, and, once initiated, patients can continue in adulthood</w:t>
      </w:r>
      <w:r w:rsidRPr="00501526">
        <w:rPr>
          <w:iCs/>
        </w:rPr>
        <w:t xml:space="preserve">. The requested extension </w:t>
      </w:r>
      <w:r w:rsidR="0074580F" w:rsidRPr="00501526">
        <w:rPr>
          <w:iCs/>
        </w:rPr>
        <w:t xml:space="preserve">would allow </w:t>
      </w:r>
      <w:r w:rsidR="00CE72E3" w:rsidRPr="00501526">
        <w:rPr>
          <w:iCs/>
        </w:rPr>
        <w:t xml:space="preserve">initiation </w:t>
      </w:r>
      <w:r w:rsidR="0074580F" w:rsidRPr="00501526">
        <w:rPr>
          <w:iCs/>
        </w:rPr>
        <w:t>of</w:t>
      </w:r>
      <w:r w:rsidRPr="00501526">
        <w:rPr>
          <w:iCs/>
        </w:rPr>
        <w:t xml:space="preserve"> sapropterin in patients aged ≥</w:t>
      </w:r>
      <w:r w:rsidR="00D020EA">
        <w:rPr>
          <w:iCs/>
        </w:rPr>
        <w:t> </w:t>
      </w:r>
      <w:r w:rsidRPr="00501526">
        <w:rPr>
          <w:iCs/>
        </w:rPr>
        <w:t xml:space="preserve">18 years old. </w:t>
      </w:r>
      <w:r w:rsidR="00D759D7" w:rsidRPr="00501526">
        <w:rPr>
          <w:iCs/>
        </w:rPr>
        <w:t>Additionally</w:t>
      </w:r>
      <w:r w:rsidR="00131021" w:rsidRPr="00501526">
        <w:rPr>
          <w:iCs/>
        </w:rPr>
        <w:t>, the submission requested</w:t>
      </w:r>
      <w:r w:rsidR="00D759D7" w:rsidRPr="00501526">
        <w:rPr>
          <w:iCs/>
        </w:rPr>
        <w:t xml:space="preserve"> an amendment </w:t>
      </w:r>
      <w:r w:rsidR="00131021" w:rsidRPr="00501526">
        <w:rPr>
          <w:iCs/>
        </w:rPr>
        <w:t>to</w:t>
      </w:r>
      <w:r w:rsidR="00D759D7" w:rsidRPr="00501526">
        <w:rPr>
          <w:iCs/>
        </w:rPr>
        <w:t xml:space="preserve"> the administrative notes </w:t>
      </w:r>
      <w:r w:rsidR="00131021" w:rsidRPr="00501526">
        <w:rPr>
          <w:iCs/>
        </w:rPr>
        <w:t>to allow</w:t>
      </w:r>
      <w:r w:rsidR="00D759D7" w:rsidRPr="00501526">
        <w:rPr>
          <w:iCs/>
        </w:rPr>
        <w:t xml:space="preserve"> patients who failed a 24-hour test prior to 1 month of age </w:t>
      </w:r>
      <w:r w:rsidR="00131021" w:rsidRPr="00501526">
        <w:rPr>
          <w:iCs/>
        </w:rPr>
        <w:t xml:space="preserve">to </w:t>
      </w:r>
      <w:r w:rsidR="00D759D7" w:rsidRPr="00501526">
        <w:rPr>
          <w:iCs/>
        </w:rPr>
        <w:t>have the opportunity to retest one additional time at &gt;1 month of age.</w:t>
      </w:r>
    </w:p>
    <w:p w14:paraId="5C30DFCB" w14:textId="124212AF" w:rsidR="00CB5654" w:rsidRPr="00501526" w:rsidRDefault="00CB5654" w:rsidP="00CB5654">
      <w:pPr>
        <w:pStyle w:val="3-BodyText"/>
        <w:rPr>
          <w:iCs/>
        </w:rPr>
      </w:pPr>
      <w:r w:rsidRPr="00501526">
        <w:rPr>
          <w:iCs/>
        </w:rPr>
        <w:t xml:space="preserve">The </w:t>
      </w:r>
      <w:r w:rsidR="00131021" w:rsidRPr="00501526">
        <w:rPr>
          <w:iCs/>
        </w:rPr>
        <w:t>sponsor</w:t>
      </w:r>
      <w:r w:rsidRPr="00501526">
        <w:rPr>
          <w:iCs/>
        </w:rPr>
        <w:t xml:space="preserve"> also requested listing </w:t>
      </w:r>
      <w:r w:rsidR="00C06F3A" w:rsidRPr="00501526">
        <w:rPr>
          <w:iCs/>
        </w:rPr>
        <w:t>of</w:t>
      </w:r>
      <w:r w:rsidRPr="00501526">
        <w:rPr>
          <w:iCs/>
        </w:rPr>
        <w:t xml:space="preserve"> pegvaliase </w:t>
      </w:r>
      <w:r w:rsidR="00D775F8" w:rsidRPr="00501526">
        <w:rPr>
          <w:iCs/>
        </w:rPr>
        <w:t xml:space="preserve">for HPA due to PKU in patients aged </w:t>
      </w:r>
      <w:r w:rsidR="00D775F8" w:rsidRPr="00501526">
        <w:rPr>
          <w:rFonts w:cstheme="minorHAnsi"/>
          <w:iCs/>
        </w:rPr>
        <w:t>≥</w:t>
      </w:r>
      <w:r w:rsidR="00D775F8" w:rsidRPr="00501526">
        <w:rPr>
          <w:iCs/>
        </w:rPr>
        <w:t>16 years who are unresponsive to sapropterin. The sponsor presented the two requests in the same document, while the evaluation</w:t>
      </w:r>
      <w:r w:rsidR="00F24CDC">
        <w:rPr>
          <w:iCs/>
        </w:rPr>
        <w:t xml:space="preserve">, </w:t>
      </w:r>
      <w:r w:rsidR="002F63C6" w:rsidRPr="00501526">
        <w:rPr>
          <w:iCs/>
        </w:rPr>
        <w:t xml:space="preserve">ESC Advice </w:t>
      </w:r>
      <w:r w:rsidR="00F24CDC">
        <w:rPr>
          <w:iCs/>
        </w:rPr>
        <w:t xml:space="preserve">and PBAC </w:t>
      </w:r>
      <w:r w:rsidR="00B238E8">
        <w:rPr>
          <w:iCs/>
        </w:rPr>
        <w:t xml:space="preserve">considerations </w:t>
      </w:r>
      <w:r w:rsidR="002F63C6" w:rsidRPr="00501526">
        <w:rPr>
          <w:iCs/>
        </w:rPr>
        <w:t>are</w:t>
      </w:r>
      <w:r w:rsidR="00195273" w:rsidRPr="00501526">
        <w:rPr>
          <w:iCs/>
        </w:rPr>
        <w:t xml:space="preserve"> </w:t>
      </w:r>
      <w:r w:rsidR="00D775F8" w:rsidRPr="00501526">
        <w:rPr>
          <w:iCs/>
        </w:rPr>
        <w:t xml:space="preserve">presented </w:t>
      </w:r>
      <w:r w:rsidR="00195273" w:rsidRPr="00501526">
        <w:rPr>
          <w:iCs/>
        </w:rPr>
        <w:t xml:space="preserve">as </w:t>
      </w:r>
      <w:r w:rsidR="00D775F8" w:rsidRPr="00501526">
        <w:rPr>
          <w:iCs/>
        </w:rPr>
        <w:t xml:space="preserve">separate </w:t>
      </w:r>
      <w:r w:rsidR="002F63C6" w:rsidRPr="00501526">
        <w:rPr>
          <w:iCs/>
        </w:rPr>
        <w:t>documents</w:t>
      </w:r>
      <w:r w:rsidR="00B238E8">
        <w:rPr>
          <w:iCs/>
        </w:rPr>
        <w:t>.</w:t>
      </w:r>
      <w:r w:rsidR="00D775F8" w:rsidRPr="00501526">
        <w:rPr>
          <w:iCs/>
        </w:rPr>
        <w:t xml:space="preserve"> </w:t>
      </w:r>
      <w:r w:rsidRPr="00501526">
        <w:rPr>
          <w:iCs/>
        </w:rPr>
        <w:t xml:space="preserve">The pegvaliase and sapropterin submissions share some key components of the economic and financial evidence (e.g. economic model structure). </w:t>
      </w:r>
    </w:p>
    <w:p w14:paraId="4E9FBCB5" w14:textId="5CE503E8" w:rsidR="00C2778B" w:rsidRPr="00501526" w:rsidRDefault="005750C5" w:rsidP="004E18E9">
      <w:pPr>
        <w:pStyle w:val="3-BodyText"/>
        <w:rPr>
          <w:iCs/>
        </w:rPr>
      </w:pPr>
      <w:r w:rsidRPr="00501526">
        <w:rPr>
          <w:iCs/>
        </w:rPr>
        <w:t xml:space="preserve">Listing was requested on the basis of a </w:t>
      </w:r>
      <w:r w:rsidR="00CB5654" w:rsidRPr="00501526">
        <w:rPr>
          <w:iCs/>
        </w:rPr>
        <w:t>cost-effectiveness</w:t>
      </w:r>
      <w:r w:rsidRPr="00501526">
        <w:rPr>
          <w:iCs/>
        </w:rPr>
        <w:t xml:space="preserve"> analysis versus </w:t>
      </w:r>
      <w:r w:rsidR="00D93549" w:rsidRPr="00501526">
        <w:rPr>
          <w:iCs/>
        </w:rPr>
        <w:t xml:space="preserve">a </w:t>
      </w:r>
      <w:r w:rsidR="009C1AC2" w:rsidRPr="00501526">
        <w:rPr>
          <w:iCs/>
        </w:rPr>
        <w:t>phenylalanine (</w:t>
      </w:r>
      <w:r w:rsidR="00D93549" w:rsidRPr="00501526">
        <w:rPr>
          <w:iCs/>
        </w:rPr>
        <w:t>Phe</w:t>
      </w:r>
      <w:r w:rsidR="009C1AC2" w:rsidRPr="00501526">
        <w:rPr>
          <w:iCs/>
        </w:rPr>
        <w:t>)</w:t>
      </w:r>
      <w:r w:rsidR="009C1AC2" w:rsidRPr="00501526">
        <w:rPr>
          <w:iCs/>
        </w:rPr>
        <w:noBreakHyphen/>
      </w:r>
      <w:r w:rsidR="00D93549" w:rsidRPr="00501526">
        <w:rPr>
          <w:iCs/>
        </w:rPr>
        <w:t>restricted diet.</w:t>
      </w:r>
      <w:r w:rsidRPr="00501526">
        <w:rPr>
          <w:iCs/>
        </w:rPr>
        <w:t xml:space="preserve"> </w:t>
      </w:r>
    </w:p>
    <w:p w14:paraId="2FCE04BC" w14:textId="1EE50480" w:rsidR="00B0034D" w:rsidRPr="00501526" w:rsidRDefault="00B0034D" w:rsidP="004E18E9">
      <w:pPr>
        <w:pStyle w:val="3-BodyText"/>
        <w:rPr>
          <w:iCs/>
        </w:rPr>
      </w:pPr>
      <w:r w:rsidRPr="00501526">
        <w:rPr>
          <w:iCs/>
        </w:rPr>
        <w:t xml:space="preserve">Key components of the clinical issue addressed by the submission are presented in </w:t>
      </w:r>
      <w:r w:rsidRPr="00501526">
        <w:rPr>
          <w:iCs/>
        </w:rPr>
        <w:fldChar w:fldCharType="begin"/>
      </w:r>
      <w:r w:rsidRPr="00501526">
        <w:rPr>
          <w:iCs/>
        </w:rPr>
        <w:instrText xml:space="preserve"> REF _Ref101353969 \h  \* MERGEFORMAT </w:instrText>
      </w:r>
      <w:r w:rsidRPr="00501526">
        <w:rPr>
          <w:iCs/>
        </w:rPr>
      </w:r>
      <w:r w:rsidRPr="00501526">
        <w:rPr>
          <w:iCs/>
        </w:rPr>
        <w:fldChar w:fldCharType="separate"/>
      </w:r>
      <w:r w:rsidR="0035299E" w:rsidRPr="0035299E">
        <w:t>Table 1</w:t>
      </w:r>
      <w:r w:rsidRPr="00501526">
        <w:rPr>
          <w:iCs/>
        </w:rPr>
        <w:fldChar w:fldCharType="end"/>
      </w:r>
      <w:r w:rsidR="00BB2370" w:rsidRPr="00501526">
        <w:rPr>
          <w:iCs/>
        </w:rPr>
        <w:t>.</w:t>
      </w:r>
    </w:p>
    <w:p w14:paraId="3718DE61" w14:textId="73CA3DDC" w:rsidR="008B1757" w:rsidRPr="00501526" w:rsidRDefault="008B1757" w:rsidP="004A6040">
      <w:pPr>
        <w:pStyle w:val="TableFigureHeading"/>
        <w:rPr>
          <w:rStyle w:val="CommentReference"/>
          <w:b/>
          <w:iCs/>
          <w:szCs w:val="24"/>
        </w:rPr>
      </w:pPr>
      <w:bookmarkStart w:id="4" w:name="_Ref101353969"/>
      <w:r w:rsidRPr="00501526">
        <w:rPr>
          <w:rStyle w:val="CommentReference"/>
          <w:b/>
          <w:iCs/>
          <w:szCs w:val="24"/>
        </w:rPr>
        <w:t xml:space="preserve">Table </w:t>
      </w:r>
      <w:r w:rsidR="00B0034D" w:rsidRPr="00501526">
        <w:rPr>
          <w:rStyle w:val="CommentReference"/>
          <w:b/>
          <w:iCs/>
          <w:szCs w:val="24"/>
        </w:rPr>
        <w:fldChar w:fldCharType="begin"/>
      </w:r>
      <w:r w:rsidR="00B0034D" w:rsidRPr="00501526">
        <w:rPr>
          <w:rStyle w:val="CommentReference"/>
          <w:b/>
          <w:iCs/>
          <w:szCs w:val="24"/>
        </w:rPr>
        <w:instrText xml:space="preserve"> SEQ Table \* MERGEFORMAT </w:instrText>
      </w:r>
      <w:r w:rsidR="00B0034D" w:rsidRPr="00501526">
        <w:rPr>
          <w:rStyle w:val="CommentReference"/>
          <w:b/>
          <w:iCs/>
          <w:szCs w:val="24"/>
        </w:rPr>
        <w:fldChar w:fldCharType="separate"/>
      </w:r>
      <w:r w:rsidR="0035299E">
        <w:rPr>
          <w:rStyle w:val="CommentReference"/>
          <w:b/>
          <w:iCs/>
          <w:noProof/>
          <w:szCs w:val="24"/>
        </w:rPr>
        <w:t>1</w:t>
      </w:r>
      <w:r w:rsidR="00B0034D" w:rsidRPr="00501526">
        <w:rPr>
          <w:rStyle w:val="CommentReference"/>
          <w:b/>
          <w:iCs/>
          <w:szCs w:val="24"/>
        </w:rPr>
        <w:fldChar w:fldCharType="end"/>
      </w:r>
      <w:bookmarkEnd w:id="4"/>
      <w:r w:rsidRPr="00501526">
        <w:rPr>
          <w:rStyle w:val="CommentReference"/>
          <w:b/>
          <w:iCs/>
          <w:szCs w:val="24"/>
        </w:rPr>
        <w:t>:</w:t>
      </w:r>
      <w:r w:rsidR="00BC591F" w:rsidRPr="00501526">
        <w:rPr>
          <w:rStyle w:val="CommentReference"/>
          <w:b/>
          <w:iCs/>
          <w:szCs w:val="24"/>
        </w:rPr>
        <w:t xml:space="preserve"> </w:t>
      </w:r>
      <w:r w:rsidRPr="00501526">
        <w:rPr>
          <w:rStyle w:val="CommentReference"/>
          <w:b/>
          <w:iCs/>
          <w:szCs w:val="24"/>
        </w:rPr>
        <w:t>Key components of the clinical issue addressed by the submission</w:t>
      </w:r>
      <w:r w:rsidR="007170DA" w:rsidRPr="00501526">
        <w:rPr>
          <w:rStyle w:val="CommentReference"/>
          <w:b/>
          <w:iCs/>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501526" w14:paraId="569F5103" w14:textId="77777777" w:rsidTr="00A760CA">
        <w:trPr>
          <w:cantSplit/>
          <w:tblHeader/>
        </w:trPr>
        <w:tc>
          <w:tcPr>
            <w:tcW w:w="705" w:type="pct"/>
            <w:shd w:val="clear" w:color="auto" w:fill="auto"/>
            <w:vAlign w:val="center"/>
          </w:tcPr>
          <w:p w14:paraId="501803FB" w14:textId="77777777" w:rsidR="008B1757" w:rsidRPr="00501526" w:rsidRDefault="008B1757" w:rsidP="00A760CA">
            <w:pPr>
              <w:pStyle w:val="In-tableHeading"/>
              <w:rPr>
                <w:iCs/>
                <w:szCs w:val="20"/>
                <w:lang w:val="en-AU"/>
              </w:rPr>
            </w:pPr>
            <w:r w:rsidRPr="00501526">
              <w:rPr>
                <w:iCs/>
                <w:lang w:val="en-AU"/>
              </w:rPr>
              <w:t>Component</w:t>
            </w:r>
          </w:p>
        </w:tc>
        <w:tc>
          <w:tcPr>
            <w:tcW w:w="4295" w:type="pct"/>
            <w:shd w:val="clear" w:color="auto" w:fill="auto"/>
          </w:tcPr>
          <w:p w14:paraId="445D9EBB" w14:textId="77777777" w:rsidR="008B1757" w:rsidRPr="00501526" w:rsidRDefault="008B1757" w:rsidP="004A6040">
            <w:pPr>
              <w:pStyle w:val="In-tableHeading"/>
              <w:rPr>
                <w:iCs/>
                <w:lang w:val="en-AU"/>
              </w:rPr>
            </w:pPr>
            <w:r w:rsidRPr="00501526">
              <w:rPr>
                <w:iCs/>
                <w:lang w:val="en-AU"/>
              </w:rPr>
              <w:t>Description</w:t>
            </w:r>
          </w:p>
        </w:tc>
      </w:tr>
      <w:tr w:rsidR="008B1757" w:rsidRPr="00501526" w14:paraId="2EB546E2" w14:textId="77777777" w:rsidTr="00A760CA">
        <w:trPr>
          <w:cantSplit/>
        </w:trPr>
        <w:tc>
          <w:tcPr>
            <w:tcW w:w="705" w:type="pct"/>
            <w:shd w:val="clear" w:color="auto" w:fill="auto"/>
            <w:vAlign w:val="center"/>
          </w:tcPr>
          <w:p w14:paraId="38F3BB34" w14:textId="77777777" w:rsidR="008B1757" w:rsidRPr="00501526" w:rsidRDefault="008B1757" w:rsidP="00A760CA">
            <w:pPr>
              <w:pStyle w:val="TableText0"/>
              <w:rPr>
                <w:iCs/>
              </w:rPr>
            </w:pPr>
            <w:r w:rsidRPr="00501526">
              <w:rPr>
                <w:iCs/>
              </w:rPr>
              <w:t>Population</w:t>
            </w:r>
          </w:p>
        </w:tc>
        <w:tc>
          <w:tcPr>
            <w:tcW w:w="4295" w:type="pct"/>
            <w:shd w:val="clear" w:color="auto" w:fill="auto"/>
          </w:tcPr>
          <w:p w14:paraId="79618EEE" w14:textId="05B61017" w:rsidR="00233C01" w:rsidRPr="00501526" w:rsidRDefault="00D93549" w:rsidP="00233C01">
            <w:pPr>
              <w:pStyle w:val="TableText0"/>
              <w:rPr>
                <w:iCs/>
                <w:szCs w:val="20"/>
              </w:rPr>
            </w:pPr>
            <w:r w:rsidRPr="00501526">
              <w:rPr>
                <w:rFonts w:eastAsia="Times New Roman" w:cs="Arial"/>
                <w:bCs w:val="0"/>
                <w:iCs/>
                <w:snapToGrid w:val="0"/>
                <w:color w:val="000000" w:themeColor="text1"/>
                <w:szCs w:val="20"/>
              </w:rPr>
              <w:t>Adults with hyperphenylalaninemia (HPA) due to phenylketonuria (PKU) and who are sapropterin responsive</w:t>
            </w:r>
          </w:p>
        </w:tc>
      </w:tr>
      <w:tr w:rsidR="008B1757" w:rsidRPr="00501526" w14:paraId="0CA523AF" w14:textId="77777777" w:rsidTr="00A760CA">
        <w:trPr>
          <w:cantSplit/>
        </w:trPr>
        <w:tc>
          <w:tcPr>
            <w:tcW w:w="705" w:type="pct"/>
            <w:shd w:val="clear" w:color="auto" w:fill="auto"/>
            <w:vAlign w:val="center"/>
          </w:tcPr>
          <w:p w14:paraId="7B6D20D8" w14:textId="77777777" w:rsidR="008B1757" w:rsidRPr="00501526" w:rsidRDefault="008B1757" w:rsidP="00A760CA">
            <w:pPr>
              <w:pStyle w:val="TableText0"/>
              <w:rPr>
                <w:iCs/>
              </w:rPr>
            </w:pPr>
            <w:r w:rsidRPr="00501526">
              <w:rPr>
                <w:iCs/>
              </w:rPr>
              <w:t>Intervention</w:t>
            </w:r>
          </w:p>
        </w:tc>
        <w:tc>
          <w:tcPr>
            <w:tcW w:w="4295" w:type="pct"/>
            <w:shd w:val="clear" w:color="auto" w:fill="auto"/>
          </w:tcPr>
          <w:p w14:paraId="2491E905" w14:textId="341D143C" w:rsidR="00233C01" w:rsidRPr="00501526" w:rsidRDefault="00D93549" w:rsidP="00D43D83">
            <w:pPr>
              <w:pStyle w:val="TableText0"/>
              <w:rPr>
                <w:iCs/>
              </w:rPr>
            </w:pPr>
            <w:r w:rsidRPr="00501526">
              <w:rPr>
                <w:iCs/>
              </w:rPr>
              <w:t>Sapropterin 5-20 mg/kg/day, oral administration</w:t>
            </w:r>
          </w:p>
        </w:tc>
      </w:tr>
      <w:tr w:rsidR="008B1757" w:rsidRPr="00501526" w14:paraId="0F81EBE4" w14:textId="77777777" w:rsidTr="00A760CA">
        <w:trPr>
          <w:cantSplit/>
        </w:trPr>
        <w:tc>
          <w:tcPr>
            <w:tcW w:w="705" w:type="pct"/>
            <w:shd w:val="clear" w:color="auto" w:fill="auto"/>
            <w:vAlign w:val="center"/>
          </w:tcPr>
          <w:p w14:paraId="3656B343" w14:textId="77777777" w:rsidR="008B1757" w:rsidRPr="00501526" w:rsidRDefault="008B1757" w:rsidP="00A760CA">
            <w:pPr>
              <w:pStyle w:val="TableText0"/>
              <w:rPr>
                <w:iCs/>
              </w:rPr>
            </w:pPr>
            <w:r w:rsidRPr="00501526">
              <w:rPr>
                <w:iCs/>
              </w:rPr>
              <w:t>Comparator</w:t>
            </w:r>
          </w:p>
        </w:tc>
        <w:tc>
          <w:tcPr>
            <w:tcW w:w="4295" w:type="pct"/>
            <w:shd w:val="clear" w:color="auto" w:fill="auto"/>
          </w:tcPr>
          <w:p w14:paraId="3727DE24" w14:textId="5589988D" w:rsidR="00233C01" w:rsidRPr="00501526" w:rsidRDefault="008A63F8" w:rsidP="001E1E86">
            <w:pPr>
              <w:pStyle w:val="TableText0"/>
              <w:rPr>
                <w:iCs/>
              </w:rPr>
            </w:pPr>
            <w:r w:rsidRPr="00501526">
              <w:rPr>
                <w:iCs/>
              </w:rPr>
              <w:t>Phenylalanine (</w:t>
            </w:r>
            <w:r w:rsidR="00D93549" w:rsidRPr="00501526">
              <w:rPr>
                <w:iCs/>
              </w:rPr>
              <w:t>Phe</w:t>
            </w:r>
            <w:r w:rsidRPr="00501526">
              <w:rPr>
                <w:iCs/>
              </w:rPr>
              <w:t>)</w:t>
            </w:r>
            <w:r w:rsidR="00D93549" w:rsidRPr="00501526">
              <w:rPr>
                <w:iCs/>
              </w:rPr>
              <w:t>-restricted diet</w:t>
            </w:r>
          </w:p>
        </w:tc>
      </w:tr>
      <w:tr w:rsidR="008B1757" w:rsidRPr="00501526" w14:paraId="02F86F0D" w14:textId="77777777" w:rsidTr="00A760CA">
        <w:trPr>
          <w:cantSplit/>
        </w:trPr>
        <w:tc>
          <w:tcPr>
            <w:tcW w:w="705" w:type="pct"/>
            <w:shd w:val="clear" w:color="auto" w:fill="auto"/>
            <w:vAlign w:val="center"/>
          </w:tcPr>
          <w:p w14:paraId="06433105" w14:textId="77777777" w:rsidR="008B1757" w:rsidRPr="00501526" w:rsidRDefault="008B1757" w:rsidP="00A760CA">
            <w:pPr>
              <w:pStyle w:val="TableText0"/>
              <w:rPr>
                <w:iCs/>
              </w:rPr>
            </w:pPr>
            <w:r w:rsidRPr="00501526">
              <w:rPr>
                <w:iCs/>
              </w:rPr>
              <w:t>Outcomes</w:t>
            </w:r>
          </w:p>
        </w:tc>
        <w:tc>
          <w:tcPr>
            <w:tcW w:w="4295" w:type="pct"/>
            <w:shd w:val="clear" w:color="auto" w:fill="auto"/>
          </w:tcPr>
          <w:p w14:paraId="5ABC4037" w14:textId="134D18F4" w:rsidR="00233C01" w:rsidRPr="00501526" w:rsidRDefault="00D93549" w:rsidP="004A6040">
            <w:pPr>
              <w:pStyle w:val="TableText0"/>
              <w:rPr>
                <w:rFonts w:eastAsia="Times New Roman" w:cs="Arial"/>
                <w:bCs w:val="0"/>
                <w:iCs/>
                <w:snapToGrid w:val="0"/>
                <w:szCs w:val="20"/>
              </w:rPr>
            </w:pPr>
            <w:r w:rsidRPr="00501526">
              <w:rPr>
                <w:iCs/>
              </w:rPr>
              <w:t>Reduction in blood Phe levels by &gt; 30% from sapropterin-naïve baseline</w:t>
            </w:r>
          </w:p>
        </w:tc>
      </w:tr>
      <w:tr w:rsidR="008B1757" w:rsidRPr="00501526" w14:paraId="22223890" w14:textId="77777777" w:rsidTr="00A760CA">
        <w:trPr>
          <w:cantSplit/>
        </w:trPr>
        <w:tc>
          <w:tcPr>
            <w:tcW w:w="705" w:type="pct"/>
            <w:shd w:val="clear" w:color="auto" w:fill="auto"/>
            <w:vAlign w:val="center"/>
          </w:tcPr>
          <w:p w14:paraId="0FC8FCE0" w14:textId="77777777" w:rsidR="008B1757" w:rsidRPr="00501526" w:rsidRDefault="008B1757" w:rsidP="00A760CA">
            <w:pPr>
              <w:pStyle w:val="TableText0"/>
              <w:rPr>
                <w:iCs/>
              </w:rPr>
            </w:pPr>
            <w:r w:rsidRPr="00501526">
              <w:rPr>
                <w:iCs/>
              </w:rPr>
              <w:t>Clinical claim</w:t>
            </w:r>
          </w:p>
        </w:tc>
        <w:tc>
          <w:tcPr>
            <w:tcW w:w="4295" w:type="pct"/>
            <w:shd w:val="clear" w:color="auto" w:fill="auto"/>
          </w:tcPr>
          <w:p w14:paraId="2C99C4DE" w14:textId="5D00AE2F" w:rsidR="00233C01" w:rsidRPr="00501526" w:rsidRDefault="00D93549" w:rsidP="00D43D83">
            <w:pPr>
              <w:pStyle w:val="TableText0"/>
              <w:rPr>
                <w:rFonts w:eastAsia="Times New Roman" w:cs="Arial"/>
                <w:bCs w:val="0"/>
                <w:iCs/>
                <w:snapToGrid w:val="0"/>
                <w:szCs w:val="20"/>
              </w:rPr>
            </w:pPr>
            <w:r w:rsidRPr="00501526">
              <w:rPr>
                <w:iCs/>
              </w:rPr>
              <w:t>Sapropterin in combination with a Phe-restricted diet is superior to a Phe-restricted diet alone. Sapropterin has non-inferior safety compared with a Phe-restricted diet alone.</w:t>
            </w:r>
          </w:p>
        </w:tc>
      </w:tr>
    </w:tbl>
    <w:p w14:paraId="527CA7F0" w14:textId="491DF850" w:rsidR="004E43B2" w:rsidRPr="00501526" w:rsidRDefault="008B1757" w:rsidP="004A6040">
      <w:pPr>
        <w:pStyle w:val="TableFigureFooter"/>
        <w:rPr>
          <w:iCs/>
          <w:sz w:val="20"/>
        </w:rPr>
      </w:pPr>
      <w:r w:rsidRPr="00501526">
        <w:rPr>
          <w:iCs/>
        </w:rPr>
        <w:t xml:space="preserve">Source: </w:t>
      </w:r>
      <w:r w:rsidR="00D93549" w:rsidRPr="00501526">
        <w:rPr>
          <w:iCs/>
        </w:rPr>
        <w:t>Table 1.1-1, p5 of the submission.</w:t>
      </w:r>
    </w:p>
    <w:p w14:paraId="6B4AB6C2" w14:textId="7F01D731" w:rsidR="005C25FF" w:rsidRPr="00501526" w:rsidRDefault="005C25FF" w:rsidP="004A6040">
      <w:pPr>
        <w:pStyle w:val="2-SectionHeading"/>
        <w:rPr>
          <w:iCs/>
        </w:rPr>
      </w:pPr>
      <w:bookmarkStart w:id="5" w:name="_Toc103766820"/>
      <w:r w:rsidRPr="00501526">
        <w:rPr>
          <w:iCs/>
        </w:rPr>
        <w:lastRenderedPageBreak/>
        <w:t>Background</w:t>
      </w:r>
      <w:bookmarkEnd w:id="5"/>
    </w:p>
    <w:p w14:paraId="2C521D6D" w14:textId="78CF03EE" w:rsidR="005C25FF" w:rsidRPr="00501526" w:rsidRDefault="005C25FF" w:rsidP="004A6040">
      <w:pPr>
        <w:pStyle w:val="4-SubsectionHeading"/>
        <w:rPr>
          <w:i w:val="0"/>
          <w:iCs/>
        </w:rPr>
      </w:pPr>
      <w:bookmarkStart w:id="6" w:name="_Toc22897638"/>
      <w:bookmarkStart w:id="7" w:name="_Toc103766821"/>
      <w:r w:rsidRPr="00501526">
        <w:rPr>
          <w:i w:val="0"/>
          <w:iCs/>
        </w:rPr>
        <w:t>Registration status</w:t>
      </w:r>
      <w:bookmarkEnd w:id="6"/>
      <w:bookmarkEnd w:id="7"/>
    </w:p>
    <w:p w14:paraId="15B9A206" w14:textId="22D6DA38" w:rsidR="00B0034D" w:rsidRPr="00501526" w:rsidRDefault="00B0034D" w:rsidP="004E18E9">
      <w:pPr>
        <w:pStyle w:val="3-BodyText"/>
        <w:rPr>
          <w:iCs/>
        </w:rPr>
      </w:pPr>
      <w:r w:rsidRPr="00501526">
        <w:rPr>
          <w:iCs/>
        </w:rPr>
        <w:t>Sapropterin was approved by the TGA in October 2010 for the following indication:</w:t>
      </w:r>
    </w:p>
    <w:p w14:paraId="3FE2BA24" w14:textId="0EEDA27C" w:rsidR="00B0034D" w:rsidRPr="00501526" w:rsidRDefault="00CA0BFB" w:rsidP="00D020EA">
      <w:pPr>
        <w:pStyle w:val="Bulletpoints"/>
        <w:ind w:left="993" w:hanging="284"/>
      </w:pPr>
      <w:r w:rsidRPr="00501526">
        <w:t>T</w:t>
      </w:r>
      <w:r w:rsidR="00B0034D" w:rsidRPr="00501526">
        <w:t>he treatment of hyperphenylalaninemia (HPA) in sapropterin-responsive adult and paediatric patients with phenylketonuria (PKU) or tetrahydrobiopterin (BH4) deficiency</w:t>
      </w:r>
      <w:r w:rsidR="00916918" w:rsidRPr="00501526">
        <w:t>.</w:t>
      </w:r>
    </w:p>
    <w:p w14:paraId="3E2A6EAB" w14:textId="469C8C0C" w:rsidR="005C25FF" w:rsidRPr="00501526" w:rsidRDefault="005C25FF" w:rsidP="004E18E9">
      <w:pPr>
        <w:pStyle w:val="4-SubsectionHeading"/>
        <w:rPr>
          <w:i w:val="0"/>
          <w:iCs/>
        </w:rPr>
      </w:pPr>
      <w:bookmarkStart w:id="8" w:name="_Toc22897639"/>
      <w:bookmarkStart w:id="9" w:name="_Toc103766822"/>
      <w:r w:rsidRPr="00501526">
        <w:rPr>
          <w:i w:val="0"/>
          <w:iCs/>
        </w:rPr>
        <w:t>Previous PBAC consideration</w:t>
      </w:r>
      <w:bookmarkEnd w:id="8"/>
      <w:bookmarkEnd w:id="9"/>
    </w:p>
    <w:p w14:paraId="0D7A6ACC" w14:textId="47D63D35" w:rsidR="00D417B3" w:rsidRPr="00501526" w:rsidRDefault="002F63C6" w:rsidP="00D417B3">
      <w:pPr>
        <w:pStyle w:val="3-BodyText"/>
        <w:rPr>
          <w:iCs/>
        </w:rPr>
      </w:pPr>
      <w:r w:rsidRPr="00501526">
        <w:rPr>
          <w:iCs/>
        </w:rPr>
        <w:t>The PBAC has considered s</w:t>
      </w:r>
      <w:r w:rsidR="00D417B3" w:rsidRPr="00501526">
        <w:rPr>
          <w:iCs/>
        </w:rPr>
        <w:t xml:space="preserve">ubmissions for sapropterin </w:t>
      </w:r>
      <w:r w:rsidRPr="00501526">
        <w:rPr>
          <w:iCs/>
        </w:rPr>
        <w:t>at the</w:t>
      </w:r>
      <w:r w:rsidR="00D417B3" w:rsidRPr="00501526">
        <w:rPr>
          <w:iCs/>
        </w:rPr>
        <w:t xml:space="preserve"> following </w:t>
      </w:r>
      <w:r w:rsidRPr="00501526">
        <w:rPr>
          <w:iCs/>
        </w:rPr>
        <w:t>meetings</w:t>
      </w:r>
      <w:r w:rsidR="00D417B3" w:rsidRPr="00501526">
        <w:rPr>
          <w:iCs/>
        </w:rPr>
        <w:t>:</w:t>
      </w:r>
    </w:p>
    <w:p w14:paraId="2C5FD0F4" w14:textId="3705E249" w:rsidR="00D417B3" w:rsidRPr="00501526" w:rsidRDefault="00D417B3" w:rsidP="0038337A">
      <w:pPr>
        <w:pStyle w:val="ListParagraph"/>
        <w:numPr>
          <w:ilvl w:val="0"/>
          <w:numId w:val="7"/>
        </w:numPr>
        <w:ind w:left="993" w:hanging="284"/>
        <w:rPr>
          <w:iCs/>
        </w:rPr>
      </w:pPr>
      <w:r w:rsidRPr="00501526">
        <w:rPr>
          <w:iCs/>
        </w:rPr>
        <w:t xml:space="preserve">November 2011: sapropterin for HPA due to PKU </w:t>
      </w:r>
      <w:r w:rsidR="00BC216B" w:rsidRPr="00501526">
        <w:rPr>
          <w:iCs/>
        </w:rPr>
        <w:t xml:space="preserve">or </w:t>
      </w:r>
      <w:r w:rsidRPr="00501526">
        <w:rPr>
          <w:iCs/>
        </w:rPr>
        <w:t>HPA due to BH4 deficiency</w:t>
      </w:r>
      <w:r w:rsidR="004100C9" w:rsidRPr="00501526">
        <w:rPr>
          <w:iCs/>
        </w:rPr>
        <w:t xml:space="preserve"> in </w:t>
      </w:r>
      <w:r w:rsidR="0073574F" w:rsidRPr="00501526">
        <w:rPr>
          <w:iCs/>
        </w:rPr>
        <w:t xml:space="preserve">patients </w:t>
      </w:r>
      <w:r w:rsidR="00C11AE2" w:rsidRPr="00501526">
        <w:rPr>
          <w:iCs/>
        </w:rPr>
        <w:t xml:space="preserve">aged </w:t>
      </w:r>
      <w:r w:rsidR="0073574F" w:rsidRPr="00501526">
        <w:rPr>
          <w:iCs/>
        </w:rPr>
        <w:t xml:space="preserve">a) 10 years or younger, b) 11 to 17 years </w:t>
      </w:r>
      <w:r w:rsidR="00C11AE2" w:rsidRPr="00501526">
        <w:rPr>
          <w:iCs/>
        </w:rPr>
        <w:t xml:space="preserve">and c) 18 years of age or older </w:t>
      </w:r>
      <w:r w:rsidR="00672DE9" w:rsidRPr="00501526">
        <w:rPr>
          <w:iCs/>
        </w:rPr>
        <w:t>–</w:t>
      </w:r>
      <w:r w:rsidR="00BD7DDF" w:rsidRPr="00501526">
        <w:rPr>
          <w:iCs/>
        </w:rPr>
        <w:t xml:space="preserve"> </w:t>
      </w:r>
      <w:r w:rsidR="00672DE9" w:rsidRPr="00501526">
        <w:rPr>
          <w:iCs/>
        </w:rPr>
        <w:t>not recommended</w:t>
      </w:r>
    </w:p>
    <w:p w14:paraId="72DFE6FF" w14:textId="0D3430B5" w:rsidR="00D417B3" w:rsidRPr="00501526" w:rsidRDefault="00D417B3" w:rsidP="0038337A">
      <w:pPr>
        <w:pStyle w:val="ListParagraph"/>
        <w:numPr>
          <w:ilvl w:val="0"/>
          <w:numId w:val="7"/>
        </w:numPr>
        <w:ind w:left="993" w:hanging="284"/>
        <w:rPr>
          <w:iCs/>
        </w:rPr>
      </w:pPr>
      <w:r w:rsidRPr="00501526">
        <w:rPr>
          <w:iCs/>
        </w:rPr>
        <w:t>July 2012</w:t>
      </w:r>
      <w:r w:rsidR="00DC432B" w:rsidRPr="00501526">
        <w:rPr>
          <w:iCs/>
        </w:rPr>
        <w:t xml:space="preserve"> resubmission</w:t>
      </w:r>
      <w:r w:rsidRPr="00501526">
        <w:rPr>
          <w:iCs/>
        </w:rPr>
        <w:t>: HPA due to BH4 deficiency</w:t>
      </w:r>
      <w:r w:rsidR="00607CA6" w:rsidRPr="00501526">
        <w:rPr>
          <w:iCs/>
        </w:rPr>
        <w:t xml:space="preserve"> with no age restriction </w:t>
      </w:r>
      <w:r w:rsidR="007D190C" w:rsidRPr="00501526">
        <w:rPr>
          <w:iCs/>
        </w:rPr>
        <w:t>–</w:t>
      </w:r>
      <w:r w:rsidR="00607CA6" w:rsidRPr="00501526">
        <w:rPr>
          <w:iCs/>
        </w:rPr>
        <w:t xml:space="preserve"> </w:t>
      </w:r>
      <w:r w:rsidR="00995E1E" w:rsidRPr="00501526">
        <w:rPr>
          <w:iCs/>
        </w:rPr>
        <w:t>deferred</w:t>
      </w:r>
    </w:p>
    <w:p w14:paraId="12ADB3FC" w14:textId="00F6EBB5" w:rsidR="00D417B3" w:rsidRPr="00501526" w:rsidRDefault="00D417B3" w:rsidP="0038337A">
      <w:pPr>
        <w:pStyle w:val="ListParagraph"/>
        <w:numPr>
          <w:ilvl w:val="0"/>
          <w:numId w:val="7"/>
        </w:numPr>
        <w:ind w:left="993" w:hanging="284"/>
        <w:rPr>
          <w:iCs/>
        </w:rPr>
      </w:pPr>
      <w:r w:rsidRPr="00501526">
        <w:rPr>
          <w:iCs/>
        </w:rPr>
        <w:t>November 2012</w:t>
      </w:r>
      <w:r w:rsidR="00DC432B" w:rsidRPr="00501526">
        <w:rPr>
          <w:iCs/>
        </w:rPr>
        <w:t xml:space="preserve"> </w:t>
      </w:r>
      <w:r w:rsidR="00883353" w:rsidRPr="00501526">
        <w:rPr>
          <w:iCs/>
        </w:rPr>
        <w:t xml:space="preserve">minor </w:t>
      </w:r>
      <w:r w:rsidR="00DC432B" w:rsidRPr="00501526">
        <w:rPr>
          <w:iCs/>
        </w:rPr>
        <w:t>resubmission</w:t>
      </w:r>
      <w:r w:rsidRPr="00501526">
        <w:rPr>
          <w:iCs/>
        </w:rPr>
        <w:t>: HPA due to BH4 deficiency</w:t>
      </w:r>
      <w:r w:rsidR="00995E1E" w:rsidRPr="00501526">
        <w:rPr>
          <w:iCs/>
        </w:rPr>
        <w:t xml:space="preserve"> with no age restriction – recommended under rule of rescue</w:t>
      </w:r>
    </w:p>
    <w:p w14:paraId="2CDE7B07" w14:textId="67C744F0" w:rsidR="00D417B3" w:rsidRPr="00501526" w:rsidRDefault="00D417B3" w:rsidP="0038337A">
      <w:pPr>
        <w:pStyle w:val="ListParagraph"/>
        <w:numPr>
          <w:ilvl w:val="0"/>
          <w:numId w:val="7"/>
        </w:numPr>
        <w:ind w:left="993" w:hanging="284"/>
        <w:rPr>
          <w:iCs/>
        </w:rPr>
      </w:pPr>
      <w:r w:rsidRPr="00501526">
        <w:rPr>
          <w:iCs/>
        </w:rPr>
        <w:t>March 2018</w:t>
      </w:r>
      <w:r w:rsidR="00DC432B" w:rsidRPr="00501526">
        <w:rPr>
          <w:iCs/>
        </w:rPr>
        <w:t xml:space="preserve"> </w:t>
      </w:r>
      <w:r w:rsidR="00883353" w:rsidRPr="00501526">
        <w:rPr>
          <w:iCs/>
        </w:rPr>
        <w:t xml:space="preserve">major </w:t>
      </w:r>
      <w:r w:rsidR="00DC432B" w:rsidRPr="00501526">
        <w:rPr>
          <w:iCs/>
        </w:rPr>
        <w:t>resubmission</w:t>
      </w:r>
      <w:r w:rsidRPr="00501526">
        <w:rPr>
          <w:iCs/>
        </w:rPr>
        <w:t>: HPA due to PKU</w:t>
      </w:r>
      <w:r w:rsidR="00966D5B" w:rsidRPr="00501526">
        <w:rPr>
          <w:iCs/>
        </w:rPr>
        <w:t xml:space="preserve"> with no age restriction </w:t>
      </w:r>
      <w:r w:rsidR="00BE5219" w:rsidRPr="00501526">
        <w:rPr>
          <w:iCs/>
        </w:rPr>
        <w:t>- deferred</w:t>
      </w:r>
    </w:p>
    <w:p w14:paraId="6E228306" w14:textId="3CFA488C" w:rsidR="00D417B3" w:rsidRPr="00501526" w:rsidRDefault="00D417B3" w:rsidP="0038337A">
      <w:pPr>
        <w:pStyle w:val="ListParagraph"/>
        <w:numPr>
          <w:ilvl w:val="0"/>
          <w:numId w:val="7"/>
        </w:numPr>
        <w:ind w:left="993" w:hanging="284"/>
        <w:rPr>
          <w:iCs/>
        </w:rPr>
      </w:pPr>
      <w:r w:rsidRPr="00501526">
        <w:rPr>
          <w:iCs/>
        </w:rPr>
        <w:t>November 2018</w:t>
      </w:r>
      <w:r w:rsidR="00DC432B" w:rsidRPr="00501526">
        <w:rPr>
          <w:iCs/>
        </w:rPr>
        <w:t xml:space="preserve"> </w:t>
      </w:r>
      <w:r w:rsidR="00966C04" w:rsidRPr="00501526">
        <w:rPr>
          <w:iCs/>
        </w:rPr>
        <w:t xml:space="preserve">minor </w:t>
      </w:r>
      <w:r w:rsidR="00DC432B" w:rsidRPr="00501526">
        <w:rPr>
          <w:iCs/>
        </w:rPr>
        <w:t>resubmission</w:t>
      </w:r>
      <w:r w:rsidRPr="00501526">
        <w:rPr>
          <w:iCs/>
        </w:rPr>
        <w:t xml:space="preserve">: HPA due to PKU </w:t>
      </w:r>
      <w:r w:rsidR="00011A2D" w:rsidRPr="00501526">
        <w:rPr>
          <w:iCs/>
        </w:rPr>
        <w:t xml:space="preserve">in patients commencing treatment when aged </w:t>
      </w:r>
      <w:r w:rsidR="00D020EA" w:rsidRPr="00501526">
        <w:rPr>
          <w:iCs/>
        </w:rPr>
        <w:t>&lt;</w:t>
      </w:r>
      <w:r w:rsidR="00D020EA">
        <w:rPr>
          <w:iCs/>
        </w:rPr>
        <w:t> </w:t>
      </w:r>
      <w:r w:rsidRPr="00501526">
        <w:rPr>
          <w:iCs/>
        </w:rPr>
        <w:t>18 years</w:t>
      </w:r>
      <w:r w:rsidR="00BE5219" w:rsidRPr="00501526">
        <w:rPr>
          <w:iCs/>
        </w:rPr>
        <w:t xml:space="preserve"> </w:t>
      </w:r>
      <w:r w:rsidR="00011A2D" w:rsidRPr="00501526">
        <w:rPr>
          <w:iCs/>
        </w:rPr>
        <w:t>- recommended</w:t>
      </w:r>
    </w:p>
    <w:p w14:paraId="3D0961F5" w14:textId="2428489D" w:rsidR="00D417B3" w:rsidRPr="00501526" w:rsidRDefault="00D417B3" w:rsidP="0038337A">
      <w:pPr>
        <w:pStyle w:val="ListParagraph"/>
        <w:numPr>
          <w:ilvl w:val="0"/>
          <w:numId w:val="7"/>
        </w:numPr>
        <w:ind w:left="993" w:hanging="284"/>
        <w:rPr>
          <w:iCs/>
        </w:rPr>
      </w:pPr>
      <w:r w:rsidRPr="00501526">
        <w:rPr>
          <w:iCs/>
        </w:rPr>
        <w:t xml:space="preserve">July 2019 </w:t>
      </w:r>
      <w:r w:rsidR="00966C04" w:rsidRPr="00501526">
        <w:rPr>
          <w:iCs/>
        </w:rPr>
        <w:t xml:space="preserve">minor </w:t>
      </w:r>
      <w:r w:rsidR="00011A2D" w:rsidRPr="00501526">
        <w:rPr>
          <w:iCs/>
        </w:rPr>
        <w:t>resubmission</w:t>
      </w:r>
      <w:r w:rsidR="00966C04" w:rsidRPr="00501526">
        <w:rPr>
          <w:iCs/>
        </w:rPr>
        <w:t>: new dosages (100</w:t>
      </w:r>
      <w:r w:rsidR="00D020EA">
        <w:rPr>
          <w:iCs/>
        </w:rPr>
        <w:t> </w:t>
      </w:r>
      <w:r w:rsidR="00966C04" w:rsidRPr="00501526">
        <w:rPr>
          <w:iCs/>
        </w:rPr>
        <w:t>mg and 500</w:t>
      </w:r>
      <w:r w:rsidR="00D020EA">
        <w:rPr>
          <w:iCs/>
        </w:rPr>
        <w:t> </w:t>
      </w:r>
      <w:r w:rsidR="00966C04" w:rsidRPr="00501526">
        <w:rPr>
          <w:iCs/>
        </w:rPr>
        <w:t xml:space="preserve">mg powder for oral solution) in </w:t>
      </w:r>
      <w:r w:rsidRPr="00501526">
        <w:rPr>
          <w:iCs/>
        </w:rPr>
        <w:t xml:space="preserve">HPA due to PKU </w:t>
      </w:r>
      <w:r w:rsidR="002F1DE2" w:rsidRPr="00501526">
        <w:rPr>
          <w:iCs/>
        </w:rPr>
        <w:t>- recommended</w:t>
      </w:r>
    </w:p>
    <w:p w14:paraId="2BFFD9AF" w14:textId="40D87C9F" w:rsidR="00D417B3" w:rsidRPr="00501526" w:rsidRDefault="00D417B3" w:rsidP="0038337A">
      <w:pPr>
        <w:pStyle w:val="ListParagraph"/>
        <w:numPr>
          <w:ilvl w:val="0"/>
          <w:numId w:val="7"/>
        </w:numPr>
        <w:ind w:left="993" w:hanging="284"/>
        <w:rPr>
          <w:iCs/>
        </w:rPr>
      </w:pPr>
      <w:r w:rsidRPr="00501526">
        <w:rPr>
          <w:iCs/>
        </w:rPr>
        <w:t>November 2020</w:t>
      </w:r>
      <w:r w:rsidR="00A703FE" w:rsidRPr="00501526">
        <w:rPr>
          <w:iCs/>
        </w:rPr>
        <w:t xml:space="preserve"> minor resubmission</w:t>
      </w:r>
      <w:r w:rsidRPr="00501526">
        <w:rPr>
          <w:iCs/>
        </w:rPr>
        <w:t>: HPA due to maternal PKU (MPKU)</w:t>
      </w:r>
      <w:r w:rsidR="008508DE" w:rsidRPr="00501526">
        <w:rPr>
          <w:iCs/>
        </w:rPr>
        <w:t xml:space="preserve"> in patients who are 18 years or older who have not previously initiated treatment with sapropterin</w:t>
      </w:r>
      <w:r w:rsidR="00D11FC1" w:rsidRPr="00501526">
        <w:rPr>
          <w:iCs/>
        </w:rPr>
        <w:t xml:space="preserve"> - </w:t>
      </w:r>
      <w:r w:rsidR="008E2A2B" w:rsidRPr="00501526">
        <w:rPr>
          <w:iCs/>
        </w:rPr>
        <w:t>recommended</w:t>
      </w:r>
    </w:p>
    <w:p w14:paraId="3AC4C76E" w14:textId="19F49AC6" w:rsidR="005C25FF" w:rsidRPr="00501526" w:rsidRDefault="00D417B3" w:rsidP="00CA0BFB">
      <w:pPr>
        <w:pStyle w:val="3-BodyText"/>
        <w:rPr>
          <w:iCs/>
        </w:rPr>
      </w:pPr>
      <w:r w:rsidRPr="00501526">
        <w:rPr>
          <w:iCs/>
        </w:rPr>
        <w:t xml:space="preserve">Key issues </w:t>
      </w:r>
      <w:r w:rsidR="002F63C6" w:rsidRPr="00501526">
        <w:rPr>
          <w:iCs/>
        </w:rPr>
        <w:t>from</w:t>
      </w:r>
      <w:r w:rsidRPr="00501526">
        <w:rPr>
          <w:iCs/>
        </w:rPr>
        <w:t xml:space="preserve"> the most recent </w:t>
      </w:r>
      <w:r w:rsidR="002F63C6" w:rsidRPr="00501526">
        <w:rPr>
          <w:iCs/>
        </w:rPr>
        <w:t>considerations</w:t>
      </w:r>
      <w:r w:rsidR="00CA0BFB" w:rsidRPr="00501526">
        <w:rPr>
          <w:iCs/>
        </w:rPr>
        <w:t xml:space="preserve"> </w:t>
      </w:r>
      <w:r w:rsidRPr="00501526">
        <w:rPr>
          <w:iCs/>
        </w:rPr>
        <w:t>(</w:t>
      </w:r>
      <w:r w:rsidR="00CA0BFB" w:rsidRPr="00501526">
        <w:rPr>
          <w:iCs/>
        </w:rPr>
        <w:t xml:space="preserve">excluding the Maternal PKU </w:t>
      </w:r>
      <w:r w:rsidRPr="00501526">
        <w:rPr>
          <w:iCs/>
        </w:rPr>
        <w:t>November 20</w:t>
      </w:r>
      <w:r w:rsidR="004E4E6B" w:rsidRPr="00501526">
        <w:rPr>
          <w:iCs/>
        </w:rPr>
        <w:t>20</w:t>
      </w:r>
      <w:r w:rsidR="00CA0BFB" w:rsidRPr="00501526">
        <w:rPr>
          <w:iCs/>
        </w:rPr>
        <w:t xml:space="preserve"> </w:t>
      </w:r>
      <w:r w:rsidR="00D020EA">
        <w:rPr>
          <w:iCs/>
        </w:rPr>
        <w:t>Public Summary Document (</w:t>
      </w:r>
      <w:r w:rsidR="00CA0BFB" w:rsidRPr="00501526">
        <w:rPr>
          <w:iCs/>
        </w:rPr>
        <w:t>PSD</w:t>
      </w:r>
      <w:r w:rsidR="00D020EA">
        <w:rPr>
          <w:iCs/>
        </w:rPr>
        <w:t>)</w:t>
      </w:r>
      <w:r w:rsidRPr="00501526">
        <w:rPr>
          <w:iCs/>
        </w:rPr>
        <w:t xml:space="preserve">) are presented in </w:t>
      </w:r>
      <w:r w:rsidRPr="00501526">
        <w:rPr>
          <w:iCs/>
        </w:rPr>
        <w:fldChar w:fldCharType="begin"/>
      </w:r>
      <w:r w:rsidRPr="00501526">
        <w:rPr>
          <w:iCs/>
        </w:rPr>
        <w:instrText xml:space="preserve"> REF _Ref101520709 \h  \* MERGEFORMAT </w:instrText>
      </w:r>
      <w:r w:rsidRPr="00501526">
        <w:rPr>
          <w:iCs/>
        </w:rPr>
      </w:r>
      <w:r w:rsidRPr="00501526">
        <w:rPr>
          <w:iCs/>
        </w:rPr>
        <w:fldChar w:fldCharType="separate"/>
      </w:r>
      <w:r w:rsidR="0035299E" w:rsidRPr="0035299E">
        <w:t>Table 2</w:t>
      </w:r>
      <w:r w:rsidRPr="00501526">
        <w:rPr>
          <w:iCs/>
        </w:rPr>
        <w:fldChar w:fldCharType="end"/>
      </w:r>
      <w:r w:rsidRPr="00501526">
        <w:rPr>
          <w:iCs/>
        </w:rPr>
        <w:t>.</w:t>
      </w:r>
    </w:p>
    <w:p w14:paraId="2A23A49F" w14:textId="5C949B40" w:rsidR="005C25FF" w:rsidRPr="00501526" w:rsidRDefault="005C25FF" w:rsidP="002E4F02">
      <w:pPr>
        <w:pStyle w:val="TableFigureHeading"/>
        <w:rPr>
          <w:rStyle w:val="CommentReference"/>
          <w:b/>
          <w:iCs/>
          <w:szCs w:val="24"/>
        </w:rPr>
      </w:pPr>
      <w:bookmarkStart w:id="10" w:name="_Ref101520709"/>
      <w:r w:rsidRPr="00501526">
        <w:rPr>
          <w:rStyle w:val="CommentReference"/>
          <w:b/>
          <w:iCs/>
          <w:szCs w:val="24"/>
        </w:rPr>
        <w:lastRenderedPageBreak/>
        <w:t>Table</w:t>
      </w:r>
      <w:r w:rsidR="00D417B3" w:rsidRPr="00501526">
        <w:rPr>
          <w:rStyle w:val="CommentReference"/>
          <w:b/>
          <w:iCs/>
          <w:szCs w:val="24"/>
        </w:rPr>
        <w:t xml:space="preserve"> </w:t>
      </w:r>
      <w:r w:rsidR="00D417B3" w:rsidRPr="00501526">
        <w:rPr>
          <w:rStyle w:val="CommentReference"/>
          <w:b/>
          <w:iCs/>
          <w:szCs w:val="24"/>
        </w:rPr>
        <w:fldChar w:fldCharType="begin"/>
      </w:r>
      <w:r w:rsidR="00D417B3" w:rsidRPr="00501526">
        <w:rPr>
          <w:rStyle w:val="CommentReference"/>
          <w:b/>
          <w:iCs/>
          <w:szCs w:val="24"/>
        </w:rPr>
        <w:instrText xml:space="preserve"> SEQ Table \* MERGEFORMAT </w:instrText>
      </w:r>
      <w:r w:rsidR="00D417B3" w:rsidRPr="00501526">
        <w:rPr>
          <w:rStyle w:val="CommentReference"/>
          <w:b/>
          <w:iCs/>
          <w:szCs w:val="24"/>
        </w:rPr>
        <w:fldChar w:fldCharType="separate"/>
      </w:r>
      <w:r w:rsidR="0035299E">
        <w:rPr>
          <w:rStyle w:val="CommentReference"/>
          <w:b/>
          <w:iCs/>
          <w:noProof/>
          <w:szCs w:val="24"/>
        </w:rPr>
        <w:t>2</w:t>
      </w:r>
      <w:r w:rsidR="00D417B3" w:rsidRPr="00501526">
        <w:rPr>
          <w:rStyle w:val="CommentReference"/>
          <w:b/>
          <w:iCs/>
          <w:szCs w:val="24"/>
        </w:rPr>
        <w:fldChar w:fldCharType="end"/>
      </w:r>
      <w:bookmarkEnd w:id="10"/>
      <w:r w:rsidR="00ED1EAB" w:rsidRPr="00501526">
        <w:rPr>
          <w:rStyle w:val="CommentReference"/>
          <w:b/>
          <w:iCs/>
          <w:szCs w:val="24"/>
        </w:rPr>
        <w:t>:</w:t>
      </w:r>
      <w:r w:rsidRPr="00501526">
        <w:rPr>
          <w:rStyle w:val="CommentReference"/>
          <w:b/>
          <w:iCs/>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28"/>
        <w:gridCol w:w="3686"/>
        <w:gridCol w:w="2162"/>
        <w:gridCol w:w="2041"/>
      </w:tblGrid>
      <w:tr w:rsidR="00D417B3" w:rsidRPr="00501526" w14:paraId="6747F8E1" w14:textId="77777777" w:rsidTr="00A760CA">
        <w:trPr>
          <w:cantSplit/>
          <w:tblHeader/>
        </w:trPr>
        <w:tc>
          <w:tcPr>
            <w:tcW w:w="625" w:type="pct"/>
            <w:vMerge w:val="restart"/>
            <w:vAlign w:val="center"/>
          </w:tcPr>
          <w:p w14:paraId="346F438D" w14:textId="77777777" w:rsidR="00D417B3" w:rsidRPr="00501526" w:rsidRDefault="00D417B3" w:rsidP="00A760CA">
            <w:pPr>
              <w:pStyle w:val="In-tableHeading"/>
              <w:rPr>
                <w:iCs/>
                <w:lang w:val="en-AU"/>
              </w:rPr>
            </w:pPr>
            <w:r w:rsidRPr="00501526">
              <w:rPr>
                <w:iCs/>
                <w:lang w:val="en-AU"/>
              </w:rPr>
              <w:t>Component</w:t>
            </w:r>
          </w:p>
        </w:tc>
        <w:tc>
          <w:tcPr>
            <w:tcW w:w="3243" w:type="pct"/>
            <w:gridSpan w:val="2"/>
            <w:vAlign w:val="center"/>
          </w:tcPr>
          <w:p w14:paraId="64079410" w14:textId="33DE438C" w:rsidR="00D417B3" w:rsidRPr="00501526" w:rsidRDefault="00D417B3" w:rsidP="00A760CA">
            <w:pPr>
              <w:pStyle w:val="In-tableHeading"/>
              <w:jc w:val="center"/>
              <w:rPr>
                <w:iCs/>
                <w:lang w:val="en-AU"/>
              </w:rPr>
            </w:pPr>
            <w:r w:rsidRPr="00501526">
              <w:rPr>
                <w:iCs/>
                <w:lang w:val="en-AU"/>
              </w:rPr>
              <w:t>Matter of concern</w:t>
            </w:r>
          </w:p>
        </w:tc>
        <w:tc>
          <w:tcPr>
            <w:tcW w:w="1132" w:type="pct"/>
            <w:vMerge w:val="restart"/>
            <w:vAlign w:val="center"/>
          </w:tcPr>
          <w:p w14:paraId="4BAA81F2" w14:textId="72E55C01" w:rsidR="00D417B3" w:rsidRPr="00501526" w:rsidRDefault="00D417B3" w:rsidP="00A760CA">
            <w:pPr>
              <w:pStyle w:val="In-tableHeading"/>
              <w:jc w:val="center"/>
              <w:rPr>
                <w:iCs/>
                <w:lang w:val="en-AU"/>
              </w:rPr>
            </w:pPr>
            <w:r w:rsidRPr="00501526">
              <w:rPr>
                <w:iCs/>
                <w:lang w:val="en-AU"/>
              </w:rPr>
              <w:t>How the resubmission addresses it</w:t>
            </w:r>
          </w:p>
        </w:tc>
      </w:tr>
      <w:tr w:rsidR="00D417B3" w:rsidRPr="00501526" w14:paraId="691162BE" w14:textId="77777777" w:rsidTr="00AD3A1C">
        <w:trPr>
          <w:cantSplit/>
          <w:tblHeader/>
        </w:trPr>
        <w:tc>
          <w:tcPr>
            <w:tcW w:w="625" w:type="pct"/>
            <w:vMerge/>
            <w:vAlign w:val="center"/>
          </w:tcPr>
          <w:p w14:paraId="6D5BC74F" w14:textId="77777777" w:rsidR="00D417B3" w:rsidRPr="00501526" w:rsidRDefault="00D417B3" w:rsidP="00A760CA">
            <w:pPr>
              <w:pStyle w:val="In-tableHeading"/>
              <w:rPr>
                <w:iCs/>
                <w:lang w:val="en-AU"/>
              </w:rPr>
            </w:pPr>
          </w:p>
        </w:tc>
        <w:tc>
          <w:tcPr>
            <w:tcW w:w="2044" w:type="pct"/>
            <w:vAlign w:val="center"/>
          </w:tcPr>
          <w:p w14:paraId="74FA08B9" w14:textId="212DC1D8" w:rsidR="00D417B3" w:rsidRPr="00501526" w:rsidRDefault="00D417B3" w:rsidP="00A760CA">
            <w:pPr>
              <w:pStyle w:val="In-tableHeading"/>
              <w:jc w:val="center"/>
              <w:rPr>
                <w:iCs/>
                <w:lang w:val="en-AU"/>
              </w:rPr>
            </w:pPr>
            <w:r w:rsidRPr="00501526">
              <w:rPr>
                <w:iCs/>
                <w:lang w:val="en-AU"/>
              </w:rPr>
              <w:t>March 2018</w:t>
            </w:r>
          </w:p>
        </w:tc>
        <w:tc>
          <w:tcPr>
            <w:tcW w:w="1198" w:type="pct"/>
            <w:vAlign w:val="center"/>
          </w:tcPr>
          <w:p w14:paraId="372D981E" w14:textId="61B5CF81" w:rsidR="00D417B3" w:rsidRPr="00501526" w:rsidRDefault="00D417B3" w:rsidP="00A760CA">
            <w:pPr>
              <w:pStyle w:val="In-tableHeading"/>
              <w:jc w:val="center"/>
              <w:rPr>
                <w:iCs/>
                <w:lang w:val="en-AU"/>
              </w:rPr>
            </w:pPr>
            <w:r w:rsidRPr="00501526">
              <w:rPr>
                <w:iCs/>
                <w:lang w:val="en-AU"/>
              </w:rPr>
              <w:t>November 2018</w:t>
            </w:r>
          </w:p>
        </w:tc>
        <w:tc>
          <w:tcPr>
            <w:tcW w:w="1132" w:type="pct"/>
            <w:vMerge/>
            <w:vAlign w:val="center"/>
          </w:tcPr>
          <w:p w14:paraId="6B319AED" w14:textId="77777777" w:rsidR="00D417B3" w:rsidRPr="00501526" w:rsidRDefault="00D417B3" w:rsidP="00A760CA">
            <w:pPr>
              <w:pStyle w:val="In-tableHeading"/>
              <w:jc w:val="center"/>
              <w:rPr>
                <w:iCs/>
                <w:lang w:val="en-AU"/>
              </w:rPr>
            </w:pPr>
          </w:p>
        </w:tc>
      </w:tr>
      <w:tr w:rsidR="00D417B3" w:rsidRPr="00501526" w14:paraId="740268CC" w14:textId="77777777" w:rsidTr="00186D33">
        <w:trPr>
          <w:cantSplit/>
        </w:trPr>
        <w:tc>
          <w:tcPr>
            <w:tcW w:w="625" w:type="pct"/>
            <w:vAlign w:val="center"/>
          </w:tcPr>
          <w:p w14:paraId="14283C8B" w14:textId="19B8FE52" w:rsidR="00D417B3" w:rsidRPr="00501526" w:rsidRDefault="00D417B3" w:rsidP="00A760CA">
            <w:pPr>
              <w:pStyle w:val="TableText0"/>
              <w:rPr>
                <w:iCs/>
              </w:rPr>
            </w:pPr>
            <w:r w:rsidRPr="00501526">
              <w:rPr>
                <w:iCs/>
              </w:rPr>
              <w:t>Population</w:t>
            </w:r>
          </w:p>
        </w:tc>
        <w:tc>
          <w:tcPr>
            <w:tcW w:w="2044" w:type="pct"/>
            <w:vAlign w:val="center"/>
          </w:tcPr>
          <w:p w14:paraId="035D16F1" w14:textId="75B5ADC5" w:rsidR="00D417B3" w:rsidRPr="00501526" w:rsidRDefault="00D417B3" w:rsidP="00186D33">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The PBAC sought further evidence regarding processes for determining whether or not a patient is responsive to sapropterin in terms of clinically significant outcomes such as cognitive function and supporting growth.</w:t>
            </w:r>
          </w:p>
          <w:p w14:paraId="66A757CB" w14:textId="7C417ED4" w:rsidR="00D417B3" w:rsidRPr="00501526" w:rsidRDefault="00D417B3" w:rsidP="00186D33">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The PBAC considered that commencement of sapropterin therapy should be restricted to children and adolescents (paras 7.1 -7.4, March 2018 PSD)</w:t>
            </w:r>
          </w:p>
        </w:tc>
        <w:tc>
          <w:tcPr>
            <w:tcW w:w="1198" w:type="pct"/>
            <w:vAlign w:val="center"/>
          </w:tcPr>
          <w:p w14:paraId="7032EA7E" w14:textId="5BE2B1FB" w:rsidR="00D417B3" w:rsidRPr="00501526" w:rsidRDefault="00D417B3" w:rsidP="00186D33">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PBAC reiterated previous consideration that sapropterin should</w:t>
            </w:r>
            <w:r w:rsidR="00186D33" w:rsidRPr="00501526">
              <w:rPr>
                <w:rFonts w:eastAsia="Times New Roman" w:cs="Arial"/>
                <w:bCs w:val="0"/>
                <w:iCs/>
                <w:snapToGrid w:val="0"/>
                <w:color w:val="000000" w:themeColor="text1"/>
                <w:szCs w:val="20"/>
              </w:rPr>
              <w:t xml:space="preserve"> </w:t>
            </w:r>
            <w:r w:rsidRPr="00501526">
              <w:rPr>
                <w:rFonts w:eastAsia="Times New Roman" w:cs="Arial"/>
                <w:bCs w:val="0"/>
                <w:iCs/>
                <w:snapToGrid w:val="0"/>
                <w:color w:val="000000" w:themeColor="text1"/>
                <w:szCs w:val="20"/>
              </w:rPr>
              <w:t>only be commenced in patients who are younger than 18 years of age (para 6.2, November 2018 PSD)</w:t>
            </w:r>
          </w:p>
        </w:tc>
        <w:tc>
          <w:tcPr>
            <w:tcW w:w="1132" w:type="pct"/>
            <w:vAlign w:val="center"/>
          </w:tcPr>
          <w:p w14:paraId="6E832A7B" w14:textId="756FB858" w:rsidR="00D417B3" w:rsidRPr="00501526" w:rsidRDefault="00D417B3" w:rsidP="00186D33">
            <w:pPr>
              <w:pStyle w:val="TableText0"/>
              <w:rPr>
                <w:iCs/>
              </w:rPr>
            </w:pPr>
            <w:r w:rsidRPr="00501526">
              <w:rPr>
                <w:iCs/>
              </w:rPr>
              <w:t xml:space="preserve">No new comparative data </w:t>
            </w:r>
            <w:r w:rsidR="005A4876">
              <w:rPr>
                <w:iCs/>
              </w:rPr>
              <w:t>were</w:t>
            </w:r>
            <w:r w:rsidRPr="00501526">
              <w:rPr>
                <w:iCs/>
              </w:rPr>
              <w:t xml:space="preserve"> presented to provide further evidence of cognitive </w:t>
            </w:r>
            <w:r w:rsidR="00916918" w:rsidRPr="00501526">
              <w:rPr>
                <w:iCs/>
              </w:rPr>
              <w:t>outcomes</w:t>
            </w:r>
            <w:r w:rsidRPr="00501526">
              <w:rPr>
                <w:iCs/>
              </w:rPr>
              <w:t>.</w:t>
            </w:r>
          </w:p>
          <w:p w14:paraId="3CDFE289" w14:textId="3779B813" w:rsidR="00D417B3" w:rsidRPr="00501526" w:rsidRDefault="00D417B3" w:rsidP="00186D33">
            <w:pPr>
              <w:pStyle w:val="TableText0"/>
              <w:rPr>
                <w:rFonts w:eastAsia="Times New Roman" w:cs="Arial"/>
                <w:bCs w:val="0"/>
                <w:iCs/>
                <w:snapToGrid w:val="0"/>
                <w:szCs w:val="20"/>
              </w:rPr>
            </w:pPr>
            <w:r w:rsidRPr="00501526">
              <w:rPr>
                <w:iCs/>
              </w:rPr>
              <w:t xml:space="preserve">Some published literature </w:t>
            </w:r>
            <w:r w:rsidR="00D31654" w:rsidRPr="00501526">
              <w:rPr>
                <w:iCs/>
              </w:rPr>
              <w:t>was briefly</w:t>
            </w:r>
            <w:r w:rsidRPr="00501526">
              <w:rPr>
                <w:iCs/>
              </w:rPr>
              <w:t xml:space="preserve"> referred to </w:t>
            </w:r>
            <w:r w:rsidR="00D31654" w:rsidRPr="00501526">
              <w:rPr>
                <w:iCs/>
              </w:rPr>
              <w:t>in Section 1</w:t>
            </w:r>
            <w:r w:rsidR="00387E68" w:rsidRPr="00501526">
              <w:rPr>
                <w:iCs/>
              </w:rPr>
              <w:t xml:space="preserve"> </w:t>
            </w:r>
            <w:r w:rsidR="00D31654" w:rsidRPr="00501526">
              <w:rPr>
                <w:iCs/>
              </w:rPr>
              <w:t xml:space="preserve">and was used as a premise for modelling benefit in the </w:t>
            </w:r>
            <w:r w:rsidR="00186D33" w:rsidRPr="00501526">
              <w:rPr>
                <w:iCs/>
              </w:rPr>
              <w:t xml:space="preserve">economic </w:t>
            </w:r>
            <w:r w:rsidR="00D31654" w:rsidRPr="00501526">
              <w:rPr>
                <w:iCs/>
              </w:rPr>
              <w:t>evaluation.</w:t>
            </w:r>
          </w:p>
        </w:tc>
      </w:tr>
      <w:tr w:rsidR="00D417B3" w:rsidRPr="00501526" w14:paraId="7F544ADE" w14:textId="77777777" w:rsidTr="00186D33">
        <w:trPr>
          <w:cantSplit/>
        </w:trPr>
        <w:tc>
          <w:tcPr>
            <w:tcW w:w="625" w:type="pct"/>
            <w:vAlign w:val="center"/>
          </w:tcPr>
          <w:p w14:paraId="698AA39F" w14:textId="1DC1F9C9" w:rsidR="00D417B3" w:rsidRPr="00501526" w:rsidRDefault="00D417B3" w:rsidP="00D31E0F">
            <w:pPr>
              <w:pStyle w:val="TableText0"/>
              <w:rPr>
                <w:iCs/>
              </w:rPr>
            </w:pPr>
            <w:r w:rsidRPr="00501526">
              <w:rPr>
                <w:iCs/>
              </w:rPr>
              <w:t>Economic Analysis</w:t>
            </w:r>
          </w:p>
        </w:tc>
        <w:tc>
          <w:tcPr>
            <w:tcW w:w="2044" w:type="pct"/>
            <w:vAlign w:val="center"/>
          </w:tcPr>
          <w:p w14:paraId="54C9C026" w14:textId="77777777" w:rsidR="00D417B3" w:rsidRPr="00501526" w:rsidRDefault="00D417B3" w:rsidP="00186D33">
            <w:pPr>
              <w:pStyle w:val="TableText0"/>
              <w:rPr>
                <w:rFonts w:eastAsia="Times New Roman" w:cs="Arial"/>
                <w:bCs w:val="0"/>
                <w:iCs/>
                <w:snapToGrid w:val="0"/>
                <w:szCs w:val="20"/>
              </w:rPr>
            </w:pPr>
            <w:r w:rsidRPr="00501526">
              <w:rPr>
                <w:rFonts w:eastAsia="Times New Roman" w:cs="Arial"/>
                <w:bCs w:val="0"/>
                <w:iCs/>
                <w:snapToGrid w:val="0"/>
                <w:szCs w:val="20"/>
              </w:rPr>
              <w:t>The PBAC considered that the ICER was unreliable as it was based on:</w:t>
            </w:r>
          </w:p>
          <w:p w14:paraId="506A40B7" w14:textId="0E5A41F4" w:rsidR="00D417B3" w:rsidRPr="00501526" w:rsidRDefault="00D417B3" w:rsidP="0038337A">
            <w:pPr>
              <w:pStyle w:val="TableText0"/>
              <w:numPr>
                <w:ilvl w:val="0"/>
                <w:numId w:val="8"/>
              </w:numPr>
              <w:ind w:left="122" w:hanging="122"/>
              <w:rPr>
                <w:rFonts w:eastAsia="Times New Roman" w:cs="Arial"/>
                <w:bCs w:val="0"/>
                <w:iCs/>
                <w:snapToGrid w:val="0"/>
                <w:szCs w:val="20"/>
              </w:rPr>
            </w:pPr>
            <w:r w:rsidRPr="00501526">
              <w:rPr>
                <w:rFonts w:eastAsia="Times New Roman" w:cs="Arial"/>
                <w:bCs w:val="0"/>
                <w:iCs/>
                <w:snapToGrid w:val="0"/>
                <w:szCs w:val="20"/>
              </w:rPr>
              <w:t>utility weights that lacked face validity.</w:t>
            </w:r>
          </w:p>
          <w:p w14:paraId="68AADFFF" w14:textId="77777777" w:rsidR="00D417B3" w:rsidRPr="00501526" w:rsidRDefault="00D417B3" w:rsidP="0038337A">
            <w:pPr>
              <w:pStyle w:val="TableText0"/>
              <w:numPr>
                <w:ilvl w:val="0"/>
                <w:numId w:val="8"/>
              </w:numPr>
              <w:ind w:left="122" w:hanging="122"/>
              <w:rPr>
                <w:rFonts w:eastAsia="Times New Roman" w:cs="Arial"/>
                <w:bCs w:val="0"/>
                <w:iCs/>
                <w:snapToGrid w:val="0"/>
                <w:szCs w:val="20"/>
              </w:rPr>
            </w:pPr>
            <w:r w:rsidRPr="00501526">
              <w:rPr>
                <w:rFonts w:eastAsia="Times New Roman" w:cs="Arial"/>
                <w:bCs w:val="0"/>
                <w:iCs/>
                <w:snapToGrid w:val="0"/>
                <w:szCs w:val="20"/>
              </w:rPr>
              <w:t>weighting the ICER between two sub-groups</w:t>
            </w:r>
          </w:p>
          <w:p w14:paraId="0D466AFB" w14:textId="6D681C87" w:rsidR="00D417B3" w:rsidRPr="00501526" w:rsidRDefault="00D417B3" w:rsidP="0038337A">
            <w:pPr>
              <w:pStyle w:val="TableText0"/>
              <w:numPr>
                <w:ilvl w:val="0"/>
                <w:numId w:val="8"/>
              </w:numPr>
              <w:ind w:left="122" w:hanging="122"/>
              <w:rPr>
                <w:rFonts w:eastAsia="Times New Roman" w:cs="Arial"/>
                <w:bCs w:val="0"/>
                <w:iCs/>
                <w:snapToGrid w:val="0"/>
                <w:szCs w:val="20"/>
              </w:rPr>
            </w:pPr>
            <w:r w:rsidRPr="00501526">
              <w:rPr>
                <w:rFonts w:eastAsia="Times New Roman" w:cs="Arial"/>
                <w:bCs w:val="0"/>
                <w:iCs/>
                <w:snapToGrid w:val="0"/>
                <w:szCs w:val="20"/>
              </w:rPr>
              <w:t>epidemiological data that were not applicable to the Australian population.</w:t>
            </w:r>
          </w:p>
          <w:p w14:paraId="61FD249D" w14:textId="1105C2F0" w:rsidR="00D417B3" w:rsidRPr="00501526" w:rsidRDefault="00D417B3" w:rsidP="00186D33">
            <w:pPr>
              <w:pStyle w:val="TableText0"/>
              <w:rPr>
                <w:rFonts w:eastAsia="Times New Roman" w:cs="Arial"/>
                <w:bCs w:val="0"/>
                <w:iCs/>
                <w:snapToGrid w:val="0"/>
                <w:szCs w:val="20"/>
              </w:rPr>
            </w:pPr>
            <w:r w:rsidRPr="00501526">
              <w:rPr>
                <w:rFonts w:eastAsia="Times New Roman" w:cs="Arial"/>
                <w:bCs w:val="0"/>
                <w:iCs/>
                <w:snapToGrid w:val="0"/>
                <w:szCs w:val="20"/>
              </w:rPr>
              <w:t>The PBAC considered that the resulting ICER for patients aged 18 years and over, of more than $200,000/QALY, was unacceptably high.</w:t>
            </w:r>
          </w:p>
          <w:p w14:paraId="06B3F191" w14:textId="4F603445" w:rsidR="00D417B3" w:rsidRPr="00501526" w:rsidRDefault="00D417B3" w:rsidP="00186D33">
            <w:pPr>
              <w:pStyle w:val="TableText0"/>
              <w:rPr>
                <w:rFonts w:eastAsia="Times New Roman" w:cs="Arial"/>
                <w:bCs w:val="0"/>
                <w:iCs/>
                <w:snapToGrid w:val="0"/>
                <w:szCs w:val="20"/>
              </w:rPr>
            </w:pPr>
            <w:r w:rsidRPr="00501526">
              <w:rPr>
                <w:rFonts w:eastAsia="Times New Roman" w:cs="Arial"/>
                <w:bCs w:val="0"/>
                <w:iCs/>
                <w:snapToGrid w:val="0"/>
                <w:szCs w:val="20"/>
              </w:rPr>
              <w:t>(paras 7.12-13, March 2018 PSD)</w:t>
            </w:r>
          </w:p>
        </w:tc>
        <w:tc>
          <w:tcPr>
            <w:tcW w:w="1198" w:type="pct"/>
            <w:vAlign w:val="center"/>
          </w:tcPr>
          <w:p w14:paraId="74D4CBFB" w14:textId="0FEA5DE8" w:rsidR="00D417B3" w:rsidRPr="00501526" w:rsidRDefault="00D417B3" w:rsidP="00186D33">
            <w:pPr>
              <w:pStyle w:val="TableText0"/>
              <w:rPr>
                <w:rFonts w:eastAsia="Times New Roman" w:cs="Arial"/>
                <w:bCs w:val="0"/>
                <w:iCs/>
                <w:snapToGrid w:val="0"/>
                <w:szCs w:val="20"/>
              </w:rPr>
            </w:pPr>
            <w:r w:rsidRPr="00501526">
              <w:rPr>
                <w:rFonts w:eastAsia="Times New Roman" w:cs="Arial"/>
                <w:bCs w:val="0"/>
                <w:iCs/>
                <w:snapToGrid w:val="0"/>
                <w:szCs w:val="20"/>
              </w:rPr>
              <w:t xml:space="preserve">While the PBAC considered that </w:t>
            </w:r>
            <w:r w:rsidR="00186D33" w:rsidRPr="00501526">
              <w:rPr>
                <w:rFonts w:eastAsia="Times New Roman" w:cs="Arial"/>
                <w:bCs w:val="0"/>
                <w:iCs/>
                <w:snapToGrid w:val="0"/>
                <w:szCs w:val="20"/>
              </w:rPr>
              <w:t xml:space="preserve">the </w:t>
            </w:r>
            <w:r w:rsidRPr="00501526">
              <w:rPr>
                <w:rFonts w:eastAsia="Times New Roman" w:cs="Arial"/>
                <w:bCs w:val="0"/>
                <w:iCs/>
                <w:snapToGrid w:val="0"/>
                <w:szCs w:val="20"/>
              </w:rPr>
              <w:t>ICER estimated in the resubmission was high, the PBAC considered that the clinically significant outcomes in patients under the age of 18 may not have been fully captured in the economic evaluation.</w:t>
            </w:r>
          </w:p>
        </w:tc>
        <w:tc>
          <w:tcPr>
            <w:tcW w:w="1132" w:type="pct"/>
            <w:vAlign w:val="center"/>
          </w:tcPr>
          <w:p w14:paraId="4047033E" w14:textId="56578C93" w:rsidR="00D417B3" w:rsidRPr="00501526" w:rsidRDefault="00D8062D" w:rsidP="00186D33">
            <w:pPr>
              <w:pStyle w:val="TableText0"/>
              <w:rPr>
                <w:rFonts w:eastAsia="Times New Roman" w:cs="Arial"/>
                <w:bCs w:val="0"/>
                <w:iCs/>
                <w:snapToGrid w:val="0"/>
                <w:szCs w:val="20"/>
              </w:rPr>
            </w:pPr>
            <w:r w:rsidRPr="00501526">
              <w:rPr>
                <w:rFonts w:eastAsia="Times New Roman" w:cs="Arial"/>
                <w:bCs w:val="0"/>
                <w:iCs/>
                <w:snapToGrid w:val="0"/>
                <w:szCs w:val="20"/>
              </w:rPr>
              <w:t xml:space="preserve">A new </w:t>
            </w:r>
            <w:r w:rsidR="00916918" w:rsidRPr="00501526">
              <w:rPr>
                <w:rFonts w:eastAsia="Times New Roman" w:cs="Arial"/>
                <w:bCs w:val="0"/>
                <w:iCs/>
                <w:snapToGrid w:val="0"/>
                <w:szCs w:val="20"/>
              </w:rPr>
              <w:t>m</w:t>
            </w:r>
            <w:r w:rsidRPr="00501526">
              <w:rPr>
                <w:rFonts w:eastAsia="Times New Roman" w:cs="Arial"/>
                <w:bCs w:val="0"/>
                <w:iCs/>
                <w:snapToGrid w:val="0"/>
                <w:szCs w:val="20"/>
              </w:rPr>
              <w:t>icrosimulation model was presented</w:t>
            </w:r>
            <w:r w:rsidR="0095414D">
              <w:rPr>
                <w:rFonts w:eastAsia="Times New Roman" w:cs="Arial"/>
                <w:bCs w:val="0"/>
                <w:iCs/>
                <w:snapToGrid w:val="0"/>
                <w:szCs w:val="20"/>
              </w:rPr>
              <w:t>. The ICER remained</w:t>
            </w:r>
            <w:r w:rsidRPr="00501526">
              <w:rPr>
                <w:rFonts w:eastAsia="Times New Roman" w:cs="Arial"/>
                <w:bCs w:val="0"/>
                <w:iCs/>
                <w:snapToGrid w:val="0"/>
                <w:szCs w:val="20"/>
              </w:rPr>
              <w:t xml:space="preserve"> high. </w:t>
            </w:r>
          </w:p>
        </w:tc>
      </w:tr>
      <w:tr w:rsidR="00D417B3" w:rsidRPr="00501526" w14:paraId="1F76E49C" w14:textId="77777777" w:rsidTr="00186D33">
        <w:trPr>
          <w:cantSplit/>
        </w:trPr>
        <w:tc>
          <w:tcPr>
            <w:tcW w:w="625" w:type="pct"/>
            <w:vAlign w:val="center"/>
          </w:tcPr>
          <w:p w14:paraId="27EEE8A7" w14:textId="2BED4421" w:rsidR="00D417B3" w:rsidRPr="00501526" w:rsidRDefault="00D417B3" w:rsidP="00A760CA">
            <w:pPr>
              <w:pStyle w:val="TableText0"/>
              <w:rPr>
                <w:iCs/>
              </w:rPr>
            </w:pPr>
            <w:r w:rsidRPr="00501526">
              <w:rPr>
                <w:iCs/>
              </w:rPr>
              <w:t>Financials/ RSA</w:t>
            </w:r>
          </w:p>
        </w:tc>
        <w:tc>
          <w:tcPr>
            <w:tcW w:w="2044" w:type="pct"/>
            <w:vAlign w:val="center"/>
          </w:tcPr>
          <w:p w14:paraId="13600478" w14:textId="0B3AAA92" w:rsidR="00D417B3" w:rsidRPr="00501526" w:rsidRDefault="00D417B3" w:rsidP="00186D33">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Revised RSA was required based on updated financial estimates. (para 7.17, March 2018 PSD)</w:t>
            </w:r>
          </w:p>
        </w:tc>
        <w:tc>
          <w:tcPr>
            <w:tcW w:w="1198" w:type="pct"/>
            <w:vAlign w:val="center"/>
          </w:tcPr>
          <w:p w14:paraId="6598331A" w14:textId="77777777" w:rsidR="00D417B3" w:rsidRPr="00501526" w:rsidRDefault="00D417B3" w:rsidP="00186D33">
            <w:pPr>
              <w:pStyle w:val="TableText0"/>
              <w:rPr>
                <w:rFonts w:eastAsia="Times New Roman" w:cs="Arial"/>
                <w:bCs w:val="0"/>
                <w:iCs/>
                <w:snapToGrid w:val="0"/>
                <w:color w:val="000000" w:themeColor="text1"/>
                <w:szCs w:val="20"/>
              </w:rPr>
            </w:pPr>
          </w:p>
        </w:tc>
        <w:tc>
          <w:tcPr>
            <w:tcW w:w="1132" w:type="pct"/>
            <w:vAlign w:val="center"/>
          </w:tcPr>
          <w:p w14:paraId="1AED5F8A" w14:textId="734B971B" w:rsidR="00D417B3" w:rsidRPr="00501526" w:rsidRDefault="00D417B3" w:rsidP="00186D33">
            <w:pPr>
              <w:pStyle w:val="TableText0"/>
              <w:rPr>
                <w:rFonts w:eastAsia="Times New Roman" w:cs="Arial"/>
                <w:bCs w:val="0"/>
                <w:iCs/>
                <w:snapToGrid w:val="0"/>
                <w:szCs w:val="20"/>
              </w:rPr>
            </w:pPr>
            <w:r w:rsidRPr="00501526">
              <w:rPr>
                <w:rFonts w:eastAsia="Times New Roman" w:cs="Arial"/>
                <w:bCs w:val="0"/>
                <w:iCs/>
                <w:snapToGrid w:val="0"/>
                <w:szCs w:val="20"/>
              </w:rPr>
              <w:t>Updated Financials and RSA</w:t>
            </w:r>
          </w:p>
        </w:tc>
      </w:tr>
    </w:tbl>
    <w:p w14:paraId="451D7156" w14:textId="7D493D63" w:rsidR="005C25FF" w:rsidRPr="00501526" w:rsidRDefault="005C25FF" w:rsidP="004E18E9">
      <w:pPr>
        <w:pStyle w:val="TableFigureFooter"/>
        <w:rPr>
          <w:iCs/>
        </w:rPr>
      </w:pPr>
      <w:r w:rsidRPr="00501526">
        <w:rPr>
          <w:iCs/>
        </w:rPr>
        <w:t xml:space="preserve">Source: </w:t>
      </w:r>
      <w:r w:rsidR="00D417B3" w:rsidRPr="00501526">
        <w:rPr>
          <w:iCs/>
        </w:rPr>
        <w:t>Sapropterin March 2018 PSD and Sapropterin November 2018 PSD</w:t>
      </w:r>
    </w:p>
    <w:p w14:paraId="7DC4F4E7" w14:textId="07F42F18" w:rsidR="003331C7" w:rsidRPr="00501526" w:rsidRDefault="003331C7" w:rsidP="00E60FDA">
      <w:pPr>
        <w:pStyle w:val="TableFigureFooter"/>
        <w:spacing w:after="0"/>
        <w:rPr>
          <w:iCs/>
        </w:rPr>
      </w:pPr>
    </w:p>
    <w:p w14:paraId="32ABBFF9" w14:textId="5EC9CE82" w:rsidR="00A24D18" w:rsidRPr="00501526" w:rsidRDefault="003331C7" w:rsidP="003331C7">
      <w:pPr>
        <w:pStyle w:val="3-BodyText"/>
        <w:rPr>
          <w:iCs/>
        </w:rPr>
      </w:pPr>
      <w:r w:rsidRPr="00501526">
        <w:rPr>
          <w:iCs/>
        </w:rPr>
        <w:t xml:space="preserve">The </w:t>
      </w:r>
      <w:r w:rsidR="00ED1EAB" w:rsidRPr="00501526">
        <w:rPr>
          <w:iCs/>
        </w:rPr>
        <w:t>m</w:t>
      </w:r>
      <w:r w:rsidRPr="00501526">
        <w:rPr>
          <w:iCs/>
        </w:rPr>
        <w:t xml:space="preserve">aternal PKU November 2020 PSD also </w:t>
      </w:r>
      <w:r w:rsidR="00A24D18" w:rsidRPr="00501526">
        <w:rPr>
          <w:iCs/>
        </w:rPr>
        <w:t>included PBAC considerations</w:t>
      </w:r>
      <w:r w:rsidRPr="00501526">
        <w:rPr>
          <w:iCs/>
        </w:rPr>
        <w:t xml:space="preserve"> relevant </w:t>
      </w:r>
      <w:r w:rsidR="00A24D18" w:rsidRPr="00501526">
        <w:rPr>
          <w:iCs/>
        </w:rPr>
        <w:t xml:space="preserve">to the current submission. </w:t>
      </w:r>
      <w:r w:rsidR="00186D33" w:rsidRPr="00501526">
        <w:rPr>
          <w:iCs/>
        </w:rPr>
        <w:t>T</w:t>
      </w:r>
      <w:r w:rsidR="00A24D18" w:rsidRPr="00501526">
        <w:rPr>
          <w:iCs/>
        </w:rPr>
        <w:t>hese are presented in</w:t>
      </w:r>
      <w:r w:rsidR="00ED1EAB" w:rsidRPr="00501526">
        <w:rPr>
          <w:iCs/>
        </w:rPr>
        <w:t xml:space="preserve"> </w:t>
      </w:r>
      <w:r w:rsidR="00ED1EAB" w:rsidRPr="00501526">
        <w:rPr>
          <w:iCs/>
        </w:rPr>
        <w:fldChar w:fldCharType="begin"/>
      </w:r>
      <w:r w:rsidR="00ED1EAB" w:rsidRPr="00501526">
        <w:rPr>
          <w:iCs/>
        </w:rPr>
        <w:instrText xml:space="preserve"> REF _Ref102644702 \h  \* MERGEFORMAT </w:instrText>
      </w:r>
      <w:r w:rsidR="00ED1EAB" w:rsidRPr="00501526">
        <w:rPr>
          <w:iCs/>
        </w:rPr>
      </w:r>
      <w:r w:rsidR="00ED1EAB" w:rsidRPr="00501526">
        <w:rPr>
          <w:iCs/>
        </w:rPr>
        <w:fldChar w:fldCharType="separate"/>
      </w:r>
      <w:r w:rsidR="0035299E" w:rsidRPr="0035299E">
        <w:t>Table 3</w:t>
      </w:r>
      <w:r w:rsidR="00ED1EAB" w:rsidRPr="00501526">
        <w:rPr>
          <w:iCs/>
        </w:rPr>
        <w:fldChar w:fldCharType="end"/>
      </w:r>
      <w:r w:rsidR="00ED1EAB" w:rsidRPr="00501526">
        <w:rPr>
          <w:iCs/>
        </w:rPr>
        <w:t>.</w:t>
      </w:r>
    </w:p>
    <w:p w14:paraId="5584562E" w14:textId="2E5E5610" w:rsidR="00A24D18" w:rsidRPr="00501526" w:rsidRDefault="00ED1EAB" w:rsidP="00A24D18">
      <w:pPr>
        <w:pStyle w:val="TableFigureHeading"/>
        <w:rPr>
          <w:rStyle w:val="CommentReference"/>
          <w:b/>
          <w:iCs/>
          <w:szCs w:val="24"/>
        </w:rPr>
      </w:pPr>
      <w:bookmarkStart w:id="11" w:name="_Ref102644702"/>
      <w:r w:rsidRPr="00501526">
        <w:rPr>
          <w:rStyle w:val="CommentReference"/>
          <w:b/>
          <w:iCs/>
          <w:szCs w:val="24"/>
        </w:rPr>
        <w:lastRenderedPageBreak/>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3</w:t>
      </w:r>
      <w:r w:rsidRPr="00501526">
        <w:rPr>
          <w:rStyle w:val="CommentReference"/>
          <w:b/>
          <w:iCs/>
          <w:szCs w:val="24"/>
        </w:rPr>
        <w:fldChar w:fldCharType="end"/>
      </w:r>
      <w:bookmarkEnd w:id="11"/>
      <w:r w:rsidRPr="00501526">
        <w:rPr>
          <w:rStyle w:val="CommentReference"/>
          <w:b/>
          <w:iCs/>
          <w:szCs w:val="24"/>
        </w:rPr>
        <w:t xml:space="preserve">: Relevant </w:t>
      </w:r>
      <w:r w:rsidR="00A24D18" w:rsidRPr="00501526">
        <w:rPr>
          <w:rStyle w:val="CommentReference"/>
          <w:b/>
          <w:iCs/>
          <w:szCs w:val="24"/>
        </w:rPr>
        <w:t>matters of concern</w:t>
      </w:r>
      <w:r w:rsidRPr="00501526">
        <w:rPr>
          <w:rStyle w:val="CommentReference"/>
          <w:b/>
          <w:iCs/>
          <w:szCs w:val="24"/>
        </w:rPr>
        <w:t xml:space="preserve"> in the MPKU November 2020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28"/>
        <w:gridCol w:w="5848"/>
        <w:gridCol w:w="2041"/>
      </w:tblGrid>
      <w:tr w:rsidR="00A24D18" w:rsidRPr="00501526" w14:paraId="77027535" w14:textId="77777777" w:rsidTr="005A1493">
        <w:trPr>
          <w:cantSplit/>
          <w:tblHeader/>
        </w:trPr>
        <w:tc>
          <w:tcPr>
            <w:tcW w:w="625" w:type="pct"/>
            <w:vMerge w:val="restart"/>
            <w:vAlign w:val="center"/>
          </w:tcPr>
          <w:p w14:paraId="50EB0385" w14:textId="77777777" w:rsidR="00A24D18" w:rsidRPr="00501526" w:rsidRDefault="00A24D18" w:rsidP="00C235C5">
            <w:pPr>
              <w:pStyle w:val="In-tableHeading"/>
              <w:rPr>
                <w:iCs/>
                <w:lang w:val="en-AU"/>
              </w:rPr>
            </w:pPr>
            <w:r w:rsidRPr="00501526">
              <w:rPr>
                <w:iCs/>
                <w:lang w:val="en-AU"/>
              </w:rPr>
              <w:t>Component</w:t>
            </w:r>
          </w:p>
        </w:tc>
        <w:tc>
          <w:tcPr>
            <w:tcW w:w="3243" w:type="pct"/>
            <w:vAlign w:val="center"/>
          </w:tcPr>
          <w:p w14:paraId="62F2D2DE" w14:textId="5E5F622D" w:rsidR="00A24D18" w:rsidRPr="00501526" w:rsidRDefault="00A24D18" w:rsidP="00C235C5">
            <w:pPr>
              <w:pStyle w:val="In-tableHeading"/>
              <w:jc w:val="center"/>
              <w:rPr>
                <w:iCs/>
                <w:lang w:val="en-AU"/>
              </w:rPr>
            </w:pPr>
            <w:r w:rsidRPr="00501526">
              <w:rPr>
                <w:iCs/>
                <w:lang w:val="en-AU"/>
              </w:rPr>
              <w:t>Relevant Matter of concern</w:t>
            </w:r>
          </w:p>
        </w:tc>
        <w:tc>
          <w:tcPr>
            <w:tcW w:w="1132" w:type="pct"/>
            <w:vMerge w:val="restart"/>
            <w:vAlign w:val="center"/>
          </w:tcPr>
          <w:p w14:paraId="1890686A" w14:textId="559ECB87" w:rsidR="00A24D18" w:rsidRPr="00501526" w:rsidRDefault="00A24D18" w:rsidP="00C235C5">
            <w:pPr>
              <w:pStyle w:val="In-tableHeading"/>
              <w:jc w:val="center"/>
              <w:rPr>
                <w:iCs/>
                <w:lang w:val="en-AU"/>
              </w:rPr>
            </w:pPr>
            <w:r w:rsidRPr="00501526">
              <w:rPr>
                <w:iCs/>
                <w:lang w:val="en-AU"/>
              </w:rPr>
              <w:t>Comment</w:t>
            </w:r>
          </w:p>
        </w:tc>
      </w:tr>
      <w:tr w:rsidR="00A24D18" w:rsidRPr="00501526" w14:paraId="50AF0C4C" w14:textId="77777777" w:rsidTr="005A1493">
        <w:trPr>
          <w:cantSplit/>
          <w:tblHeader/>
        </w:trPr>
        <w:tc>
          <w:tcPr>
            <w:tcW w:w="625" w:type="pct"/>
            <w:vMerge/>
            <w:vAlign w:val="center"/>
          </w:tcPr>
          <w:p w14:paraId="34577621" w14:textId="77777777" w:rsidR="00A24D18" w:rsidRPr="00501526" w:rsidRDefault="00A24D18" w:rsidP="00C235C5">
            <w:pPr>
              <w:pStyle w:val="In-tableHeading"/>
              <w:rPr>
                <w:iCs/>
                <w:lang w:val="en-AU"/>
              </w:rPr>
            </w:pPr>
          </w:p>
        </w:tc>
        <w:tc>
          <w:tcPr>
            <w:tcW w:w="3243" w:type="pct"/>
            <w:vAlign w:val="center"/>
          </w:tcPr>
          <w:p w14:paraId="47C31061" w14:textId="74D45DF1" w:rsidR="00A24D18" w:rsidRPr="00501526" w:rsidRDefault="00A24D18" w:rsidP="00C235C5">
            <w:pPr>
              <w:pStyle w:val="In-tableHeading"/>
              <w:jc w:val="center"/>
              <w:rPr>
                <w:iCs/>
                <w:lang w:val="en-AU"/>
              </w:rPr>
            </w:pPr>
            <w:r w:rsidRPr="00501526">
              <w:rPr>
                <w:iCs/>
                <w:lang w:val="en-AU"/>
              </w:rPr>
              <w:t>November 2020</w:t>
            </w:r>
          </w:p>
        </w:tc>
        <w:tc>
          <w:tcPr>
            <w:tcW w:w="1132" w:type="pct"/>
            <w:vMerge/>
            <w:vAlign w:val="center"/>
          </w:tcPr>
          <w:p w14:paraId="215839D3" w14:textId="77777777" w:rsidR="00A24D18" w:rsidRPr="00501526" w:rsidRDefault="00A24D18" w:rsidP="00C235C5">
            <w:pPr>
              <w:pStyle w:val="In-tableHeading"/>
              <w:jc w:val="center"/>
              <w:rPr>
                <w:iCs/>
                <w:lang w:val="en-AU"/>
              </w:rPr>
            </w:pPr>
          </w:p>
        </w:tc>
      </w:tr>
      <w:tr w:rsidR="00FF0A09" w:rsidRPr="00501526" w14:paraId="64A5084D" w14:textId="77777777" w:rsidTr="005A1493">
        <w:trPr>
          <w:cantSplit/>
        </w:trPr>
        <w:tc>
          <w:tcPr>
            <w:tcW w:w="625" w:type="pct"/>
            <w:vAlign w:val="center"/>
          </w:tcPr>
          <w:p w14:paraId="6677A5BC" w14:textId="77777777" w:rsidR="00FF0A09" w:rsidRPr="00501526" w:rsidRDefault="00FF0A09" w:rsidP="00C235C5">
            <w:pPr>
              <w:pStyle w:val="TableText0"/>
              <w:rPr>
                <w:iCs/>
              </w:rPr>
            </w:pPr>
            <w:r w:rsidRPr="00501526">
              <w:rPr>
                <w:iCs/>
              </w:rPr>
              <w:t>Population</w:t>
            </w:r>
          </w:p>
        </w:tc>
        <w:tc>
          <w:tcPr>
            <w:tcW w:w="3243" w:type="pct"/>
            <w:vAlign w:val="center"/>
          </w:tcPr>
          <w:p w14:paraId="559FD319" w14:textId="52955526" w:rsidR="00FF0A09" w:rsidRPr="00501526" w:rsidRDefault="00FF0A09" w:rsidP="00251226">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The PBAC acknowledged there is a high clinical need for sapropterin in non-MPKU patients. The PBAC acknowledged the consumer comments that supported a broader listing for any adult with PKU given the likely improvements in cognitive function, mental health and social inclusion. While the impact of PKU on neurological function is more subtle and reversible in adults than it is in babies and children, the PBAC considered that sapropterin is associated with important quality of life benefits in a broader adult population. (paragraph 7.3)</w:t>
            </w:r>
          </w:p>
        </w:tc>
        <w:tc>
          <w:tcPr>
            <w:tcW w:w="1132" w:type="pct"/>
            <w:vMerge w:val="restart"/>
            <w:vAlign w:val="center"/>
          </w:tcPr>
          <w:p w14:paraId="1FBBBBA7" w14:textId="6874EF06" w:rsidR="00FF0A09" w:rsidRPr="00501526" w:rsidRDefault="00FF0A09" w:rsidP="00251226">
            <w:pPr>
              <w:pStyle w:val="TableText0"/>
              <w:rPr>
                <w:rFonts w:eastAsia="Times New Roman" w:cs="Arial"/>
                <w:bCs w:val="0"/>
                <w:iCs/>
                <w:snapToGrid w:val="0"/>
                <w:szCs w:val="20"/>
              </w:rPr>
            </w:pPr>
            <w:r w:rsidRPr="00501526">
              <w:rPr>
                <w:rFonts w:eastAsia="Times New Roman" w:cs="Arial"/>
                <w:bCs w:val="0"/>
                <w:iCs/>
                <w:snapToGrid w:val="0"/>
                <w:szCs w:val="20"/>
              </w:rPr>
              <w:t xml:space="preserve">Overall, the PBAC considerations pointed to an acknowledgment of superiority of sapropterin in the overall adult PKU population, but that </w:t>
            </w:r>
            <w:r w:rsidR="00ED1EAB" w:rsidRPr="00501526">
              <w:rPr>
                <w:rFonts w:eastAsia="Times New Roman" w:cs="Arial"/>
                <w:bCs w:val="0"/>
                <w:iCs/>
                <w:snapToGrid w:val="0"/>
                <w:szCs w:val="20"/>
              </w:rPr>
              <w:t xml:space="preserve">the magnitude of such benefit is challenging to ascertain. </w:t>
            </w:r>
          </w:p>
          <w:p w14:paraId="2B3D73A9" w14:textId="77777777" w:rsidR="00ED1EAB" w:rsidRPr="00501526" w:rsidRDefault="00ED1EAB" w:rsidP="00251226">
            <w:pPr>
              <w:pStyle w:val="TableText0"/>
              <w:rPr>
                <w:rFonts w:eastAsia="Times New Roman" w:cs="Arial"/>
                <w:bCs w:val="0"/>
                <w:iCs/>
                <w:snapToGrid w:val="0"/>
                <w:szCs w:val="20"/>
              </w:rPr>
            </w:pPr>
          </w:p>
          <w:p w14:paraId="10388DCF" w14:textId="6902B09D" w:rsidR="00ED1EAB" w:rsidRPr="00501526" w:rsidRDefault="00ED1EAB" w:rsidP="00251226">
            <w:pPr>
              <w:pStyle w:val="TableText0"/>
              <w:rPr>
                <w:rFonts w:eastAsia="Times New Roman" w:cs="Arial"/>
                <w:bCs w:val="0"/>
                <w:iCs/>
                <w:snapToGrid w:val="0"/>
                <w:szCs w:val="20"/>
              </w:rPr>
            </w:pPr>
            <w:r w:rsidRPr="00501526">
              <w:rPr>
                <w:rFonts w:eastAsia="Times New Roman" w:cs="Arial"/>
                <w:bCs w:val="0"/>
                <w:iCs/>
                <w:snapToGrid w:val="0"/>
                <w:szCs w:val="20"/>
              </w:rPr>
              <w:t>In the MPKU population, the submission noted that cost-effectiveness may be considered on the basis of future impacts on the unborn child.</w:t>
            </w:r>
          </w:p>
        </w:tc>
      </w:tr>
      <w:tr w:rsidR="00FF0A09" w:rsidRPr="00501526" w14:paraId="57EA97E5" w14:textId="77777777" w:rsidTr="005A1493">
        <w:trPr>
          <w:cantSplit/>
        </w:trPr>
        <w:tc>
          <w:tcPr>
            <w:tcW w:w="625" w:type="pct"/>
            <w:vAlign w:val="center"/>
          </w:tcPr>
          <w:p w14:paraId="502C5B87" w14:textId="2C7021A2" w:rsidR="00FF0A09" w:rsidRPr="00501526" w:rsidRDefault="00FF0A09" w:rsidP="00C235C5">
            <w:pPr>
              <w:pStyle w:val="TableText0"/>
              <w:rPr>
                <w:iCs/>
              </w:rPr>
            </w:pPr>
            <w:r w:rsidRPr="00501526">
              <w:rPr>
                <w:iCs/>
              </w:rPr>
              <w:t>Clinical</w:t>
            </w:r>
          </w:p>
        </w:tc>
        <w:tc>
          <w:tcPr>
            <w:tcW w:w="3243" w:type="pct"/>
            <w:vAlign w:val="center"/>
          </w:tcPr>
          <w:p w14:paraId="04898F7B" w14:textId="77777777" w:rsidR="00FF0A09" w:rsidRPr="00501526" w:rsidRDefault="00FF0A09" w:rsidP="00251226">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The PBAC considered that the clinical data presented in this submission and the previous submissions demonstrated that, in all adults, sapropterin has superior comparative effectiveness and non-inferior comparative safety versus a Phe-restricted diet alone. (paragraph 7.8)</w:t>
            </w:r>
          </w:p>
          <w:p w14:paraId="432F0DF0" w14:textId="77777777" w:rsidR="00FF0A09" w:rsidRPr="00501526" w:rsidRDefault="00FF0A09" w:rsidP="00251226">
            <w:pPr>
              <w:pStyle w:val="TableText0"/>
              <w:rPr>
                <w:rFonts w:eastAsia="Times New Roman" w:cs="Arial"/>
                <w:bCs w:val="0"/>
                <w:iCs/>
                <w:snapToGrid w:val="0"/>
                <w:color w:val="000000" w:themeColor="text1"/>
                <w:szCs w:val="20"/>
              </w:rPr>
            </w:pPr>
          </w:p>
          <w:p w14:paraId="50C03C28" w14:textId="66463EFC" w:rsidR="00FF0A09" w:rsidRPr="00501526" w:rsidRDefault="00FF0A09" w:rsidP="00251226">
            <w:pPr>
              <w:pStyle w:val="TableText0"/>
              <w:rPr>
                <w:rFonts w:eastAsia="Times New Roman" w:cs="Arial"/>
                <w:bCs w:val="0"/>
                <w:iCs/>
                <w:snapToGrid w:val="0"/>
                <w:color w:val="000000" w:themeColor="text1"/>
                <w:szCs w:val="20"/>
              </w:rPr>
            </w:pPr>
            <w:r w:rsidRPr="00501526">
              <w:rPr>
                <w:rFonts w:eastAsia="Times New Roman" w:cs="Arial"/>
                <w:bCs w:val="0"/>
                <w:iCs/>
                <w:snapToGrid w:val="0"/>
                <w:color w:val="000000" w:themeColor="text1"/>
                <w:szCs w:val="20"/>
              </w:rPr>
              <w:t>The PBAC considered the clinical benefits of reductions in maternal Phe levels are potentially greater than for the overall PKU population, and more closely resemble the benefits achieved for patients aged under 18 years</w:t>
            </w:r>
            <w:r w:rsidR="00186D33" w:rsidRPr="00501526">
              <w:rPr>
                <w:rFonts w:eastAsia="Times New Roman" w:cs="Arial"/>
                <w:bCs w:val="0"/>
                <w:iCs/>
                <w:snapToGrid w:val="0"/>
                <w:color w:val="000000" w:themeColor="text1"/>
                <w:szCs w:val="20"/>
              </w:rPr>
              <w:t>.</w:t>
            </w:r>
            <w:r w:rsidRPr="00501526">
              <w:rPr>
                <w:rFonts w:eastAsia="Times New Roman" w:cs="Arial"/>
                <w:bCs w:val="0"/>
                <w:iCs/>
                <w:snapToGrid w:val="0"/>
                <w:color w:val="000000" w:themeColor="text1"/>
                <w:szCs w:val="20"/>
              </w:rPr>
              <w:t xml:space="preserve"> (paragraph 7.9)</w:t>
            </w:r>
          </w:p>
        </w:tc>
        <w:tc>
          <w:tcPr>
            <w:tcW w:w="1132" w:type="pct"/>
            <w:vMerge/>
            <w:vAlign w:val="center"/>
          </w:tcPr>
          <w:p w14:paraId="79D0BCDE" w14:textId="77777777" w:rsidR="00FF0A09" w:rsidRPr="00501526" w:rsidRDefault="00FF0A09" w:rsidP="00C235C5">
            <w:pPr>
              <w:pStyle w:val="TableText0"/>
              <w:jc w:val="center"/>
              <w:rPr>
                <w:rFonts w:eastAsia="Times New Roman" w:cs="Arial"/>
                <w:bCs w:val="0"/>
                <w:iCs/>
                <w:snapToGrid w:val="0"/>
                <w:szCs w:val="20"/>
              </w:rPr>
            </w:pPr>
          </w:p>
        </w:tc>
      </w:tr>
      <w:tr w:rsidR="00FF0A09" w:rsidRPr="00501526" w14:paraId="1DFCA1A7" w14:textId="77777777" w:rsidTr="005A1493">
        <w:trPr>
          <w:cantSplit/>
        </w:trPr>
        <w:tc>
          <w:tcPr>
            <w:tcW w:w="625" w:type="pct"/>
            <w:vAlign w:val="center"/>
          </w:tcPr>
          <w:p w14:paraId="2A3C6477" w14:textId="77777777" w:rsidR="00FF0A09" w:rsidRPr="00501526" w:rsidRDefault="00FF0A09" w:rsidP="00C235C5">
            <w:pPr>
              <w:pStyle w:val="TableText0"/>
              <w:rPr>
                <w:iCs/>
              </w:rPr>
            </w:pPr>
            <w:r w:rsidRPr="00501526">
              <w:rPr>
                <w:iCs/>
              </w:rPr>
              <w:t>Economic Analysis</w:t>
            </w:r>
          </w:p>
        </w:tc>
        <w:tc>
          <w:tcPr>
            <w:tcW w:w="3243" w:type="pct"/>
            <w:vAlign w:val="center"/>
          </w:tcPr>
          <w:p w14:paraId="4324CF78" w14:textId="77777777" w:rsidR="00FF0A09" w:rsidRPr="00501526" w:rsidRDefault="00FF0A09" w:rsidP="00251226">
            <w:pPr>
              <w:pStyle w:val="TableText0"/>
              <w:rPr>
                <w:rFonts w:eastAsia="Times New Roman" w:cs="Arial"/>
                <w:bCs w:val="0"/>
                <w:iCs/>
                <w:snapToGrid w:val="0"/>
                <w:szCs w:val="20"/>
              </w:rPr>
            </w:pPr>
            <w:r w:rsidRPr="00501526">
              <w:rPr>
                <w:rFonts w:eastAsia="Times New Roman" w:cs="Arial"/>
                <w:bCs w:val="0"/>
                <w:iCs/>
                <w:snapToGrid w:val="0"/>
                <w:szCs w:val="20"/>
              </w:rPr>
              <w:t>The PBAC considered that while the estimated ICER is high, the economic analysis presented was based on the outcome of the mother’s quality of life while she is on treatment, and did not consider the impact on the unborn child. (paragraph 7.10)</w:t>
            </w:r>
          </w:p>
          <w:p w14:paraId="22476075" w14:textId="77777777" w:rsidR="00FF0A09" w:rsidRPr="00501526" w:rsidRDefault="00FF0A09" w:rsidP="00251226">
            <w:pPr>
              <w:pStyle w:val="TableText0"/>
              <w:rPr>
                <w:rFonts w:eastAsia="Times New Roman" w:cs="Arial"/>
                <w:bCs w:val="0"/>
                <w:iCs/>
                <w:snapToGrid w:val="0"/>
                <w:szCs w:val="20"/>
              </w:rPr>
            </w:pPr>
          </w:p>
          <w:p w14:paraId="1B6CD12C" w14:textId="2FEB4627" w:rsidR="00FF0A09" w:rsidRPr="00501526" w:rsidRDefault="00FF0A09" w:rsidP="00251226">
            <w:pPr>
              <w:pStyle w:val="TableText0"/>
              <w:rPr>
                <w:rFonts w:eastAsia="Times New Roman" w:cs="Arial"/>
                <w:bCs w:val="0"/>
                <w:iCs/>
                <w:snapToGrid w:val="0"/>
                <w:szCs w:val="20"/>
              </w:rPr>
            </w:pPr>
            <w:r w:rsidRPr="00501526">
              <w:rPr>
                <w:rFonts w:eastAsia="Times New Roman" w:cs="Arial"/>
                <w:bCs w:val="0"/>
                <w:iCs/>
                <w:snapToGrid w:val="0"/>
                <w:szCs w:val="20"/>
              </w:rPr>
              <w:t>A resubmission should address issues raised previously by the PBAC, including that the economic model was not reliable for the broader adult population</w:t>
            </w:r>
            <w:r w:rsidR="00186D33" w:rsidRPr="00501526">
              <w:rPr>
                <w:rFonts w:eastAsia="Times New Roman" w:cs="Arial"/>
                <w:bCs w:val="0"/>
                <w:iCs/>
                <w:snapToGrid w:val="0"/>
                <w:szCs w:val="20"/>
              </w:rPr>
              <w:t>.</w:t>
            </w:r>
            <w:r w:rsidRPr="00501526">
              <w:rPr>
                <w:rFonts w:eastAsia="Times New Roman" w:cs="Arial"/>
                <w:bCs w:val="0"/>
                <w:iCs/>
                <w:snapToGrid w:val="0"/>
                <w:szCs w:val="20"/>
              </w:rPr>
              <w:t xml:space="preserve"> (paragraph 7.14)</w:t>
            </w:r>
          </w:p>
        </w:tc>
        <w:tc>
          <w:tcPr>
            <w:tcW w:w="1132" w:type="pct"/>
            <w:vMerge/>
            <w:vAlign w:val="center"/>
          </w:tcPr>
          <w:p w14:paraId="38A145B9" w14:textId="7DE8E982" w:rsidR="00FF0A09" w:rsidRPr="00501526" w:rsidRDefault="00FF0A09" w:rsidP="00C235C5">
            <w:pPr>
              <w:pStyle w:val="TableText0"/>
              <w:jc w:val="center"/>
              <w:rPr>
                <w:rFonts w:eastAsia="Times New Roman" w:cs="Arial"/>
                <w:bCs w:val="0"/>
                <w:iCs/>
                <w:snapToGrid w:val="0"/>
                <w:szCs w:val="20"/>
              </w:rPr>
            </w:pPr>
          </w:p>
        </w:tc>
      </w:tr>
    </w:tbl>
    <w:p w14:paraId="49B918AD" w14:textId="729AE58C" w:rsidR="00A24D18" w:rsidRPr="00501526" w:rsidRDefault="00A24D18" w:rsidP="00A24D18">
      <w:pPr>
        <w:pStyle w:val="TableFigureFooter"/>
        <w:rPr>
          <w:iCs/>
        </w:rPr>
      </w:pPr>
      <w:r w:rsidRPr="00501526">
        <w:rPr>
          <w:iCs/>
        </w:rPr>
        <w:t>Source: Sapropterin November 20</w:t>
      </w:r>
      <w:r w:rsidR="00FF0A09" w:rsidRPr="00501526">
        <w:rPr>
          <w:iCs/>
        </w:rPr>
        <w:t>20</w:t>
      </w:r>
      <w:r w:rsidRPr="00501526">
        <w:rPr>
          <w:iCs/>
        </w:rPr>
        <w:t xml:space="preserve"> PSD</w:t>
      </w:r>
    </w:p>
    <w:p w14:paraId="5BBC628C" w14:textId="5629F932" w:rsidR="0044512C" w:rsidRPr="00501526" w:rsidRDefault="0044512C" w:rsidP="0044512C">
      <w:pPr>
        <w:ind w:firstLine="709"/>
        <w:rPr>
          <w:rFonts w:asciiTheme="minorHAnsi" w:hAnsiTheme="minorHAnsi"/>
          <w:i/>
        </w:rPr>
      </w:pPr>
      <w:bookmarkStart w:id="12" w:name="_Hlk76375324"/>
      <w:bookmarkStart w:id="13" w:name="_Toc103766823"/>
      <w:r w:rsidRPr="00501526">
        <w:rPr>
          <w:rFonts w:asciiTheme="minorHAnsi" w:hAnsiTheme="minorHAnsi"/>
          <w:i/>
        </w:rPr>
        <w:t>For more detail on PBAC’s view, see section 7 PBAC outcome.</w:t>
      </w:r>
      <w:bookmarkEnd w:id="12"/>
    </w:p>
    <w:p w14:paraId="0C66A3EE" w14:textId="77C9F096" w:rsidR="00471C44" w:rsidRPr="001A41BB" w:rsidRDefault="00B50DB8" w:rsidP="001A41BB">
      <w:pPr>
        <w:pStyle w:val="2-SectionHeading"/>
        <w:rPr>
          <w:iCs/>
        </w:rPr>
      </w:pPr>
      <w:r w:rsidRPr="00501526">
        <w:rPr>
          <w:iCs/>
        </w:rPr>
        <w:t>Requested listing</w:t>
      </w:r>
      <w:bookmarkEnd w:id="13"/>
    </w:p>
    <w:tbl>
      <w:tblPr>
        <w:tblW w:w="5000" w:type="pct"/>
        <w:tblInd w:w="28" w:type="dxa"/>
        <w:tblCellMar>
          <w:left w:w="28" w:type="dxa"/>
          <w:right w:w="28" w:type="dxa"/>
        </w:tblCellMar>
        <w:tblLook w:val="0000" w:firstRow="0" w:lastRow="0" w:firstColumn="0" w:lastColumn="0" w:noHBand="0" w:noVBand="0"/>
      </w:tblPr>
      <w:tblGrid>
        <w:gridCol w:w="1539"/>
        <w:gridCol w:w="2230"/>
        <w:gridCol w:w="724"/>
        <w:gridCol w:w="905"/>
        <w:gridCol w:w="1990"/>
        <w:gridCol w:w="814"/>
        <w:gridCol w:w="825"/>
      </w:tblGrid>
      <w:tr w:rsidR="003517F9" w:rsidRPr="00501526" w14:paraId="3F3E5DD2" w14:textId="77777777" w:rsidTr="00E702A3">
        <w:trPr>
          <w:trHeight w:val="463"/>
        </w:trPr>
        <w:tc>
          <w:tcPr>
            <w:tcW w:w="2088" w:type="pct"/>
            <w:gridSpan w:val="2"/>
            <w:tcBorders>
              <w:top w:val="single" w:sz="4" w:space="0" w:color="auto"/>
              <w:bottom w:val="single" w:sz="4" w:space="0" w:color="auto"/>
            </w:tcBorders>
            <w:vAlign w:val="center"/>
          </w:tcPr>
          <w:p w14:paraId="0F6E847E" w14:textId="77777777" w:rsidR="00617E12" w:rsidRPr="00501526" w:rsidRDefault="00617E12" w:rsidP="00617E12">
            <w:pPr>
              <w:keepNext/>
              <w:jc w:val="left"/>
              <w:rPr>
                <w:rFonts w:ascii="Arial Narrow" w:hAnsi="Arial Narrow"/>
                <w:b/>
                <w:iCs/>
                <w:sz w:val="20"/>
              </w:rPr>
            </w:pPr>
            <w:r w:rsidRPr="00501526">
              <w:rPr>
                <w:rFonts w:ascii="Arial Narrow" w:hAnsi="Arial Narrow"/>
                <w:b/>
                <w:iCs/>
                <w:sz w:val="20"/>
              </w:rPr>
              <w:t>Name, Restriction,</w:t>
            </w:r>
          </w:p>
          <w:p w14:paraId="1DDDA174" w14:textId="77777777" w:rsidR="00617E12" w:rsidRPr="00501526" w:rsidRDefault="00617E12" w:rsidP="00617E12">
            <w:pPr>
              <w:keepNext/>
              <w:jc w:val="left"/>
              <w:rPr>
                <w:rFonts w:ascii="Arial Narrow" w:hAnsi="Arial Narrow"/>
                <w:b/>
                <w:iCs/>
                <w:sz w:val="20"/>
              </w:rPr>
            </w:pPr>
            <w:r w:rsidRPr="00501526">
              <w:rPr>
                <w:rFonts w:ascii="Arial Narrow" w:hAnsi="Arial Narrow"/>
                <w:b/>
                <w:iCs/>
                <w:sz w:val="20"/>
              </w:rPr>
              <w:t>Manner of administration and form</w:t>
            </w:r>
          </w:p>
        </w:tc>
        <w:tc>
          <w:tcPr>
            <w:tcW w:w="401" w:type="pct"/>
            <w:tcBorders>
              <w:top w:val="single" w:sz="4" w:space="0" w:color="auto"/>
              <w:bottom w:val="single" w:sz="4" w:space="0" w:color="auto"/>
            </w:tcBorders>
            <w:vAlign w:val="center"/>
          </w:tcPr>
          <w:p w14:paraId="5A87A426" w14:textId="77777777" w:rsidR="00617E12" w:rsidRPr="00501526" w:rsidRDefault="00617E12" w:rsidP="00617E12">
            <w:pPr>
              <w:keepNext/>
              <w:jc w:val="center"/>
              <w:rPr>
                <w:rFonts w:ascii="Arial Narrow" w:hAnsi="Arial Narrow"/>
                <w:b/>
                <w:iCs/>
                <w:sz w:val="20"/>
              </w:rPr>
            </w:pPr>
            <w:r w:rsidRPr="00501526">
              <w:rPr>
                <w:rFonts w:ascii="Arial Narrow" w:hAnsi="Arial Narrow"/>
                <w:b/>
                <w:iCs/>
                <w:sz w:val="20"/>
              </w:rPr>
              <w:t>Max.</w:t>
            </w:r>
          </w:p>
          <w:p w14:paraId="20B12ACF" w14:textId="78DB85BB" w:rsidR="00617E12" w:rsidRPr="00501526" w:rsidRDefault="00617E12" w:rsidP="00617E12">
            <w:pPr>
              <w:keepNext/>
              <w:jc w:val="center"/>
              <w:rPr>
                <w:rFonts w:ascii="Arial Narrow" w:hAnsi="Arial Narrow"/>
                <w:b/>
                <w:iCs/>
                <w:sz w:val="20"/>
              </w:rPr>
            </w:pPr>
            <w:r w:rsidRPr="00501526">
              <w:rPr>
                <w:rFonts w:ascii="Arial Narrow" w:hAnsi="Arial Narrow"/>
                <w:b/>
                <w:iCs/>
                <w:sz w:val="20"/>
              </w:rPr>
              <w:t>Qty</w:t>
            </w:r>
            <w:r w:rsidR="00591957" w:rsidRPr="00501526">
              <w:rPr>
                <w:rFonts w:ascii="Arial Narrow" w:hAnsi="Arial Narrow"/>
                <w:b/>
                <w:iCs/>
                <w:sz w:val="20"/>
              </w:rPr>
              <w:t xml:space="preserve"> </w:t>
            </w:r>
          </w:p>
        </w:tc>
        <w:tc>
          <w:tcPr>
            <w:tcW w:w="501" w:type="pct"/>
            <w:tcBorders>
              <w:top w:val="single" w:sz="4" w:space="0" w:color="auto"/>
              <w:bottom w:val="single" w:sz="4" w:space="0" w:color="auto"/>
            </w:tcBorders>
            <w:vAlign w:val="center"/>
          </w:tcPr>
          <w:p w14:paraId="47C41B58" w14:textId="77777777" w:rsidR="00617E12" w:rsidRPr="00501526" w:rsidRDefault="00617E12" w:rsidP="00617E12">
            <w:pPr>
              <w:keepNext/>
              <w:jc w:val="center"/>
              <w:rPr>
                <w:rFonts w:ascii="Arial Narrow" w:hAnsi="Arial Narrow"/>
                <w:b/>
                <w:iCs/>
                <w:sz w:val="20"/>
              </w:rPr>
            </w:pPr>
            <w:r w:rsidRPr="00501526">
              <w:rPr>
                <w:rFonts w:ascii="Arial Narrow" w:hAnsi="Arial Narrow" w:cs="Times New Roman"/>
                <w:b/>
                <w:iCs/>
                <w:sz w:val="20"/>
              </w:rPr>
              <w:t>№</w:t>
            </w:r>
            <w:r w:rsidRPr="00501526">
              <w:rPr>
                <w:rFonts w:ascii="Arial Narrow" w:hAnsi="Arial Narrow"/>
                <w:b/>
                <w:iCs/>
                <w:sz w:val="20"/>
              </w:rPr>
              <w:t>.of</w:t>
            </w:r>
          </w:p>
          <w:p w14:paraId="4959D822" w14:textId="77777777" w:rsidR="00617E12" w:rsidRPr="00501526" w:rsidRDefault="00617E12" w:rsidP="00617E12">
            <w:pPr>
              <w:keepNext/>
              <w:jc w:val="center"/>
              <w:rPr>
                <w:rFonts w:ascii="Arial Narrow" w:hAnsi="Arial Narrow"/>
                <w:b/>
                <w:iCs/>
                <w:sz w:val="20"/>
              </w:rPr>
            </w:pPr>
            <w:r w:rsidRPr="00501526">
              <w:rPr>
                <w:rFonts w:ascii="Arial Narrow" w:hAnsi="Arial Narrow"/>
                <w:b/>
                <w:iCs/>
                <w:sz w:val="20"/>
              </w:rPr>
              <w:t>Rpts</w:t>
            </w:r>
          </w:p>
        </w:tc>
        <w:tc>
          <w:tcPr>
            <w:tcW w:w="1102" w:type="pct"/>
            <w:tcBorders>
              <w:top w:val="single" w:sz="4" w:space="0" w:color="auto"/>
              <w:bottom w:val="single" w:sz="4" w:space="0" w:color="auto"/>
            </w:tcBorders>
            <w:vAlign w:val="center"/>
          </w:tcPr>
          <w:p w14:paraId="16C5700A" w14:textId="2D34CA5D" w:rsidR="00617E12" w:rsidRPr="00501526" w:rsidRDefault="00617E12" w:rsidP="00617E12">
            <w:pPr>
              <w:keepNext/>
              <w:jc w:val="center"/>
              <w:rPr>
                <w:rFonts w:ascii="Arial Narrow" w:hAnsi="Arial Narrow"/>
                <w:b/>
                <w:iCs/>
                <w:sz w:val="20"/>
              </w:rPr>
            </w:pPr>
            <w:r w:rsidRPr="00501526">
              <w:rPr>
                <w:rFonts w:ascii="Arial Narrow" w:hAnsi="Arial Narrow"/>
                <w:b/>
                <w:iCs/>
                <w:sz w:val="20"/>
              </w:rPr>
              <w:t>Dispensed Price for Max. Qty</w:t>
            </w:r>
            <w:r w:rsidR="00591957" w:rsidRPr="00501526">
              <w:rPr>
                <w:rFonts w:ascii="Arial Narrow" w:hAnsi="Arial Narrow"/>
                <w:b/>
                <w:iCs/>
                <w:sz w:val="20"/>
              </w:rPr>
              <w:t xml:space="preserve"> </w:t>
            </w:r>
          </w:p>
        </w:tc>
        <w:tc>
          <w:tcPr>
            <w:tcW w:w="908" w:type="pct"/>
            <w:gridSpan w:val="2"/>
            <w:tcBorders>
              <w:top w:val="single" w:sz="4" w:space="0" w:color="auto"/>
              <w:bottom w:val="single" w:sz="4" w:space="0" w:color="auto"/>
            </w:tcBorders>
            <w:vAlign w:val="center"/>
          </w:tcPr>
          <w:p w14:paraId="2F67E163" w14:textId="77777777" w:rsidR="00617E12" w:rsidRPr="00501526" w:rsidRDefault="00617E12" w:rsidP="00617E12">
            <w:pPr>
              <w:keepNext/>
              <w:jc w:val="center"/>
              <w:rPr>
                <w:rFonts w:ascii="Arial Narrow" w:hAnsi="Arial Narrow"/>
                <w:b/>
                <w:iCs/>
                <w:sz w:val="20"/>
              </w:rPr>
            </w:pPr>
            <w:r w:rsidRPr="00501526">
              <w:rPr>
                <w:rFonts w:ascii="Arial Narrow" w:hAnsi="Arial Narrow"/>
                <w:b/>
                <w:iCs/>
                <w:sz w:val="20"/>
              </w:rPr>
              <w:t>Proprietary Name and Manufacturer</w:t>
            </w:r>
          </w:p>
        </w:tc>
      </w:tr>
      <w:tr w:rsidR="003517F9" w:rsidRPr="00501526" w14:paraId="7FCBB5F3" w14:textId="77777777" w:rsidTr="00E702A3">
        <w:trPr>
          <w:trHeight w:val="567"/>
        </w:trPr>
        <w:tc>
          <w:tcPr>
            <w:tcW w:w="2088" w:type="pct"/>
            <w:gridSpan w:val="2"/>
            <w:vAlign w:val="center"/>
          </w:tcPr>
          <w:p w14:paraId="6FC0A973" w14:textId="4FB1C0F5" w:rsidR="00D8062D" w:rsidRPr="00501526" w:rsidRDefault="00D8062D" w:rsidP="00B0034D">
            <w:pPr>
              <w:keepNext/>
              <w:jc w:val="left"/>
              <w:rPr>
                <w:rFonts w:ascii="Arial Narrow" w:eastAsia="Calibri" w:hAnsi="Arial Narrow"/>
                <w:b/>
                <w:bCs/>
                <w:iCs/>
                <w:sz w:val="18"/>
                <w:szCs w:val="18"/>
              </w:rPr>
            </w:pPr>
            <w:r w:rsidRPr="00501526">
              <w:rPr>
                <w:rFonts w:ascii="Arial Narrow" w:eastAsia="Calibri" w:hAnsi="Arial Narrow"/>
                <w:b/>
                <w:bCs/>
                <w:iCs/>
                <w:sz w:val="18"/>
                <w:szCs w:val="18"/>
              </w:rPr>
              <w:t>Initial treatment- responsiveness testing</w:t>
            </w:r>
          </w:p>
          <w:p w14:paraId="6CDAD429" w14:textId="1AD81C41" w:rsidR="00B0034D" w:rsidRPr="00501526" w:rsidRDefault="00B0034D" w:rsidP="00B0034D">
            <w:pPr>
              <w:keepNext/>
              <w:jc w:val="left"/>
              <w:rPr>
                <w:rFonts w:ascii="Arial Narrow" w:hAnsi="Arial Narrow"/>
                <w:iCs/>
                <w:sz w:val="18"/>
                <w:szCs w:val="18"/>
              </w:rPr>
            </w:pPr>
            <w:r w:rsidRPr="00501526">
              <w:rPr>
                <w:rFonts w:ascii="Arial Narrow" w:eastAsia="Calibri" w:hAnsi="Arial Narrow"/>
                <w:iCs/>
                <w:sz w:val="18"/>
                <w:szCs w:val="18"/>
              </w:rPr>
              <w:t>Sapropterin dihydrochloride 100 mg soluble tablet, 30</w:t>
            </w:r>
          </w:p>
          <w:p w14:paraId="4BAC1478" w14:textId="77777777" w:rsidR="00B0034D" w:rsidRPr="00501526" w:rsidRDefault="00B0034D" w:rsidP="00B0034D">
            <w:pPr>
              <w:keepNext/>
              <w:jc w:val="left"/>
              <w:rPr>
                <w:rFonts w:ascii="Arial Narrow" w:hAnsi="Arial Narrow"/>
                <w:iCs/>
                <w:sz w:val="18"/>
                <w:szCs w:val="18"/>
              </w:rPr>
            </w:pPr>
          </w:p>
          <w:p w14:paraId="65AD36D4" w14:textId="41CBAE78" w:rsidR="00617E12" w:rsidRPr="00501526" w:rsidRDefault="00B0034D" w:rsidP="00617E12">
            <w:pPr>
              <w:keepNext/>
              <w:jc w:val="left"/>
              <w:rPr>
                <w:rFonts w:ascii="Arial Narrow" w:hAnsi="Arial Narrow"/>
                <w:iCs/>
                <w:sz w:val="18"/>
                <w:szCs w:val="18"/>
              </w:rPr>
            </w:pPr>
            <w:r w:rsidRPr="00501526">
              <w:rPr>
                <w:rFonts w:ascii="Arial Narrow" w:hAnsi="Arial Narrow"/>
                <w:iCs/>
                <w:sz w:val="18"/>
                <w:szCs w:val="18"/>
              </w:rPr>
              <w:t>Sapropterin dihydrochloride 500 mg powder for oral liquid, 30 sachets</w:t>
            </w:r>
          </w:p>
          <w:p w14:paraId="3DF10D88" w14:textId="77777777" w:rsidR="00985315" w:rsidRPr="00501526" w:rsidRDefault="00985315" w:rsidP="00617E12">
            <w:pPr>
              <w:keepNext/>
              <w:jc w:val="left"/>
              <w:rPr>
                <w:rFonts w:ascii="Arial Narrow" w:hAnsi="Arial Narrow"/>
                <w:iCs/>
                <w:sz w:val="18"/>
                <w:szCs w:val="18"/>
              </w:rPr>
            </w:pPr>
          </w:p>
          <w:p w14:paraId="2260E675" w14:textId="77777777" w:rsidR="00D8062D" w:rsidRPr="00501526" w:rsidRDefault="00D8062D" w:rsidP="00985315">
            <w:pPr>
              <w:pStyle w:val="Tabletext"/>
              <w:rPr>
                <w:b/>
                <w:bCs/>
                <w:iCs/>
                <w:sz w:val="18"/>
                <w:szCs w:val="18"/>
              </w:rPr>
            </w:pPr>
            <w:r w:rsidRPr="00501526">
              <w:rPr>
                <w:b/>
                <w:bCs/>
                <w:iCs/>
                <w:sz w:val="18"/>
                <w:szCs w:val="18"/>
              </w:rPr>
              <w:t>First &amp; subsequent Continuing treatment</w:t>
            </w:r>
          </w:p>
          <w:p w14:paraId="7F955328" w14:textId="77777777" w:rsidR="00985315" w:rsidRPr="00501526" w:rsidRDefault="00985315" w:rsidP="00985315">
            <w:pPr>
              <w:keepNext/>
              <w:jc w:val="left"/>
              <w:rPr>
                <w:rFonts w:ascii="Arial Narrow" w:hAnsi="Arial Narrow"/>
                <w:iCs/>
                <w:sz w:val="18"/>
                <w:szCs w:val="18"/>
              </w:rPr>
            </w:pPr>
            <w:r w:rsidRPr="00501526">
              <w:rPr>
                <w:rFonts w:ascii="Arial Narrow" w:eastAsia="Calibri" w:hAnsi="Arial Narrow"/>
                <w:iCs/>
                <w:sz w:val="18"/>
                <w:szCs w:val="18"/>
              </w:rPr>
              <w:t>Sapropterin dihydrochloride 100 mg soluble tablet, 30</w:t>
            </w:r>
          </w:p>
          <w:p w14:paraId="1EA42F8D" w14:textId="77777777" w:rsidR="00985315" w:rsidRPr="00501526" w:rsidRDefault="00985315" w:rsidP="00985315">
            <w:pPr>
              <w:keepNext/>
              <w:jc w:val="left"/>
              <w:rPr>
                <w:rFonts w:ascii="Arial Narrow" w:hAnsi="Arial Narrow"/>
                <w:iCs/>
                <w:sz w:val="18"/>
                <w:szCs w:val="18"/>
              </w:rPr>
            </w:pPr>
          </w:p>
          <w:p w14:paraId="20DB567C" w14:textId="236AB69E" w:rsidR="00D8062D" w:rsidRPr="00501526" w:rsidRDefault="00985315" w:rsidP="00617E12">
            <w:pPr>
              <w:keepNext/>
              <w:jc w:val="left"/>
              <w:rPr>
                <w:rFonts w:ascii="Arial Narrow" w:hAnsi="Arial Narrow"/>
                <w:iCs/>
                <w:sz w:val="18"/>
                <w:szCs w:val="18"/>
              </w:rPr>
            </w:pPr>
            <w:r w:rsidRPr="00501526">
              <w:rPr>
                <w:rFonts w:ascii="Arial Narrow" w:hAnsi="Arial Narrow"/>
                <w:iCs/>
                <w:sz w:val="18"/>
                <w:szCs w:val="18"/>
              </w:rPr>
              <w:t>Sapropterin dihydrochloride 500 mg powder for oral liquid, 30 sachets</w:t>
            </w:r>
          </w:p>
        </w:tc>
        <w:tc>
          <w:tcPr>
            <w:tcW w:w="401" w:type="pct"/>
            <w:vAlign w:val="center"/>
          </w:tcPr>
          <w:p w14:paraId="4266DF89" w14:textId="77777777" w:rsidR="00985315" w:rsidRPr="00501526" w:rsidRDefault="00985315" w:rsidP="00617E12">
            <w:pPr>
              <w:keepNext/>
              <w:jc w:val="center"/>
              <w:rPr>
                <w:rFonts w:ascii="Arial Narrow" w:hAnsi="Arial Narrow"/>
                <w:iCs/>
                <w:sz w:val="18"/>
                <w:szCs w:val="18"/>
              </w:rPr>
            </w:pPr>
          </w:p>
          <w:p w14:paraId="44EAB3B8" w14:textId="4FEC96ED" w:rsidR="00617E12" w:rsidRPr="00501526" w:rsidRDefault="00B0034D" w:rsidP="00617E12">
            <w:pPr>
              <w:keepNext/>
              <w:jc w:val="center"/>
              <w:rPr>
                <w:rFonts w:ascii="Arial Narrow" w:hAnsi="Arial Narrow"/>
                <w:iCs/>
                <w:sz w:val="18"/>
                <w:szCs w:val="18"/>
              </w:rPr>
            </w:pPr>
            <w:r w:rsidRPr="00501526">
              <w:rPr>
                <w:rFonts w:ascii="Arial Narrow" w:hAnsi="Arial Narrow"/>
                <w:iCs/>
                <w:sz w:val="18"/>
                <w:szCs w:val="18"/>
              </w:rPr>
              <w:t>30</w:t>
            </w:r>
          </w:p>
          <w:p w14:paraId="6816761D" w14:textId="77777777" w:rsidR="00B0034D" w:rsidRPr="00501526" w:rsidRDefault="00B0034D" w:rsidP="00985315">
            <w:pPr>
              <w:keepNext/>
              <w:rPr>
                <w:rFonts w:ascii="Arial Narrow" w:hAnsi="Arial Narrow"/>
                <w:iCs/>
                <w:sz w:val="18"/>
                <w:szCs w:val="18"/>
              </w:rPr>
            </w:pPr>
          </w:p>
          <w:p w14:paraId="1A90AB37" w14:textId="77777777" w:rsidR="00B0034D" w:rsidRPr="00501526" w:rsidRDefault="00B0034D" w:rsidP="00617E12">
            <w:pPr>
              <w:keepNext/>
              <w:jc w:val="center"/>
              <w:rPr>
                <w:rFonts w:ascii="Arial Narrow" w:hAnsi="Arial Narrow"/>
                <w:iCs/>
                <w:sz w:val="18"/>
                <w:szCs w:val="18"/>
              </w:rPr>
            </w:pPr>
            <w:r w:rsidRPr="00501526">
              <w:rPr>
                <w:rFonts w:ascii="Arial Narrow" w:hAnsi="Arial Narrow"/>
                <w:iCs/>
                <w:sz w:val="18"/>
                <w:szCs w:val="18"/>
              </w:rPr>
              <w:t>30</w:t>
            </w:r>
          </w:p>
          <w:p w14:paraId="4D076228" w14:textId="6A70D4A2" w:rsidR="00D8062D" w:rsidRPr="00501526" w:rsidRDefault="00D8062D" w:rsidP="00617E12">
            <w:pPr>
              <w:keepNext/>
              <w:jc w:val="center"/>
              <w:rPr>
                <w:rFonts w:ascii="Arial Narrow" w:hAnsi="Arial Narrow"/>
                <w:iCs/>
                <w:sz w:val="18"/>
                <w:szCs w:val="18"/>
              </w:rPr>
            </w:pPr>
          </w:p>
          <w:p w14:paraId="059A28E4" w14:textId="77777777" w:rsidR="00985315" w:rsidRPr="00501526" w:rsidRDefault="00985315" w:rsidP="00617E12">
            <w:pPr>
              <w:keepNext/>
              <w:jc w:val="center"/>
              <w:rPr>
                <w:rFonts w:ascii="Arial Narrow" w:hAnsi="Arial Narrow"/>
                <w:iCs/>
                <w:sz w:val="18"/>
                <w:szCs w:val="18"/>
              </w:rPr>
            </w:pPr>
          </w:p>
          <w:p w14:paraId="4B0C6275" w14:textId="7B1ADF8E" w:rsidR="00D8062D" w:rsidRPr="00501526" w:rsidRDefault="00985315" w:rsidP="00617E12">
            <w:pPr>
              <w:keepNext/>
              <w:jc w:val="center"/>
              <w:rPr>
                <w:rFonts w:ascii="Arial Narrow" w:hAnsi="Arial Narrow"/>
                <w:iCs/>
                <w:sz w:val="18"/>
                <w:szCs w:val="18"/>
              </w:rPr>
            </w:pPr>
            <w:r w:rsidRPr="00501526">
              <w:rPr>
                <w:rFonts w:ascii="Arial Narrow" w:hAnsi="Arial Narrow"/>
                <w:iCs/>
                <w:sz w:val="18"/>
                <w:szCs w:val="18"/>
              </w:rPr>
              <w:t>30</w:t>
            </w:r>
          </w:p>
          <w:p w14:paraId="572AF185" w14:textId="59A6F272" w:rsidR="00D8062D" w:rsidRPr="00501526" w:rsidRDefault="00D8062D" w:rsidP="00617E12">
            <w:pPr>
              <w:keepNext/>
              <w:jc w:val="center"/>
              <w:rPr>
                <w:rFonts w:ascii="Arial Narrow" w:hAnsi="Arial Narrow"/>
                <w:iCs/>
                <w:sz w:val="18"/>
                <w:szCs w:val="18"/>
              </w:rPr>
            </w:pPr>
          </w:p>
          <w:p w14:paraId="74AFDBA6" w14:textId="77777777" w:rsidR="00985315" w:rsidRPr="00501526" w:rsidRDefault="00985315" w:rsidP="00617E12">
            <w:pPr>
              <w:keepNext/>
              <w:jc w:val="center"/>
              <w:rPr>
                <w:rFonts w:ascii="Arial Narrow" w:hAnsi="Arial Narrow"/>
                <w:iCs/>
                <w:sz w:val="18"/>
                <w:szCs w:val="18"/>
              </w:rPr>
            </w:pPr>
          </w:p>
          <w:p w14:paraId="705A434F" w14:textId="6B4FAB70" w:rsidR="00985315" w:rsidRPr="00501526" w:rsidRDefault="00985315" w:rsidP="00617E12">
            <w:pPr>
              <w:keepNext/>
              <w:jc w:val="center"/>
              <w:rPr>
                <w:rFonts w:ascii="Arial Narrow" w:hAnsi="Arial Narrow"/>
                <w:iCs/>
                <w:sz w:val="18"/>
                <w:szCs w:val="18"/>
              </w:rPr>
            </w:pPr>
            <w:r w:rsidRPr="00501526">
              <w:rPr>
                <w:rFonts w:ascii="Arial Narrow" w:hAnsi="Arial Narrow"/>
                <w:iCs/>
                <w:sz w:val="18"/>
                <w:szCs w:val="18"/>
              </w:rPr>
              <w:t>30</w:t>
            </w:r>
          </w:p>
          <w:p w14:paraId="0329C315" w14:textId="3529FA19" w:rsidR="00D8062D" w:rsidRPr="00501526" w:rsidRDefault="00D8062D" w:rsidP="00D8062D">
            <w:pPr>
              <w:keepNext/>
              <w:rPr>
                <w:rFonts w:ascii="Arial Narrow" w:hAnsi="Arial Narrow"/>
                <w:iCs/>
                <w:sz w:val="18"/>
                <w:szCs w:val="18"/>
              </w:rPr>
            </w:pPr>
          </w:p>
        </w:tc>
        <w:tc>
          <w:tcPr>
            <w:tcW w:w="501" w:type="pct"/>
            <w:vAlign w:val="center"/>
          </w:tcPr>
          <w:p w14:paraId="5E3B4710" w14:textId="77777777" w:rsidR="00985315" w:rsidRPr="00501526" w:rsidRDefault="00985315" w:rsidP="00617E12">
            <w:pPr>
              <w:keepNext/>
              <w:jc w:val="center"/>
              <w:rPr>
                <w:rFonts w:ascii="Arial Narrow" w:hAnsi="Arial Narrow"/>
                <w:iCs/>
                <w:sz w:val="18"/>
                <w:szCs w:val="18"/>
              </w:rPr>
            </w:pPr>
          </w:p>
          <w:p w14:paraId="2467AE39" w14:textId="402DC1C9" w:rsidR="00B0034D" w:rsidRPr="00501526" w:rsidRDefault="00985315" w:rsidP="00985315">
            <w:pPr>
              <w:keepNext/>
              <w:jc w:val="center"/>
              <w:rPr>
                <w:rFonts w:ascii="Arial Narrow" w:hAnsi="Arial Narrow"/>
                <w:iCs/>
                <w:sz w:val="18"/>
                <w:szCs w:val="18"/>
              </w:rPr>
            </w:pPr>
            <w:r w:rsidRPr="00501526">
              <w:rPr>
                <w:rFonts w:ascii="Arial Narrow" w:hAnsi="Arial Narrow"/>
                <w:iCs/>
                <w:sz w:val="18"/>
                <w:szCs w:val="18"/>
              </w:rPr>
              <w:t>0</w:t>
            </w:r>
          </w:p>
          <w:p w14:paraId="0E742EDD" w14:textId="77777777" w:rsidR="00B0034D" w:rsidRPr="00501526" w:rsidRDefault="00B0034D" w:rsidP="00985315">
            <w:pPr>
              <w:keepNext/>
              <w:rPr>
                <w:rFonts w:ascii="Arial Narrow" w:hAnsi="Arial Narrow"/>
                <w:iCs/>
                <w:sz w:val="18"/>
                <w:szCs w:val="18"/>
              </w:rPr>
            </w:pPr>
          </w:p>
          <w:p w14:paraId="66BA833C" w14:textId="032BFFCF" w:rsidR="00B0034D" w:rsidRPr="00501526" w:rsidRDefault="00985315" w:rsidP="00617E12">
            <w:pPr>
              <w:keepNext/>
              <w:jc w:val="center"/>
              <w:rPr>
                <w:rFonts w:ascii="Arial Narrow" w:hAnsi="Arial Narrow"/>
                <w:iCs/>
                <w:sz w:val="18"/>
                <w:szCs w:val="18"/>
              </w:rPr>
            </w:pPr>
            <w:r w:rsidRPr="00501526">
              <w:rPr>
                <w:rFonts w:ascii="Arial Narrow" w:hAnsi="Arial Narrow"/>
                <w:iCs/>
                <w:sz w:val="18"/>
                <w:szCs w:val="18"/>
              </w:rPr>
              <w:t>0</w:t>
            </w:r>
          </w:p>
          <w:p w14:paraId="4A5F5B48" w14:textId="061F64BC" w:rsidR="00D8062D" w:rsidRPr="00501526" w:rsidRDefault="00D8062D" w:rsidP="00617E12">
            <w:pPr>
              <w:keepNext/>
              <w:jc w:val="center"/>
              <w:rPr>
                <w:rFonts w:ascii="Arial Narrow" w:hAnsi="Arial Narrow"/>
                <w:iCs/>
                <w:sz w:val="18"/>
                <w:szCs w:val="18"/>
              </w:rPr>
            </w:pPr>
          </w:p>
          <w:p w14:paraId="7D6832B8" w14:textId="77777777" w:rsidR="00985315" w:rsidRPr="00501526" w:rsidRDefault="00985315" w:rsidP="00617E12">
            <w:pPr>
              <w:keepNext/>
              <w:jc w:val="center"/>
              <w:rPr>
                <w:rFonts w:ascii="Arial Narrow" w:hAnsi="Arial Narrow"/>
                <w:iCs/>
                <w:sz w:val="18"/>
                <w:szCs w:val="18"/>
              </w:rPr>
            </w:pPr>
          </w:p>
          <w:p w14:paraId="236AC4EF" w14:textId="4A014C8A" w:rsidR="00D8062D" w:rsidRPr="00501526" w:rsidRDefault="00985315" w:rsidP="00617E12">
            <w:pPr>
              <w:keepNext/>
              <w:jc w:val="center"/>
              <w:rPr>
                <w:rFonts w:ascii="Arial Narrow" w:hAnsi="Arial Narrow"/>
                <w:iCs/>
                <w:sz w:val="18"/>
                <w:szCs w:val="18"/>
              </w:rPr>
            </w:pPr>
            <w:r w:rsidRPr="00501526">
              <w:rPr>
                <w:rFonts w:ascii="Arial Narrow" w:hAnsi="Arial Narrow"/>
                <w:iCs/>
                <w:sz w:val="18"/>
                <w:szCs w:val="18"/>
              </w:rPr>
              <w:t>5</w:t>
            </w:r>
          </w:p>
          <w:p w14:paraId="474431B8" w14:textId="63A0EF60" w:rsidR="00D8062D" w:rsidRPr="00501526" w:rsidRDefault="00D8062D" w:rsidP="00617E12">
            <w:pPr>
              <w:keepNext/>
              <w:jc w:val="center"/>
              <w:rPr>
                <w:rFonts w:ascii="Arial Narrow" w:hAnsi="Arial Narrow"/>
                <w:iCs/>
                <w:sz w:val="18"/>
                <w:szCs w:val="18"/>
              </w:rPr>
            </w:pPr>
          </w:p>
          <w:p w14:paraId="300C0EF7" w14:textId="77777777" w:rsidR="00985315" w:rsidRPr="00501526" w:rsidRDefault="00985315" w:rsidP="00617E12">
            <w:pPr>
              <w:keepNext/>
              <w:jc w:val="center"/>
              <w:rPr>
                <w:rFonts w:ascii="Arial Narrow" w:hAnsi="Arial Narrow"/>
                <w:iCs/>
                <w:sz w:val="18"/>
                <w:szCs w:val="18"/>
              </w:rPr>
            </w:pPr>
          </w:p>
          <w:p w14:paraId="6CA55D51" w14:textId="77777777" w:rsidR="00D8062D" w:rsidRPr="00501526" w:rsidRDefault="00985315" w:rsidP="00617E12">
            <w:pPr>
              <w:keepNext/>
              <w:jc w:val="center"/>
              <w:rPr>
                <w:rFonts w:ascii="Arial Narrow" w:hAnsi="Arial Narrow"/>
                <w:iCs/>
                <w:sz w:val="18"/>
                <w:szCs w:val="18"/>
              </w:rPr>
            </w:pPr>
            <w:r w:rsidRPr="00501526">
              <w:rPr>
                <w:rFonts w:ascii="Arial Narrow" w:hAnsi="Arial Narrow"/>
                <w:iCs/>
                <w:sz w:val="18"/>
                <w:szCs w:val="18"/>
              </w:rPr>
              <w:t>5</w:t>
            </w:r>
          </w:p>
          <w:p w14:paraId="1822E97A" w14:textId="3517C9CC" w:rsidR="00985315" w:rsidRPr="00501526" w:rsidRDefault="00985315" w:rsidP="00617E12">
            <w:pPr>
              <w:keepNext/>
              <w:jc w:val="center"/>
              <w:rPr>
                <w:rFonts w:ascii="Arial Narrow" w:hAnsi="Arial Narrow"/>
                <w:iCs/>
                <w:sz w:val="18"/>
                <w:szCs w:val="18"/>
              </w:rPr>
            </w:pPr>
          </w:p>
        </w:tc>
        <w:tc>
          <w:tcPr>
            <w:tcW w:w="1102" w:type="pct"/>
            <w:vAlign w:val="center"/>
          </w:tcPr>
          <w:p w14:paraId="722B8136" w14:textId="434BDBFB" w:rsidR="00B0034D" w:rsidRPr="00501526" w:rsidRDefault="00B0034D" w:rsidP="00B0034D">
            <w:pPr>
              <w:keepNext/>
              <w:jc w:val="center"/>
              <w:rPr>
                <w:rFonts w:ascii="Arial Narrow" w:hAnsi="Arial Narrow"/>
                <w:iCs/>
                <w:sz w:val="18"/>
                <w:szCs w:val="18"/>
              </w:rPr>
            </w:pPr>
            <w:r w:rsidRPr="00501526">
              <w:rPr>
                <w:rFonts w:ascii="Arial Narrow" w:hAnsi="Arial Narrow"/>
                <w:iCs/>
                <w:sz w:val="18"/>
                <w:szCs w:val="18"/>
              </w:rPr>
              <w:t>$817.00 (published price)</w:t>
            </w:r>
          </w:p>
          <w:p w14:paraId="7EFD8A6E" w14:textId="77F907D1" w:rsidR="00617E12" w:rsidRPr="00501526" w:rsidRDefault="00B0034D" w:rsidP="00B0034D">
            <w:pPr>
              <w:keepNext/>
              <w:jc w:val="center"/>
              <w:rPr>
                <w:rFonts w:ascii="Arial Narrow" w:hAnsi="Arial Narrow"/>
                <w:iCs/>
                <w:sz w:val="18"/>
                <w:szCs w:val="18"/>
              </w:rPr>
            </w:pPr>
            <w:r w:rsidRPr="00501526">
              <w:rPr>
                <w:rFonts w:ascii="Arial Narrow" w:hAnsi="Arial Narrow"/>
                <w:iCs/>
                <w:sz w:val="18"/>
                <w:szCs w:val="18"/>
              </w:rPr>
              <w:t>$</w:t>
            </w:r>
            <w:r w:rsidR="00542E3B" w:rsidRPr="00CF52FB">
              <w:rPr>
                <w:rFonts w:ascii="Arial Narrow" w:hAnsi="Arial Narrow" w:hint="eastAsia"/>
                <w:iCs/>
                <w:color w:val="000000"/>
                <w:w w:val="23"/>
                <w:sz w:val="18"/>
                <w:szCs w:val="18"/>
                <w:shd w:val="solid" w:color="000000" w:fill="000000"/>
                <w:fitText w:val="92" w:id="-1435870464"/>
                <w14:textFill>
                  <w14:solidFill>
                    <w14:srgbClr w14:val="000000">
                      <w14:alpha w14:val="100000"/>
                    </w14:srgbClr>
                  </w14:solidFill>
                </w14:textFill>
              </w:rPr>
              <w:t xml:space="preserve">　</w:t>
            </w:r>
            <w:r w:rsidR="00542E3B" w:rsidRPr="00CF52FB">
              <w:rPr>
                <w:rFonts w:ascii="Arial Narrow" w:hAnsi="Arial Narrow"/>
                <w:iCs/>
                <w:color w:val="000000"/>
                <w:w w:val="23"/>
                <w:sz w:val="18"/>
                <w:szCs w:val="18"/>
                <w:shd w:val="solid" w:color="000000" w:fill="000000"/>
                <w:fitText w:val="92" w:id="-1435870464"/>
                <w14:textFill>
                  <w14:solidFill>
                    <w14:srgbClr w14:val="000000">
                      <w14:alpha w14:val="100000"/>
                    </w14:srgbClr>
                  </w14:solidFill>
                </w14:textFill>
              </w:rPr>
              <w:t>|</w:t>
            </w:r>
            <w:r w:rsidR="00542E3B" w:rsidRPr="00CF52FB">
              <w:rPr>
                <w:rFonts w:ascii="Arial Narrow" w:hAnsi="Arial Narrow" w:hint="eastAsia"/>
                <w:iCs/>
                <w:color w:val="000000"/>
                <w:spacing w:val="1"/>
                <w:w w:val="23"/>
                <w:sz w:val="18"/>
                <w:szCs w:val="18"/>
                <w:shd w:val="solid" w:color="000000" w:fill="000000"/>
                <w:fitText w:val="92" w:id="-1435870464"/>
                <w14:textFill>
                  <w14:solidFill>
                    <w14:srgbClr w14:val="000000">
                      <w14:alpha w14:val="100000"/>
                    </w14:srgbClr>
                  </w14:solidFill>
                </w14:textFill>
              </w:rPr>
              <w:t xml:space="preserve">　</w:t>
            </w:r>
            <w:r w:rsidRPr="00501526">
              <w:rPr>
                <w:rFonts w:ascii="Arial Narrow" w:hAnsi="Arial Narrow"/>
                <w:iCs/>
                <w:sz w:val="18"/>
                <w:szCs w:val="18"/>
              </w:rPr>
              <w:t xml:space="preserve"> (effective price</w:t>
            </w:r>
            <w:r w:rsidR="00917176">
              <w:rPr>
                <w:rFonts w:ascii="Arial Narrow" w:hAnsi="Arial Narrow"/>
                <w:iCs/>
                <w:sz w:val="18"/>
                <w:szCs w:val="18"/>
              </w:rPr>
              <w:t>)</w:t>
            </w:r>
          </w:p>
          <w:p w14:paraId="7B7322FB" w14:textId="77777777" w:rsidR="00B0034D" w:rsidRPr="00501526" w:rsidRDefault="00B0034D" w:rsidP="00B0034D">
            <w:pPr>
              <w:keepNext/>
              <w:rPr>
                <w:rFonts w:ascii="Arial Narrow" w:hAnsi="Arial Narrow"/>
                <w:iCs/>
                <w:sz w:val="18"/>
                <w:szCs w:val="18"/>
              </w:rPr>
            </w:pPr>
          </w:p>
          <w:p w14:paraId="28385C12" w14:textId="71B2EFEA" w:rsidR="00B0034D" w:rsidRPr="00501526" w:rsidRDefault="00B0034D" w:rsidP="00B0034D">
            <w:pPr>
              <w:keepNext/>
              <w:jc w:val="center"/>
              <w:rPr>
                <w:rFonts w:ascii="Arial Narrow" w:eastAsia="Calibri" w:hAnsi="Arial Narrow"/>
                <w:iCs/>
                <w:sz w:val="18"/>
                <w:szCs w:val="18"/>
              </w:rPr>
            </w:pPr>
            <w:r w:rsidRPr="00501526">
              <w:rPr>
                <w:rFonts w:ascii="Arial Narrow" w:eastAsia="Calibri" w:hAnsi="Arial Narrow"/>
                <w:iCs/>
                <w:sz w:val="18"/>
                <w:szCs w:val="18"/>
              </w:rPr>
              <w:t>$4,085.00 (</w:t>
            </w:r>
            <w:r w:rsidRPr="00501526">
              <w:rPr>
                <w:rFonts w:ascii="Arial Narrow" w:hAnsi="Arial Narrow"/>
                <w:iCs/>
                <w:sz w:val="18"/>
                <w:szCs w:val="18"/>
              </w:rPr>
              <w:t>published price)</w:t>
            </w:r>
          </w:p>
          <w:p w14:paraId="0F78D563" w14:textId="7FDBA6CF" w:rsidR="00B0034D" w:rsidRPr="00501526" w:rsidRDefault="00B0034D" w:rsidP="00B0034D">
            <w:pPr>
              <w:keepNext/>
              <w:jc w:val="center"/>
              <w:rPr>
                <w:rFonts w:ascii="Arial Narrow" w:hAnsi="Arial Narrow"/>
                <w:iCs/>
                <w:sz w:val="18"/>
                <w:szCs w:val="18"/>
              </w:rPr>
            </w:pPr>
            <w:r w:rsidRPr="00501526">
              <w:rPr>
                <w:rFonts w:ascii="Arial Narrow" w:eastAsia="Calibri" w:hAnsi="Arial Narrow"/>
                <w:iCs/>
                <w:sz w:val="18"/>
                <w:szCs w:val="18"/>
              </w:rPr>
              <w:t>$</w:t>
            </w:r>
            <w:r w:rsidR="00542E3B" w:rsidRPr="00CF52FB">
              <w:rPr>
                <w:rFonts w:ascii="Arial Narrow" w:eastAsia="Calibri" w:hAnsi="Arial Narrow" w:hint="eastAsia"/>
                <w:iCs/>
                <w:color w:val="000000"/>
                <w:w w:val="23"/>
                <w:sz w:val="18"/>
                <w:szCs w:val="18"/>
                <w:shd w:val="solid" w:color="000000" w:fill="000000"/>
                <w:fitText w:val="92" w:id="-1435870463"/>
                <w14:textFill>
                  <w14:solidFill>
                    <w14:srgbClr w14:val="000000">
                      <w14:alpha w14:val="100000"/>
                    </w14:srgbClr>
                  </w14:solidFill>
                </w14:textFill>
              </w:rPr>
              <w:t xml:space="preserve">　</w:t>
            </w:r>
            <w:r w:rsidR="00542E3B" w:rsidRPr="00CF52FB">
              <w:rPr>
                <w:rFonts w:ascii="Arial Narrow" w:eastAsia="Calibri" w:hAnsi="Arial Narrow"/>
                <w:iCs/>
                <w:color w:val="000000"/>
                <w:w w:val="23"/>
                <w:sz w:val="18"/>
                <w:szCs w:val="18"/>
                <w:shd w:val="solid" w:color="000000" w:fill="000000"/>
                <w:fitText w:val="92" w:id="-1435870463"/>
                <w14:textFill>
                  <w14:solidFill>
                    <w14:srgbClr w14:val="000000">
                      <w14:alpha w14:val="100000"/>
                    </w14:srgbClr>
                  </w14:solidFill>
                </w14:textFill>
              </w:rPr>
              <w:t>|</w:t>
            </w:r>
            <w:r w:rsidR="00542E3B" w:rsidRPr="00CF52FB">
              <w:rPr>
                <w:rFonts w:ascii="Arial Narrow" w:eastAsia="Calibri" w:hAnsi="Arial Narrow" w:hint="eastAsia"/>
                <w:iCs/>
                <w:color w:val="000000"/>
                <w:spacing w:val="1"/>
                <w:w w:val="23"/>
                <w:sz w:val="18"/>
                <w:szCs w:val="18"/>
                <w:shd w:val="solid" w:color="000000" w:fill="000000"/>
                <w:fitText w:val="92" w:id="-1435870463"/>
                <w14:textFill>
                  <w14:solidFill>
                    <w14:srgbClr w14:val="000000">
                      <w14:alpha w14:val="100000"/>
                    </w14:srgbClr>
                  </w14:solidFill>
                </w14:textFill>
              </w:rPr>
              <w:t xml:space="preserve">　</w:t>
            </w:r>
            <w:r w:rsidRPr="00501526">
              <w:rPr>
                <w:rFonts w:ascii="Arial Narrow" w:eastAsia="Calibri" w:hAnsi="Arial Narrow"/>
                <w:iCs/>
                <w:sz w:val="18"/>
                <w:szCs w:val="18"/>
              </w:rPr>
              <w:t xml:space="preserve"> </w:t>
            </w:r>
            <w:r w:rsidRPr="00501526">
              <w:rPr>
                <w:rFonts w:ascii="Arial Narrow" w:hAnsi="Arial Narrow"/>
                <w:iCs/>
                <w:sz w:val="18"/>
                <w:szCs w:val="18"/>
              </w:rPr>
              <w:t>(effective price</w:t>
            </w:r>
            <w:r w:rsidR="00917176">
              <w:rPr>
                <w:rFonts w:ascii="Arial Narrow" w:hAnsi="Arial Narrow"/>
                <w:iCs/>
                <w:sz w:val="18"/>
                <w:szCs w:val="18"/>
              </w:rPr>
              <w:t>)</w:t>
            </w:r>
          </w:p>
          <w:p w14:paraId="4FBA4C8D" w14:textId="77777777" w:rsidR="00D8062D" w:rsidRPr="00501526" w:rsidRDefault="00D8062D" w:rsidP="00B0034D">
            <w:pPr>
              <w:keepNext/>
              <w:jc w:val="center"/>
              <w:rPr>
                <w:rFonts w:ascii="Arial Narrow" w:hAnsi="Arial Narrow"/>
                <w:iCs/>
                <w:sz w:val="18"/>
                <w:szCs w:val="18"/>
              </w:rPr>
            </w:pPr>
          </w:p>
          <w:p w14:paraId="07CF545E" w14:textId="4E9C810B" w:rsidR="00985315" w:rsidRPr="00501526" w:rsidRDefault="008822DA" w:rsidP="00985315">
            <w:pPr>
              <w:keepNext/>
              <w:jc w:val="center"/>
              <w:rPr>
                <w:rFonts w:ascii="Arial Narrow" w:hAnsi="Arial Narrow"/>
                <w:iCs/>
                <w:sz w:val="18"/>
                <w:szCs w:val="18"/>
              </w:rPr>
            </w:pPr>
            <w:r>
              <w:rPr>
                <w:rFonts w:ascii="Arial Narrow" w:hAnsi="Arial Narrow"/>
                <w:iCs/>
                <w:sz w:val="18"/>
                <w:szCs w:val="18"/>
              </w:rPr>
              <w:t>$</w:t>
            </w:r>
            <w:r w:rsidR="00985315" w:rsidRPr="00501526">
              <w:rPr>
                <w:rFonts w:ascii="Arial Narrow" w:hAnsi="Arial Narrow"/>
                <w:iCs/>
                <w:sz w:val="18"/>
                <w:szCs w:val="18"/>
              </w:rPr>
              <w:t>817.00 (published price)</w:t>
            </w:r>
          </w:p>
          <w:p w14:paraId="37E45B90" w14:textId="7519A24F" w:rsidR="00985315" w:rsidRPr="00501526" w:rsidRDefault="00985315" w:rsidP="00985315">
            <w:pPr>
              <w:keepNext/>
              <w:jc w:val="center"/>
              <w:rPr>
                <w:rFonts w:ascii="Arial Narrow" w:hAnsi="Arial Narrow"/>
                <w:iCs/>
                <w:sz w:val="18"/>
                <w:szCs w:val="18"/>
              </w:rPr>
            </w:pPr>
            <w:r w:rsidRPr="00501526">
              <w:rPr>
                <w:rFonts w:ascii="Arial Narrow" w:hAnsi="Arial Narrow"/>
                <w:iCs/>
                <w:sz w:val="18"/>
                <w:szCs w:val="18"/>
              </w:rPr>
              <w:t>$</w:t>
            </w:r>
            <w:r w:rsidR="00542E3B" w:rsidRPr="00CF52FB">
              <w:rPr>
                <w:rFonts w:ascii="Arial Narrow" w:hAnsi="Arial Narrow" w:hint="eastAsia"/>
                <w:iCs/>
                <w:color w:val="000000"/>
                <w:w w:val="23"/>
                <w:sz w:val="18"/>
                <w:szCs w:val="18"/>
                <w:shd w:val="solid" w:color="000000" w:fill="000000"/>
                <w:fitText w:val="92" w:id="-1435870462"/>
                <w14:textFill>
                  <w14:solidFill>
                    <w14:srgbClr w14:val="000000">
                      <w14:alpha w14:val="100000"/>
                    </w14:srgbClr>
                  </w14:solidFill>
                </w14:textFill>
              </w:rPr>
              <w:t xml:space="preserve">　</w:t>
            </w:r>
            <w:r w:rsidR="00542E3B" w:rsidRPr="00CF52FB">
              <w:rPr>
                <w:rFonts w:ascii="Arial Narrow" w:hAnsi="Arial Narrow"/>
                <w:iCs/>
                <w:color w:val="000000"/>
                <w:w w:val="23"/>
                <w:sz w:val="18"/>
                <w:szCs w:val="18"/>
                <w:shd w:val="solid" w:color="000000" w:fill="000000"/>
                <w:fitText w:val="92" w:id="-1435870462"/>
                <w14:textFill>
                  <w14:solidFill>
                    <w14:srgbClr w14:val="000000">
                      <w14:alpha w14:val="100000"/>
                    </w14:srgbClr>
                  </w14:solidFill>
                </w14:textFill>
              </w:rPr>
              <w:t>|</w:t>
            </w:r>
            <w:r w:rsidR="00542E3B" w:rsidRPr="00CF52FB">
              <w:rPr>
                <w:rFonts w:ascii="Arial Narrow" w:hAnsi="Arial Narrow" w:hint="eastAsia"/>
                <w:iCs/>
                <w:color w:val="000000"/>
                <w:spacing w:val="1"/>
                <w:w w:val="23"/>
                <w:sz w:val="18"/>
                <w:szCs w:val="18"/>
                <w:shd w:val="solid" w:color="000000" w:fill="000000"/>
                <w:fitText w:val="92" w:id="-1435870462"/>
                <w14:textFill>
                  <w14:solidFill>
                    <w14:srgbClr w14:val="000000">
                      <w14:alpha w14:val="100000"/>
                    </w14:srgbClr>
                  </w14:solidFill>
                </w14:textFill>
              </w:rPr>
              <w:t xml:space="preserve">　</w:t>
            </w:r>
            <w:r w:rsidRPr="00501526">
              <w:rPr>
                <w:rFonts w:ascii="Arial Narrow" w:hAnsi="Arial Narrow"/>
                <w:iCs/>
                <w:sz w:val="18"/>
                <w:szCs w:val="18"/>
              </w:rPr>
              <w:t xml:space="preserve"> (effective price</w:t>
            </w:r>
            <w:r w:rsidR="00917176">
              <w:rPr>
                <w:rFonts w:ascii="Arial Narrow" w:hAnsi="Arial Narrow"/>
                <w:iCs/>
                <w:sz w:val="18"/>
                <w:szCs w:val="18"/>
              </w:rPr>
              <w:t>)</w:t>
            </w:r>
          </w:p>
          <w:p w14:paraId="4E996CBE" w14:textId="77777777" w:rsidR="00985315" w:rsidRPr="00501526" w:rsidRDefault="00985315" w:rsidP="00985315">
            <w:pPr>
              <w:keepNext/>
              <w:rPr>
                <w:rFonts w:ascii="Arial Narrow" w:hAnsi="Arial Narrow"/>
                <w:iCs/>
                <w:sz w:val="18"/>
                <w:szCs w:val="18"/>
              </w:rPr>
            </w:pPr>
          </w:p>
          <w:p w14:paraId="6EED8F29" w14:textId="77777777" w:rsidR="00985315" w:rsidRPr="00501526" w:rsidRDefault="00985315" w:rsidP="00985315">
            <w:pPr>
              <w:keepNext/>
              <w:jc w:val="center"/>
              <w:rPr>
                <w:rFonts w:ascii="Arial Narrow" w:eastAsia="Calibri" w:hAnsi="Arial Narrow"/>
                <w:iCs/>
                <w:sz w:val="18"/>
                <w:szCs w:val="18"/>
              </w:rPr>
            </w:pPr>
            <w:r w:rsidRPr="00501526">
              <w:rPr>
                <w:rFonts w:ascii="Arial Narrow" w:eastAsia="Calibri" w:hAnsi="Arial Narrow"/>
                <w:iCs/>
                <w:sz w:val="18"/>
                <w:szCs w:val="18"/>
              </w:rPr>
              <w:t>$4,085.00 (</w:t>
            </w:r>
            <w:r w:rsidRPr="00501526">
              <w:rPr>
                <w:rFonts w:ascii="Arial Narrow" w:hAnsi="Arial Narrow"/>
                <w:iCs/>
                <w:sz w:val="18"/>
                <w:szCs w:val="18"/>
              </w:rPr>
              <w:t>published price)</w:t>
            </w:r>
          </w:p>
          <w:p w14:paraId="2097F2B6" w14:textId="13C09BF3" w:rsidR="00D8062D" w:rsidRPr="00501526" w:rsidRDefault="00985315" w:rsidP="00985315">
            <w:pPr>
              <w:keepNext/>
              <w:jc w:val="center"/>
              <w:rPr>
                <w:rFonts w:ascii="Arial Narrow" w:hAnsi="Arial Narrow"/>
                <w:iCs/>
                <w:sz w:val="18"/>
                <w:szCs w:val="18"/>
              </w:rPr>
            </w:pPr>
            <w:r w:rsidRPr="00501526">
              <w:rPr>
                <w:rFonts w:ascii="Arial Narrow" w:eastAsia="Calibri" w:hAnsi="Arial Narrow"/>
                <w:iCs/>
                <w:sz w:val="18"/>
                <w:szCs w:val="18"/>
              </w:rPr>
              <w:t>$</w:t>
            </w:r>
            <w:r w:rsidR="00542E3B" w:rsidRPr="00CF52FB">
              <w:rPr>
                <w:rFonts w:ascii="Arial Narrow" w:eastAsia="Calibri" w:hAnsi="Arial Narrow" w:hint="eastAsia"/>
                <w:iCs/>
                <w:color w:val="000000"/>
                <w:w w:val="23"/>
                <w:sz w:val="18"/>
                <w:szCs w:val="18"/>
                <w:shd w:val="solid" w:color="000000" w:fill="000000"/>
                <w:fitText w:val="92" w:id="-1435870461"/>
                <w14:textFill>
                  <w14:solidFill>
                    <w14:srgbClr w14:val="000000">
                      <w14:alpha w14:val="100000"/>
                    </w14:srgbClr>
                  </w14:solidFill>
                </w14:textFill>
              </w:rPr>
              <w:t xml:space="preserve">　</w:t>
            </w:r>
            <w:r w:rsidR="00542E3B" w:rsidRPr="00CF52FB">
              <w:rPr>
                <w:rFonts w:ascii="Arial Narrow" w:eastAsia="Calibri" w:hAnsi="Arial Narrow"/>
                <w:iCs/>
                <w:color w:val="000000"/>
                <w:w w:val="23"/>
                <w:sz w:val="18"/>
                <w:szCs w:val="18"/>
                <w:shd w:val="solid" w:color="000000" w:fill="000000"/>
                <w:fitText w:val="92" w:id="-1435870461"/>
                <w14:textFill>
                  <w14:solidFill>
                    <w14:srgbClr w14:val="000000">
                      <w14:alpha w14:val="100000"/>
                    </w14:srgbClr>
                  </w14:solidFill>
                </w14:textFill>
              </w:rPr>
              <w:t>|</w:t>
            </w:r>
            <w:r w:rsidR="00542E3B" w:rsidRPr="00CF52FB">
              <w:rPr>
                <w:rFonts w:ascii="Arial Narrow" w:eastAsia="Calibri" w:hAnsi="Arial Narrow" w:hint="eastAsia"/>
                <w:iCs/>
                <w:color w:val="000000"/>
                <w:spacing w:val="1"/>
                <w:w w:val="23"/>
                <w:sz w:val="18"/>
                <w:szCs w:val="18"/>
                <w:shd w:val="solid" w:color="000000" w:fill="000000"/>
                <w:fitText w:val="92" w:id="-1435870461"/>
                <w14:textFill>
                  <w14:solidFill>
                    <w14:srgbClr w14:val="000000">
                      <w14:alpha w14:val="100000"/>
                    </w14:srgbClr>
                  </w14:solidFill>
                </w14:textFill>
              </w:rPr>
              <w:t xml:space="preserve">　</w:t>
            </w:r>
            <w:r w:rsidRPr="00501526">
              <w:rPr>
                <w:rFonts w:ascii="Arial Narrow" w:eastAsia="Calibri" w:hAnsi="Arial Narrow"/>
                <w:iCs/>
                <w:sz w:val="18"/>
                <w:szCs w:val="18"/>
              </w:rPr>
              <w:t xml:space="preserve"> </w:t>
            </w:r>
            <w:r w:rsidRPr="00501526">
              <w:rPr>
                <w:rFonts w:ascii="Arial Narrow" w:hAnsi="Arial Narrow"/>
                <w:iCs/>
                <w:sz w:val="18"/>
                <w:szCs w:val="18"/>
              </w:rPr>
              <w:t>(effective price</w:t>
            </w:r>
            <w:r w:rsidR="00917176">
              <w:rPr>
                <w:rFonts w:ascii="Arial Narrow" w:hAnsi="Arial Narrow"/>
                <w:iCs/>
                <w:sz w:val="18"/>
                <w:szCs w:val="18"/>
              </w:rPr>
              <w:t>)</w:t>
            </w:r>
          </w:p>
        </w:tc>
        <w:tc>
          <w:tcPr>
            <w:tcW w:w="451" w:type="pct"/>
            <w:vAlign w:val="center"/>
          </w:tcPr>
          <w:p w14:paraId="0047029E" w14:textId="2470F295" w:rsidR="00617E12" w:rsidRPr="00501526" w:rsidRDefault="00B0034D" w:rsidP="00617E12">
            <w:pPr>
              <w:keepNext/>
              <w:jc w:val="center"/>
              <w:rPr>
                <w:rFonts w:ascii="Arial Narrow" w:hAnsi="Arial Narrow"/>
                <w:iCs/>
                <w:sz w:val="18"/>
                <w:szCs w:val="18"/>
              </w:rPr>
            </w:pPr>
            <w:r w:rsidRPr="00501526">
              <w:rPr>
                <w:rFonts w:ascii="Arial Narrow" w:hAnsi="Arial Narrow"/>
                <w:iCs/>
                <w:sz w:val="18"/>
                <w:szCs w:val="18"/>
              </w:rPr>
              <w:t>KUVAN</w:t>
            </w:r>
          </w:p>
        </w:tc>
        <w:tc>
          <w:tcPr>
            <w:tcW w:w="457" w:type="pct"/>
            <w:vAlign w:val="center"/>
          </w:tcPr>
          <w:p w14:paraId="3F3C1A5A" w14:textId="3CE168EF" w:rsidR="00591957" w:rsidRPr="00501526" w:rsidRDefault="00B0034D" w:rsidP="00EC0DD9">
            <w:pPr>
              <w:keepNext/>
              <w:jc w:val="center"/>
              <w:rPr>
                <w:rFonts w:ascii="Arial Narrow" w:hAnsi="Arial Narrow"/>
                <w:iCs/>
                <w:sz w:val="18"/>
                <w:szCs w:val="18"/>
              </w:rPr>
            </w:pPr>
            <w:r w:rsidRPr="00501526">
              <w:rPr>
                <w:rFonts w:ascii="Arial Narrow" w:hAnsi="Arial Narrow"/>
                <w:iCs/>
                <w:sz w:val="18"/>
                <w:szCs w:val="18"/>
              </w:rPr>
              <w:t>BioMarin</w:t>
            </w:r>
          </w:p>
        </w:tc>
      </w:tr>
      <w:tr w:rsidR="00542C2D" w:rsidRPr="00501526" w14:paraId="714ABA0E"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37D692F1" w14:textId="1D344C53" w:rsidR="00542C2D" w:rsidRPr="00501526" w:rsidRDefault="00591957" w:rsidP="008822DA">
            <w:pPr>
              <w:pStyle w:val="Tabletext"/>
              <w:keepLines/>
              <w:rPr>
                <w:iCs/>
              </w:rPr>
            </w:pPr>
            <w:r w:rsidRPr="00501526">
              <w:rPr>
                <w:iCs/>
              </w:rPr>
              <w:t>Category/Program:</w:t>
            </w:r>
          </w:p>
        </w:tc>
        <w:tc>
          <w:tcPr>
            <w:tcW w:w="4147" w:type="pct"/>
            <w:gridSpan w:val="6"/>
            <w:tcBorders>
              <w:top w:val="single" w:sz="4" w:space="0" w:color="auto"/>
              <w:left w:val="single" w:sz="4" w:space="0" w:color="auto"/>
              <w:bottom w:val="single" w:sz="4" w:space="0" w:color="auto"/>
              <w:right w:val="single" w:sz="4" w:space="0" w:color="auto"/>
            </w:tcBorders>
          </w:tcPr>
          <w:p w14:paraId="3DD00B35" w14:textId="51DA287C" w:rsidR="00542C2D" w:rsidRPr="00501526" w:rsidRDefault="00591957" w:rsidP="008822DA">
            <w:pPr>
              <w:pStyle w:val="Tabletext"/>
              <w:keepLines/>
              <w:rPr>
                <w:iCs/>
              </w:rPr>
            </w:pPr>
            <w:r w:rsidRPr="00501526">
              <w:rPr>
                <w:iCs/>
              </w:rPr>
              <w:t>General Schedule</w:t>
            </w:r>
          </w:p>
        </w:tc>
      </w:tr>
      <w:tr w:rsidR="00542C2D" w:rsidRPr="00501526" w14:paraId="6A82E2AD"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5AD0A811" w14:textId="4DA0756A" w:rsidR="00542C2D" w:rsidRPr="00501526" w:rsidRDefault="00591957" w:rsidP="008822DA">
            <w:pPr>
              <w:pStyle w:val="Tabletext"/>
              <w:keepLines/>
              <w:rPr>
                <w:iCs/>
              </w:rPr>
            </w:pPr>
            <w:r w:rsidRPr="00501526">
              <w:rPr>
                <w:iCs/>
              </w:rPr>
              <w:t>PBS indication:</w:t>
            </w:r>
          </w:p>
        </w:tc>
        <w:tc>
          <w:tcPr>
            <w:tcW w:w="4147" w:type="pct"/>
            <w:gridSpan w:val="6"/>
            <w:tcBorders>
              <w:top w:val="single" w:sz="4" w:space="0" w:color="auto"/>
              <w:left w:val="single" w:sz="4" w:space="0" w:color="auto"/>
              <w:bottom w:val="single" w:sz="4" w:space="0" w:color="auto"/>
              <w:right w:val="single" w:sz="4" w:space="0" w:color="auto"/>
            </w:tcBorders>
          </w:tcPr>
          <w:p w14:paraId="11CC6D1E" w14:textId="06E98D90" w:rsidR="00542C2D" w:rsidRPr="00501526" w:rsidRDefault="000B3130" w:rsidP="008822DA">
            <w:pPr>
              <w:pStyle w:val="Tabletext"/>
              <w:keepLines/>
              <w:rPr>
                <w:iCs/>
              </w:rPr>
            </w:pPr>
            <w:r w:rsidRPr="00501526">
              <w:rPr>
                <w:iCs/>
              </w:rPr>
              <w:t>Hyperphenylalaninemia (HPA) due to phenylketonuria (PKU)</w:t>
            </w:r>
          </w:p>
        </w:tc>
      </w:tr>
      <w:tr w:rsidR="000B3130" w:rsidRPr="00501526" w14:paraId="3A6926EA"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6D5E64BB" w14:textId="007E9237" w:rsidR="000B3130" w:rsidRPr="00501526" w:rsidRDefault="000B3130" w:rsidP="00591957">
            <w:pPr>
              <w:pStyle w:val="Tabletext"/>
              <w:rPr>
                <w:iCs/>
              </w:rPr>
            </w:pPr>
            <w:r w:rsidRPr="00501526">
              <w:rPr>
                <w:iCs/>
              </w:rPr>
              <w:t>Treatment phase:</w:t>
            </w:r>
          </w:p>
        </w:tc>
        <w:tc>
          <w:tcPr>
            <w:tcW w:w="4147" w:type="pct"/>
            <w:gridSpan w:val="6"/>
            <w:tcBorders>
              <w:top w:val="single" w:sz="4" w:space="0" w:color="auto"/>
              <w:left w:val="single" w:sz="4" w:space="0" w:color="auto"/>
              <w:bottom w:val="single" w:sz="4" w:space="0" w:color="auto"/>
              <w:right w:val="single" w:sz="4" w:space="0" w:color="auto"/>
            </w:tcBorders>
          </w:tcPr>
          <w:p w14:paraId="594B5783" w14:textId="4B186FBD" w:rsidR="000B3130" w:rsidRPr="00501526" w:rsidRDefault="000B3130" w:rsidP="00591957">
            <w:pPr>
              <w:pStyle w:val="Tabletext"/>
              <w:rPr>
                <w:iCs/>
              </w:rPr>
            </w:pPr>
            <w:r w:rsidRPr="00501526">
              <w:rPr>
                <w:iCs/>
              </w:rPr>
              <w:t>Initial treatment - responsiveness testing</w:t>
            </w:r>
          </w:p>
        </w:tc>
      </w:tr>
      <w:tr w:rsidR="000B3130" w:rsidRPr="00501526" w14:paraId="0A6C1214"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3D2505E5" w14:textId="79B1A257" w:rsidR="000B3130" w:rsidRPr="00501526" w:rsidRDefault="000B3130" w:rsidP="000B3130">
            <w:pPr>
              <w:pStyle w:val="Tabletext"/>
              <w:rPr>
                <w:iCs/>
              </w:rPr>
            </w:pPr>
            <w:r w:rsidRPr="00501526">
              <w:rPr>
                <w:iCs/>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7BA8039E" w14:textId="77777777" w:rsidR="000B3130" w:rsidRPr="00501526" w:rsidRDefault="000B3130" w:rsidP="000B3130">
            <w:pPr>
              <w:pStyle w:val="Tabletext"/>
              <w:rPr>
                <w:iCs/>
              </w:rPr>
            </w:pPr>
            <w:bookmarkStart w:id="14" w:name="_Hlk109309344"/>
            <w:r w:rsidRPr="00501526">
              <w:rPr>
                <w:iCs/>
              </w:rPr>
              <w:t>Patient must not have previously received PBS-subsidised treatment with this drug for this condition</w:t>
            </w:r>
            <w:bookmarkEnd w:id="14"/>
            <w:r w:rsidRPr="00501526">
              <w:rPr>
                <w:iCs/>
              </w:rPr>
              <w:t>;</w:t>
            </w:r>
          </w:p>
          <w:p w14:paraId="0776C29E" w14:textId="77777777" w:rsidR="000B3130" w:rsidRPr="00501526" w:rsidRDefault="000B3130" w:rsidP="000B3130">
            <w:pPr>
              <w:pStyle w:val="Tabletext"/>
              <w:rPr>
                <w:iCs/>
              </w:rPr>
            </w:pPr>
            <w:r w:rsidRPr="00501526">
              <w:rPr>
                <w:iCs/>
              </w:rPr>
              <w:t>AND</w:t>
            </w:r>
          </w:p>
          <w:p w14:paraId="66F5E72A" w14:textId="74FFA5A8" w:rsidR="000B3130" w:rsidRPr="00501526" w:rsidRDefault="000B3130" w:rsidP="000B3130">
            <w:pPr>
              <w:pStyle w:val="Tabletext"/>
              <w:rPr>
                <w:iCs/>
              </w:rPr>
            </w:pPr>
            <w:r w:rsidRPr="00501526">
              <w:rPr>
                <w:iCs/>
              </w:rPr>
              <w:t>Patient must have a baseline blood phenylalanine level above 360 micromole per L and be less than one month of age;</w:t>
            </w:r>
          </w:p>
          <w:p w14:paraId="3DB53C58" w14:textId="532253CE" w:rsidR="000B3130" w:rsidRPr="00501526" w:rsidRDefault="000B3130" w:rsidP="000B3130">
            <w:pPr>
              <w:pStyle w:val="Tabletext"/>
              <w:rPr>
                <w:iCs/>
              </w:rPr>
            </w:pPr>
            <w:r w:rsidRPr="00501526">
              <w:rPr>
                <w:iCs/>
              </w:rPr>
              <w:t xml:space="preserve"> OR </w:t>
            </w:r>
          </w:p>
          <w:p w14:paraId="099841C7" w14:textId="56FAD7D1" w:rsidR="000B3130" w:rsidRPr="00501526" w:rsidRDefault="000B3130" w:rsidP="00C63EEA">
            <w:pPr>
              <w:pStyle w:val="Tabletext"/>
              <w:rPr>
                <w:iCs/>
              </w:rPr>
            </w:pPr>
            <w:r w:rsidRPr="00501526">
              <w:rPr>
                <w:iCs/>
              </w:rPr>
              <w:lastRenderedPageBreak/>
              <w:t>Patient must have a baseline blood phenylalanine level above 600 micromole per L and be more than one month of age;</w:t>
            </w:r>
          </w:p>
          <w:p w14:paraId="3BA37795" w14:textId="77777777" w:rsidR="000B3130" w:rsidRPr="00501526" w:rsidRDefault="000B3130" w:rsidP="000B3130">
            <w:pPr>
              <w:pStyle w:val="Tabletext"/>
              <w:rPr>
                <w:iCs/>
              </w:rPr>
            </w:pPr>
            <w:r w:rsidRPr="00501526">
              <w:rPr>
                <w:iCs/>
              </w:rPr>
              <w:t>AND</w:t>
            </w:r>
          </w:p>
          <w:p w14:paraId="5557721B" w14:textId="6E4B331B" w:rsidR="000B3130" w:rsidRPr="00501526" w:rsidRDefault="000B3130" w:rsidP="000B3130">
            <w:pPr>
              <w:pStyle w:val="Tabletext"/>
              <w:rPr>
                <w:iCs/>
              </w:rPr>
            </w:pPr>
            <w:r w:rsidRPr="00501526">
              <w:rPr>
                <w:iCs/>
              </w:rPr>
              <w:t xml:space="preserve">The treatment must be for the purpose of initial responsiveness testing for a period of 24 hours in a patient less than one month of age; </w:t>
            </w:r>
          </w:p>
          <w:p w14:paraId="501F796F" w14:textId="43920F08" w:rsidR="000B3130" w:rsidRPr="00501526" w:rsidRDefault="000B3130" w:rsidP="000B3130">
            <w:pPr>
              <w:pStyle w:val="Tabletext"/>
              <w:rPr>
                <w:iCs/>
              </w:rPr>
            </w:pPr>
            <w:r w:rsidRPr="00501526">
              <w:rPr>
                <w:iCs/>
              </w:rPr>
              <w:t xml:space="preserve">OR </w:t>
            </w:r>
          </w:p>
          <w:p w14:paraId="505FE8A0" w14:textId="1E351FD4" w:rsidR="000B3130" w:rsidRPr="00501526" w:rsidRDefault="000B3130" w:rsidP="000B3130">
            <w:pPr>
              <w:pStyle w:val="Tabletext"/>
              <w:rPr>
                <w:iCs/>
              </w:rPr>
            </w:pPr>
            <w:r w:rsidRPr="00501526">
              <w:rPr>
                <w:iCs/>
              </w:rPr>
              <w:t>The treatment must be for the purpose of initial responsiveness testing for a period of 7 days in a patient aged more than one month</w:t>
            </w:r>
          </w:p>
        </w:tc>
      </w:tr>
      <w:tr w:rsidR="00BA3A18" w:rsidRPr="00501526" w14:paraId="768B10C9"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790848D3" w14:textId="1692530E" w:rsidR="00BA3A18" w:rsidRPr="00501526" w:rsidRDefault="00BA3A18" w:rsidP="000B3130">
            <w:pPr>
              <w:pStyle w:val="Tabletext"/>
              <w:rPr>
                <w:iCs/>
              </w:rPr>
            </w:pPr>
            <w:r w:rsidRPr="00501526">
              <w:rPr>
                <w:iCs/>
              </w:rPr>
              <w:lastRenderedPageBreak/>
              <w:t>Population criteria:</w:t>
            </w:r>
          </w:p>
        </w:tc>
        <w:tc>
          <w:tcPr>
            <w:tcW w:w="4147" w:type="pct"/>
            <w:gridSpan w:val="6"/>
            <w:tcBorders>
              <w:top w:val="single" w:sz="4" w:space="0" w:color="auto"/>
              <w:left w:val="single" w:sz="4" w:space="0" w:color="auto"/>
              <w:bottom w:val="single" w:sz="4" w:space="0" w:color="auto"/>
              <w:right w:val="single" w:sz="4" w:space="0" w:color="auto"/>
            </w:tcBorders>
          </w:tcPr>
          <w:p w14:paraId="4DDEC727" w14:textId="4ECA2302" w:rsidR="00BA3A18" w:rsidRPr="00501526" w:rsidRDefault="002657BA" w:rsidP="000B3130">
            <w:pPr>
              <w:pStyle w:val="Tabletext"/>
              <w:rPr>
                <w:b/>
                <w:bCs/>
                <w:iCs/>
                <w:strike/>
              </w:rPr>
            </w:pPr>
            <w:r w:rsidRPr="00501526">
              <w:rPr>
                <w:b/>
                <w:bCs/>
                <w:iCs/>
                <w:strike/>
              </w:rPr>
              <w:t>Patient must be under 18 years of age.</w:t>
            </w:r>
          </w:p>
        </w:tc>
      </w:tr>
      <w:tr w:rsidR="000B3130" w:rsidRPr="00501526" w14:paraId="0F4E4B45"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440B80D6" w14:textId="2EADECF3" w:rsidR="000B3130" w:rsidRPr="00501526" w:rsidRDefault="000B3130" w:rsidP="000B3130">
            <w:pPr>
              <w:pStyle w:val="Tabletext"/>
              <w:rPr>
                <w:iCs/>
              </w:rPr>
            </w:pPr>
            <w:r w:rsidRPr="00501526">
              <w:rPr>
                <w:iCs/>
              </w:rPr>
              <w:t>Treatment criteria:</w:t>
            </w:r>
          </w:p>
        </w:tc>
        <w:tc>
          <w:tcPr>
            <w:tcW w:w="4147" w:type="pct"/>
            <w:gridSpan w:val="6"/>
            <w:tcBorders>
              <w:top w:val="single" w:sz="4" w:space="0" w:color="auto"/>
              <w:left w:val="single" w:sz="4" w:space="0" w:color="auto"/>
              <w:bottom w:val="single" w:sz="4" w:space="0" w:color="auto"/>
              <w:right w:val="single" w:sz="4" w:space="0" w:color="auto"/>
            </w:tcBorders>
          </w:tcPr>
          <w:p w14:paraId="085A67D7" w14:textId="59C837AB" w:rsidR="000B3130" w:rsidRPr="00501526" w:rsidRDefault="000B3130" w:rsidP="000B3130">
            <w:pPr>
              <w:pStyle w:val="Tabletext"/>
              <w:rPr>
                <w:iCs/>
              </w:rPr>
            </w:pPr>
            <w:r w:rsidRPr="00501526">
              <w:rPr>
                <w:iCs/>
              </w:rPr>
              <w:t>Must be treated by a metabolic physician</w:t>
            </w:r>
          </w:p>
        </w:tc>
      </w:tr>
      <w:tr w:rsidR="000B3130" w:rsidRPr="00501526" w14:paraId="2E991B17"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7BDF3C59" w14:textId="6167FE2B" w:rsidR="000B3130" w:rsidRPr="00501526" w:rsidRDefault="000B3130" w:rsidP="000B3130">
            <w:pPr>
              <w:pStyle w:val="Tabletext"/>
              <w:rPr>
                <w:iCs/>
              </w:rPr>
            </w:pPr>
            <w:r w:rsidRPr="00501526">
              <w:rPr>
                <w:iCs/>
              </w:rPr>
              <w:t>Prescriber instructions:</w:t>
            </w:r>
          </w:p>
        </w:tc>
        <w:tc>
          <w:tcPr>
            <w:tcW w:w="4147" w:type="pct"/>
            <w:gridSpan w:val="6"/>
            <w:tcBorders>
              <w:top w:val="single" w:sz="4" w:space="0" w:color="auto"/>
              <w:left w:val="single" w:sz="4" w:space="0" w:color="auto"/>
              <w:bottom w:val="single" w:sz="4" w:space="0" w:color="auto"/>
              <w:right w:val="single" w:sz="4" w:space="0" w:color="auto"/>
            </w:tcBorders>
          </w:tcPr>
          <w:p w14:paraId="43717DCB" w14:textId="3EA49F5A" w:rsidR="000B3130" w:rsidRPr="00501526" w:rsidRDefault="000B3130" w:rsidP="000B3130">
            <w:pPr>
              <w:pStyle w:val="Tabletext"/>
              <w:rPr>
                <w:iCs/>
              </w:rPr>
            </w:pPr>
            <w:r w:rsidRPr="00501526">
              <w:rPr>
                <w:iCs/>
              </w:rPr>
              <w:t xml:space="preserve">Dietary phenylalanine intake must be maintained at a constant level. </w:t>
            </w:r>
          </w:p>
          <w:p w14:paraId="73F3A597" w14:textId="77777777" w:rsidR="000B3130" w:rsidRPr="00501526" w:rsidRDefault="000B3130" w:rsidP="000B3130">
            <w:pPr>
              <w:pStyle w:val="Tabletext"/>
              <w:rPr>
                <w:iCs/>
              </w:rPr>
            </w:pPr>
          </w:p>
          <w:p w14:paraId="3E1B0B9B" w14:textId="652491AE" w:rsidR="000B3130" w:rsidRPr="00501526" w:rsidRDefault="000B3130" w:rsidP="000B3130">
            <w:pPr>
              <w:pStyle w:val="Tabletext"/>
              <w:rPr>
                <w:iCs/>
              </w:rPr>
            </w:pPr>
            <w:r w:rsidRPr="00501526">
              <w:rPr>
                <w:iCs/>
              </w:rPr>
              <w:t>Patients or their parent/guardian should be assessed for their ability to comply with the sapropterin protocol and PKU diet prior to conducting initial responsiveness testing</w:t>
            </w:r>
          </w:p>
        </w:tc>
      </w:tr>
      <w:tr w:rsidR="000B3130" w:rsidRPr="00501526" w14:paraId="79F08075"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1A2B4908" w14:textId="6D8E93EE" w:rsidR="000B3130" w:rsidRPr="00501526" w:rsidRDefault="000B3130" w:rsidP="000B3130">
            <w:pPr>
              <w:pStyle w:val="Tabletext"/>
              <w:rPr>
                <w:iCs/>
              </w:rPr>
            </w:pPr>
            <w:r w:rsidRPr="00501526">
              <w:rPr>
                <w:iCs/>
              </w:rPr>
              <w:t>Administrative advice</w:t>
            </w:r>
          </w:p>
        </w:tc>
        <w:tc>
          <w:tcPr>
            <w:tcW w:w="4147" w:type="pct"/>
            <w:gridSpan w:val="6"/>
            <w:tcBorders>
              <w:top w:val="single" w:sz="4" w:space="0" w:color="auto"/>
              <w:left w:val="single" w:sz="4" w:space="0" w:color="auto"/>
              <w:bottom w:val="single" w:sz="4" w:space="0" w:color="auto"/>
              <w:right w:val="single" w:sz="4" w:space="0" w:color="auto"/>
            </w:tcBorders>
          </w:tcPr>
          <w:p w14:paraId="18B0824E" w14:textId="77777777" w:rsidR="000B3130" w:rsidRPr="00501526" w:rsidRDefault="000B3130" w:rsidP="000B3130">
            <w:pPr>
              <w:pStyle w:val="Tabletext"/>
              <w:rPr>
                <w:iCs/>
              </w:rPr>
            </w:pPr>
            <w:r w:rsidRPr="00501526">
              <w:rPr>
                <w:iCs/>
              </w:rPr>
              <w:t>Special pricing arrangements apply.</w:t>
            </w:r>
          </w:p>
          <w:p w14:paraId="4683B8F0" w14:textId="77777777" w:rsidR="000B3130" w:rsidRPr="00501526" w:rsidRDefault="000B3130" w:rsidP="000B3130">
            <w:pPr>
              <w:pStyle w:val="Tabletext"/>
              <w:rPr>
                <w:iCs/>
              </w:rPr>
            </w:pPr>
          </w:p>
          <w:p w14:paraId="099D7DD1" w14:textId="465A976B" w:rsidR="000B3130" w:rsidRPr="00501526" w:rsidRDefault="000B3130" w:rsidP="000B3130">
            <w:pPr>
              <w:pStyle w:val="Tabletext"/>
              <w:rPr>
                <w:b/>
                <w:bCs/>
                <w:iCs/>
              </w:rPr>
            </w:pPr>
            <w:r w:rsidRPr="00501526">
              <w:rPr>
                <w:b/>
                <w:bCs/>
                <w:iCs/>
              </w:rPr>
              <w:t>Patients will be eligible for a maximum of one PBS subsidised prescription at less than one month of age and one PBS subsidised prescription at more than one month of age as initial therapy to enable their response to treatment with sapropterin to be assessed.</w:t>
            </w:r>
          </w:p>
        </w:tc>
      </w:tr>
      <w:tr w:rsidR="000B3130" w:rsidRPr="00501526" w14:paraId="3B73A389"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3A3EEB54" w14:textId="6CEC0FB5" w:rsidR="000B3130" w:rsidRPr="00501526" w:rsidRDefault="000B3130" w:rsidP="000B3130">
            <w:pPr>
              <w:pStyle w:val="Tabletext"/>
              <w:rPr>
                <w:iCs/>
              </w:rPr>
            </w:pPr>
            <w:r w:rsidRPr="00501526">
              <w:rPr>
                <w:iCs/>
              </w:rPr>
              <w:t>Treatment phase:</w:t>
            </w:r>
          </w:p>
        </w:tc>
        <w:tc>
          <w:tcPr>
            <w:tcW w:w="4147" w:type="pct"/>
            <w:gridSpan w:val="6"/>
            <w:tcBorders>
              <w:top w:val="single" w:sz="4" w:space="0" w:color="auto"/>
              <w:left w:val="single" w:sz="4" w:space="0" w:color="auto"/>
              <w:bottom w:val="single" w:sz="4" w:space="0" w:color="auto"/>
              <w:right w:val="single" w:sz="4" w:space="0" w:color="auto"/>
            </w:tcBorders>
          </w:tcPr>
          <w:p w14:paraId="1AD6BF3F" w14:textId="5614BCB5" w:rsidR="000B3130" w:rsidRPr="00501526" w:rsidRDefault="000B3130" w:rsidP="000B3130">
            <w:pPr>
              <w:pStyle w:val="Tabletext"/>
              <w:rPr>
                <w:iCs/>
              </w:rPr>
            </w:pPr>
            <w:r w:rsidRPr="00501526">
              <w:rPr>
                <w:iCs/>
              </w:rPr>
              <w:t>First continuing treatment</w:t>
            </w:r>
          </w:p>
        </w:tc>
      </w:tr>
      <w:tr w:rsidR="000B3130" w:rsidRPr="00501526" w14:paraId="0479F7D8"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33B5F61F" w14:textId="5DF57CEB" w:rsidR="000B3130" w:rsidRPr="00501526" w:rsidRDefault="000B3130" w:rsidP="000B3130">
            <w:pPr>
              <w:pStyle w:val="Tabletext"/>
              <w:rPr>
                <w:iCs/>
              </w:rPr>
            </w:pPr>
            <w:r w:rsidRPr="00501526">
              <w:rPr>
                <w:iCs/>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1561AA1E" w14:textId="77777777" w:rsidR="000B3130" w:rsidRPr="00501526" w:rsidRDefault="000B3130" w:rsidP="000B3130">
            <w:pPr>
              <w:pStyle w:val="Tabletext"/>
              <w:rPr>
                <w:iCs/>
              </w:rPr>
            </w:pPr>
            <w:r w:rsidRPr="00501526">
              <w:rPr>
                <w:iCs/>
              </w:rPr>
              <w:t>Patient must have previously received PBS-subsidised treatment under the Initial - responsiveness testing restriction with this drug for this condition;</w:t>
            </w:r>
          </w:p>
          <w:p w14:paraId="0F5070E8" w14:textId="77777777" w:rsidR="000B3130" w:rsidRPr="00501526" w:rsidRDefault="000B3130" w:rsidP="000B3130">
            <w:pPr>
              <w:pStyle w:val="Tabletext"/>
              <w:rPr>
                <w:iCs/>
              </w:rPr>
            </w:pPr>
            <w:r w:rsidRPr="00501526">
              <w:rPr>
                <w:iCs/>
              </w:rPr>
              <w:t>AND</w:t>
            </w:r>
          </w:p>
          <w:p w14:paraId="66AFE1E5" w14:textId="515B8910" w:rsidR="000B3130" w:rsidRPr="00501526" w:rsidRDefault="000B3130" w:rsidP="000B3130">
            <w:pPr>
              <w:pStyle w:val="Tabletext"/>
              <w:rPr>
                <w:iCs/>
              </w:rPr>
            </w:pPr>
            <w:r w:rsidRPr="00501526">
              <w:rPr>
                <w:iCs/>
              </w:rPr>
              <w:t>Patient must have demonstrated a response to treatment with this drug of greater than or equal to a 30% reduction in phenylalanine levels from baseline during initial responsiveness testing.;</w:t>
            </w:r>
          </w:p>
        </w:tc>
      </w:tr>
      <w:tr w:rsidR="000B3130" w:rsidRPr="00501526" w14:paraId="7CAE1652"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2BD1AE49" w14:textId="57215129" w:rsidR="000B3130" w:rsidRPr="00501526" w:rsidRDefault="000B3130" w:rsidP="000B3130">
            <w:pPr>
              <w:pStyle w:val="Tabletext"/>
              <w:rPr>
                <w:iCs/>
              </w:rPr>
            </w:pPr>
            <w:r w:rsidRPr="00501526">
              <w:rPr>
                <w:iCs/>
              </w:rPr>
              <w:t>Treatment criteria:</w:t>
            </w:r>
          </w:p>
        </w:tc>
        <w:tc>
          <w:tcPr>
            <w:tcW w:w="4147" w:type="pct"/>
            <w:gridSpan w:val="6"/>
            <w:tcBorders>
              <w:top w:val="single" w:sz="4" w:space="0" w:color="auto"/>
              <w:left w:val="single" w:sz="4" w:space="0" w:color="auto"/>
              <w:bottom w:val="single" w:sz="4" w:space="0" w:color="auto"/>
              <w:right w:val="single" w:sz="4" w:space="0" w:color="auto"/>
            </w:tcBorders>
          </w:tcPr>
          <w:p w14:paraId="0D264763" w14:textId="77777777" w:rsidR="000B3130" w:rsidRPr="00501526" w:rsidRDefault="000B3130" w:rsidP="000B3130">
            <w:pPr>
              <w:pStyle w:val="Tabletext"/>
              <w:rPr>
                <w:iCs/>
                <w:color w:val="000000"/>
              </w:rPr>
            </w:pPr>
            <w:r w:rsidRPr="00501526">
              <w:rPr>
                <w:iCs/>
                <w:color w:val="000000"/>
              </w:rPr>
              <w:t xml:space="preserve">Must be treated by a metabolic physician; </w:t>
            </w:r>
          </w:p>
          <w:p w14:paraId="108D4FF3" w14:textId="77777777" w:rsidR="000B3130" w:rsidRPr="00501526" w:rsidRDefault="000B3130" w:rsidP="000B3130">
            <w:pPr>
              <w:pStyle w:val="Tabletext"/>
              <w:rPr>
                <w:iCs/>
                <w:color w:val="000000"/>
              </w:rPr>
            </w:pPr>
            <w:r w:rsidRPr="00501526">
              <w:rPr>
                <w:iCs/>
                <w:color w:val="000000"/>
              </w:rPr>
              <w:t xml:space="preserve">or </w:t>
            </w:r>
          </w:p>
          <w:p w14:paraId="2617DE0B" w14:textId="1840CC7C" w:rsidR="000B3130" w:rsidRPr="00501526" w:rsidRDefault="000B3130" w:rsidP="000B3130">
            <w:pPr>
              <w:pStyle w:val="Tabletext"/>
              <w:rPr>
                <w:iCs/>
                <w:color w:val="000000"/>
              </w:rPr>
            </w:pPr>
            <w:r w:rsidRPr="00501526">
              <w:rPr>
                <w:iCs/>
                <w:color w:val="000000"/>
              </w:rPr>
              <w:t>Must be treated by a nurse practitioner experienced in the treatment of phenylketonuria in consultation with a metabolic physician</w:t>
            </w:r>
          </w:p>
        </w:tc>
      </w:tr>
      <w:tr w:rsidR="000B3130" w:rsidRPr="00501526" w14:paraId="00531E8B"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5625D14A" w14:textId="21E2789B" w:rsidR="000B3130" w:rsidRPr="00501526" w:rsidRDefault="000B3130" w:rsidP="000B3130">
            <w:pPr>
              <w:pStyle w:val="Tabletext"/>
              <w:rPr>
                <w:iCs/>
              </w:rPr>
            </w:pPr>
            <w:r w:rsidRPr="00501526">
              <w:rPr>
                <w:iCs/>
              </w:rPr>
              <w:t>Prescriber instructions:</w:t>
            </w:r>
          </w:p>
        </w:tc>
        <w:tc>
          <w:tcPr>
            <w:tcW w:w="4147" w:type="pct"/>
            <w:gridSpan w:val="6"/>
            <w:tcBorders>
              <w:top w:val="single" w:sz="4" w:space="0" w:color="auto"/>
              <w:left w:val="single" w:sz="4" w:space="0" w:color="auto"/>
              <w:bottom w:val="single" w:sz="4" w:space="0" w:color="auto"/>
              <w:right w:val="single" w:sz="4" w:space="0" w:color="auto"/>
            </w:tcBorders>
          </w:tcPr>
          <w:p w14:paraId="1AC48375" w14:textId="77777777" w:rsidR="000B3130" w:rsidRPr="00501526" w:rsidRDefault="000B3130" w:rsidP="000B3130">
            <w:pPr>
              <w:pStyle w:val="Tabletext"/>
              <w:rPr>
                <w:iCs/>
                <w:color w:val="000000"/>
              </w:rPr>
            </w:pPr>
            <w:r w:rsidRPr="00501526">
              <w:rPr>
                <w:iCs/>
                <w:color w:val="000000"/>
              </w:rPr>
              <w:t xml:space="preserve">Blood phenylalanine levels must be based on measurements taken during stable periods of the condition. </w:t>
            </w:r>
          </w:p>
          <w:p w14:paraId="03DAEA17" w14:textId="7FF3EB2E" w:rsidR="000B3130" w:rsidRPr="00501526" w:rsidRDefault="000B3130" w:rsidP="000B3130">
            <w:pPr>
              <w:pStyle w:val="Tabletext"/>
              <w:rPr>
                <w:iCs/>
                <w:color w:val="000000"/>
              </w:rPr>
            </w:pPr>
            <w:r w:rsidRPr="00501526">
              <w:rPr>
                <w:iCs/>
                <w:color w:val="000000"/>
              </w:rPr>
              <w:t>Dietary phenylalanine intake must be maintained at a constant level.</w:t>
            </w:r>
          </w:p>
        </w:tc>
      </w:tr>
      <w:tr w:rsidR="000B3130" w:rsidRPr="00501526" w14:paraId="5EF3565B"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24F183DE" w14:textId="6CFF8029" w:rsidR="000B3130" w:rsidRPr="00501526" w:rsidRDefault="000B3130" w:rsidP="000B3130">
            <w:pPr>
              <w:pStyle w:val="Tabletext"/>
              <w:rPr>
                <w:iCs/>
              </w:rPr>
            </w:pPr>
            <w:r w:rsidRPr="00501526">
              <w:rPr>
                <w:iCs/>
              </w:rPr>
              <w:t>Administrative advice</w:t>
            </w:r>
          </w:p>
        </w:tc>
        <w:tc>
          <w:tcPr>
            <w:tcW w:w="4147" w:type="pct"/>
            <w:gridSpan w:val="6"/>
            <w:tcBorders>
              <w:top w:val="single" w:sz="4" w:space="0" w:color="auto"/>
              <w:left w:val="single" w:sz="4" w:space="0" w:color="auto"/>
              <w:bottom w:val="single" w:sz="4" w:space="0" w:color="auto"/>
              <w:right w:val="single" w:sz="4" w:space="0" w:color="auto"/>
            </w:tcBorders>
          </w:tcPr>
          <w:p w14:paraId="605CB0B1" w14:textId="6E188A2A" w:rsidR="000B3130" w:rsidRPr="00501526" w:rsidRDefault="000B3130" w:rsidP="000B3130">
            <w:pPr>
              <w:pStyle w:val="Tabletext"/>
              <w:rPr>
                <w:iCs/>
                <w:color w:val="000000"/>
              </w:rPr>
            </w:pPr>
            <w:r w:rsidRPr="00501526">
              <w:rPr>
                <w:iCs/>
                <w:color w:val="000000"/>
              </w:rPr>
              <w:t>Special pricing arrangements apply</w:t>
            </w:r>
          </w:p>
        </w:tc>
      </w:tr>
      <w:tr w:rsidR="000B3130" w:rsidRPr="00501526" w14:paraId="4252C247"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241138FA" w14:textId="476B4F01" w:rsidR="000B3130" w:rsidRPr="00501526" w:rsidRDefault="000B3130" w:rsidP="000B3130">
            <w:pPr>
              <w:pStyle w:val="Tabletext"/>
              <w:rPr>
                <w:iCs/>
              </w:rPr>
            </w:pPr>
            <w:r w:rsidRPr="00501526">
              <w:rPr>
                <w:iCs/>
              </w:rPr>
              <w:t>Treatment phase:</w:t>
            </w:r>
          </w:p>
        </w:tc>
        <w:tc>
          <w:tcPr>
            <w:tcW w:w="4147" w:type="pct"/>
            <w:gridSpan w:val="6"/>
            <w:tcBorders>
              <w:top w:val="single" w:sz="4" w:space="0" w:color="auto"/>
              <w:left w:val="single" w:sz="4" w:space="0" w:color="auto"/>
              <w:bottom w:val="single" w:sz="4" w:space="0" w:color="auto"/>
              <w:right w:val="single" w:sz="4" w:space="0" w:color="auto"/>
            </w:tcBorders>
          </w:tcPr>
          <w:p w14:paraId="43C39C5F" w14:textId="1D625879" w:rsidR="000B3130" w:rsidRPr="00501526" w:rsidRDefault="000B3130" w:rsidP="000B3130">
            <w:pPr>
              <w:pStyle w:val="Tabletext"/>
              <w:rPr>
                <w:iCs/>
                <w:color w:val="000000"/>
              </w:rPr>
            </w:pPr>
            <w:r w:rsidRPr="00501526">
              <w:rPr>
                <w:iCs/>
                <w:color w:val="000000"/>
              </w:rPr>
              <w:t>Subsequent continuing treatment</w:t>
            </w:r>
          </w:p>
        </w:tc>
      </w:tr>
      <w:tr w:rsidR="000B3130" w:rsidRPr="00501526" w14:paraId="2E830728"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7BF3E87E" w14:textId="41B90973" w:rsidR="000B3130" w:rsidRPr="00501526" w:rsidRDefault="000B3130" w:rsidP="000B3130">
            <w:pPr>
              <w:pStyle w:val="Tabletext"/>
              <w:rPr>
                <w:iCs/>
              </w:rPr>
            </w:pPr>
            <w:r w:rsidRPr="00501526">
              <w:rPr>
                <w:iCs/>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6C37EE5B" w14:textId="77777777" w:rsidR="000B3130" w:rsidRPr="00501526" w:rsidRDefault="000B3130" w:rsidP="000B3130">
            <w:pPr>
              <w:pStyle w:val="Tabletext"/>
              <w:rPr>
                <w:iCs/>
                <w:color w:val="000000"/>
              </w:rPr>
            </w:pPr>
            <w:r w:rsidRPr="00501526">
              <w:rPr>
                <w:iCs/>
                <w:color w:val="000000"/>
              </w:rPr>
              <w:t>Patient must have previously received PBS-subsidised treatment with this drug for this condition under the First continuing treatment restriction;</w:t>
            </w:r>
          </w:p>
          <w:p w14:paraId="52FCB7C3" w14:textId="434FECB0" w:rsidR="000B3130" w:rsidRPr="00501526" w:rsidRDefault="000B3130" w:rsidP="000B3130">
            <w:pPr>
              <w:pStyle w:val="Tabletext"/>
              <w:rPr>
                <w:iCs/>
                <w:color w:val="000000"/>
              </w:rPr>
            </w:pPr>
            <w:r w:rsidRPr="00501526">
              <w:rPr>
                <w:iCs/>
                <w:color w:val="000000"/>
              </w:rPr>
              <w:t>AND</w:t>
            </w:r>
          </w:p>
          <w:p w14:paraId="572B2DA5" w14:textId="0164ADD1" w:rsidR="000B3130" w:rsidRPr="00501526" w:rsidRDefault="000B3130" w:rsidP="000B3130">
            <w:pPr>
              <w:pStyle w:val="Tabletext"/>
              <w:rPr>
                <w:iCs/>
                <w:color w:val="000000"/>
              </w:rPr>
            </w:pPr>
            <w:r w:rsidRPr="00501526">
              <w:rPr>
                <w:iCs/>
                <w:color w:val="000000"/>
              </w:rPr>
              <w:t>Patient must be undergoing regular phenylalanine testing and assessment of adherence to dietary modifications</w:t>
            </w:r>
          </w:p>
        </w:tc>
      </w:tr>
      <w:tr w:rsidR="000B3130" w:rsidRPr="00501526" w14:paraId="197E62F5"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73B658CD" w14:textId="50748BD2" w:rsidR="000B3130" w:rsidRPr="00501526" w:rsidRDefault="000B3130" w:rsidP="000B3130">
            <w:pPr>
              <w:pStyle w:val="Tabletext"/>
              <w:rPr>
                <w:iCs/>
              </w:rPr>
            </w:pPr>
            <w:r w:rsidRPr="00501526">
              <w:rPr>
                <w:iCs/>
              </w:rPr>
              <w:t>Treatment criteria:</w:t>
            </w:r>
          </w:p>
        </w:tc>
        <w:tc>
          <w:tcPr>
            <w:tcW w:w="4147" w:type="pct"/>
            <w:gridSpan w:val="6"/>
            <w:tcBorders>
              <w:top w:val="single" w:sz="4" w:space="0" w:color="auto"/>
              <w:left w:val="single" w:sz="4" w:space="0" w:color="auto"/>
              <w:bottom w:val="single" w:sz="4" w:space="0" w:color="auto"/>
              <w:right w:val="single" w:sz="4" w:space="0" w:color="auto"/>
            </w:tcBorders>
          </w:tcPr>
          <w:p w14:paraId="605F962B" w14:textId="77777777" w:rsidR="000B3130" w:rsidRPr="00501526" w:rsidRDefault="000B3130" w:rsidP="000B3130">
            <w:pPr>
              <w:pStyle w:val="Tabletext"/>
              <w:rPr>
                <w:iCs/>
                <w:color w:val="000000"/>
              </w:rPr>
            </w:pPr>
            <w:r w:rsidRPr="00501526">
              <w:rPr>
                <w:iCs/>
                <w:color w:val="000000"/>
              </w:rPr>
              <w:t xml:space="preserve">Must be treated by a metabolic physician; </w:t>
            </w:r>
          </w:p>
          <w:p w14:paraId="4E10D021" w14:textId="77777777" w:rsidR="000B3130" w:rsidRPr="00501526" w:rsidRDefault="000B3130" w:rsidP="000B3130">
            <w:pPr>
              <w:pStyle w:val="Tabletext"/>
              <w:rPr>
                <w:iCs/>
                <w:color w:val="000000"/>
              </w:rPr>
            </w:pPr>
            <w:r w:rsidRPr="00501526">
              <w:rPr>
                <w:iCs/>
                <w:color w:val="000000"/>
              </w:rPr>
              <w:t xml:space="preserve">or </w:t>
            </w:r>
          </w:p>
          <w:p w14:paraId="3579B76B" w14:textId="760D5A07" w:rsidR="000B3130" w:rsidRPr="00501526" w:rsidRDefault="000B3130" w:rsidP="000B3130">
            <w:pPr>
              <w:pStyle w:val="Tabletext"/>
              <w:rPr>
                <w:iCs/>
                <w:color w:val="000000"/>
              </w:rPr>
            </w:pPr>
            <w:r w:rsidRPr="00501526">
              <w:rPr>
                <w:iCs/>
                <w:color w:val="000000"/>
              </w:rPr>
              <w:t>Must be treated by a nurse practitioner experienced in the treatment of phenylketonuria in consultation with a metabolic physician</w:t>
            </w:r>
          </w:p>
        </w:tc>
      </w:tr>
      <w:tr w:rsidR="000B3130" w:rsidRPr="00501526" w14:paraId="348899D5" w14:textId="77777777" w:rsidTr="00E70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39EDEE1D" w14:textId="365CF86D" w:rsidR="000B3130" w:rsidRPr="00501526" w:rsidRDefault="000B3130" w:rsidP="000B3130">
            <w:pPr>
              <w:pStyle w:val="Tabletext"/>
              <w:rPr>
                <w:iCs/>
              </w:rPr>
            </w:pPr>
            <w:r w:rsidRPr="00501526">
              <w:rPr>
                <w:iCs/>
              </w:rPr>
              <w:t>Administrative advice</w:t>
            </w:r>
          </w:p>
        </w:tc>
        <w:tc>
          <w:tcPr>
            <w:tcW w:w="4147" w:type="pct"/>
            <w:gridSpan w:val="6"/>
            <w:tcBorders>
              <w:top w:val="single" w:sz="4" w:space="0" w:color="auto"/>
              <w:left w:val="single" w:sz="4" w:space="0" w:color="auto"/>
              <w:bottom w:val="single" w:sz="4" w:space="0" w:color="auto"/>
              <w:right w:val="single" w:sz="4" w:space="0" w:color="auto"/>
            </w:tcBorders>
          </w:tcPr>
          <w:p w14:paraId="77D4A9F2" w14:textId="7CD74C21" w:rsidR="000B3130" w:rsidRPr="00501526" w:rsidRDefault="000B3130" w:rsidP="000B3130">
            <w:pPr>
              <w:pStyle w:val="Tabletext"/>
              <w:rPr>
                <w:iCs/>
                <w:color w:val="000000"/>
              </w:rPr>
            </w:pPr>
            <w:r w:rsidRPr="00501526">
              <w:rPr>
                <w:iCs/>
                <w:color w:val="000000"/>
              </w:rPr>
              <w:t>Special pricing arrangements apply</w:t>
            </w:r>
          </w:p>
        </w:tc>
      </w:tr>
    </w:tbl>
    <w:p w14:paraId="4853D400" w14:textId="61C6C78F" w:rsidR="00C63EEA" w:rsidRPr="00501526" w:rsidRDefault="00C63EEA" w:rsidP="000B3130">
      <w:pPr>
        <w:pStyle w:val="TableFigureFooter"/>
        <w:rPr>
          <w:iCs/>
        </w:rPr>
      </w:pPr>
      <w:r w:rsidRPr="00501526">
        <w:rPr>
          <w:iCs/>
        </w:rPr>
        <w:t xml:space="preserve">Criteria in bold indicates </w:t>
      </w:r>
      <w:r w:rsidR="002657BA" w:rsidRPr="00501526">
        <w:rPr>
          <w:iCs/>
        </w:rPr>
        <w:t xml:space="preserve">requested </w:t>
      </w:r>
      <w:r w:rsidRPr="00501526">
        <w:rPr>
          <w:iCs/>
        </w:rPr>
        <w:t xml:space="preserve">changes to current PBS listing </w:t>
      </w:r>
    </w:p>
    <w:p w14:paraId="63E28AE7" w14:textId="69CBBE63" w:rsidR="00B60939" w:rsidRPr="00501526" w:rsidRDefault="000B3130" w:rsidP="000B3130">
      <w:pPr>
        <w:pStyle w:val="TableFigureFooter"/>
        <w:rPr>
          <w:iCs/>
        </w:rPr>
      </w:pPr>
      <w:r w:rsidRPr="00501526">
        <w:rPr>
          <w:iCs/>
        </w:rPr>
        <w:t>Source: Tables 1.4-5 to 1.4-7, pp42 - 44 of the submission.</w:t>
      </w:r>
    </w:p>
    <w:p w14:paraId="026E149B" w14:textId="4E37F274" w:rsidR="00D417B3" w:rsidRPr="00501526" w:rsidRDefault="000B3130" w:rsidP="00D417B3">
      <w:pPr>
        <w:pStyle w:val="3-BodyText"/>
        <w:rPr>
          <w:iCs/>
          <w:color w:val="000000" w:themeColor="text1"/>
        </w:rPr>
      </w:pPr>
      <w:r w:rsidRPr="00501526">
        <w:rPr>
          <w:iCs/>
          <w:color w:val="000000" w:themeColor="text1"/>
        </w:rPr>
        <w:t xml:space="preserve">The requested effective price </w:t>
      </w:r>
      <w:r w:rsidR="002F63C6" w:rsidRPr="00501526">
        <w:rPr>
          <w:iCs/>
          <w:color w:val="000000" w:themeColor="text1"/>
        </w:rPr>
        <w:t xml:space="preserve">is </w:t>
      </w:r>
      <w:r w:rsidRPr="00501526">
        <w:rPr>
          <w:iCs/>
          <w:color w:val="000000" w:themeColor="text1"/>
        </w:rPr>
        <w:t xml:space="preserve">the same as </w:t>
      </w:r>
      <w:r w:rsidR="0095414D">
        <w:rPr>
          <w:iCs/>
          <w:color w:val="000000" w:themeColor="text1"/>
        </w:rPr>
        <w:t>for</w:t>
      </w:r>
      <w:r w:rsidR="00BB2370" w:rsidRPr="00501526">
        <w:rPr>
          <w:iCs/>
          <w:color w:val="000000" w:themeColor="text1"/>
        </w:rPr>
        <w:t xml:space="preserve"> </w:t>
      </w:r>
      <w:r w:rsidRPr="00501526">
        <w:rPr>
          <w:iCs/>
          <w:color w:val="000000" w:themeColor="text1"/>
        </w:rPr>
        <w:t xml:space="preserve">the existing </w:t>
      </w:r>
      <w:r w:rsidR="00BB2370" w:rsidRPr="00501526">
        <w:rPr>
          <w:iCs/>
          <w:color w:val="000000" w:themeColor="text1"/>
        </w:rPr>
        <w:t xml:space="preserve">sapropterin </w:t>
      </w:r>
      <w:r w:rsidRPr="00501526">
        <w:rPr>
          <w:iCs/>
          <w:color w:val="000000" w:themeColor="text1"/>
        </w:rPr>
        <w:t>listing.</w:t>
      </w:r>
    </w:p>
    <w:p w14:paraId="503B0591" w14:textId="75FCB3A0" w:rsidR="00D417B3" w:rsidRPr="00501526" w:rsidRDefault="00D417B3" w:rsidP="00D417B3">
      <w:pPr>
        <w:pStyle w:val="3-BodyText"/>
        <w:rPr>
          <w:iCs/>
          <w:color w:val="000000" w:themeColor="text1"/>
        </w:rPr>
      </w:pPr>
      <w:r w:rsidRPr="00501526">
        <w:rPr>
          <w:iCs/>
        </w:rPr>
        <w:t xml:space="preserve">The </w:t>
      </w:r>
      <w:r w:rsidR="00A141EB" w:rsidRPr="00501526">
        <w:rPr>
          <w:iCs/>
        </w:rPr>
        <w:t xml:space="preserve">key change proposed to the existing sapropterin listing was removal of </w:t>
      </w:r>
      <w:r w:rsidRPr="00501526">
        <w:rPr>
          <w:iCs/>
        </w:rPr>
        <w:t>the population criterion</w:t>
      </w:r>
      <w:r w:rsidR="00A141EB" w:rsidRPr="00501526">
        <w:rPr>
          <w:iCs/>
        </w:rPr>
        <w:t>:</w:t>
      </w:r>
      <w:r w:rsidRPr="00501526">
        <w:rPr>
          <w:iCs/>
        </w:rPr>
        <w:t xml:space="preserve"> ‘patient must have been under 18 years of age at the time treatment with this drug was initiated for this condition’. </w:t>
      </w:r>
      <w:r w:rsidR="00A141EB" w:rsidRPr="00501526">
        <w:rPr>
          <w:iCs/>
        </w:rPr>
        <w:t>Thus, p</w:t>
      </w:r>
      <w:r w:rsidRPr="00501526">
        <w:rPr>
          <w:iCs/>
        </w:rPr>
        <w:t xml:space="preserve">atients aged 18 years </w:t>
      </w:r>
      <w:r w:rsidRPr="00501526">
        <w:rPr>
          <w:iCs/>
        </w:rPr>
        <w:lastRenderedPageBreak/>
        <w:t xml:space="preserve">and older with a blood Phe &gt;600 µmol/L would undergo the same 7-day sapropterin responsiveness test that is currently conducted for patients aged 1 month to less than 18 years of age. A response to sapropterin is defined as a reduction in blood Phe by &gt;30% compared with sapropterin-naïve baseline. </w:t>
      </w:r>
      <w:r w:rsidR="00B238E8">
        <w:rPr>
          <w:iCs/>
        </w:rPr>
        <w:t>T</w:t>
      </w:r>
      <w:r w:rsidRPr="00501526">
        <w:rPr>
          <w:iCs/>
        </w:rPr>
        <w:t xml:space="preserve">he published </w:t>
      </w:r>
      <w:r w:rsidR="002B45D0" w:rsidRPr="00501526">
        <w:rPr>
          <w:iCs/>
        </w:rPr>
        <w:t>clinical</w:t>
      </w:r>
      <w:r w:rsidRPr="00501526">
        <w:rPr>
          <w:iCs/>
        </w:rPr>
        <w:t xml:space="preserve"> guidelines presented in the submission consider that the Phe </w:t>
      </w:r>
      <w:r w:rsidR="00063DD2" w:rsidRPr="00501526">
        <w:rPr>
          <w:iCs/>
        </w:rPr>
        <w:t>l</w:t>
      </w:r>
      <w:r w:rsidRPr="00501526">
        <w:rPr>
          <w:iCs/>
        </w:rPr>
        <w:t>evel</w:t>
      </w:r>
      <w:r w:rsidR="00767B57" w:rsidRPr="00501526">
        <w:rPr>
          <w:iCs/>
        </w:rPr>
        <w:t xml:space="preserve"> for</w:t>
      </w:r>
      <w:r w:rsidRPr="00501526">
        <w:rPr>
          <w:iCs/>
        </w:rPr>
        <w:t xml:space="preserve"> initiating treatment</w:t>
      </w:r>
      <w:r w:rsidR="000D52F5" w:rsidRPr="00501526">
        <w:rPr>
          <w:iCs/>
        </w:rPr>
        <w:t xml:space="preserve"> (dietary or pharmacological)</w:t>
      </w:r>
      <w:r w:rsidRPr="00501526">
        <w:rPr>
          <w:iCs/>
        </w:rPr>
        <w:t xml:space="preserve"> was &gt;360</w:t>
      </w:r>
      <w:r w:rsidR="00D020EA">
        <w:rPr>
          <w:iCs/>
        </w:rPr>
        <w:t> </w:t>
      </w:r>
      <w:r w:rsidRPr="00501526">
        <w:rPr>
          <w:iCs/>
        </w:rPr>
        <w:t>µmol/L in patients &gt;12 years old</w:t>
      </w:r>
      <w:r w:rsidR="00F87E6B" w:rsidRPr="00501526">
        <w:rPr>
          <w:iCs/>
        </w:rPr>
        <w:t>,</w:t>
      </w:r>
      <w:r w:rsidRPr="00501526">
        <w:rPr>
          <w:iCs/>
        </w:rPr>
        <w:t xml:space="preserve"> </w:t>
      </w:r>
      <w:r w:rsidR="00F87E6B" w:rsidRPr="00501526">
        <w:rPr>
          <w:iCs/>
        </w:rPr>
        <w:t>a</w:t>
      </w:r>
      <w:r w:rsidRPr="00501526">
        <w:rPr>
          <w:iCs/>
        </w:rPr>
        <w:t xml:space="preserve">nd consequently the requested population may be </w:t>
      </w:r>
      <w:r w:rsidR="00132218" w:rsidRPr="00501526">
        <w:rPr>
          <w:iCs/>
        </w:rPr>
        <w:t xml:space="preserve">narrower </w:t>
      </w:r>
      <w:r w:rsidRPr="00501526">
        <w:rPr>
          <w:iCs/>
        </w:rPr>
        <w:t>than that recommended in guidelines. The 600</w:t>
      </w:r>
      <w:r w:rsidR="00D020EA">
        <w:rPr>
          <w:iCs/>
        </w:rPr>
        <w:t> </w:t>
      </w:r>
      <w:r w:rsidRPr="00501526">
        <w:rPr>
          <w:iCs/>
        </w:rPr>
        <w:t xml:space="preserve">µmol/ L threshold was consistent with the inclusion criteria for the PKU-001 trial </w:t>
      </w:r>
      <w:r w:rsidR="00985315" w:rsidRPr="00501526">
        <w:rPr>
          <w:iCs/>
        </w:rPr>
        <w:t xml:space="preserve">and the existing listing. </w:t>
      </w:r>
    </w:p>
    <w:p w14:paraId="28520913" w14:textId="4DD61FF4" w:rsidR="00C25DC6" w:rsidRPr="00501526" w:rsidRDefault="002F63C6" w:rsidP="00D417B3">
      <w:pPr>
        <w:pStyle w:val="3-BodyText"/>
        <w:rPr>
          <w:iCs/>
          <w:color w:val="000000" w:themeColor="text1"/>
        </w:rPr>
      </w:pPr>
      <w:r w:rsidRPr="00501526">
        <w:rPr>
          <w:iCs/>
        </w:rPr>
        <w:t>The submission a</w:t>
      </w:r>
      <w:r w:rsidR="00C25DC6" w:rsidRPr="00501526">
        <w:rPr>
          <w:iCs/>
        </w:rPr>
        <w:t>lso requested a</w:t>
      </w:r>
      <w:r w:rsidR="00A141EB" w:rsidRPr="00501526">
        <w:rPr>
          <w:iCs/>
        </w:rPr>
        <w:t>n</w:t>
      </w:r>
      <w:r w:rsidR="00C25DC6" w:rsidRPr="00501526">
        <w:rPr>
          <w:iCs/>
        </w:rPr>
        <w:t xml:space="preserve"> amendment </w:t>
      </w:r>
      <w:r w:rsidRPr="00501526">
        <w:rPr>
          <w:iCs/>
        </w:rPr>
        <w:t xml:space="preserve">to </w:t>
      </w:r>
      <w:r w:rsidR="00C25DC6" w:rsidRPr="00501526">
        <w:rPr>
          <w:iCs/>
        </w:rPr>
        <w:t xml:space="preserve">the administrative notes </w:t>
      </w:r>
      <w:r w:rsidRPr="00501526">
        <w:rPr>
          <w:iCs/>
        </w:rPr>
        <w:t>enabling</w:t>
      </w:r>
      <w:r w:rsidR="00C25DC6" w:rsidRPr="00501526">
        <w:rPr>
          <w:iCs/>
        </w:rPr>
        <w:t xml:space="preserve"> patients who failed a 24-hour test prior to 1 month of age </w:t>
      </w:r>
      <w:r w:rsidRPr="00501526">
        <w:rPr>
          <w:iCs/>
        </w:rPr>
        <w:t>to</w:t>
      </w:r>
      <w:r w:rsidR="00C25DC6" w:rsidRPr="00501526">
        <w:rPr>
          <w:iCs/>
        </w:rPr>
        <w:t xml:space="preserve"> have the opportunity to retest one additional time at &gt;1 month of age. This </w:t>
      </w:r>
      <w:r w:rsidR="009275EA" w:rsidRPr="00501526">
        <w:rPr>
          <w:iCs/>
        </w:rPr>
        <w:t xml:space="preserve">change would </w:t>
      </w:r>
      <w:r w:rsidR="00B07E15" w:rsidRPr="00501526">
        <w:rPr>
          <w:iCs/>
        </w:rPr>
        <w:t xml:space="preserve">allow patients </w:t>
      </w:r>
      <w:r w:rsidR="00D266B9" w:rsidRPr="00501526">
        <w:rPr>
          <w:iCs/>
        </w:rPr>
        <w:t>who failed to respond to sapropterin when they were &lt;1</w:t>
      </w:r>
      <w:r w:rsidR="00A141EB" w:rsidRPr="00501526">
        <w:rPr>
          <w:iCs/>
        </w:rPr>
        <w:t> </w:t>
      </w:r>
      <w:r w:rsidR="00D266B9" w:rsidRPr="00501526">
        <w:rPr>
          <w:iCs/>
        </w:rPr>
        <w:t>month of age to trial sapropterin again</w:t>
      </w:r>
      <w:r w:rsidR="0084222E" w:rsidRPr="00501526">
        <w:rPr>
          <w:iCs/>
        </w:rPr>
        <w:t xml:space="preserve">. </w:t>
      </w:r>
      <w:r w:rsidR="00DB551C" w:rsidRPr="00501526">
        <w:rPr>
          <w:iCs/>
        </w:rPr>
        <w:t xml:space="preserve">The submission did not further discuss this change and presented no specific evidence to support the change. </w:t>
      </w:r>
      <w:r w:rsidR="00462EBE">
        <w:rPr>
          <w:iCs/>
          <w:color w:val="000000" w:themeColor="text1"/>
        </w:rPr>
        <w:t>Patients who had an additional test after 1 month of age would not meet the first clinical criterion of: “</w:t>
      </w:r>
      <w:r w:rsidR="00462EBE" w:rsidRPr="00501526">
        <w:rPr>
          <w:iCs/>
        </w:rPr>
        <w:t>Patient must not have previously received PBS-subsidised treatment with this drug for this condition</w:t>
      </w:r>
      <w:r w:rsidR="00462EBE">
        <w:rPr>
          <w:iCs/>
        </w:rPr>
        <w:t>”.</w:t>
      </w:r>
    </w:p>
    <w:p w14:paraId="331AD4E2" w14:textId="72057D49" w:rsidR="009E2A3C" w:rsidRPr="009E2A3C" w:rsidRDefault="00917176" w:rsidP="009B33E2">
      <w:pPr>
        <w:pStyle w:val="3-BodyText"/>
        <w:rPr>
          <w:iCs/>
          <w:color w:val="000000" w:themeColor="text1"/>
        </w:rPr>
      </w:pPr>
      <w:r>
        <w:rPr>
          <w:iCs/>
        </w:rPr>
        <w:t>With</w:t>
      </w:r>
      <w:r w:rsidRPr="00501526">
        <w:rPr>
          <w:iCs/>
        </w:rPr>
        <w:t xml:space="preserve"> the requested </w:t>
      </w:r>
      <w:r>
        <w:rPr>
          <w:iCs/>
        </w:rPr>
        <w:t xml:space="preserve">changes to the restriction </w:t>
      </w:r>
      <w:r w:rsidR="004F3FD3" w:rsidRPr="00501526">
        <w:rPr>
          <w:iCs/>
        </w:rPr>
        <w:t xml:space="preserve">the only </w:t>
      </w:r>
      <w:r w:rsidR="002F63C6" w:rsidRPr="00501526">
        <w:rPr>
          <w:iCs/>
        </w:rPr>
        <w:t xml:space="preserve">additional </w:t>
      </w:r>
      <w:r w:rsidR="004F3FD3" w:rsidRPr="00501526">
        <w:rPr>
          <w:iCs/>
        </w:rPr>
        <w:t>patients</w:t>
      </w:r>
      <w:r w:rsidR="00EC66DC" w:rsidRPr="00501526">
        <w:rPr>
          <w:iCs/>
        </w:rPr>
        <w:t xml:space="preserve"> who would access sapropterin would </w:t>
      </w:r>
      <w:r w:rsidR="005A3809" w:rsidRPr="00501526">
        <w:rPr>
          <w:iCs/>
        </w:rPr>
        <w:t>be</w:t>
      </w:r>
      <w:r w:rsidR="009E2A3C">
        <w:rPr>
          <w:iCs/>
        </w:rPr>
        <w:t>:</w:t>
      </w:r>
    </w:p>
    <w:p w14:paraId="21D90339" w14:textId="72AF24B1" w:rsidR="009E2A3C" w:rsidRDefault="005A3809" w:rsidP="009E2A3C">
      <w:pPr>
        <w:pStyle w:val="3-BodyText"/>
        <w:numPr>
          <w:ilvl w:val="0"/>
          <w:numId w:val="29"/>
        </w:numPr>
        <w:rPr>
          <w:iCs/>
        </w:rPr>
      </w:pPr>
      <w:r w:rsidRPr="00501526">
        <w:rPr>
          <w:iCs/>
        </w:rPr>
        <w:t>adult patients who had never accessed sapropterin</w:t>
      </w:r>
      <w:r w:rsidR="00AD3DAA" w:rsidRPr="00501526">
        <w:rPr>
          <w:iCs/>
        </w:rPr>
        <w:t xml:space="preserve"> (predominantly those who were </w:t>
      </w:r>
      <w:r w:rsidR="00D963F8">
        <w:rPr>
          <w:iCs/>
        </w:rPr>
        <w:t xml:space="preserve">at least </w:t>
      </w:r>
      <w:r w:rsidR="00AD3DAA" w:rsidRPr="00501526">
        <w:rPr>
          <w:iCs/>
        </w:rPr>
        <w:t>18 years at the time of PBS-listing of sapropterin)</w:t>
      </w:r>
      <w:r w:rsidR="009E2A3C">
        <w:rPr>
          <w:iCs/>
        </w:rPr>
        <w:t>; and</w:t>
      </w:r>
    </w:p>
    <w:p w14:paraId="7B295059" w14:textId="70783A0A" w:rsidR="001C3F19" w:rsidRPr="00501526" w:rsidRDefault="009E2A3C" w:rsidP="009E2A3C">
      <w:pPr>
        <w:pStyle w:val="3-BodyText"/>
        <w:numPr>
          <w:ilvl w:val="0"/>
          <w:numId w:val="29"/>
        </w:numPr>
        <w:rPr>
          <w:iCs/>
          <w:color w:val="000000" w:themeColor="text1"/>
        </w:rPr>
      </w:pPr>
      <w:r>
        <w:rPr>
          <w:iCs/>
        </w:rPr>
        <w:t xml:space="preserve">Patients </w:t>
      </w:r>
      <w:r w:rsidR="00D963F8">
        <w:rPr>
          <w:iCs/>
        </w:rPr>
        <w:t xml:space="preserve">under </w:t>
      </w:r>
      <w:r>
        <w:rPr>
          <w:iCs/>
        </w:rPr>
        <w:t xml:space="preserve">18 years of age who </w:t>
      </w:r>
      <w:r w:rsidRPr="00501526">
        <w:rPr>
          <w:iCs/>
        </w:rPr>
        <w:t xml:space="preserve">failed a 24-hour test prior to 1 month of age </w:t>
      </w:r>
      <w:r>
        <w:rPr>
          <w:iCs/>
        </w:rPr>
        <w:t>and</w:t>
      </w:r>
      <w:r w:rsidRPr="00501526">
        <w:rPr>
          <w:iCs/>
        </w:rPr>
        <w:t xml:space="preserve"> retest one additional time at </w:t>
      </w:r>
      <w:r w:rsidR="00D963F8">
        <w:rPr>
          <w:iCs/>
        </w:rPr>
        <w:t xml:space="preserve">greater than </w:t>
      </w:r>
      <w:r w:rsidRPr="00501526">
        <w:rPr>
          <w:iCs/>
        </w:rPr>
        <w:t>1 month of age</w:t>
      </w:r>
      <w:r w:rsidR="005A3809" w:rsidRPr="00501526">
        <w:rPr>
          <w:iCs/>
        </w:rPr>
        <w:t>.</w:t>
      </w:r>
      <w:r w:rsidR="00D963F8">
        <w:rPr>
          <w:iCs/>
          <w:color w:val="000000" w:themeColor="text1"/>
        </w:rPr>
        <w:t xml:space="preserve"> </w:t>
      </w:r>
    </w:p>
    <w:p w14:paraId="353D360D" w14:textId="77777777" w:rsidR="00462EBE" w:rsidRPr="00462EBE" w:rsidRDefault="00462EBE" w:rsidP="00462EBE">
      <w:pPr>
        <w:pStyle w:val="3-BodyText"/>
        <w:rPr>
          <w:iCs/>
        </w:rPr>
      </w:pPr>
      <w:r>
        <w:rPr>
          <w:iCs/>
        </w:rPr>
        <w:t>The submission proposed the same definition of response as applies in the existing sapropterin restrictions, which is based on</w:t>
      </w:r>
      <w:r w:rsidRPr="00501526">
        <w:rPr>
          <w:iCs/>
        </w:rPr>
        <w:t xml:space="preserve"> a reduction in blood Phe </w:t>
      </w:r>
      <w:r>
        <w:rPr>
          <w:iCs/>
        </w:rPr>
        <w:t>of</w:t>
      </w:r>
      <w:r w:rsidRPr="00501526">
        <w:rPr>
          <w:iCs/>
        </w:rPr>
        <w:t xml:space="preserve"> &gt;30% compared with sapropterin-naïve baseline</w:t>
      </w:r>
      <w:r>
        <w:rPr>
          <w:iCs/>
        </w:rPr>
        <w:t xml:space="preserve"> assessed over a 7-day period.</w:t>
      </w:r>
      <w:r w:rsidRPr="00462EBE">
        <w:rPr>
          <w:iCs/>
        </w:rPr>
        <w:t xml:space="preserve"> The PBAC noted that consumers and clinicians had outlined that factors other than Phe levels may also be important markers of a meaningful improvement for patients, such as protein tolerance/dietary Phe intake, quality of life and an assessment as to how well a patient is managing with their current regimen. Consumers and clinicians had also outlined that a 7-day response assessment period may be too short to assess some of these factors, and that the current testing arrangement relies on patients maintaining a constant diet for seven days which is difficult to achieve. The PBAC considered that a change to the definition of response for the sapropterin restrictions may be appropriate and noted that expert clinical consultation would be required in order to determine the most appropriate (if any) change to the response criterion.</w:t>
      </w:r>
    </w:p>
    <w:p w14:paraId="220BAECA" w14:textId="77777777" w:rsidR="00462EBE" w:rsidRDefault="00462EBE" w:rsidP="0044512C">
      <w:pPr>
        <w:pStyle w:val="3-BodyText"/>
        <w:numPr>
          <w:ilvl w:val="0"/>
          <w:numId w:val="0"/>
        </w:numPr>
        <w:ind w:left="720"/>
        <w:rPr>
          <w:i/>
          <w:color w:val="000000" w:themeColor="text1"/>
        </w:rPr>
      </w:pPr>
    </w:p>
    <w:p w14:paraId="19087075" w14:textId="76FEA4F8" w:rsidR="0044512C" w:rsidRPr="00501526" w:rsidRDefault="0044512C" w:rsidP="0044512C">
      <w:pPr>
        <w:pStyle w:val="3-BodyText"/>
        <w:numPr>
          <w:ilvl w:val="0"/>
          <w:numId w:val="0"/>
        </w:numPr>
        <w:ind w:left="720"/>
        <w:rPr>
          <w:i/>
          <w:color w:val="000000" w:themeColor="text1"/>
        </w:rPr>
      </w:pPr>
      <w:r w:rsidRPr="00501526">
        <w:rPr>
          <w:i/>
          <w:color w:val="000000" w:themeColor="text1"/>
        </w:rPr>
        <w:t>For more detail on PBAC’s view, see section 7 PBAC outcome.</w:t>
      </w:r>
    </w:p>
    <w:p w14:paraId="7075B85C" w14:textId="1655A25A" w:rsidR="00B50DB8" w:rsidRPr="00501526" w:rsidRDefault="00203181" w:rsidP="004E18E9">
      <w:pPr>
        <w:pStyle w:val="2-SectionHeading"/>
        <w:rPr>
          <w:iCs/>
        </w:rPr>
      </w:pPr>
      <w:bookmarkStart w:id="15" w:name="_Toc103766824"/>
      <w:r w:rsidRPr="00501526">
        <w:rPr>
          <w:iCs/>
        </w:rPr>
        <w:lastRenderedPageBreak/>
        <w:t xml:space="preserve">Population and </w:t>
      </w:r>
      <w:r w:rsidR="008E0D3C" w:rsidRPr="00501526">
        <w:rPr>
          <w:iCs/>
        </w:rPr>
        <w:t>d</w:t>
      </w:r>
      <w:r w:rsidRPr="00501526">
        <w:rPr>
          <w:iCs/>
        </w:rPr>
        <w:t>isease</w:t>
      </w:r>
      <w:bookmarkEnd w:id="15"/>
    </w:p>
    <w:p w14:paraId="09E27BED" w14:textId="77777777" w:rsidR="00216CED" w:rsidRPr="00501526" w:rsidRDefault="000B3130" w:rsidP="000B3130">
      <w:pPr>
        <w:pStyle w:val="3-BodyText"/>
        <w:rPr>
          <w:iCs/>
          <w:color w:val="000000" w:themeColor="text1"/>
        </w:rPr>
      </w:pPr>
      <w:r w:rsidRPr="00501526">
        <w:rPr>
          <w:iCs/>
          <w:color w:val="000000" w:themeColor="text1"/>
        </w:rPr>
        <w:t xml:space="preserve">PKU is a rare inborn disorder which leads to HPA whereby patients suffer from elevated levels of the essential amino acid </w:t>
      </w:r>
      <w:r w:rsidR="005443F1" w:rsidRPr="00501526">
        <w:rPr>
          <w:iCs/>
          <w:color w:val="000000" w:themeColor="text1"/>
        </w:rPr>
        <w:t>p</w:t>
      </w:r>
      <w:r w:rsidRPr="00501526">
        <w:rPr>
          <w:iCs/>
          <w:color w:val="000000" w:themeColor="text1"/>
        </w:rPr>
        <w:t xml:space="preserve">henylalanine (Phe) in the blood. In patients with PKU, the enzyme phenylalanine hydroxylase (PAH) does not effectively metabolise Phe into the essential amino acid tyrosine due to mutations in the PAH gene causing PAH deficiency. </w:t>
      </w:r>
    </w:p>
    <w:p w14:paraId="48ACBAA4" w14:textId="4F6E9AF0" w:rsidR="008E6E37" w:rsidRPr="00501526" w:rsidRDefault="000B3130" w:rsidP="00E90034">
      <w:pPr>
        <w:pStyle w:val="3-BodyText"/>
        <w:rPr>
          <w:iCs/>
          <w:color w:val="000000" w:themeColor="text1"/>
        </w:rPr>
      </w:pPr>
      <w:r w:rsidRPr="00501526">
        <w:rPr>
          <w:iCs/>
          <w:color w:val="000000" w:themeColor="text1"/>
        </w:rPr>
        <w:t>In adults, untreated high Phe-blood levels can cause neuropsychiatric symptoms including inattention, hyperactivity, anxiety, depression, seizures and tremors</w:t>
      </w:r>
      <w:r w:rsidR="00005209" w:rsidRPr="00501526">
        <w:rPr>
          <w:iCs/>
          <w:color w:val="000000" w:themeColor="text1"/>
        </w:rPr>
        <w:t>.</w:t>
      </w:r>
      <w:r w:rsidR="00216CED" w:rsidRPr="00501526">
        <w:rPr>
          <w:iCs/>
          <w:color w:val="000000" w:themeColor="text1"/>
        </w:rPr>
        <w:t xml:space="preserve"> This can</w:t>
      </w:r>
      <w:r w:rsidR="008E6E37" w:rsidRPr="00501526">
        <w:rPr>
          <w:iCs/>
          <w:color w:val="000000" w:themeColor="text1"/>
        </w:rPr>
        <w:t xml:space="preserve"> impact executive function</w:t>
      </w:r>
      <w:r w:rsidR="00216CED" w:rsidRPr="00501526">
        <w:rPr>
          <w:iCs/>
          <w:color w:val="000000" w:themeColor="text1"/>
        </w:rPr>
        <w:t xml:space="preserve">, which </w:t>
      </w:r>
      <w:r w:rsidR="008E6E37" w:rsidRPr="00501526">
        <w:rPr>
          <w:iCs/>
          <w:color w:val="000000" w:themeColor="text1"/>
        </w:rPr>
        <w:t>is a collection of cognitive skills that are required to self-regulate and organise mental efforts in order to achieve goals (Bilder et al., 2016). The ability to plan and organise are critical skills required in adulthood</w:t>
      </w:r>
      <w:r w:rsidR="00D17D04" w:rsidRPr="00501526">
        <w:rPr>
          <w:iCs/>
          <w:color w:val="000000" w:themeColor="text1"/>
        </w:rPr>
        <w:t>,</w:t>
      </w:r>
      <w:r w:rsidR="008E6E37" w:rsidRPr="00501526">
        <w:rPr>
          <w:iCs/>
          <w:color w:val="000000" w:themeColor="text1"/>
        </w:rPr>
        <w:t xml:space="preserve"> and poor executive function as a result of elevated blood Phe can have negative impacts on a person’s employment and relationships, as well as their ability to appropriately manage their PKU.</w:t>
      </w:r>
    </w:p>
    <w:p w14:paraId="5FBE726E" w14:textId="05B149F4" w:rsidR="00181F19" w:rsidRPr="00501526" w:rsidRDefault="00181F19" w:rsidP="00181F19">
      <w:pPr>
        <w:pStyle w:val="3-BodyText"/>
        <w:rPr>
          <w:iCs/>
        </w:rPr>
      </w:pPr>
      <w:r w:rsidRPr="00501526">
        <w:rPr>
          <w:iCs/>
        </w:rPr>
        <w:t>The PBAC had previously considered that the benefits of sapropterin therapy in terms of improved neurological function were likely to be greatest during the development period for children and adolescents as untreated elevated blood-Phe levels during developmental stages can lead to mental retardation, neurocognitive deficits, behavioural abnormalities, seizures and other serious neurological complications (paragraphs 4.2, 7.1 and 7.3, sapropterin</w:t>
      </w:r>
      <w:r w:rsidR="00565511">
        <w:rPr>
          <w:iCs/>
        </w:rPr>
        <w:t xml:space="preserve"> PSD,</w:t>
      </w:r>
      <w:r w:rsidRPr="00501526">
        <w:rPr>
          <w:iCs/>
        </w:rPr>
        <w:t xml:space="preserve"> March 2018 </w:t>
      </w:r>
      <w:r w:rsidR="00565511" w:rsidRPr="00501526">
        <w:rPr>
          <w:iCs/>
        </w:rPr>
        <w:t>P</w:t>
      </w:r>
      <w:r w:rsidR="00565511">
        <w:rPr>
          <w:iCs/>
        </w:rPr>
        <w:t>BAC meeting</w:t>
      </w:r>
      <w:r w:rsidRPr="00501526">
        <w:rPr>
          <w:iCs/>
        </w:rPr>
        <w:t>)</w:t>
      </w:r>
      <w:r w:rsidR="00565511">
        <w:rPr>
          <w:iCs/>
        </w:rPr>
        <w:t>.</w:t>
      </w:r>
    </w:p>
    <w:p w14:paraId="2838C473" w14:textId="0B361332" w:rsidR="00181F19" w:rsidRPr="00501526" w:rsidRDefault="00181F19" w:rsidP="00181F19">
      <w:pPr>
        <w:pStyle w:val="3-BodyText"/>
        <w:rPr>
          <w:iCs/>
        </w:rPr>
      </w:pPr>
      <w:r w:rsidRPr="00501526">
        <w:rPr>
          <w:iCs/>
        </w:rPr>
        <w:t xml:space="preserve">Patients often maintain their Phe-levels via a Phe-controlled diet, consisting of low-protein foods combined with PBS-subsidised Phe-free supplements. PKU patients </w:t>
      </w:r>
      <w:r w:rsidR="00D17D04" w:rsidRPr="00501526">
        <w:rPr>
          <w:iCs/>
        </w:rPr>
        <w:t>experience</w:t>
      </w:r>
      <w:r w:rsidRPr="00501526">
        <w:rPr>
          <w:iCs/>
        </w:rPr>
        <w:t xml:space="preserve"> </w:t>
      </w:r>
      <w:r w:rsidR="00A61B87" w:rsidRPr="00501526">
        <w:rPr>
          <w:iCs/>
        </w:rPr>
        <w:t xml:space="preserve">negative </w:t>
      </w:r>
      <w:r w:rsidRPr="00501526">
        <w:rPr>
          <w:iCs/>
        </w:rPr>
        <w:t>quality-of-life (QoL) impacts through neuropsychiatric symptoms and executive functioning impacts, but also through the</w:t>
      </w:r>
      <w:r w:rsidR="00711CCC" w:rsidRPr="00501526">
        <w:rPr>
          <w:iCs/>
        </w:rPr>
        <w:t xml:space="preserve"> negative</w:t>
      </w:r>
      <w:r w:rsidRPr="00501526">
        <w:rPr>
          <w:iCs/>
        </w:rPr>
        <w:t xml:space="preserve"> impacts of a Phe-restrictive diet. </w:t>
      </w:r>
    </w:p>
    <w:p w14:paraId="7A061203" w14:textId="6C462A32" w:rsidR="007E5E82" w:rsidRPr="00501526" w:rsidRDefault="00B0034D" w:rsidP="0041402F">
      <w:pPr>
        <w:pStyle w:val="3-BodyText"/>
        <w:rPr>
          <w:iCs/>
          <w:color w:val="000000" w:themeColor="text1"/>
        </w:rPr>
      </w:pPr>
      <w:r w:rsidRPr="00501526">
        <w:rPr>
          <w:iCs/>
          <w:color w:val="000000" w:themeColor="text1"/>
        </w:rPr>
        <w:t xml:space="preserve">Sapropterin dihydrochloride is a synthetic version of the naturally occurring tetrahydrobiopterin (BH4), which is a cofactor for PAH. </w:t>
      </w:r>
      <w:r w:rsidR="008E6F37" w:rsidRPr="00501526">
        <w:rPr>
          <w:iCs/>
        </w:rPr>
        <w:t xml:space="preserve">Sapropterin acts by enhancing the activity of the defective PAH allowing Phe to be more effectively metabolised. It appears to work best for certain </w:t>
      </w:r>
      <w:r w:rsidR="00D17D04" w:rsidRPr="00501526">
        <w:rPr>
          <w:iCs/>
        </w:rPr>
        <w:t>mutations</w:t>
      </w:r>
      <w:r w:rsidR="008E6F37" w:rsidRPr="00501526">
        <w:rPr>
          <w:iCs/>
        </w:rPr>
        <w:t xml:space="preserve"> of the defective enzyme. Hence there is a subgroup of patients with PKU who are ‘responsive’ to sapropterin. The </w:t>
      </w:r>
      <w:r w:rsidR="00DA3240" w:rsidRPr="00501526">
        <w:rPr>
          <w:iCs/>
        </w:rPr>
        <w:t>defective</w:t>
      </w:r>
      <w:r w:rsidR="008E6F37" w:rsidRPr="00501526">
        <w:rPr>
          <w:iCs/>
        </w:rPr>
        <w:t xml:space="preserve"> enzymes that are significantly enhanced by sapropterin are generally those that have considerable residual activity. Thus, patients who are most likely to respond to sapropterin are those with lower baseline Phe levels and ‘milder’ disease. </w:t>
      </w:r>
      <w:r w:rsidRPr="00501526">
        <w:rPr>
          <w:iCs/>
          <w:color w:val="000000" w:themeColor="text1"/>
        </w:rPr>
        <w:t>In patients with sapropterin-responsive PKU, sapropterin increas</w:t>
      </w:r>
      <w:r w:rsidR="00A775FE" w:rsidRPr="00501526">
        <w:rPr>
          <w:iCs/>
          <w:color w:val="000000" w:themeColor="text1"/>
        </w:rPr>
        <w:t>es</w:t>
      </w:r>
      <w:r w:rsidRPr="00501526">
        <w:rPr>
          <w:iCs/>
          <w:color w:val="000000" w:themeColor="text1"/>
        </w:rPr>
        <w:t xml:space="preserve"> or restor</w:t>
      </w:r>
      <w:r w:rsidR="00A775FE" w:rsidRPr="00501526">
        <w:rPr>
          <w:iCs/>
          <w:color w:val="000000" w:themeColor="text1"/>
        </w:rPr>
        <w:t>es</w:t>
      </w:r>
      <w:r w:rsidRPr="00501526">
        <w:rPr>
          <w:iCs/>
          <w:color w:val="000000" w:themeColor="text1"/>
        </w:rPr>
        <w:t xml:space="preserve"> the oxidative metabolism of Phe </w:t>
      </w:r>
      <w:r w:rsidR="00F407DB" w:rsidRPr="00501526">
        <w:rPr>
          <w:iCs/>
          <w:color w:val="000000" w:themeColor="text1"/>
        </w:rPr>
        <w:t xml:space="preserve">by </w:t>
      </w:r>
      <w:r w:rsidR="00A775FE" w:rsidRPr="00501526">
        <w:rPr>
          <w:iCs/>
          <w:color w:val="000000" w:themeColor="text1"/>
        </w:rPr>
        <w:t xml:space="preserve">PAH </w:t>
      </w:r>
      <w:r w:rsidRPr="00501526">
        <w:rPr>
          <w:iCs/>
          <w:color w:val="000000" w:themeColor="text1"/>
        </w:rPr>
        <w:t>to reduce blood Phe levels and/or improve Phe tolerance (i.e. increasing dietary intake of Phe while maintaining blood Phe levels within the target range).</w:t>
      </w:r>
      <w:r w:rsidR="00D17D04" w:rsidRPr="00501526">
        <w:rPr>
          <w:iCs/>
          <w:color w:val="000000" w:themeColor="text1"/>
        </w:rPr>
        <w:t xml:space="preserve"> </w:t>
      </w:r>
      <w:r w:rsidR="007E5E82" w:rsidRPr="00501526">
        <w:rPr>
          <w:iCs/>
          <w:color w:val="000000" w:themeColor="text1"/>
        </w:rPr>
        <w:t>On the other hand, pegvaliase is an enzyme substitution therapy, which unlike sapropterin, is not reliant on the patient having any residual endogenous PAH activity.</w:t>
      </w:r>
    </w:p>
    <w:p w14:paraId="6CA091C4" w14:textId="52DCF45C" w:rsidR="00A91648" w:rsidRPr="00501526" w:rsidRDefault="00D17D04" w:rsidP="0041402F">
      <w:pPr>
        <w:pStyle w:val="3-BodyText"/>
        <w:rPr>
          <w:iCs/>
          <w:color w:val="000000" w:themeColor="text1"/>
        </w:rPr>
      </w:pPr>
      <w:r w:rsidRPr="00501526">
        <w:rPr>
          <w:iCs/>
          <w:color w:val="000000" w:themeColor="text1"/>
        </w:rPr>
        <w:lastRenderedPageBreak/>
        <w:t xml:space="preserve">Sapropterin </w:t>
      </w:r>
      <w:r w:rsidRPr="00501526">
        <w:rPr>
          <w:iCs/>
        </w:rPr>
        <w:t>is intended to be used in conjunction with a Phe-restricted diet. In clinical practice, it is likely that at least some of the benefit</w:t>
      </w:r>
      <w:r w:rsidR="009F7F06">
        <w:rPr>
          <w:iCs/>
        </w:rPr>
        <w:t xml:space="preserve"> to patients</w:t>
      </w:r>
      <w:r w:rsidRPr="00501526">
        <w:rPr>
          <w:iCs/>
        </w:rPr>
        <w:t xml:space="preserve"> of sapropterin </w:t>
      </w:r>
      <w:r w:rsidR="009F7F06">
        <w:rPr>
          <w:iCs/>
        </w:rPr>
        <w:t xml:space="preserve">treatment </w:t>
      </w:r>
      <w:r w:rsidRPr="00501526">
        <w:rPr>
          <w:iCs/>
        </w:rPr>
        <w:t>will be due to a relaxation of dietary Phe-restrictions.</w:t>
      </w:r>
    </w:p>
    <w:p w14:paraId="1D48361A" w14:textId="409C5072" w:rsidR="00D17D04" w:rsidRPr="00501526" w:rsidRDefault="006E21F0" w:rsidP="00526F7A">
      <w:pPr>
        <w:pStyle w:val="3-BodyText"/>
        <w:rPr>
          <w:iCs/>
        </w:rPr>
      </w:pPr>
      <w:r w:rsidRPr="00501526">
        <w:rPr>
          <w:iCs/>
          <w:color w:val="000000" w:themeColor="text1"/>
        </w:rPr>
        <w:t>R</w:t>
      </w:r>
      <w:r w:rsidR="00B0034D" w:rsidRPr="00501526">
        <w:rPr>
          <w:iCs/>
          <w:color w:val="000000" w:themeColor="text1"/>
        </w:rPr>
        <w:t xml:space="preserve">esponse to sapropterin can only be determined by a therapeutic trial of sapropterin. </w:t>
      </w:r>
      <w:r w:rsidR="00AD3E7D" w:rsidRPr="00501526">
        <w:rPr>
          <w:iCs/>
          <w:color w:val="000000" w:themeColor="text1"/>
        </w:rPr>
        <w:t>The PI state</w:t>
      </w:r>
      <w:r w:rsidR="00CD65BC" w:rsidRPr="00501526">
        <w:rPr>
          <w:iCs/>
          <w:color w:val="000000" w:themeColor="text1"/>
        </w:rPr>
        <w:t>d</w:t>
      </w:r>
      <w:r w:rsidR="00AD3E7D" w:rsidRPr="00501526">
        <w:rPr>
          <w:iCs/>
          <w:color w:val="000000" w:themeColor="text1"/>
        </w:rPr>
        <w:t xml:space="preserve"> that the starting dose of sapropterin in adult and paediatric patients with PKU is 10 mg/kg body weight once daily. The dose is adjusted to achieve and maintain adequate blood phenylalanine levels as defined by the physician. The recommended daily dose is between 5 and 20</w:t>
      </w:r>
      <w:r w:rsidR="00565511">
        <w:rPr>
          <w:iCs/>
          <w:color w:val="000000" w:themeColor="text1"/>
        </w:rPr>
        <w:t xml:space="preserve"> </w:t>
      </w:r>
      <w:r w:rsidR="00AD3E7D" w:rsidRPr="00501526">
        <w:rPr>
          <w:iCs/>
          <w:color w:val="000000" w:themeColor="text1"/>
        </w:rPr>
        <w:t xml:space="preserve">mg/kg/day. </w:t>
      </w:r>
    </w:p>
    <w:p w14:paraId="50FF5EA2" w14:textId="77777777" w:rsidR="0044512C" w:rsidRPr="00501526" w:rsidRDefault="0044512C" w:rsidP="00501526">
      <w:pPr>
        <w:pStyle w:val="2-SectionHeading"/>
        <w:numPr>
          <w:ilvl w:val="0"/>
          <w:numId w:val="0"/>
        </w:numPr>
        <w:ind w:left="720"/>
        <w:outlineLvl w:val="9"/>
        <w:rPr>
          <w:b w:val="0"/>
          <w:i/>
          <w:color w:val="000000" w:themeColor="text1"/>
          <w:sz w:val="24"/>
          <w:szCs w:val="24"/>
        </w:rPr>
      </w:pPr>
      <w:r w:rsidRPr="00501526">
        <w:rPr>
          <w:b w:val="0"/>
          <w:i/>
          <w:color w:val="000000" w:themeColor="text1"/>
          <w:sz w:val="24"/>
          <w:szCs w:val="24"/>
        </w:rPr>
        <w:t>For more detail on PBAC’s view, see section 7 PBAC outcome.</w:t>
      </w:r>
    </w:p>
    <w:p w14:paraId="51E5AE96" w14:textId="136A63B1" w:rsidR="00B50DB8" w:rsidRPr="00501526" w:rsidRDefault="00B50DB8" w:rsidP="004E18E9">
      <w:pPr>
        <w:pStyle w:val="2-SectionHeading"/>
        <w:rPr>
          <w:iCs/>
        </w:rPr>
      </w:pPr>
      <w:bookmarkStart w:id="16" w:name="_Toc103766825"/>
      <w:r w:rsidRPr="00501526">
        <w:rPr>
          <w:iCs/>
        </w:rPr>
        <w:t>Comparator</w:t>
      </w:r>
      <w:bookmarkEnd w:id="16"/>
    </w:p>
    <w:p w14:paraId="747A75CC" w14:textId="613AD0F6" w:rsidR="00A05472" w:rsidRPr="00501526" w:rsidRDefault="00B0034D" w:rsidP="00882E3C">
      <w:pPr>
        <w:pStyle w:val="3-BodyText"/>
        <w:rPr>
          <w:iCs/>
          <w:snapToGrid/>
        </w:rPr>
      </w:pPr>
      <w:r w:rsidRPr="00501526">
        <w:rPr>
          <w:iCs/>
          <w:color w:val="000000" w:themeColor="text1"/>
        </w:rPr>
        <w:t xml:space="preserve">The submission nominated </w:t>
      </w:r>
      <w:r w:rsidR="007E5E82" w:rsidRPr="00501526">
        <w:rPr>
          <w:iCs/>
          <w:color w:val="000000" w:themeColor="text1"/>
        </w:rPr>
        <w:t xml:space="preserve">a </w:t>
      </w:r>
      <w:r w:rsidRPr="00501526">
        <w:rPr>
          <w:iCs/>
          <w:color w:val="000000" w:themeColor="text1"/>
        </w:rPr>
        <w:t xml:space="preserve">Phe-restricted diet alone as the comparator. </w:t>
      </w:r>
      <w:r w:rsidR="007E5E82" w:rsidRPr="00501526">
        <w:rPr>
          <w:iCs/>
          <w:color w:val="000000" w:themeColor="text1"/>
        </w:rPr>
        <w:t xml:space="preserve">This </w:t>
      </w:r>
      <w:r w:rsidR="00262183" w:rsidRPr="00501526">
        <w:rPr>
          <w:iCs/>
          <w:color w:val="000000" w:themeColor="text1"/>
        </w:rPr>
        <w:t xml:space="preserve">was also </w:t>
      </w:r>
      <w:r w:rsidR="001F25AD" w:rsidRPr="00501526">
        <w:rPr>
          <w:iCs/>
          <w:color w:val="000000" w:themeColor="text1"/>
        </w:rPr>
        <w:t xml:space="preserve">the nominated comparator in </w:t>
      </w:r>
      <w:r w:rsidR="0067542B" w:rsidRPr="00501526">
        <w:rPr>
          <w:iCs/>
          <w:color w:val="000000" w:themeColor="text1"/>
        </w:rPr>
        <w:t xml:space="preserve">the most recent November 2020 resubmission for sapropterin in patients aged </w:t>
      </w:r>
      <w:r w:rsidR="00A80CBF" w:rsidRPr="00501526">
        <w:rPr>
          <w:rFonts w:cstheme="minorHAnsi"/>
          <w:iCs/>
          <w:color w:val="000000" w:themeColor="text1"/>
        </w:rPr>
        <w:t>≥</w:t>
      </w:r>
      <w:r w:rsidR="00A80CBF" w:rsidRPr="00501526">
        <w:rPr>
          <w:iCs/>
          <w:color w:val="000000" w:themeColor="text1"/>
        </w:rPr>
        <w:t xml:space="preserve">18 years with MPKU, </w:t>
      </w:r>
      <w:r w:rsidR="004F5A66" w:rsidRPr="00501526">
        <w:rPr>
          <w:iCs/>
          <w:color w:val="000000" w:themeColor="text1"/>
        </w:rPr>
        <w:t xml:space="preserve">and </w:t>
      </w:r>
      <w:r w:rsidR="00A80CBF" w:rsidRPr="00501526">
        <w:rPr>
          <w:iCs/>
          <w:color w:val="000000" w:themeColor="text1"/>
        </w:rPr>
        <w:t>was considered by the PBAC as appropriate and consistent with previous submissions for PKU (paragraph 5.1, sapropterin November 2020 PSD).</w:t>
      </w:r>
      <w:r w:rsidR="00DA3332" w:rsidRPr="00501526">
        <w:rPr>
          <w:iCs/>
          <w:color w:val="000000" w:themeColor="text1"/>
        </w:rPr>
        <w:t xml:space="preserve"> </w:t>
      </w:r>
    </w:p>
    <w:p w14:paraId="000450A9" w14:textId="2A94BF64" w:rsidR="00B0034D" w:rsidRPr="00501526" w:rsidRDefault="00B0034D" w:rsidP="00B0034D">
      <w:pPr>
        <w:pStyle w:val="3-BodyText"/>
        <w:rPr>
          <w:iCs/>
        </w:rPr>
      </w:pPr>
      <w:r w:rsidRPr="00501526">
        <w:rPr>
          <w:iCs/>
        </w:rPr>
        <w:t>The submission considered that the P</w:t>
      </w:r>
      <w:r w:rsidR="009629AB" w:rsidRPr="00501526">
        <w:rPr>
          <w:iCs/>
        </w:rPr>
        <w:t>h</w:t>
      </w:r>
      <w:r w:rsidRPr="00501526">
        <w:rPr>
          <w:iCs/>
        </w:rPr>
        <w:t xml:space="preserve">e-restricted diet was the mainstay of therapy for HPA due to PKU and that all patients should be on a Phe-restricted diet. </w:t>
      </w:r>
    </w:p>
    <w:p w14:paraId="4097112D" w14:textId="286F5D29" w:rsidR="00B0034D" w:rsidRPr="00501526" w:rsidRDefault="00B0034D" w:rsidP="00B0034D">
      <w:pPr>
        <w:pStyle w:val="3-BodyText"/>
        <w:rPr>
          <w:iCs/>
        </w:rPr>
      </w:pPr>
      <w:r w:rsidRPr="00501526">
        <w:rPr>
          <w:iCs/>
        </w:rPr>
        <w:t xml:space="preserve">The submission noted that, for consistency with previous PBAC submissions for sapropterin for the treatment of PKU, the submission considered </w:t>
      </w:r>
      <w:r w:rsidR="007E5E82" w:rsidRPr="00501526">
        <w:rPr>
          <w:iCs/>
        </w:rPr>
        <w:t xml:space="preserve">that a </w:t>
      </w:r>
      <w:r w:rsidRPr="00501526">
        <w:rPr>
          <w:iCs/>
        </w:rPr>
        <w:t xml:space="preserve">Phe-restricted diet </w:t>
      </w:r>
      <w:r w:rsidR="007E5E82" w:rsidRPr="00501526">
        <w:rPr>
          <w:iCs/>
        </w:rPr>
        <w:t>comprises</w:t>
      </w:r>
      <w:r w:rsidRPr="00501526">
        <w:rPr>
          <w:iCs/>
        </w:rPr>
        <w:t xml:space="preserve"> the following</w:t>
      </w:r>
      <w:r w:rsidR="006A54E3" w:rsidRPr="00501526">
        <w:rPr>
          <w:iCs/>
        </w:rPr>
        <w:t>:</w:t>
      </w:r>
    </w:p>
    <w:p w14:paraId="7E7AC483" w14:textId="0A749E3A" w:rsidR="00B0034D" w:rsidRPr="00501526" w:rsidRDefault="00B0034D" w:rsidP="0038337A">
      <w:pPr>
        <w:pStyle w:val="3-BodyText"/>
        <w:numPr>
          <w:ilvl w:val="0"/>
          <w:numId w:val="6"/>
        </w:numPr>
        <w:ind w:left="1134"/>
        <w:rPr>
          <w:iCs/>
        </w:rPr>
      </w:pPr>
      <w:r w:rsidRPr="00501526">
        <w:rPr>
          <w:iCs/>
        </w:rPr>
        <w:t>Natural protein restriction according to individual Phe tolerance</w:t>
      </w:r>
      <w:r w:rsidR="005443F1" w:rsidRPr="00501526">
        <w:rPr>
          <w:iCs/>
        </w:rPr>
        <w:t>;</w:t>
      </w:r>
    </w:p>
    <w:p w14:paraId="46D1C323" w14:textId="2122F347" w:rsidR="00B0034D" w:rsidRPr="00501526" w:rsidRDefault="00B0034D" w:rsidP="0038337A">
      <w:pPr>
        <w:pStyle w:val="3-BodyText"/>
        <w:numPr>
          <w:ilvl w:val="0"/>
          <w:numId w:val="6"/>
        </w:numPr>
        <w:ind w:left="1134"/>
        <w:rPr>
          <w:iCs/>
        </w:rPr>
      </w:pPr>
      <w:r w:rsidRPr="00501526">
        <w:rPr>
          <w:iCs/>
        </w:rPr>
        <w:t>PBS-listed Phe-free amino acid supplements (with added vitamins and minerals) to meet protein and non-protein requirements</w:t>
      </w:r>
      <w:r w:rsidR="005443F1" w:rsidRPr="00501526">
        <w:rPr>
          <w:iCs/>
        </w:rPr>
        <w:t>; and</w:t>
      </w:r>
    </w:p>
    <w:p w14:paraId="7837DEC4" w14:textId="54DBA563" w:rsidR="00B0034D" w:rsidRPr="00501526" w:rsidRDefault="00B0034D" w:rsidP="0038337A">
      <w:pPr>
        <w:pStyle w:val="3-BodyText"/>
        <w:numPr>
          <w:ilvl w:val="0"/>
          <w:numId w:val="6"/>
        </w:numPr>
        <w:ind w:left="1134"/>
        <w:rPr>
          <w:iCs/>
        </w:rPr>
      </w:pPr>
      <w:r w:rsidRPr="00501526">
        <w:rPr>
          <w:iCs/>
        </w:rPr>
        <w:t>Low-protein food to meet energy requirements</w:t>
      </w:r>
      <w:r w:rsidR="005443F1" w:rsidRPr="00501526">
        <w:rPr>
          <w:iCs/>
        </w:rPr>
        <w:t>.</w:t>
      </w:r>
    </w:p>
    <w:p w14:paraId="47D9B48A" w14:textId="277F1A73" w:rsidR="002C2775" w:rsidRPr="00501526" w:rsidRDefault="00ED5BD4" w:rsidP="002E4F02">
      <w:pPr>
        <w:pStyle w:val="3-BodyText"/>
        <w:rPr>
          <w:iCs/>
        </w:rPr>
      </w:pPr>
      <w:r w:rsidRPr="00501526">
        <w:rPr>
          <w:iCs/>
        </w:rPr>
        <w:t xml:space="preserve">The submission </w:t>
      </w:r>
      <w:r w:rsidR="00B0034D" w:rsidRPr="00501526">
        <w:rPr>
          <w:iCs/>
        </w:rPr>
        <w:t>considered that sapropterin would not be expected to replace</w:t>
      </w:r>
      <w:r w:rsidR="006A4062" w:rsidRPr="00501526">
        <w:rPr>
          <w:iCs/>
        </w:rPr>
        <w:t xml:space="preserve"> a</w:t>
      </w:r>
      <w:r w:rsidR="00B0034D" w:rsidRPr="00501526">
        <w:rPr>
          <w:iCs/>
        </w:rPr>
        <w:t xml:space="preserve"> Phe</w:t>
      </w:r>
      <w:r w:rsidR="007A3C48">
        <w:rPr>
          <w:iCs/>
        </w:rPr>
        <w:noBreakHyphen/>
      </w:r>
      <w:r w:rsidR="00B0034D" w:rsidRPr="00501526">
        <w:rPr>
          <w:iCs/>
        </w:rPr>
        <w:t>restricted diet but would rather be used in combination with it. However, the submission also considered that adherence to the P</w:t>
      </w:r>
      <w:r w:rsidR="006A54E3" w:rsidRPr="00501526">
        <w:rPr>
          <w:iCs/>
        </w:rPr>
        <w:t>h</w:t>
      </w:r>
      <w:r w:rsidR="00B0034D" w:rsidRPr="00501526">
        <w:rPr>
          <w:iCs/>
        </w:rPr>
        <w:t xml:space="preserve">e-restricted diet tended to be low, consequently it was unclear </w:t>
      </w:r>
      <w:r w:rsidR="008734A0" w:rsidRPr="00501526">
        <w:rPr>
          <w:iCs/>
        </w:rPr>
        <w:t>whether</w:t>
      </w:r>
      <w:r w:rsidR="00B0034D" w:rsidRPr="00501526">
        <w:rPr>
          <w:iCs/>
        </w:rPr>
        <w:t xml:space="preserve"> sapropterin would in practice, serve as a replacement. </w:t>
      </w:r>
      <w:r w:rsidR="00D653B0" w:rsidRPr="00501526">
        <w:rPr>
          <w:iCs/>
        </w:rPr>
        <w:t xml:space="preserve">DUSC has previously </w:t>
      </w:r>
      <w:r w:rsidR="00CF3FFE" w:rsidRPr="00501526">
        <w:rPr>
          <w:iCs/>
        </w:rPr>
        <w:t>consider</w:t>
      </w:r>
      <w:r w:rsidR="006A4062" w:rsidRPr="00501526">
        <w:rPr>
          <w:iCs/>
        </w:rPr>
        <w:t>ed</w:t>
      </w:r>
      <w:r w:rsidR="00D653B0" w:rsidRPr="00501526">
        <w:rPr>
          <w:iCs/>
        </w:rPr>
        <w:t xml:space="preserve"> that sapropterin use may allow inappropriate relaxation of the Phe-restricted diet</w:t>
      </w:r>
      <w:r w:rsidR="00D17D04" w:rsidRPr="00501526">
        <w:rPr>
          <w:iCs/>
        </w:rPr>
        <w:t xml:space="preserve"> (p</w:t>
      </w:r>
      <w:r w:rsidR="00D653B0" w:rsidRPr="00501526">
        <w:rPr>
          <w:iCs/>
        </w:rPr>
        <w:t>aragraph 6.70, sapropterin</w:t>
      </w:r>
      <w:r w:rsidR="009F7F06">
        <w:rPr>
          <w:iCs/>
        </w:rPr>
        <w:t>, PSD,</w:t>
      </w:r>
      <w:r w:rsidR="00D653B0" w:rsidRPr="00501526">
        <w:rPr>
          <w:iCs/>
        </w:rPr>
        <w:t xml:space="preserve"> March 2018 </w:t>
      </w:r>
      <w:r w:rsidR="009F7F06">
        <w:rPr>
          <w:iCs/>
        </w:rPr>
        <w:t>PBAC meeting</w:t>
      </w:r>
      <w:r w:rsidR="00D653B0" w:rsidRPr="00501526">
        <w:rPr>
          <w:iCs/>
        </w:rPr>
        <w:t>)</w:t>
      </w:r>
      <w:r w:rsidR="00D17D04" w:rsidRPr="00501526">
        <w:rPr>
          <w:iCs/>
        </w:rPr>
        <w:t>.</w:t>
      </w:r>
    </w:p>
    <w:p w14:paraId="16F37F49" w14:textId="51FB35D5" w:rsidR="000B3130" w:rsidRPr="00501526" w:rsidRDefault="000B3130" w:rsidP="002E4F02">
      <w:pPr>
        <w:pStyle w:val="3-BodyText"/>
        <w:rPr>
          <w:iCs/>
        </w:rPr>
      </w:pPr>
      <w:r w:rsidRPr="00501526">
        <w:rPr>
          <w:iCs/>
        </w:rPr>
        <w:t xml:space="preserve">In the concurrent pegvaliase submission, pegvaliase </w:t>
      </w:r>
      <w:r w:rsidR="000D556C">
        <w:rPr>
          <w:iCs/>
        </w:rPr>
        <w:t>wa</w:t>
      </w:r>
      <w:r w:rsidRPr="00501526">
        <w:rPr>
          <w:iCs/>
        </w:rPr>
        <w:t xml:space="preserve">s specifically requested for patients who </w:t>
      </w:r>
      <w:r w:rsidR="000D556C">
        <w:rPr>
          <w:iCs/>
        </w:rPr>
        <w:t>had</w:t>
      </w:r>
      <w:r w:rsidR="000D556C" w:rsidRPr="00501526">
        <w:rPr>
          <w:iCs/>
        </w:rPr>
        <w:t xml:space="preserve"> </w:t>
      </w:r>
      <w:r w:rsidRPr="00501526">
        <w:rPr>
          <w:iCs/>
        </w:rPr>
        <w:t>not respond</w:t>
      </w:r>
      <w:r w:rsidR="000D556C">
        <w:rPr>
          <w:iCs/>
        </w:rPr>
        <w:t>ed</w:t>
      </w:r>
      <w:r w:rsidRPr="00501526">
        <w:rPr>
          <w:iCs/>
        </w:rPr>
        <w:t xml:space="preserve"> to sapropterin and hence </w:t>
      </w:r>
      <w:r w:rsidR="000D556C">
        <w:rPr>
          <w:iCs/>
        </w:rPr>
        <w:t xml:space="preserve">the submission considered it </w:t>
      </w:r>
      <w:r w:rsidRPr="00501526">
        <w:rPr>
          <w:iCs/>
        </w:rPr>
        <w:t xml:space="preserve">would not be a comparator. However, </w:t>
      </w:r>
      <w:r w:rsidR="005F1FB2" w:rsidRPr="00501526">
        <w:rPr>
          <w:iCs/>
        </w:rPr>
        <w:t xml:space="preserve">the </w:t>
      </w:r>
      <w:r w:rsidR="000D556C">
        <w:rPr>
          <w:iCs/>
        </w:rPr>
        <w:t xml:space="preserve">evaluation and ESC considered that the </w:t>
      </w:r>
      <w:r w:rsidRPr="00501526">
        <w:rPr>
          <w:iCs/>
        </w:rPr>
        <w:t>restriction of pegvaliase to sapropterin non-responders was poorly justified</w:t>
      </w:r>
      <w:r w:rsidR="0057098E" w:rsidRPr="00501526">
        <w:rPr>
          <w:iCs/>
        </w:rPr>
        <w:t xml:space="preserve"> and </w:t>
      </w:r>
      <w:r w:rsidR="0057098E" w:rsidRPr="00501526">
        <w:rPr>
          <w:iCs/>
          <w:color w:val="000000" w:themeColor="text1"/>
        </w:rPr>
        <w:t>in practice it may be difficult to distinguish two separate lines of therapy</w:t>
      </w:r>
      <w:r w:rsidRPr="00501526">
        <w:rPr>
          <w:iCs/>
        </w:rPr>
        <w:t xml:space="preserve">. Consequently, </w:t>
      </w:r>
      <w:r w:rsidRPr="00501526">
        <w:rPr>
          <w:iCs/>
        </w:rPr>
        <w:lastRenderedPageBreak/>
        <w:t xml:space="preserve">should </w:t>
      </w:r>
      <w:r w:rsidR="00AC1695" w:rsidRPr="00501526">
        <w:rPr>
          <w:iCs/>
          <w:color w:val="000000" w:themeColor="text1"/>
        </w:rPr>
        <w:t xml:space="preserve">the clinical use of pegvaliase be broader than requested by the sponsor, </w:t>
      </w:r>
      <w:r w:rsidRPr="00501526">
        <w:rPr>
          <w:iCs/>
        </w:rPr>
        <w:t xml:space="preserve">pegvaliase </w:t>
      </w:r>
      <w:r w:rsidR="0057098E" w:rsidRPr="00501526">
        <w:rPr>
          <w:iCs/>
        </w:rPr>
        <w:t xml:space="preserve">may </w:t>
      </w:r>
      <w:r w:rsidRPr="00501526">
        <w:rPr>
          <w:iCs/>
        </w:rPr>
        <w:t xml:space="preserve">be </w:t>
      </w:r>
      <w:r w:rsidR="00437706" w:rsidRPr="00501526">
        <w:rPr>
          <w:iCs/>
        </w:rPr>
        <w:t xml:space="preserve">a </w:t>
      </w:r>
      <w:r w:rsidR="0057098E" w:rsidRPr="00501526">
        <w:rPr>
          <w:iCs/>
        </w:rPr>
        <w:t xml:space="preserve">near-market </w:t>
      </w:r>
      <w:r w:rsidRPr="00501526">
        <w:rPr>
          <w:iCs/>
        </w:rPr>
        <w:t>comparator</w:t>
      </w:r>
      <w:r w:rsidR="00437706" w:rsidRPr="00501526">
        <w:rPr>
          <w:iCs/>
        </w:rPr>
        <w:t xml:space="preserve"> to sapropterin</w:t>
      </w:r>
      <w:r w:rsidRPr="00501526">
        <w:rPr>
          <w:iCs/>
        </w:rPr>
        <w:t xml:space="preserve">. </w:t>
      </w:r>
    </w:p>
    <w:p w14:paraId="0EDADEF8" w14:textId="4B3445FE" w:rsidR="0044512C" w:rsidRPr="0044512C" w:rsidRDefault="0044512C" w:rsidP="0044512C">
      <w:pPr>
        <w:pStyle w:val="3-BodyText"/>
        <w:numPr>
          <w:ilvl w:val="0"/>
          <w:numId w:val="0"/>
        </w:numPr>
        <w:ind w:left="720"/>
        <w:rPr>
          <w:i/>
        </w:rPr>
      </w:pPr>
      <w:r w:rsidRPr="0044512C">
        <w:rPr>
          <w:i/>
        </w:rPr>
        <w:t>For more detail on PBAC’s view, see section 7 PBAC outcome.</w:t>
      </w:r>
    </w:p>
    <w:p w14:paraId="7F9C27C8" w14:textId="77777777" w:rsidR="00223D5A" w:rsidRPr="00471C44" w:rsidRDefault="00223D5A" w:rsidP="00223D5A">
      <w:pPr>
        <w:pStyle w:val="2-SectionHeading"/>
        <w:rPr>
          <w:iCs/>
        </w:rPr>
      </w:pPr>
      <w:bookmarkStart w:id="17" w:name="_Toc103766826"/>
      <w:bookmarkStart w:id="18" w:name="_Toc22897640"/>
      <w:r w:rsidRPr="00471C44">
        <w:rPr>
          <w:iCs/>
        </w:rPr>
        <w:t>Consideration of the evidence</w:t>
      </w:r>
      <w:bookmarkEnd w:id="17"/>
    </w:p>
    <w:p w14:paraId="023FB965" w14:textId="77777777" w:rsidR="00501526" w:rsidRPr="00501526" w:rsidRDefault="00501526" w:rsidP="00501526">
      <w:pPr>
        <w:pStyle w:val="4-SubsectionHeading"/>
      </w:pPr>
      <w:bookmarkStart w:id="19" w:name="_Hlk76375935"/>
      <w:bookmarkStart w:id="20" w:name="_Toc103766827"/>
      <w:r w:rsidRPr="00501526">
        <w:t>Sponsor hearing</w:t>
      </w:r>
    </w:p>
    <w:p w14:paraId="3EBEA926" w14:textId="21A14F6B" w:rsidR="00D60386" w:rsidRDefault="00D60386" w:rsidP="00D60386">
      <w:pPr>
        <w:widowControl w:val="0"/>
        <w:numPr>
          <w:ilvl w:val="1"/>
          <w:numId w:val="1"/>
        </w:numPr>
        <w:spacing w:after="120"/>
        <w:rPr>
          <w:rFonts w:asciiTheme="minorHAnsi" w:hAnsiTheme="minorHAnsi"/>
          <w:bCs/>
          <w:snapToGrid w:val="0"/>
        </w:rPr>
      </w:pPr>
      <w:bookmarkStart w:id="21" w:name="_Hlk76382586"/>
      <w:r>
        <w:rPr>
          <w:rFonts w:asciiTheme="minorHAnsi" w:hAnsiTheme="minorHAnsi"/>
          <w:bCs/>
          <w:snapToGrid w:val="0"/>
          <w:lang w:eastAsia="en-US"/>
        </w:rPr>
        <w:t xml:space="preserve">The PBAC noted that the sponsor requested a hearing for pegvaliase which was also relevant </w:t>
      </w:r>
      <w:r w:rsidR="007A689E">
        <w:rPr>
          <w:rFonts w:asciiTheme="minorHAnsi" w:hAnsiTheme="minorHAnsi"/>
          <w:bCs/>
          <w:snapToGrid w:val="0"/>
          <w:lang w:eastAsia="en-US"/>
        </w:rPr>
        <w:t>for</w:t>
      </w:r>
      <w:r>
        <w:rPr>
          <w:rFonts w:asciiTheme="minorHAnsi" w:hAnsiTheme="minorHAnsi"/>
          <w:bCs/>
          <w:snapToGrid w:val="0"/>
          <w:lang w:eastAsia="en-US"/>
        </w:rPr>
        <w:t xml:space="preserve"> sapropterin. </w:t>
      </w:r>
      <w:r w:rsidRPr="00836F75">
        <w:rPr>
          <w:rFonts w:asciiTheme="minorHAnsi" w:hAnsiTheme="minorHAnsi"/>
          <w:bCs/>
          <w:snapToGrid w:val="0"/>
        </w:rPr>
        <w:t xml:space="preserve">The </w:t>
      </w:r>
      <w:r>
        <w:rPr>
          <w:rFonts w:asciiTheme="minorHAnsi" w:hAnsiTheme="minorHAnsi"/>
          <w:bCs/>
          <w:snapToGrid w:val="0"/>
        </w:rPr>
        <w:t xml:space="preserve">two </w:t>
      </w:r>
      <w:r w:rsidRPr="00836F75">
        <w:rPr>
          <w:rFonts w:asciiTheme="minorHAnsi" w:hAnsiTheme="minorHAnsi"/>
          <w:bCs/>
          <w:snapToGrid w:val="0"/>
        </w:rPr>
        <w:t>clinician</w:t>
      </w:r>
      <w:r>
        <w:rPr>
          <w:rFonts w:asciiTheme="minorHAnsi" w:hAnsiTheme="minorHAnsi"/>
          <w:bCs/>
          <w:snapToGrid w:val="0"/>
        </w:rPr>
        <w:t xml:space="preserve">s described the real world, functional impact of high Phe levels on patients including high rates of depression, </w:t>
      </w:r>
      <w:proofErr w:type="gramStart"/>
      <w:r>
        <w:rPr>
          <w:rFonts w:asciiTheme="minorHAnsi" w:hAnsiTheme="minorHAnsi"/>
          <w:bCs/>
          <w:snapToGrid w:val="0"/>
        </w:rPr>
        <w:t>anxiety</w:t>
      </w:r>
      <w:proofErr w:type="gramEnd"/>
      <w:r>
        <w:rPr>
          <w:rFonts w:asciiTheme="minorHAnsi" w:hAnsiTheme="minorHAnsi"/>
          <w:bCs/>
          <w:snapToGrid w:val="0"/>
        </w:rPr>
        <w:t xml:space="preserve"> and panic attacks and </w:t>
      </w:r>
      <w:r w:rsidR="005640F0">
        <w:rPr>
          <w:rFonts w:asciiTheme="minorHAnsi" w:hAnsiTheme="minorHAnsi"/>
          <w:bCs/>
          <w:snapToGrid w:val="0"/>
        </w:rPr>
        <w:t xml:space="preserve">also the </w:t>
      </w:r>
      <w:r>
        <w:rPr>
          <w:rFonts w:asciiTheme="minorHAnsi" w:hAnsiTheme="minorHAnsi"/>
          <w:bCs/>
          <w:snapToGrid w:val="0"/>
        </w:rPr>
        <w:t xml:space="preserve">impacts on cognitive function in terms of reduced working memory, attention and mood. The clinicians stated that even small reductions in Phe levels can </w:t>
      </w:r>
      <w:r w:rsidR="006E2C3B">
        <w:rPr>
          <w:rFonts w:asciiTheme="minorHAnsi" w:hAnsiTheme="minorHAnsi"/>
          <w:bCs/>
          <w:snapToGrid w:val="0"/>
        </w:rPr>
        <w:t>improve</w:t>
      </w:r>
      <w:r>
        <w:rPr>
          <w:rFonts w:asciiTheme="minorHAnsi" w:hAnsiTheme="minorHAnsi"/>
          <w:bCs/>
          <w:snapToGrid w:val="0"/>
        </w:rPr>
        <w:t xml:space="preserve"> these outcomes and consequently </w:t>
      </w:r>
      <w:r w:rsidR="007A689E">
        <w:rPr>
          <w:rFonts w:asciiTheme="minorHAnsi" w:hAnsiTheme="minorHAnsi"/>
          <w:bCs/>
          <w:snapToGrid w:val="0"/>
        </w:rPr>
        <w:t xml:space="preserve">improve </w:t>
      </w:r>
      <w:r>
        <w:rPr>
          <w:rFonts w:asciiTheme="minorHAnsi" w:hAnsiTheme="minorHAnsi"/>
          <w:bCs/>
          <w:snapToGrid w:val="0"/>
        </w:rPr>
        <w:t>patients’ ability to manage their diet, daily life, famil</w:t>
      </w:r>
      <w:r w:rsidR="002A7CCD">
        <w:rPr>
          <w:rFonts w:asciiTheme="minorHAnsi" w:hAnsiTheme="minorHAnsi"/>
          <w:bCs/>
          <w:snapToGrid w:val="0"/>
        </w:rPr>
        <w:t>y</w:t>
      </w:r>
      <w:r w:rsidR="005640F0">
        <w:rPr>
          <w:rFonts w:asciiTheme="minorHAnsi" w:hAnsiTheme="minorHAnsi"/>
          <w:bCs/>
          <w:snapToGrid w:val="0"/>
        </w:rPr>
        <w:t xml:space="preserve"> </w:t>
      </w:r>
      <w:r>
        <w:rPr>
          <w:rFonts w:asciiTheme="minorHAnsi" w:hAnsiTheme="minorHAnsi"/>
          <w:bCs/>
          <w:snapToGrid w:val="0"/>
        </w:rPr>
        <w:t>and work. One clinician noted that these outcomes are clinically evident but are difficult to study and were not well-captured in the trials.</w:t>
      </w:r>
    </w:p>
    <w:bookmarkEnd w:id="21"/>
    <w:p w14:paraId="1FE68214" w14:textId="77777777" w:rsidR="00501526" w:rsidRPr="00501526" w:rsidRDefault="00501526" w:rsidP="00501526">
      <w:pPr>
        <w:pStyle w:val="4-SubsectionHeading"/>
      </w:pPr>
      <w:r w:rsidRPr="00501526">
        <w:t>Consumer comments</w:t>
      </w:r>
    </w:p>
    <w:bookmarkEnd w:id="19"/>
    <w:p w14:paraId="67B2A134" w14:textId="1D98961E" w:rsidR="007D45C8" w:rsidRDefault="00146E1B" w:rsidP="0095414D">
      <w:pPr>
        <w:pStyle w:val="3-BodyText"/>
      </w:pPr>
      <w:r>
        <w:t>R</w:t>
      </w:r>
      <w:r w:rsidRPr="00146E1B">
        <w:t xml:space="preserve">epresentatives of the PBAC met with </w:t>
      </w:r>
      <w:r>
        <w:t>patient</w:t>
      </w:r>
      <w:r w:rsidR="009C65F0">
        <w:t xml:space="preserve"> and health professional </w:t>
      </w:r>
      <w:r w:rsidRPr="00146E1B">
        <w:t>representative</w:t>
      </w:r>
      <w:r w:rsidR="009C65F0">
        <w:t>s</w:t>
      </w:r>
      <w:r w:rsidRPr="00146E1B">
        <w:t xml:space="preserve"> prior to the PBAC meeting. The following is a summary of the perspectives presented:</w:t>
      </w:r>
    </w:p>
    <w:p w14:paraId="7266D1A7" w14:textId="523E3E47" w:rsidR="00494681" w:rsidRDefault="00D3545E" w:rsidP="007D45C8">
      <w:pPr>
        <w:pStyle w:val="Bulletpoints"/>
        <w:ind w:left="1134"/>
      </w:pPr>
      <w:r>
        <w:t>D</w:t>
      </w:r>
      <w:r w:rsidR="00494681">
        <w:t>iet management alone is extremely difficult and has an enormous impact on patients</w:t>
      </w:r>
      <w:r w:rsidR="00C12949">
        <w:t xml:space="preserve">. </w:t>
      </w:r>
      <w:r w:rsidR="007F72AC">
        <w:t>M</w:t>
      </w:r>
      <w:r w:rsidR="00494681">
        <w:t>any patients struggle to lower or maintain</w:t>
      </w:r>
      <w:r w:rsidR="00541C6B">
        <w:t xml:space="preserve"> their</w:t>
      </w:r>
      <w:r w:rsidR="00494681">
        <w:t xml:space="preserve"> Phe level</w:t>
      </w:r>
      <w:r w:rsidR="00C12949">
        <w:t>s</w:t>
      </w:r>
      <w:r w:rsidR="00494681">
        <w:t xml:space="preserve"> </w:t>
      </w:r>
      <w:r w:rsidR="004B0E64">
        <w:t>using</w:t>
      </w:r>
      <w:r w:rsidR="00494681">
        <w:t xml:space="preserve"> diet alone</w:t>
      </w:r>
      <w:r>
        <w:t>.</w:t>
      </w:r>
    </w:p>
    <w:p w14:paraId="27696669" w14:textId="133AB23C" w:rsidR="00494681" w:rsidRDefault="00D3545E" w:rsidP="00D3545E">
      <w:pPr>
        <w:pStyle w:val="Bulletpoints"/>
        <w:ind w:left="1134"/>
      </w:pPr>
      <w:r>
        <w:t>Dopamine depletion results in reduced executive function and serotonin depletion results in anxiety and depression, though cognitive function and psychiatric well-being impacts are experienced at variable levels.</w:t>
      </w:r>
    </w:p>
    <w:p w14:paraId="4DD463F7" w14:textId="4D2ED6EF" w:rsidR="00D3545E" w:rsidRDefault="00C12949" w:rsidP="00D3545E">
      <w:pPr>
        <w:pStyle w:val="Bulletpoints"/>
        <w:ind w:left="1134"/>
      </w:pPr>
      <w:r>
        <w:t>Reduc</w:t>
      </w:r>
      <w:r w:rsidR="00482B98">
        <w:t>tions in</w:t>
      </w:r>
      <w:r w:rsidR="00D3545E">
        <w:t xml:space="preserve"> Phe levels </w:t>
      </w:r>
      <w:r w:rsidR="007A689E">
        <w:t xml:space="preserve">in adults </w:t>
      </w:r>
      <w:r w:rsidR="00482B98">
        <w:t xml:space="preserve">can lead to </w:t>
      </w:r>
      <w:r w:rsidR="00D3545E">
        <w:t>significant and meaningful</w:t>
      </w:r>
      <w:r w:rsidR="00482B98">
        <w:t xml:space="preserve"> improvements</w:t>
      </w:r>
      <w:r w:rsidR="00D3545E">
        <w:t>, with depression and anxiety scores improved and working memory and cognitive function substantially improved or returned over the longer term</w:t>
      </w:r>
      <w:r w:rsidR="008D48FE">
        <w:rPr>
          <w:rStyle w:val="FootnoteReference"/>
          <w:rFonts w:eastAsia="Calibri"/>
          <w:iCs/>
        </w:rPr>
        <w:footnoteReference w:id="2"/>
      </w:r>
      <w:r w:rsidR="008D48FE" w:rsidRPr="00AA0272">
        <w:rPr>
          <w:rFonts w:eastAsia="Calibri"/>
          <w:iCs/>
        </w:rPr>
        <w:t>.</w:t>
      </w:r>
      <w:r w:rsidR="008D48FE">
        <w:rPr>
          <w:rFonts w:eastAsia="Calibri"/>
          <w:iCs/>
        </w:rPr>
        <w:t xml:space="preserve"> </w:t>
      </w:r>
      <w:r w:rsidR="008D48FE" w:rsidRPr="00AA0272">
        <w:rPr>
          <w:snapToGrid/>
          <w:lang w:val="en-GB" w:eastAsia="en-US"/>
        </w:rPr>
        <w:t xml:space="preserve">Clinicians also highlighted that </w:t>
      </w:r>
      <w:r w:rsidR="008D48FE">
        <w:rPr>
          <w:snapToGrid/>
          <w:lang w:val="en-GB" w:eastAsia="en-US"/>
        </w:rPr>
        <w:t xml:space="preserve">there is evidence that </w:t>
      </w:r>
      <w:r w:rsidR="008D48FE" w:rsidRPr="00AA0272">
        <w:rPr>
          <w:snapToGrid/>
          <w:lang w:val="en-GB" w:eastAsia="en-US"/>
        </w:rPr>
        <w:t xml:space="preserve">patients experience </w:t>
      </w:r>
      <w:r w:rsidR="008D48FE">
        <w:rPr>
          <w:snapToGrid/>
          <w:lang w:val="en-GB" w:eastAsia="en-US"/>
        </w:rPr>
        <w:t xml:space="preserve">reversible </w:t>
      </w:r>
      <w:r w:rsidR="008D48FE" w:rsidRPr="00AA0272">
        <w:rPr>
          <w:snapToGrid/>
          <w:lang w:val="en-GB" w:eastAsia="en-US"/>
        </w:rPr>
        <w:t xml:space="preserve">changes in white matter </w:t>
      </w:r>
      <w:r w:rsidR="008D48FE">
        <w:rPr>
          <w:snapToGrid/>
          <w:lang w:val="en-GB" w:eastAsia="en-US"/>
        </w:rPr>
        <w:t>indicative of neurodegenerative effects of raised blood Phe levels</w:t>
      </w:r>
      <w:r w:rsidR="008D48FE">
        <w:rPr>
          <w:rStyle w:val="FootnoteReference"/>
          <w:snapToGrid/>
          <w:lang w:val="en-GB" w:eastAsia="en-US"/>
        </w:rPr>
        <w:footnoteReference w:id="3"/>
      </w:r>
      <w:r w:rsidR="008D48FE">
        <w:rPr>
          <w:snapToGrid/>
          <w:lang w:val="en-GB" w:eastAsia="en-US"/>
        </w:rPr>
        <w:t>.</w:t>
      </w:r>
    </w:p>
    <w:p w14:paraId="1D72CF43" w14:textId="405A25F1" w:rsidR="00143595" w:rsidRDefault="00C228B5" w:rsidP="00143595">
      <w:pPr>
        <w:pStyle w:val="Bulletpoints"/>
        <w:ind w:left="1134"/>
      </w:pPr>
      <w:r>
        <w:t xml:space="preserve">The sponsor’s proposed management algorithm, which positioned pegvaliase as a second-line treatment for those patients who are not responsive to sapropterin, was not considered to be appropriate (also outlined in Paragraph </w:t>
      </w:r>
      <w:r>
        <w:fldChar w:fldCharType="begin"/>
      </w:r>
      <w:r>
        <w:instrText xml:space="preserve"> REF _Ref109046489 \r \h </w:instrText>
      </w:r>
      <w:r>
        <w:fldChar w:fldCharType="separate"/>
      </w:r>
      <w:r w:rsidR="0035299E">
        <w:t>6.4</w:t>
      </w:r>
      <w:r>
        <w:fldChar w:fldCharType="end"/>
      </w:r>
      <w:r>
        <w:t>).</w:t>
      </w:r>
    </w:p>
    <w:p w14:paraId="4B4E90A6" w14:textId="100ED13F" w:rsidR="00D3545E" w:rsidRDefault="007F72AC" w:rsidP="00D3545E">
      <w:pPr>
        <w:pStyle w:val="Bulletpoints"/>
        <w:ind w:left="1134"/>
      </w:pPr>
      <w:r>
        <w:lastRenderedPageBreak/>
        <w:t>Treatment with s</w:t>
      </w:r>
      <w:r w:rsidR="00482B98">
        <w:t xml:space="preserve">apropterin has been life-changing for some patients, while others </w:t>
      </w:r>
      <w:r w:rsidR="00143595">
        <w:t xml:space="preserve">have </w:t>
      </w:r>
      <w:r w:rsidR="00482B98">
        <w:t>only experience</w:t>
      </w:r>
      <w:r w:rsidR="00143595">
        <w:t>d a</w:t>
      </w:r>
      <w:r w:rsidR="00482B98">
        <w:t xml:space="preserve"> minimal response</w:t>
      </w:r>
      <w:r w:rsidR="00143595">
        <w:t xml:space="preserve"> in terms of meaningful changes to diet or effects on cognitive function</w:t>
      </w:r>
      <w:r w:rsidR="00C12949">
        <w:t>, so there is a high clinical need for alternative</w:t>
      </w:r>
      <w:r w:rsidR="00D3545E">
        <w:t xml:space="preserve"> </w:t>
      </w:r>
      <w:r w:rsidR="00EC34AA">
        <w:t>treatment options</w:t>
      </w:r>
      <w:r w:rsidR="005640F0">
        <w:t xml:space="preserve">. </w:t>
      </w:r>
      <w:r w:rsidR="00EC34AA">
        <w:t xml:space="preserve"> </w:t>
      </w:r>
    </w:p>
    <w:p w14:paraId="2ED1055F" w14:textId="68E3EEE9" w:rsidR="00143595" w:rsidRDefault="00143595" w:rsidP="00D3545E">
      <w:pPr>
        <w:pStyle w:val="Bulletpoints"/>
        <w:ind w:left="1134"/>
      </w:pPr>
      <w:r>
        <w:t>Blood Phe levels should not be the single measure of assessment for determining response to treatment or optimal therapy for overall patient benefit.</w:t>
      </w:r>
      <w:r w:rsidR="00C228B5" w:rsidRPr="00C228B5">
        <w:rPr>
          <w:lang w:val="en-GB" w:eastAsia="en-US"/>
        </w:rPr>
        <w:t xml:space="preserve"> </w:t>
      </w:r>
      <w:r w:rsidR="00C228B5">
        <w:rPr>
          <w:lang w:val="en-GB" w:eastAsia="en-US"/>
        </w:rPr>
        <w:t xml:space="preserve">Meaningful improvement could also be defined in terms of </w:t>
      </w:r>
      <w:r w:rsidR="00C228B5" w:rsidRPr="00C228B5">
        <w:rPr>
          <w:lang w:val="en-GB" w:eastAsia="en-US"/>
        </w:rPr>
        <w:t>protein tolerance/dietary Phe intake</w:t>
      </w:r>
      <w:r w:rsidR="00C228B5">
        <w:rPr>
          <w:lang w:val="en-GB" w:eastAsia="en-US"/>
        </w:rPr>
        <w:t>,</w:t>
      </w:r>
      <w:r w:rsidR="00C228B5" w:rsidRPr="00C228B5">
        <w:rPr>
          <w:lang w:val="en-GB" w:eastAsia="en-US"/>
        </w:rPr>
        <w:t xml:space="preserve"> QoL</w:t>
      </w:r>
      <w:r w:rsidR="00C228B5">
        <w:rPr>
          <w:lang w:val="en-GB" w:eastAsia="en-US"/>
        </w:rPr>
        <w:t xml:space="preserve"> and how well a patient manag</w:t>
      </w:r>
      <w:r w:rsidR="00FE32C6">
        <w:rPr>
          <w:lang w:val="en-GB" w:eastAsia="en-US"/>
        </w:rPr>
        <w:t>es</w:t>
      </w:r>
      <w:r w:rsidR="00C228B5">
        <w:rPr>
          <w:lang w:val="en-GB" w:eastAsia="en-US"/>
        </w:rPr>
        <w:t xml:space="preserve"> on their current regimen.</w:t>
      </w:r>
    </w:p>
    <w:p w14:paraId="75B28614" w14:textId="77777777" w:rsidR="00CB3509" w:rsidRPr="004F6995" w:rsidRDefault="00CB3509" w:rsidP="00CB3509">
      <w:pPr>
        <w:pStyle w:val="3-BodyText"/>
      </w:pPr>
      <w:bookmarkStart w:id="22" w:name="_Ref109046489"/>
      <w:r w:rsidRPr="007D45C8">
        <w:rPr>
          <w:bCs/>
        </w:rPr>
        <w:t xml:space="preserve">The PBAC noted and welcomed the </w:t>
      </w:r>
      <w:r>
        <w:rPr>
          <w:bCs/>
        </w:rPr>
        <w:t>input from</w:t>
      </w:r>
      <w:r w:rsidRPr="007D45C8">
        <w:rPr>
          <w:bCs/>
        </w:rPr>
        <w:t xml:space="preserve"> health professionals</w:t>
      </w:r>
      <w:r>
        <w:rPr>
          <w:bCs/>
        </w:rPr>
        <w:t xml:space="preserve"> (3)</w:t>
      </w:r>
      <w:r w:rsidRPr="007D45C8">
        <w:rPr>
          <w:bCs/>
        </w:rPr>
        <w:t>, individuals</w:t>
      </w:r>
      <w:r>
        <w:rPr>
          <w:bCs/>
        </w:rPr>
        <w:t xml:space="preserve"> (102) </w:t>
      </w:r>
      <w:r w:rsidRPr="007D45C8">
        <w:rPr>
          <w:bCs/>
        </w:rPr>
        <w:t>and organisations</w:t>
      </w:r>
      <w:r>
        <w:rPr>
          <w:bCs/>
        </w:rPr>
        <w:t xml:space="preserve"> (2)</w:t>
      </w:r>
      <w:r w:rsidRPr="007D45C8">
        <w:rPr>
          <w:bCs/>
        </w:rPr>
        <w:t xml:space="preserve">. </w:t>
      </w:r>
    </w:p>
    <w:p w14:paraId="2751B278" w14:textId="7AF73316" w:rsidR="00143595" w:rsidRDefault="00143595" w:rsidP="00143595">
      <w:pPr>
        <w:pStyle w:val="3-BodyText"/>
      </w:pPr>
      <w:r>
        <w:t>The Metabolic Dietary Disorders Association and PKU Association of NSW (MDDA &amp; PKUNSW) noted the importance of equitable access to treatments for all Australians with PKU. The MDDA &amp; PKUNSW noted that sapropterin and pegvaliase work differently and have different advantages and disadvantages</w:t>
      </w:r>
      <w:r w:rsidR="00FE32C6">
        <w:t>. D</w:t>
      </w:r>
      <w:r>
        <w:t>ecisions about which treatment a patient uses should be made by a clinician in consultation with the individual considering clinical need and personal circumstances.</w:t>
      </w:r>
      <w:bookmarkEnd w:id="22"/>
      <w:r>
        <w:t xml:space="preserve"> </w:t>
      </w:r>
    </w:p>
    <w:p w14:paraId="043867E9" w14:textId="50189E0D" w:rsidR="00143595" w:rsidRDefault="00143595" w:rsidP="00143595">
      <w:pPr>
        <w:pStyle w:val="3-BodyText"/>
      </w:pPr>
      <w:r>
        <w:t xml:space="preserve">The MDDA &amp; PKUNSW also described the burden of the restrictive diet and complexity of managing PKU, the limitations and unsustainability of dietary management and the impact of PKU on every aspect of life. </w:t>
      </w:r>
    </w:p>
    <w:p w14:paraId="52B94846" w14:textId="7739814A" w:rsidR="005756E1" w:rsidRDefault="00D60386" w:rsidP="00BF6E8D">
      <w:pPr>
        <w:pStyle w:val="3-BodyText"/>
      </w:pPr>
      <w:r w:rsidRPr="00641F28">
        <w:t>Rare Voices Australi</w:t>
      </w:r>
      <w:r w:rsidR="005756E1">
        <w:t xml:space="preserve">a </w:t>
      </w:r>
      <w:r w:rsidR="00F939E1">
        <w:t xml:space="preserve">(RVA) </w:t>
      </w:r>
      <w:r w:rsidR="00262E02">
        <w:t>discuss</w:t>
      </w:r>
      <w:r w:rsidR="00F939E1">
        <w:t xml:space="preserve">ed the </w:t>
      </w:r>
      <w:r w:rsidR="005756E1" w:rsidRPr="00F939E1">
        <w:t xml:space="preserve">advantages of </w:t>
      </w:r>
      <w:r w:rsidR="00F939E1">
        <w:t>sapropterin including</w:t>
      </w:r>
      <w:r w:rsidR="00262E02">
        <w:t xml:space="preserve"> its impact </w:t>
      </w:r>
      <w:proofErr w:type="gramStart"/>
      <w:r w:rsidR="00262E02">
        <w:t>on</w:t>
      </w:r>
      <w:r w:rsidR="005756E1" w:rsidRPr="00F939E1">
        <w:t>:</w:t>
      </w:r>
      <w:proofErr w:type="gramEnd"/>
      <w:r w:rsidR="005756E1" w:rsidRPr="00F939E1">
        <w:t xml:space="preserve"> reducing blood </w:t>
      </w:r>
      <w:r w:rsidR="008826D3">
        <w:t>P</w:t>
      </w:r>
      <w:r w:rsidR="005756E1" w:rsidRPr="00F939E1">
        <w:t>he</w:t>
      </w:r>
      <w:r w:rsidR="00F939E1">
        <w:t xml:space="preserve"> </w:t>
      </w:r>
      <w:r w:rsidR="005756E1" w:rsidRPr="00F939E1">
        <w:t>concentration; increasing natural protein tolerance; improving health outcomes</w:t>
      </w:r>
      <w:r w:rsidR="00542EFA">
        <w:t>;</w:t>
      </w:r>
      <w:r w:rsidR="005756E1" w:rsidRPr="00F939E1">
        <w:t xml:space="preserve"> decreasing co-morbidities; </w:t>
      </w:r>
      <w:r w:rsidR="008826D3">
        <w:t xml:space="preserve">improving </w:t>
      </w:r>
      <w:r w:rsidR="005756E1" w:rsidRPr="00F939E1">
        <w:t>quality of life</w:t>
      </w:r>
      <w:r w:rsidR="00542EFA">
        <w:t>;</w:t>
      </w:r>
      <w:r w:rsidR="005756E1" w:rsidRPr="00F939E1">
        <w:t xml:space="preserve"> and</w:t>
      </w:r>
      <w:r w:rsidR="008826D3">
        <w:t>,</w:t>
      </w:r>
      <w:r w:rsidR="00F939E1">
        <w:t xml:space="preserve"> </w:t>
      </w:r>
      <w:r w:rsidR="005756E1" w:rsidRPr="00F939E1">
        <w:t>importantly</w:t>
      </w:r>
      <w:r w:rsidR="008826D3">
        <w:t>,</w:t>
      </w:r>
      <w:r w:rsidR="005756E1" w:rsidRPr="00F939E1">
        <w:t xml:space="preserve"> improv</w:t>
      </w:r>
      <w:r w:rsidR="008826D3">
        <w:t>ing</w:t>
      </w:r>
      <w:r w:rsidR="005756E1" w:rsidRPr="00F939E1">
        <w:t xml:space="preserve"> neurocognitive functioning and mental wellbeing.</w:t>
      </w:r>
      <w:r w:rsidR="00F939E1">
        <w:t xml:space="preserve"> RVA supported e</w:t>
      </w:r>
      <w:r w:rsidR="005756E1" w:rsidRPr="00F939E1">
        <w:t xml:space="preserve">xtending the current PBS listing for sapropterin </w:t>
      </w:r>
      <w:r w:rsidR="00F939E1">
        <w:t>t</w:t>
      </w:r>
      <w:r w:rsidR="005756E1" w:rsidRPr="00F939E1">
        <w:t xml:space="preserve">o allow </w:t>
      </w:r>
      <w:r w:rsidR="00262E02">
        <w:t xml:space="preserve">initiation in </w:t>
      </w:r>
      <w:r w:rsidR="005756E1" w:rsidRPr="00F939E1">
        <w:t>adults</w:t>
      </w:r>
      <w:r w:rsidR="00F939E1">
        <w:t xml:space="preserve">, stating that this </w:t>
      </w:r>
      <w:r w:rsidR="00262E02">
        <w:t xml:space="preserve">extension </w:t>
      </w:r>
      <w:r w:rsidR="009B7B47">
        <w:t xml:space="preserve">would </w:t>
      </w:r>
      <w:r w:rsidR="005756E1" w:rsidRPr="00F939E1">
        <w:t>remov</w:t>
      </w:r>
      <w:r w:rsidR="007F72AC">
        <w:t>e</w:t>
      </w:r>
      <w:r w:rsidR="005756E1" w:rsidRPr="00F939E1">
        <w:t xml:space="preserve"> an inequitable barrier</w:t>
      </w:r>
      <w:r w:rsidR="009B7B47">
        <w:t xml:space="preserve"> to access</w:t>
      </w:r>
      <w:r w:rsidR="00F939E1">
        <w:t>.</w:t>
      </w:r>
    </w:p>
    <w:p w14:paraId="4FD57217" w14:textId="4C661408" w:rsidR="00081CD1" w:rsidRDefault="00081CD1" w:rsidP="00081CD1">
      <w:pPr>
        <w:pStyle w:val="3-BodyText"/>
      </w:pPr>
      <w:r>
        <w:t>All comments from health pro</w:t>
      </w:r>
      <w:r w:rsidR="00AA0272">
        <w:t>f</w:t>
      </w:r>
      <w:r>
        <w:t xml:space="preserve">essionals, individuals with PKU and other interested individuals were supportive of </w:t>
      </w:r>
      <w:r w:rsidR="00011C27">
        <w:t xml:space="preserve">allowing </w:t>
      </w:r>
      <w:r>
        <w:t>access to sapropterin regardless of age.</w:t>
      </w:r>
    </w:p>
    <w:p w14:paraId="6C074838" w14:textId="2F1F41B3" w:rsidR="00C97703" w:rsidRPr="00FA5352" w:rsidRDefault="00D17751" w:rsidP="00C97703">
      <w:pPr>
        <w:pStyle w:val="3-BodyText"/>
        <w:rPr>
          <w:rFonts w:cstheme="minorHAnsi"/>
        </w:rPr>
      </w:pPr>
      <w:r>
        <w:rPr>
          <w:rFonts w:eastAsia="Calibri"/>
        </w:rPr>
        <w:t xml:space="preserve">Comments from individuals with PKU and their </w:t>
      </w:r>
      <w:r w:rsidR="008826D3" w:rsidRPr="00FA5352">
        <w:rPr>
          <w:rFonts w:cstheme="minorHAnsi"/>
        </w:rPr>
        <w:t>care</w:t>
      </w:r>
      <w:r w:rsidR="008826D3">
        <w:rPr>
          <w:rFonts w:cstheme="minorHAnsi"/>
        </w:rPr>
        <w:t>r</w:t>
      </w:r>
      <w:r w:rsidR="008826D3" w:rsidRPr="00FA5352">
        <w:rPr>
          <w:rFonts w:cstheme="minorHAnsi"/>
        </w:rPr>
        <w:t xml:space="preserve">s </w:t>
      </w:r>
      <w:r w:rsidR="00C97703" w:rsidRPr="00FA5352">
        <w:rPr>
          <w:rFonts w:eastAsia="Calibri"/>
        </w:rPr>
        <w:t>discussed the difficulties of accessing and adhering to a low protein diet</w:t>
      </w:r>
      <w:r>
        <w:rPr>
          <w:rFonts w:eastAsia="Calibri"/>
        </w:rPr>
        <w:t xml:space="preserve"> including the </w:t>
      </w:r>
      <w:r w:rsidR="00C97703" w:rsidRPr="00FA5352">
        <w:rPr>
          <w:rFonts w:cstheme="minorHAnsi"/>
        </w:rPr>
        <w:t xml:space="preserve">difficulties and time involved in </w:t>
      </w:r>
      <w:r w:rsidR="003B381D">
        <w:rPr>
          <w:rFonts w:cstheme="minorHAnsi"/>
        </w:rPr>
        <w:t xml:space="preserve">preparing and </w:t>
      </w:r>
      <w:r w:rsidR="00C97703" w:rsidRPr="00FA5352">
        <w:rPr>
          <w:rFonts w:cstheme="minorHAnsi"/>
        </w:rPr>
        <w:t>following a low protein diet, the effects on family, school, and social life</w:t>
      </w:r>
      <w:r w:rsidR="00447D0F">
        <w:rPr>
          <w:rFonts w:cstheme="minorHAnsi"/>
        </w:rPr>
        <w:t>,</w:t>
      </w:r>
      <w:r w:rsidR="00C97703" w:rsidRPr="00FA5352">
        <w:rPr>
          <w:rFonts w:cstheme="minorHAnsi"/>
        </w:rPr>
        <w:t xml:space="preserve"> and the exclusion that this create</w:t>
      </w:r>
      <w:r w:rsidR="008826D3">
        <w:rPr>
          <w:rFonts w:cstheme="minorHAnsi"/>
        </w:rPr>
        <w:t>s</w:t>
      </w:r>
      <w:r w:rsidR="00C97703" w:rsidRPr="00FA5352">
        <w:rPr>
          <w:rFonts w:cstheme="minorHAnsi"/>
        </w:rPr>
        <w:t xml:space="preserve"> for those affected. </w:t>
      </w:r>
      <w:r w:rsidR="008C5DBF">
        <w:rPr>
          <w:rFonts w:cstheme="minorHAnsi"/>
        </w:rPr>
        <w:t>Patients are l</w:t>
      </w:r>
      <w:r w:rsidR="00637DC5" w:rsidRPr="00637DC5">
        <w:rPr>
          <w:rFonts w:cstheme="minorHAnsi"/>
        </w:rPr>
        <w:t>imited to eating high carb</w:t>
      </w:r>
      <w:r w:rsidR="008C5DBF">
        <w:rPr>
          <w:rFonts w:cstheme="minorHAnsi"/>
        </w:rPr>
        <w:t>ohydrate</w:t>
      </w:r>
      <w:r w:rsidR="00637DC5" w:rsidRPr="00637DC5">
        <w:rPr>
          <w:rFonts w:cstheme="minorHAnsi"/>
        </w:rPr>
        <w:t xml:space="preserve"> foods, </w:t>
      </w:r>
      <w:r w:rsidR="008C5DBF">
        <w:rPr>
          <w:rFonts w:cstheme="minorHAnsi"/>
        </w:rPr>
        <w:t>cannot access a</w:t>
      </w:r>
      <w:r w:rsidR="00637DC5" w:rsidRPr="00637DC5">
        <w:rPr>
          <w:rFonts w:cstheme="minorHAnsi"/>
        </w:rPr>
        <w:t xml:space="preserve"> varied diet, </w:t>
      </w:r>
      <w:r w:rsidR="008C5DBF">
        <w:rPr>
          <w:rFonts w:cstheme="minorHAnsi"/>
        </w:rPr>
        <w:t xml:space="preserve">and </w:t>
      </w:r>
      <w:r w:rsidR="004B4450">
        <w:rPr>
          <w:rFonts w:cstheme="minorHAnsi"/>
        </w:rPr>
        <w:t xml:space="preserve">often </w:t>
      </w:r>
      <w:r w:rsidR="008C5DBF">
        <w:rPr>
          <w:rFonts w:cstheme="minorHAnsi"/>
        </w:rPr>
        <w:t xml:space="preserve">do </w:t>
      </w:r>
      <w:r w:rsidR="00637DC5" w:rsidRPr="00637DC5">
        <w:rPr>
          <w:rFonts w:cstheme="minorHAnsi"/>
        </w:rPr>
        <w:t>not feel satiated</w:t>
      </w:r>
      <w:r w:rsidR="008C5DBF">
        <w:rPr>
          <w:rFonts w:cstheme="minorHAnsi"/>
        </w:rPr>
        <w:t xml:space="preserve"> resulting in weight gain. Many patients need to supplement their diet with a</w:t>
      </w:r>
      <w:r w:rsidR="008C5DBF" w:rsidRPr="008C5DBF">
        <w:rPr>
          <w:rFonts w:cstheme="minorHAnsi"/>
        </w:rPr>
        <w:t xml:space="preserve">mino acid formula </w:t>
      </w:r>
      <w:r w:rsidR="008C5DBF">
        <w:rPr>
          <w:rFonts w:cstheme="minorHAnsi"/>
        </w:rPr>
        <w:t xml:space="preserve">multiple times per day, which was described as unpalatable and difficult to </w:t>
      </w:r>
      <w:r w:rsidR="008C5DBF" w:rsidRPr="008C5DBF">
        <w:rPr>
          <w:rFonts w:cstheme="minorHAnsi"/>
        </w:rPr>
        <w:t>adhere to</w:t>
      </w:r>
      <w:r w:rsidR="008C5DBF">
        <w:rPr>
          <w:rFonts w:cstheme="minorHAnsi"/>
        </w:rPr>
        <w:t>.</w:t>
      </w:r>
    </w:p>
    <w:p w14:paraId="57E88FB1" w14:textId="2A7997BF" w:rsidR="00C97703" w:rsidRDefault="00C97703" w:rsidP="00BF6E8D">
      <w:pPr>
        <w:pStyle w:val="3-BodyText"/>
      </w:pPr>
      <w:bookmarkStart w:id="23" w:name="_Ref109046381"/>
      <w:r w:rsidRPr="00AF6379">
        <w:t xml:space="preserve">Individuals who would like access to </w:t>
      </w:r>
      <w:r>
        <w:t>sapropterin</w:t>
      </w:r>
      <w:r w:rsidRPr="00AF6379">
        <w:t xml:space="preserve"> to treat their PKU, and the carers and supporters of those with PKU, discussed the difficulties of maintaining low Phe levels with dietary management </w:t>
      </w:r>
      <w:r w:rsidR="00D17751">
        <w:t>alone</w:t>
      </w:r>
      <w:r w:rsidRPr="00AF6379">
        <w:t>.</w:t>
      </w:r>
      <w:r>
        <w:t xml:space="preserve"> </w:t>
      </w:r>
      <w:r w:rsidRPr="003979C8">
        <w:t xml:space="preserve">Even when the diet </w:t>
      </w:r>
      <w:r w:rsidR="00262E02">
        <w:t>i</w:t>
      </w:r>
      <w:r w:rsidRPr="003979C8">
        <w:t>s strictly adhered to</w:t>
      </w:r>
      <w:r w:rsidR="00143595">
        <w:t>,</w:t>
      </w:r>
      <w:r w:rsidRPr="003979C8">
        <w:t xml:space="preserve"> this may be insufficient to </w:t>
      </w:r>
      <w:r w:rsidR="00143595">
        <w:t xml:space="preserve">maintain </w:t>
      </w:r>
      <w:r w:rsidR="004B4450">
        <w:t>an acceptable</w:t>
      </w:r>
      <w:r w:rsidRPr="003979C8">
        <w:t xml:space="preserve"> Phe level.</w:t>
      </w:r>
      <w:r w:rsidRPr="00124250">
        <w:t xml:space="preserve"> </w:t>
      </w:r>
      <w:r>
        <w:t>M</w:t>
      </w:r>
      <w:r w:rsidRPr="00AF6379">
        <w:t>onitoring the levels and making the necessary dietary adjustments in a timely fashion was also an issue for many.</w:t>
      </w:r>
      <w:r>
        <w:t xml:space="preserve"> </w:t>
      </w:r>
      <w:r w:rsidR="00262E02">
        <w:t xml:space="preserve">The </w:t>
      </w:r>
      <w:r w:rsidR="00262E02">
        <w:lastRenderedPageBreak/>
        <w:t>comments also described</w:t>
      </w:r>
      <w:r w:rsidRPr="00AF6379">
        <w:t xml:space="preserve"> </w:t>
      </w:r>
      <w:r w:rsidR="00262E02">
        <w:t>issues with accessing</w:t>
      </w:r>
      <w:r w:rsidRPr="00AF6379">
        <w:t xml:space="preserve"> food supplements and low protein foods in terms of cost and unreliable supply chains.</w:t>
      </w:r>
      <w:bookmarkEnd w:id="23"/>
      <w:r>
        <w:t xml:space="preserve"> </w:t>
      </w:r>
    </w:p>
    <w:p w14:paraId="6C3B6B98" w14:textId="1105E2B5" w:rsidR="00C12949" w:rsidRDefault="00081CD1" w:rsidP="00C97703">
      <w:pPr>
        <w:pStyle w:val="3-BodyText"/>
      </w:pPr>
      <w:r>
        <w:t xml:space="preserve">The inequity of </w:t>
      </w:r>
      <w:r w:rsidR="00143595">
        <w:t xml:space="preserve">the </w:t>
      </w:r>
      <w:r>
        <w:t xml:space="preserve">current </w:t>
      </w:r>
      <w:r w:rsidR="00FF64E6">
        <w:t xml:space="preserve">age-based </w:t>
      </w:r>
      <w:r>
        <w:t>restriction was consistently noted by consumers, including concern that the current restrictions are not reasonable for many women who may be eligible for sapropterin access during conception and pregnancy, then need to cease therapy after childbirth, even though they have proven to be responsive to therapy.</w:t>
      </w:r>
      <w:r w:rsidR="00831EA4">
        <w:t xml:space="preserve"> </w:t>
      </w:r>
    </w:p>
    <w:p w14:paraId="2E449F9D" w14:textId="13EC5311" w:rsidR="00081CD1" w:rsidRDefault="00831EA4" w:rsidP="00C97703">
      <w:pPr>
        <w:pStyle w:val="3-BodyText"/>
      </w:pPr>
      <w:r>
        <w:t>Some individuals with PKU reported that compliance to protein-restricted diets becomes more difficult as patients enter adulthood once they take responsibility for their own diet, as adherence is made more difficult due to the challenges of PKU (fatigue, brain fog, mood disturbance).</w:t>
      </w:r>
    </w:p>
    <w:p w14:paraId="57F1E7C5" w14:textId="42C33807" w:rsidR="00494681" w:rsidRPr="004F6995" w:rsidRDefault="00081CD1" w:rsidP="00494681">
      <w:pPr>
        <w:pStyle w:val="3-BodyText"/>
      </w:pPr>
      <w:r>
        <w:t xml:space="preserve">The </w:t>
      </w:r>
      <w:proofErr w:type="gramStart"/>
      <w:r>
        <w:t>quality of life</w:t>
      </w:r>
      <w:proofErr w:type="gramEnd"/>
      <w:r>
        <w:t xml:space="preserve"> benefits of sapropterin </w:t>
      </w:r>
      <w:r w:rsidR="00013584">
        <w:t xml:space="preserve">therapy </w:t>
      </w:r>
      <w:r w:rsidR="00262E02">
        <w:t xml:space="preserve">were </w:t>
      </w:r>
      <w:r>
        <w:t xml:space="preserve">strongly reinforced by patients </w:t>
      </w:r>
      <w:r w:rsidR="00262E02">
        <w:t xml:space="preserve">who have </w:t>
      </w:r>
      <w:r w:rsidR="00013584">
        <w:t xml:space="preserve">been treated with </w:t>
      </w:r>
      <w:r w:rsidR="00262E02">
        <w:t>sapropterin</w:t>
      </w:r>
      <w:r>
        <w:t>, and also their famil</w:t>
      </w:r>
      <w:r w:rsidR="00262E02">
        <w:t>ies</w:t>
      </w:r>
      <w:r>
        <w:t xml:space="preserve"> and carers. This included </w:t>
      </w:r>
      <w:r w:rsidR="00013584">
        <w:t xml:space="preserve">improvements in </w:t>
      </w:r>
      <w:r>
        <w:t xml:space="preserve">psychosocial </w:t>
      </w:r>
      <w:r w:rsidR="00013584">
        <w:t>and</w:t>
      </w:r>
      <w:r>
        <w:t xml:space="preserve"> cognitive function</w:t>
      </w:r>
      <w:r w:rsidR="00013584">
        <w:t>,</w:t>
      </w:r>
      <w:r>
        <w:t xml:space="preserve"> energy levels, and managing self-care and tasks on a daily basis.</w:t>
      </w:r>
      <w:r w:rsidR="00FF64E6">
        <w:t xml:space="preserve"> </w:t>
      </w:r>
      <w:r w:rsidR="00262E02">
        <w:t>The comments outlined</w:t>
      </w:r>
      <w:r w:rsidR="00FF64E6">
        <w:t xml:space="preserve"> that increased protein tolerance was an important outcome, </w:t>
      </w:r>
      <w:r w:rsidR="00262E02">
        <w:t>as it enabled patients</w:t>
      </w:r>
      <w:r w:rsidR="00FF64E6">
        <w:t xml:space="preserve"> to eat a broader range of foods, alleviating the </w:t>
      </w:r>
      <w:r w:rsidR="00C50B36">
        <w:t>burden of living with a severely low protein diet.</w:t>
      </w:r>
    </w:p>
    <w:p w14:paraId="64762E29" w14:textId="1E6B735C" w:rsidR="00AD3E7D" w:rsidRPr="00471C44" w:rsidRDefault="00B60939" w:rsidP="00AD3E7D">
      <w:pPr>
        <w:pStyle w:val="4-SubsectionHeading"/>
      </w:pPr>
      <w:r w:rsidRPr="00471C44">
        <w:t xml:space="preserve">Clinical </w:t>
      </w:r>
      <w:r w:rsidR="00D5243B" w:rsidRPr="00471C44">
        <w:t>studies</w:t>
      </w:r>
      <w:r w:rsidR="00543C62" w:rsidRPr="00471C44">
        <w:t xml:space="preserve"> and </w:t>
      </w:r>
      <w:r w:rsidRPr="00471C44">
        <w:t>trials</w:t>
      </w:r>
      <w:bookmarkEnd w:id="18"/>
      <w:bookmarkEnd w:id="20"/>
    </w:p>
    <w:p w14:paraId="3CA8A6FF" w14:textId="0DFDF3A9" w:rsidR="00B172D2" w:rsidRPr="00501526" w:rsidRDefault="00AD3E7D" w:rsidP="004D31A4">
      <w:pPr>
        <w:pStyle w:val="3-BodyText"/>
        <w:rPr>
          <w:iCs/>
        </w:rPr>
      </w:pPr>
      <w:r w:rsidRPr="00501526">
        <w:rPr>
          <w:iCs/>
        </w:rPr>
        <w:t>The submission was based on</w:t>
      </w:r>
      <w:r w:rsidR="004D31A4" w:rsidRPr="00501526">
        <w:rPr>
          <w:iCs/>
        </w:rPr>
        <w:t xml:space="preserve"> f</w:t>
      </w:r>
      <w:r w:rsidR="00430EBD" w:rsidRPr="00501526">
        <w:rPr>
          <w:iCs/>
        </w:rPr>
        <w:t>ive s</w:t>
      </w:r>
      <w:r w:rsidR="00B172D2" w:rsidRPr="00501526">
        <w:rPr>
          <w:iCs/>
        </w:rPr>
        <w:t xml:space="preserve">tudies that reported changes in blood Phe levels </w:t>
      </w:r>
      <w:r w:rsidR="00430EBD" w:rsidRPr="00501526">
        <w:rPr>
          <w:iCs/>
        </w:rPr>
        <w:t>with sapropterin treatment:</w:t>
      </w:r>
    </w:p>
    <w:p w14:paraId="240217FE" w14:textId="536B8A53" w:rsidR="00AD3E7D" w:rsidRPr="00501526" w:rsidRDefault="00AD3E7D" w:rsidP="004D31A4">
      <w:pPr>
        <w:pStyle w:val="ListParagraph"/>
        <w:numPr>
          <w:ilvl w:val="1"/>
          <w:numId w:val="17"/>
        </w:numPr>
        <w:ind w:left="1134" w:hanging="357"/>
        <w:rPr>
          <w:iCs/>
        </w:rPr>
      </w:pPr>
      <w:r w:rsidRPr="00501526">
        <w:rPr>
          <w:iCs/>
        </w:rPr>
        <w:t xml:space="preserve">PKU-001 (N=490), an open label single arm study to evaluate the safety and efficacy of an </w:t>
      </w:r>
      <w:r w:rsidR="002038E9" w:rsidRPr="00501526">
        <w:rPr>
          <w:iCs/>
        </w:rPr>
        <w:t>eight-day</w:t>
      </w:r>
      <w:r w:rsidRPr="00501526">
        <w:rPr>
          <w:iCs/>
        </w:rPr>
        <w:t xml:space="preserve"> course of sapro</w:t>
      </w:r>
      <w:r w:rsidR="00E172CF" w:rsidRPr="00501526">
        <w:rPr>
          <w:iCs/>
        </w:rPr>
        <w:t>p</w:t>
      </w:r>
      <w:r w:rsidRPr="00501526">
        <w:rPr>
          <w:iCs/>
        </w:rPr>
        <w:t>terin</w:t>
      </w:r>
      <w:r w:rsidR="005443F1" w:rsidRPr="00501526">
        <w:rPr>
          <w:iCs/>
        </w:rPr>
        <w:t>.</w:t>
      </w:r>
    </w:p>
    <w:p w14:paraId="7F5F3C1E" w14:textId="0FCEA0B9" w:rsidR="00AD3E7D" w:rsidRPr="00501526" w:rsidRDefault="00AD3E7D" w:rsidP="004D31A4">
      <w:pPr>
        <w:pStyle w:val="ListParagraph"/>
        <w:numPr>
          <w:ilvl w:val="1"/>
          <w:numId w:val="17"/>
        </w:numPr>
        <w:ind w:left="1134" w:hanging="357"/>
        <w:rPr>
          <w:iCs/>
        </w:rPr>
      </w:pPr>
      <w:r w:rsidRPr="00501526">
        <w:rPr>
          <w:iCs/>
        </w:rPr>
        <w:t xml:space="preserve">PKU-003 (N= 88): a double blind randomised, </w:t>
      </w:r>
      <w:r w:rsidR="002038E9" w:rsidRPr="00501526">
        <w:rPr>
          <w:iCs/>
        </w:rPr>
        <w:t>placebo-controlled</w:t>
      </w:r>
      <w:r w:rsidRPr="00501526">
        <w:rPr>
          <w:iCs/>
        </w:rPr>
        <w:t xml:space="preserve"> trial comparing </w:t>
      </w:r>
      <w:r w:rsidR="00577F24" w:rsidRPr="00501526">
        <w:rPr>
          <w:iCs/>
        </w:rPr>
        <w:t xml:space="preserve">six weeks of </w:t>
      </w:r>
      <w:r w:rsidRPr="00501526">
        <w:rPr>
          <w:iCs/>
        </w:rPr>
        <w:t>treatment with sapropterin (in addition to a Phe-restricted diet) with placebo (dietary control of Phe alone), in known responders to sapropterin and tolerance to normal diet.</w:t>
      </w:r>
      <w:r w:rsidR="00F3228B" w:rsidRPr="00501526">
        <w:rPr>
          <w:iCs/>
        </w:rPr>
        <w:t xml:space="preserve"> This is the only direct comparative evidence for sapropterin compared to </w:t>
      </w:r>
      <w:r w:rsidR="00B32585" w:rsidRPr="00501526">
        <w:rPr>
          <w:iCs/>
        </w:rPr>
        <w:t>placebo available.</w:t>
      </w:r>
    </w:p>
    <w:p w14:paraId="03924ABB" w14:textId="62794B3F" w:rsidR="00AD3E7D" w:rsidRPr="00501526" w:rsidRDefault="00AD3E7D" w:rsidP="004D31A4">
      <w:pPr>
        <w:pStyle w:val="ListParagraph"/>
        <w:numPr>
          <w:ilvl w:val="1"/>
          <w:numId w:val="17"/>
        </w:numPr>
        <w:ind w:left="1134" w:hanging="357"/>
        <w:rPr>
          <w:iCs/>
        </w:rPr>
      </w:pPr>
      <w:r w:rsidRPr="00501526">
        <w:rPr>
          <w:iCs/>
        </w:rPr>
        <w:t>Two extension studies (PKU-004: N=80; and PKU-008: N = 111) examin</w:t>
      </w:r>
      <w:r w:rsidR="00CF3FFE" w:rsidRPr="00501526">
        <w:rPr>
          <w:iCs/>
        </w:rPr>
        <w:t>ing</w:t>
      </w:r>
      <w:r w:rsidRPr="00501526">
        <w:rPr>
          <w:iCs/>
        </w:rPr>
        <w:t xml:space="preserve"> dose response and safety</w:t>
      </w:r>
      <w:r w:rsidR="00A15C70" w:rsidRPr="00501526">
        <w:rPr>
          <w:iCs/>
        </w:rPr>
        <w:t xml:space="preserve"> were included</w:t>
      </w:r>
      <w:r w:rsidRPr="00501526">
        <w:rPr>
          <w:iCs/>
        </w:rPr>
        <w:t xml:space="preserve"> as supporting studies</w:t>
      </w:r>
      <w:r w:rsidR="008B552F" w:rsidRPr="00501526">
        <w:rPr>
          <w:iCs/>
        </w:rPr>
        <w:t xml:space="preserve">. Patients in PKU-004 </w:t>
      </w:r>
      <w:r w:rsidR="00B61015" w:rsidRPr="00501526">
        <w:rPr>
          <w:iCs/>
        </w:rPr>
        <w:t xml:space="preserve">received sapropterin for 22 weeks, and </w:t>
      </w:r>
      <w:r w:rsidR="00393A58" w:rsidRPr="00501526">
        <w:rPr>
          <w:iCs/>
        </w:rPr>
        <w:t xml:space="preserve">the median duration </w:t>
      </w:r>
      <w:r w:rsidR="00F42231" w:rsidRPr="00501526">
        <w:rPr>
          <w:iCs/>
        </w:rPr>
        <w:t>of treatment in PKU-008 was 595 days.</w:t>
      </w:r>
      <w:r w:rsidR="00B61015" w:rsidRPr="00501526">
        <w:rPr>
          <w:iCs/>
        </w:rPr>
        <w:t xml:space="preserve"> </w:t>
      </w:r>
    </w:p>
    <w:p w14:paraId="1B3413BC" w14:textId="56494B32" w:rsidR="00430EBD" w:rsidRPr="00501526" w:rsidRDefault="00AD3E7D" w:rsidP="004D31A4">
      <w:pPr>
        <w:pStyle w:val="ListParagraph"/>
        <w:numPr>
          <w:ilvl w:val="1"/>
          <w:numId w:val="17"/>
        </w:numPr>
        <w:ind w:left="1134" w:hanging="357"/>
        <w:rPr>
          <w:iCs/>
        </w:rPr>
      </w:pPr>
      <w:r w:rsidRPr="00501526">
        <w:rPr>
          <w:iCs/>
        </w:rPr>
        <w:t xml:space="preserve">The Phenylketonuria (PKU) Demographics, Outcomes and Safety (PKUDOS; N=1189) registry of </w:t>
      </w:r>
      <w:r w:rsidR="00893E06" w:rsidRPr="00501526">
        <w:rPr>
          <w:iCs/>
        </w:rPr>
        <w:t xml:space="preserve">patients </w:t>
      </w:r>
      <w:r w:rsidRPr="00501526">
        <w:rPr>
          <w:iCs/>
        </w:rPr>
        <w:t xml:space="preserve">with PKU who were, or had been, treated with sapropterin. Of the enrolled patients, 504 were continuously exposed to sapropterin from </w:t>
      </w:r>
      <w:r w:rsidR="00A36FA2" w:rsidRPr="00501526">
        <w:rPr>
          <w:iCs/>
        </w:rPr>
        <w:t xml:space="preserve">the </w:t>
      </w:r>
      <w:r w:rsidRPr="00501526">
        <w:rPr>
          <w:iCs/>
        </w:rPr>
        <w:t xml:space="preserve">date of registry </w:t>
      </w:r>
      <w:r w:rsidR="00D64594" w:rsidRPr="00501526">
        <w:rPr>
          <w:iCs/>
        </w:rPr>
        <w:t>enrolment</w:t>
      </w:r>
      <w:r w:rsidR="001D65AF" w:rsidRPr="00501526">
        <w:rPr>
          <w:iCs/>
        </w:rPr>
        <w:t>,</w:t>
      </w:r>
      <w:r w:rsidR="004D31A4" w:rsidRPr="00501526">
        <w:rPr>
          <w:iCs/>
        </w:rPr>
        <w:t xml:space="preserve"> </w:t>
      </w:r>
      <w:r w:rsidRPr="00501526">
        <w:rPr>
          <w:iCs/>
        </w:rPr>
        <w:t xml:space="preserve">211 had intermittent exposure to </w:t>
      </w:r>
      <w:r w:rsidR="00A36FA2" w:rsidRPr="00501526">
        <w:rPr>
          <w:iCs/>
        </w:rPr>
        <w:t>sapropterin</w:t>
      </w:r>
      <w:r w:rsidRPr="00501526">
        <w:rPr>
          <w:iCs/>
        </w:rPr>
        <w:t>, and 474 had some other duration of exposure</w:t>
      </w:r>
      <w:r w:rsidR="00351C3B" w:rsidRPr="00501526">
        <w:rPr>
          <w:iCs/>
        </w:rPr>
        <w:t xml:space="preserve">. The submission </w:t>
      </w:r>
      <w:r w:rsidR="00E27305" w:rsidRPr="00501526">
        <w:rPr>
          <w:iCs/>
        </w:rPr>
        <w:t>claim</w:t>
      </w:r>
      <w:r w:rsidR="00C16FEE" w:rsidRPr="00501526">
        <w:rPr>
          <w:iCs/>
        </w:rPr>
        <w:t>ed</w:t>
      </w:r>
      <w:r w:rsidR="00E27305" w:rsidRPr="00501526">
        <w:rPr>
          <w:iCs/>
        </w:rPr>
        <w:t xml:space="preserve"> the median duration of follow up was not reported. </w:t>
      </w:r>
      <w:r w:rsidR="006A7623" w:rsidRPr="00501526">
        <w:rPr>
          <w:iCs/>
        </w:rPr>
        <w:t xml:space="preserve">The PBAC </w:t>
      </w:r>
      <w:r w:rsidR="007943E9" w:rsidRPr="00501526">
        <w:rPr>
          <w:iCs/>
        </w:rPr>
        <w:t xml:space="preserve">has </w:t>
      </w:r>
      <w:r w:rsidR="006A7623" w:rsidRPr="00501526">
        <w:rPr>
          <w:iCs/>
        </w:rPr>
        <w:t xml:space="preserve">previously </w:t>
      </w:r>
      <w:r w:rsidR="00070905" w:rsidRPr="00501526">
        <w:rPr>
          <w:iCs/>
        </w:rPr>
        <w:t xml:space="preserve">reviewed </w:t>
      </w:r>
      <w:r w:rsidR="006A7623" w:rsidRPr="00501526">
        <w:rPr>
          <w:iCs/>
        </w:rPr>
        <w:t xml:space="preserve">data from the PKUDOS registry </w:t>
      </w:r>
      <w:r w:rsidR="00070905" w:rsidRPr="00501526">
        <w:rPr>
          <w:iCs/>
        </w:rPr>
        <w:t xml:space="preserve">that had a cut-off date of June 2013 (as reported in Longo 2015). </w:t>
      </w:r>
      <w:r w:rsidR="007943E9" w:rsidRPr="00501526">
        <w:rPr>
          <w:iCs/>
        </w:rPr>
        <w:t>The submission presented t</w:t>
      </w:r>
      <w:r w:rsidR="00070905" w:rsidRPr="00501526">
        <w:rPr>
          <w:iCs/>
        </w:rPr>
        <w:t xml:space="preserve">wo more recent </w:t>
      </w:r>
      <w:r w:rsidR="00070905" w:rsidRPr="00501526">
        <w:rPr>
          <w:iCs/>
        </w:rPr>
        <w:lastRenderedPageBreak/>
        <w:t xml:space="preserve">data-cuts: </w:t>
      </w:r>
      <w:r w:rsidR="000550A3" w:rsidRPr="00501526">
        <w:rPr>
          <w:iCs/>
        </w:rPr>
        <w:t>data</w:t>
      </w:r>
      <w:r w:rsidR="004E0C17" w:rsidRPr="00501526">
        <w:rPr>
          <w:iCs/>
        </w:rPr>
        <w:t xml:space="preserve"> cut</w:t>
      </w:r>
      <w:r w:rsidR="00070905" w:rsidRPr="00501526">
        <w:rPr>
          <w:iCs/>
        </w:rPr>
        <w:t>-</w:t>
      </w:r>
      <w:r w:rsidR="004E0C17" w:rsidRPr="00501526">
        <w:rPr>
          <w:iCs/>
        </w:rPr>
        <w:t>off February 2017</w:t>
      </w:r>
      <w:r w:rsidR="000550A3" w:rsidRPr="00501526">
        <w:rPr>
          <w:iCs/>
        </w:rPr>
        <w:t xml:space="preserve"> from a </w:t>
      </w:r>
      <w:r w:rsidR="006A7623" w:rsidRPr="00501526">
        <w:rPr>
          <w:iCs/>
        </w:rPr>
        <w:t xml:space="preserve">conference </w:t>
      </w:r>
      <w:r w:rsidR="000550A3" w:rsidRPr="00501526">
        <w:rPr>
          <w:iCs/>
        </w:rPr>
        <w:t>poster (Lilienstein 2018)</w:t>
      </w:r>
      <w:r w:rsidR="00070905" w:rsidRPr="00501526">
        <w:rPr>
          <w:iCs/>
        </w:rPr>
        <w:t>; and</w:t>
      </w:r>
      <w:r w:rsidR="003E0448" w:rsidRPr="00501526">
        <w:rPr>
          <w:iCs/>
        </w:rPr>
        <w:t xml:space="preserve"> a post-hoc analysis from May 2016</w:t>
      </w:r>
      <w:r w:rsidR="00070905" w:rsidRPr="00501526">
        <w:rPr>
          <w:iCs/>
        </w:rPr>
        <w:t xml:space="preserve"> (subgroup of patients aged 18 years or older at first use of sapropterin who had a baseline Phe </w:t>
      </w:r>
      <w:r w:rsidR="00585941" w:rsidRPr="00501526">
        <w:rPr>
          <w:iCs/>
        </w:rPr>
        <w:t>&gt;</w:t>
      </w:r>
      <w:r w:rsidR="00585941">
        <w:rPr>
          <w:iCs/>
        </w:rPr>
        <w:t> </w:t>
      </w:r>
      <w:r w:rsidR="00585941" w:rsidRPr="00501526">
        <w:rPr>
          <w:iCs/>
        </w:rPr>
        <w:t>600</w:t>
      </w:r>
      <w:r w:rsidR="00585941">
        <w:rPr>
          <w:iCs/>
        </w:rPr>
        <w:t> </w:t>
      </w:r>
      <w:r w:rsidR="00070905" w:rsidRPr="00501526">
        <w:rPr>
          <w:iCs/>
        </w:rPr>
        <w:t>µmol/L).</w:t>
      </w:r>
      <w:r w:rsidR="00F834C5" w:rsidRPr="00501526">
        <w:rPr>
          <w:iCs/>
        </w:rPr>
        <w:t xml:space="preserve"> </w:t>
      </w:r>
    </w:p>
    <w:p w14:paraId="7B19BA02" w14:textId="4A6F463B" w:rsidR="00554118" w:rsidRPr="00475855" w:rsidRDefault="00554118" w:rsidP="005F750F">
      <w:pPr>
        <w:pStyle w:val="3-BodyText"/>
        <w:rPr>
          <w:iCs/>
        </w:rPr>
      </w:pPr>
      <w:r w:rsidRPr="00501526">
        <w:rPr>
          <w:iCs/>
        </w:rPr>
        <w:t>I</w:t>
      </w:r>
      <w:r w:rsidR="00AD3E7D" w:rsidRPr="00501526">
        <w:rPr>
          <w:iCs/>
        </w:rPr>
        <w:t xml:space="preserve">n contrast to the previous submissions, </w:t>
      </w:r>
      <w:r w:rsidR="00167EA1" w:rsidRPr="00501526">
        <w:rPr>
          <w:iCs/>
        </w:rPr>
        <w:t>t</w:t>
      </w:r>
      <w:r w:rsidR="00AD3E7D" w:rsidRPr="00501526">
        <w:rPr>
          <w:iCs/>
        </w:rPr>
        <w:t xml:space="preserve">he KAMPER </w:t>
      </w:r>
      <w:r w:rsidRPr="00501526">
        <w:rPr>
          <w:iCs/>
        </w:rPr>
        <w:t xml:space="preserve">European Observational program </w:t>
      </w:r>
      <w:r w:rsidR="00AD3E7D" w:rsidRPr="00501526">
        <w:rPr>
          <w:iCs/>
        </w:rPr>
        <w:t xml:space="preserve">and </w:t>
      </w:r>
      <w:r w:rsidRPr="00501526">
        <w:rPr>
          <w:iCs/>
        </w:rPr>
        <w:t xml:space="preserve">the </w:t>
      </w:r>
      <w:r w:rsidR="00AD3E7D" w:rsidRPr="00501526">
        <w:rPr>
          <w:iCs/>
        </w:rPr>
        <w:t xml:space="preserve">ENDURANCE </w:t>
      </w:r>
      <w:r w:rsidRPr="00501526">
        <w:rPr>
          <w:iCs/>
        </w:rPr>
        <w:t xml:space="preserve">sapropterin responsiveness study </w:t>
      </w:r>
      <w:r w:rsidR="00AD3E7D" w:rsidRPr="00501526">
        <w:rPr>
          <w:iCs/>
        </w:rPr>
        <w:t>were excluded from the current submission.</w:t>
      </w:r>
      <w:r w:rsidR="007943E9" w:rsidRPr="00501526">
        <w:rPr>
          <w:iCs/>
          <w:color w:val="0066FF"/>
        </w:rPr>
        <w:t xml:space="preserve"> </w:t>
      </w:r>
      <w:r w:rsidR="00AD3E7D" w:rsidRPr="00501526">
        <w:rPr>
          <w:iCs/>
        </w:rPr>
        <w:t xml:space="preserve">The submission considered that the baseline blood Phe </w:t>
      </w:r>
      <w:r w:rsidR="00D909D3" w:rsidRPr="00501526">
        <w:rPr>
          <w:iCs/>
        </w:rPr>
        <w:t xml:space="preserve">levels </w:t>
      </w:r>
      <w:r w:rsidR="00AD3E7D" w:rsidRPr="00501526">
        <w:rPr>
          <w:iCs/>
        </w:rPr>
        <w:t>in ENDURE (465.1 ± 228.</w:t>
      </w:r>
      <w:r w:rsidR="00B400A7" w:rsidRPr="00501526">
        <w:rPr>
          <w:iCs/>
        </w:rPr>
        <w:t>2</w:t>
      </w:r>
      <w:r w:rsidR="00B400A7">
        <w:rPr>
          <w:iCs/>
        </w:rPr>
        <w:t> </w:t>
      </w:r>
      <w:r w:rsidR="00AD3E7D" w:rsidRPr="00501526">
        <w:rPr>
          <w:iCs/>
        </w:rPr>
        <w:t>µmol/L) and in KAMPER (</w:t>
      </w:r>
      <w:r w:rsidR="004B5B12" w:rsidRPr="00501526">
        <w:rPr>
          <w:iCs/>
        </w:rPr>
        <w:t xml:space="preserve">median: </w:t>
      </w:r>
      <w:r w:rsidR="00AD3E7D" w:rsidRPr="00501526">
        <w:rPr>
          <w:iCs/>
        </w:rPr>
        <w:t>544.</w:t>
      </w:r>
      <w:r w:rsidR="00B400A7" w:rsidRPr="00501526">
        <w:rPr>
          <w:iCs/>
        </w:rPr>
        <w:t>9</w:t>
      </w:r>
      <w:r w:rsidR="00B400A7">
        <w:rPr>
          <w:iCs/>
        </w:rPr>
        <w:t> </w:t>
      </w:r>
      <w:r w:rsidR="00AD3E7D" w:rsidRPr="00501526">
        <w:rPr>
          <w:rFonts w:cs="Calibri"/>
          <w:iCs/>
        </w:rPr>
        <w:t>µ</w:t>
      </w:r>
      <w:r w:rsidR="00AD3E7D" w:rsidRPr="00501526">
        <w:rPr>
          <w:iCs/>
        </w:rPr>
        <w:t>mol/L</w:t>
      </w:r>
      <w:r w:rsidR="00EC47B3" w:rsidRPr="00501526">
        <w:rPr>
          <w:iCs/>
        </w:rPr>
        <w:t>; mean: 615</w:t>
      </w:r>
      <w:r w:rsidRPr="00501526">
        <w:rPr>
          <w:rFonts w:cs="Calibri"/>
          <w:iCs/>
        </w:rPr>
        <w:t> </w:t>
      </w:r>
      <w:r w:rsidR="00EC47B3" w:rsidRPr="00501526">
        <w:rPr>
          <w:rFonts w:cs="Calibri"/>
          <w:iCs/>
        </w:rPr>
        <w:t>µ</w:t>
      </w:r>
      <w:r w:rsidR="00EC47B3" w:rsidRPr="00501526">
        <w:rPr>
          <w:iCs/>
        </w:rPr>
        <w:t>mol/L pr</w:t>
      </w:r>
      <w:r w:rsidRPr="00501526">
        <w:rPr>
          <w:iCs/>
        </w:rPr>
        <w:t>e-</w:t>
      </w:r>
      <w:r w:rsidR="00EC47B3" w:rsidRPr="00501526">
        <w:rPr>
          <w:iCs/>
        </w:rPr>
        <w:t xml:space="preserve">sapropterin, in patients aged </w:t>
      </w:r>
      <w:r w:rsidR="00EC47B3" w:rsidRPr="00501526">
        <w:rPr>
          <w:rFonts w:cstheme="minorHAnsi"/>
          <w:iCs/>
        </w:rPr>
        <w:t>≥ 18 years</w:t>
      </w:r>
      <w:r w:rsidR="00AD3E7D" w:rsidRPr="00501526">
        <w:rPr>
          <w:iCs/>
        </w:rPr>
        <w:t xml:space="preserve">) were not consistent with the clinical criteria of the requested restriction which specified </w:t>
      </w:r>
      <w:r w:rsidR="00B400A7" w:rsidRPr="00501526">
        <w:rPr>
          <w:iCs/>
        </w:rPr>
        <w:t>&gt;</w:t>
      </w:r>
      <w:r w:rsidR="00B400A7">
        <w:rPr>
          <w:iCs/>
        </w:rPr>
        <w:t> </w:t>
      </w:r>
      <w:r w:rsidR="00B400A7" w:rsidRPr="00501526">
        <w:rPr>
          <w:iCs/>
        </w:rPr>
        <w:t>600</w:t>
      </w:r>
      <w:r w:rsidR="00B400A7">
        <w:rPr>
          <w:iCs/>
        </w:rPr>
        <w:t> </w:t>
      </w:r>
      <w:r w:rsidR="00AD3E7D" w:rsidRPr="00501526">
        <w:rPr>
          <w:iCs/>
        </w:rPr>
        <w:t xml:space="preserve">µmol/L. However, these studies were included in the previous submissions which also had </w:t>
      </w:r>
      <w:r w:rsidR="006A54E3" w:rsidRPr="00501526">
        <w:rPr>
          <w:iCs/>
        </w:rPr>
        <w:t>the</w:t>
      </w:r>
      <w:r w:rsidR="00910C9F" w:rsidRPr="00501526">
        <w:rPr>
          <w:iCs/>
        </w:rPr>
        <w:t xml:space="preserve"> same &gt;</w:t>
      </w:r>
      <w:r w:rsidRPr="00501526">
        <w:rPr>
          <w:iCs/>
        </w:rPr>
        <w:t> </w:t>
      </w:r>
      <w:r w:rsidR="00910C9F" w:rsidRPr="00501526">
        <w:rPr>
          <w:iCs/>
        </w:rPr>
        <w:t>600</w:t>
      </w:r>
      <w:r w:rsidR="00B400A7">
        <w:rPr>
          <w:iCs/>
        </w:rPr>
        <w:t> </w:t>
      </w:r>
      <w:r w:rsidR="00910C9F" w:rsidRPr="00501526">
        <w:rPr>
          <w:iCs/>
        </w:rPr>
        <w:t xml:space="preserve">µmol/L </w:t>
      </w:r>
      <w:r w:rsidR="006A54E3" w:rsidRPr="00501526">
        <w:rPr>
          <w:iCs/>
        </w:rPr>
        <w:t>criteria</w:t>
      </w:r>
      <w:r w:rsidR="00AD3E7D" w:rsidRPr="00501526">
        <w:rPr>
          <w:iCs/>
        </w:rPr>
        <w:t xml:space="preserve">. </w:t>
      </w:r>
      <w:r w:rsidR="00585941">
        <w:rPr>
          <w:iCs/>
        </w:rPr>
        <w:t>As patients in KAMPER were already on sapropterin it would be expected that their Phe levels would be</w:t>
      </w:r>
      <w:r w:rsidR="00B400A7">
        <w:rPr>
          <w:iCs/>
        </w:rPr>
        <w:t xml:space="preserve"> </w:t>
      </w:r>
      <w:r w:rsidR="00585941">
        <w:rPr>
          <w:iCs/>
        </w:rPr>
        <w:t>&lt;</w:t>
      </w:r>
      <w:r w:rsidR="00B400A7">
        <w:rPr>
          <w:iCs/>
        </w:rPr>
        <w:t> </w:t>
      </w:r>
      <w:r w:rsidR="00585941" w:rsidRPr="00501526">
        <w:rPr>
          <w:iCs/>
        </w:rPr>
        <w:t>600</w:t>
      </w:r>
      <w:r w:rsidR="00B400A7">
        <w:rPr>
          <w:iCs/>
        </w:rPr>
        <w:t> </w:t>
      </w:r>
      <w:r w:rsidR="00585941" w:rsidRPr="00501526">
        <w:rPr>
          <w:iCs/>
        </w:rPr>
        <w:t>µmol/L</w:t>
      </w:r>
      <w:r w:rsidR="00585941">
        <w:rPr>
          <w:iCs/>
        </w:rPr>
        <w:t xml:space="preserve"> and inclusion criteria for ENDURE required patients to have Phe levels &gt;</w:t>
      </w:r>
      <w:r w:rsidR="00B400A7">
        <w:rPr>
          <w:iCs/>
        </w:rPr>
        <w:t> </w:t>
      </w:r>
      <w:r w:rsidR="00585941">
        <w:rPr>
          <w:iCs/>
        </w:rPr>
        <w:t>400</w:t>
      </w:r>
      <w:r w:rsidR="00B400A7">
        <w:rPr>
          <w:iCs/>
        </w:rPr>
        <w:t> </w:t>
      </w:r>
      <w:r w:rsidR="00585941" w:rsidRPr="00501526">
        <w:rPr>
          <w:iCs/>
        </w:rPr>
        <w:t>µmol/L</w:t>
      </w:r>
      <w:r w:rsidR="00585941">
        <w:rPr>
          <w:iCs/>
        </w:rPr>
        <w:t>.</w:t>
      </w:r>
      <w:r w:rsidR="00585941" w:rsidRPr="00501526">
        <w:rPr>
          <w:iCs/>
        </w:rPr>
        <w:t xml:space="preserve"> </w:t>
      </w:r>
      <w:r w:rsidR="00212939" w:rsidRPr="00501526">
        <w:rPr>
          <w:iCs/>
        </w:rPr>
        <w:t>Overall</w:t>
      </w:r>
      <w:r w:rsidR="00AD3E7D" w:rsidRPr="00501526">
        <w:rPr>
          <w:iCs/>
        </w:rPr>
        <w:t>,</w:t>
      </w:r>
      <w:r w:rsidR="00212939" w:rsidRPr="00501526">
        <w:rPr>
          <w:iCs/>
        </w:rPr>
        <w:t xml:space="preserve"> the evaluation and the ESC considered</w:t>
      </w:r>
      <w:r w:rsidR="00AD3E7D" w:rsidRPr="00501526">
        <w:rPr>
          <w:iCs/>
        </w:rPr>
        <w:t xml:space="preserve"> it </w:t>
      </w:r>
      <w:r w:rsidR="00212939" w:rsidRPr="00501526">
        <w:rPr>
          <w:iCs/>
        </w:rPr>
        <w:t>was</w:t>
      </w:r>
      <w:r w:rsidR="00AD3E7D" w:rsidRPr="00501526">
        <w:rPr>
          <w:iCs/>
        </w:rPr>
        <w:t xml:space="preserve"> unclear if </w:t>
      </w:r>
      <w:r w:rsidR="00212939" w:rsidRPr="00501526">
        <w:rPr>
          <w:iCs/>
        </w:rPr>
        <w:t xml:space="preserve">it was reasonable to </w:t>
      </w:r>
      <w:r w:rsidR="00AD3E7D" w:rsidRPr="00501526">
        <w:rPr>
          <w:iCs/>
        </w:rPr>
        <w:t>exclud</w:t>
      </w:r>
      <w:r w:rsidR="00212939" w:rsidRPr="00501526">
        <w:rPr>
          <w:iCs/>
        </w:rPr>
        <w:t>e</w:t>
      </w:r>
      <w:r w:rsidR="00AD3E7D" w:rsidRPr="00501526">
        <w:rPr>
          <w:iCs/>
        </w:rPr>
        <w:t xml:space="preserve"> these studies.</w:t>
      </w:r>
      <w:r w:rsidR="00994382" w:rsidRPr="00501526">
        <w:rPr>
          <w:iCs/>
        </w:rPr>
        <w:t xml:space="preserve"> </w:t>
      </w:r>
      <w:r w:rsidR="00EC47B3" w:rsidRPr="00501526">
        <w:rPr>
          <w:iCs/>
        </w:rPr>
        <w:t xml:space="preserve">The limited information </w:t>
      </w:r>
      <w:r w:rsidRPr="00501526">
        <w:rPr>
          <w:iCs/>
        </w:rPr>
        <w:t xml:space="preserve">provided </w:t>
      </w:r>
      <w:r w:rsidR="007943E9" w:rsidRPr="00501526">
        <w:rPr>
          <w:iCs/>
        </w:rPr>
        <w:t xml:space="preserve">about KAMPER </w:t>
      </w:r>
      <w:r w:rsidRPr="00501526">
        <w:rPr>
          <w:iCs/>
        </w:rPr>
        <w:t xml:space="preserve">in the submission </w:t>
      </w:r>
      <w:r w:rsidR="00EC47B3" w:rsidRPr="00501526">
        <w:rPr>
          <w:iCs/>
        </w:rPr>
        <w:t>appeared to show that dietary intake of natural protein increased from 30.0 g/day prior to sapropterin treatment, to 50.1</w:t>
      </w:r>
      <w:r w:rsidR="00B400A7">
        <w:rPr>
          <w:iCs/>
        </w:rPr>
        <w:t> </w:t>
      </w:r>
      <w:r w:rsidR="00EC47B3" w:rsidRPr="00501526">
        <w:rPr>
          <w:iCs/>
        </w:rPr>
        <w:t>g/day after one year of sapropterin (n = 28 at both time points)</w:t>
      </w:r>
      <w:r w:rsidR="00C54691" w:rsidRPr="00501526">
        <w:rPr>
          <w:iCs/>
        </w:rPr>
        <w:t>, while blood Phe levels decreased from a mean of 615 </w:t>
      </w:r>
      <w:r w:rsidR="00C54691" w:rsidRPr="00501526">
        <w:rPr>
          <w:rFonts w:cs="Calibri"/>
          <w:iCs/>
        </w:rPr>
        <w:t>µ</w:t>
      </w:r>
      <w:r w:rsidR="00C54691" w:rsidRPr="00501526">
        <w:rPr>
          <w:iCs/>
        </w:rPr>
        <w:t>mol/L pre-sapropterin (n = 67) to 491 </w:t>
      </w:r>
      <w:r w:rsidR="00C54691" w:rsidRPr="00501526">
        <w:rPr>
          <w:rFonts w:cs="Calibri"/>
          <w:iCs/>
        </w:rPr>
        <w:t>µ</w:t>
      </w:r>
      <w:r w:rsidR="00C54691" w:rsidRPr="00501526">
        <w:rPr>
          <w:iCs/>
        </w:rPr>
        <w:t>mol/L (n = 59)</w:t>
      </w:r>
      <w:r w:rsidR="00C54691" w:rsidRPr="00475855">
        <w:rPr>
          <w:iCs/>
        </w:rPr>
        <w:t>.</w:t>
      </w:r>
    </w:p>
    <w:p w14:paraId="06766C42" w14:textId="54A1C325" w:rsidR="009E1849" w:rsidRPr="00475855" w:rsidRDefault="00F307A1" w:rsidP="009A0A9F">
      <w:pPr>
        <w:pStyle w:val="3-BodyText"/>
        <w:rPr>
          <w:iCs/>
        </w:rPr>
      </w:pPr>
      <w:r w:rsidRPr="00475855">
        <w:rPr>
          <w:iCs/>
        </w:rPr>
        <w:t xml:space="preserve">With the exception of </w:t>
      </w:r>
      <w:r w:rsidR="006F11BD" w:rsidRPr="00475855">
        <w:rPr>
          <w:iCs/>
        </w:rPr>
        <w:t xml:space="preserve">the </w:t>
      </w:r>
      <w:r w:rsidR="00EF6D14" w:rsidRPr="00475855">
        <w:rPr>
          <w:iCs/>
        </w:rPr>
        <w:t xml:space="preserve">more </w:t>
      </w:r>
      <w:r w:rsidRPr="00475855">
        <w:rPr>
          <w:iCs/>
        </w:rPr>
        <w:t xml:space="preserve">recent </w:t>
      </w:r>
      <w:r w:rsidR="00EF6D14" w:rsidRPr="00475855">
        <w:rPr>
          <w:iCs/>
        </w:rPr>
        <w:t xml:space="preserve">data cuts </w:t>
      </w:r>
      <w:r w:rsidRPr="00475855">
        <w:rPr>
          <w:iCs/>
        </w:rPr>
        <w:t xml:space="preserve">of the PKUDOS registry data, all of the </w:t>
      </w:r>
      <w:r w:rsidR="007F7C68" w:rsidRPr="00475855">
        <w:rPr>
          <w:iCs/>
        </w:rPr>
        <w:t>aforementioned studies</w:t>
      </w:r>
      <w:r w:rsidRPr="00475855">
        <w:rPr>
          <w:iCs/>
        </w:rPr>
        <w:t xml:space="preserve"> </w:t>
      </w:r>
      <w:r w:rsidR="00167EA1" w:rsidRPr="00475855">
        <w:rPr>
          <w:iCs/>
        </w:rPr>
        <w:t>ha</w:t>
      </w:r>
      <w:r w:rsidR="007F7C68" w:rsidRPr="00475855">
        <w:rPr>
          <w:iCs/>
        </w:rPr>
        <w:t>d</w:t>
      </w:r>
      <w:r w:rsidR="00167EA1" w:rsidRPr="00475855">
        <w:rPr>
          <w:iCs/>
        </w:rPr>
        <w:t xml:space="preserve"> </w:t>
      </w:r>
      <w:r w:rsidRPr="00475855">
        <w:rPr>
          <w:iCs/>
        </w:rPr>
        <w:t>previously been reviewed by the PBAC.</w:t>
      </w:r>
      <w:r w:rsidR="00431053" w:rsidRPr="00475855">
        <w:rPr>
          <w:iCs/>
        </w:rPr>
        <w:t xml:space="preserve"> The </w:t>
      </w:r>
      <w:r w:rsidR="00B400A7">
        <w:rPr>
          <w:iCs/>
        </w:rPr>
        <w:t>Pre-Sub Committee Response (</w:t>
      </w:r>
      <w:r w:rsidR="00431053" w:rsidRPr="00475855">
        <w:rPr>
          <w:iCs/>
        </w:rPr>
        <w:t>PSCR</w:t>
      </w:r>
      <w:r w:rsidR="00B400A7">
        <w:rPr>
          <w:iCs/>
        </w:rPr>
        <w:t>)</w:t>
      </w:r>
      <w:r w:rsidR="00431053" w:rsidRPr="00475855">
        <w:rPr>
          <w:iCs/>
        </w:rPr>
        <w:t xml:space="preserve"> </w:t>
      </w:r>
      <w:r w:rsidR="00F83775">
        <w:rPr>
          <w:iCs/>
        </w:rPr>
        <w:t xml:space="preserve">and pre-PBAC response </w:t>
      </w:r>
      <w:r w:rsidR="00431053" w:rsidRPr="00475855">
        <w:rPr>
          <w:iCs/>
        </w:rPr>
        <w:t>reiterated that the totality of the evidence has been presented.</w:t>
      </w:r>
    </w:p>
    <w:p w14:paraId="5FBB9805" w14:textId="29388A48" w:rsidR="00C10E38" w:rsidRPr="00501526" w:rsidRDefault="00053F94" w:rsidP="00F959CA">
      <w:pPr>
        <w:pStyle w:val="3-BodyText"/>
        <w:rPr>
          <w:iCs/>
          <w:color w:val="000000" w:themeColor="text1"/>
        </w:rPr>
      </w:pPr>
      <w:r w:rsidRPr="00501526">
        <w:rPr>
          <w:iCs/>
          <w:color w:val="000000" w:themeColor="text1"/>
        </w:rPr>
        <w:t>The submission</w:t>
      </w:r>
      <w:r w:rsidR="001D65AF" w:rsidRPr="00501526">
        <w:rPr>
          <w:iCs/>
          <w:color w:val="000000" w:themeColor="text1"/>
        </w:rPr>
        <w:t xml:space="preserve"> </w:t>
      </w:r>
      <w:r w:rsidRPr="00501526">
        <w:rPr>
          <w:iCs/>
          <w:color w:val="000000" w:themeColor="text1"/>
        </w:rPr>
        <w:t>also presented a review o</w:t>
      </w:r>
      <w:r w:rsidR="004439E1" w:rsidRPr="00501526">
        <w:rPr>
          <w:iCs/>
          <w:color w:val="000000" w:themeColor="text1"/>
        </w:rPr>
        <w:t>f</w:t>
      </w:r>
      <w:r w:rsidRPr="00501526">
        <w:rPr>
          <w:iCs/>
          <w:color w:val="000000" w:themeColor="text1"/>
        </w:rPr>
        <w:t xml:space="preserve"> translational studies discussing the relationship between blood-Phe and improvements in neuropsychiatric symptoms; and Phe tolerance (increase in dietary Phe intake) </w:t>
      </w:r>
      <w:r w:rsidR="001336AE" w:rsidRPr="00501526">
        <w:rPr>
          <w:iCs/>
          <w:color w:val="000000" w:themeColor="text1"/>
        </w:rPr>
        <w:t xml:space="preserve">with </w:t>
      </w:r>
      <w:r w:rsidRPr="00501526">
        <w:rPr>
          <w:iCs/>
          <w:color w:val="000000" w:themeColor="text1"/>
        </w:rPr>
        <w:t>quality of life in adult PKU patients</w:t>
      </w:r>
      <w:r w:rsidR="00FE30D2" w:rsidRPr="00501526">
        <w:rPr>
          <w:iCs/>
          <w:color w:val="000000" w:themeColor="text1"/>
        </w:rPr>
        <w:t>.</w:t>
      </w:r>
    </w:p>
    <w:p w14:paraId="2B59ABAC" w14:textId="41C98591" w:rsidR="00862502" w:rsidRPr="00501526" w:rsidRDefault="00A73134" w:rsidP="002E4F02">
      <w:pPr>
        <w:pStyle w:val="3-BodyText"/>
        <w:rPr>
          <w:iCs/>
        </w:rPr>
      </w:pPr>
      <w:r w:rsidRPr="00501526">
        <w:rPr>
          <w:iCs/>
          <w:snapToGrid/>
        </w:rPr>
        <w:t xml:space="preserve">Details of the </w:t>
      </w:r>
      <w:r w:rsidR="00543C62" w:rsidRPr="00501526">
        <w:rPr>
          <w:iCs/>
          <w:snapToGrid/>
        </w:rPr>
        <w:t>trials and studies</w:t>
      </w:r>
      <w:r w:rsidRPr="00501526">
        <w:rPr>
          <w:iCs/>
          <w:snapToGrid/>
        </w:rPr>
        <w:t xml:space="preserve"> presented in the submission are provided in</w:t>
      </w:r>
      <w:r w:rsidR="004439E1" w:rsidRPr="00501526">
        <w:rPr>
          <w:iCs/>
          <w:snapToGrid/>
        </w:rPr>
        <w:t xml:space="preserve"> </w:t>
      </w:r>
      <w:r w:rsidR="004439E1" w:rsidRPr="00501526">
        <w:rPr>
          <w:iCs/>
          <w:snapToGrid/>
        </w:rPr>
        <w:fldChar w:fldCharType="begin"/>
      </w:r>
      <w:r w:rsidR="004439E1" w:rsidRPr="00501526">
        <w:rPr>
          <w:iCs/>
          <w:snapToGrid/>
        </w:rPr>
        <w:instrText xml:space="preserve"> REF _Ref104977168 \h  \* MERGEFORMAT </w:instrText>
      </w:r>
      <w:r w:rsidR="004439E1" w:rsidRPr="00501526">
        <w:rPr>
          <w:iCs/>
          <w:snapToGrid/>
        </w:rPr>
      </w:r>
      <w:r w:rsidR="004439E1" w:rsidRPr="00501526">
        <w:rPr>
          <w:iCs/>
          <w:snapToGrid/>
        </w:rPr>
        <w:fldChar w:fldCharType="separate"/>
      </w:r>
      <w:r w:rsidR="0035299E" w:rsidRPr="0035299E">
        <w:rPr>
          <w:snapToGrid/>
        </w:rPr>
        <w:t>Table 4</w:t>
      </w:r>
      <w:r w:rsidR="004439E1" w:rsidRPr="00501526">
        <w:rPr>
          <w:iCs/>
          <w:snapToGrid/>
        </w:rPr>
        <w:fldChar w:fldCharType="end"/>
      </w:r>
      <w:r w:rsidRPr="00501526">
        <w:rPr>
          <w:iCs/>
          <w:snapToGrid/>
        </w:rPr>
        <w:t>.</w:t>
      </w:r>
    </w:p>
    <w:p w14:paraId="19A07B22" w14:textId="03593E04" w:rsidR="00543C62" w:rsidRPr="00501526" w:rsidRDefault="008E0D3C" w:rsidP="00543C62">
      <w:pPr>
        <w:pStyle w:val="TableFigureHeading"/>
        <w:rPr>
          <w:iCs/>
        </w:rPr>
      </w:pPr>
      <w:bookmarkStart w:id="24" w:name="_Ref104977168"/>
      <w:bookmarkStart w:id="25" w:name="_Ref104977164"/>
      <w:r w:rsidRPr="00501526">
        <w:rPr>
          <w:rStyle w:val="CommentReference"/>
          <w:b/>
          <w:iCs/>
          <w:szCs w:val="24"/>
        </w:rPr>
        <w:lastRenderedPageBreak/>
        <w:t xml:space="preserve">Table </w:t>
      </w:r>
      <w:r w:rsidR="00CC22EF" w:rsidRPr="00501526">
        <w:rPr>
          <w:rStyle w:val="CommentReference"/>
          <w:b/>
          <w:iCs/>
          <w:szCs w:val="24"/>
        </w:rPr>
        <w:fldChar w:fldCharType="begin"/>
      </w:r>
      <w:r w:rsidR="00CC22EF" w:rsidRPr="00501526">
        <w:rPr>
          <w:rStyle w:val="CommentReference"/>
          <w:b/>
          <w:iCs/>
          <w:szCs w:val="24"/>
        </w:rPr>
        <w:instrText xml:space="preserve"> SEQ Table \* MERGEFORMAT </w:instrText>
      </w:r>
      <w:r w:rsidR="00CC22EF" w:rsidRPr="00501526">
        <w:rPr>
          <w:rStyle w:val="CommentReference"/>
          <w:b/>
          <w:iCs/>
          <w:szCs w:val="24"/>
        </w:rPr>
        <w:fldChar w:fldCharType="separate"/>
      </w:r>
      <w:r w:rsidR="0035299E">
        <w:rPr>
          <w:rStyle w:val="CommentReference"/>
          <w:b/>
          <w:iCs/>
          <w:noProof/>
          <w:szCs w:val="24"/>
        </w:rPr>
        <w:t>4</w:t>
      </w:r>
      <w:r w:rsidR="00CC22EF" w:rsidRPr="00501526">
        <w:rPr>
          <w:rStyle w:val="CommentReference"/>
          <w:b/>
          <w:iCs/>
          <w:szCs w:val="24"/>
        </w:rPr>
        <w:fldChar w:fldCharType="end"/>
      </w:r>
      <w:bookmarkEnd w:id="24"/>
      <w:r w:rsidR="00CC22EF" w:rsidRPr="00501526">
        <w:rPr>
          <w:rStyle w:val="CommentReference"/>
          <w:b/>
          <w:iCs/>
          <w:szCs w:val="24"/>
        </w:rPr>
        <w:t>:</w:t>
      </w:r>
      <w:r w:rsidR="00BC591F" w:rsidRPr="00501526">
        <w:rPr>
          <w:rStyle w:val="CommentReference"/>
          <w:b/>
          <w:iCs/>
          <w:szCs w:val="24"/>
        </w:rPr>
        <w:t xml:space="preserve"> </w:t>
      </w:r>
      <w:r w:rsidR="00543C62" w:rsidRPr="00501526">
        <w:rPr>
          <w:rStyle w:val="CommentReference"/>
          <w:b/>
          <w:iCs/>
          <w:szCs w:val="24"/>
        </w:rPr>
        <w:t>Trials and associated reports presented in the submission</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43C62" w:rsidRPr="00501526" w14:paraId="500AFDC2" w14:textId="77777777" w:rsidTr="00C235C5">
        <w:trPr>
          <w:tblHeader/>
        </w:trPr>
        <w:tc>
          <w:tcPr>
            <w:tcW w:w="796" w:type="pct"/>
            <w:vAlign w:val="center"/>
          </w:tcPr>
          <w:p w14:paraId="3CA07954" w14:textId="58673BF1" w:rsidR="00543C62" w:rsidRPr="00501526" w:rsidRDefault="00543C62" w:rsidP="00C235C5">
            <w:pPr>
              <w:pStyle w:val="In-tableHeading"/>
              <w:rPr>
                <w:iCs/>
                <w:lang w:val="en-AU"/>
              </w:rPr>
            </w:pPr>
            <w:r w:rsidRPr="00501526">
              <w:rPr>
                <w:iCs/>
                <w:lang w:val="en-AU"/>
              </w:rPr>
              <w:t>Trial ID</w:t>
            </w:r>
            <w:r w:rsidR="00E60FDA">
              <w:rPr>
                <w:iCs/>
                <w:lang w:val="en-AU"/>
              </w:rPr>
              <w:t>`</w:t>
            </w:r>
          </w:p>
        </w:tc>
        <w:tc>
          <w:tcPr>
            <w:tcW w:w="3027" w:type="pct"/>
            <w:vAlign w:val="center"/>
          </w:tcPr>
          <w:p w14:paraId="735B6B45" w14:textId="77777777" w:rsidR="00543C62" w:rsidRPr="00501526" w:rsidRDefault="00543C62" w:rsidP="00C235C5">
            <w:pPr>
              <w:pStyle w:val="In-tableHeading"/>
              <w:rPr>
                <w:iCs/>
                <w:lang w:val="en-AU"/>
              </w:rPr>
            </w:pPr>
            <w:r w:rsidRPr="00501526">
              <w:rPr>
                <w:iCs/>
                <w:lang w:val="en-AU"/>
              </w:rPr>
              <w:t>Protocol title/ Publication title</w:t>
            </w:r>
          </w:p>
        </w:tc>
        <w:tc>
          <w:tcPr>
            <w:tcW w:w="1177" w:type="pct"/>
            <w:vAlign w:val="center"/>
          </w:tcPr>
          <w:p w14:paraId="152F3B84" w14:textId="77777777" w:rsidR="00543C62" w:rsidRPr="00501526" w:rsidRDefault="00543C62" w:rsidP="00C235C5">
            <w:pPr>
              <w:pStyle w:val="In-tableHeading"/>
              <w:rPr>
                <w:iCs/>
                <w:lang w:val="en-AU"/>
              </w:rPr>
            </w:pPr>
            <w:r w:rsidRPr="00501526">
              <w:rPr>
                <w:iCs/>
                <w:lang w:val="en-AU"/>
              </w:rPr>
              <w:t>Publication citation</w:t>
            </w:r>
          </w:p>
        </w:tc>
      </w:tr>
      <w:tr w:rsidR="00E60FDA" w:rsidRPr="00501526" w14:paraId="606901DA" w14:textId="77777777" w:rsidTr="000B0876">
        <w:tc>
          <w:tcPr>
            <w:tcW w:w="796" w:type="pct"/>
            <w:vMerge w:val="restart"/>
            <w:vAlign w:val="center"/>
          </w:tcPr>
          <w:p w14:paraId="50B5EE44" w14:textId="170556D8" w:rsidR="00E60FDA" w:rsidRPr="00501526" w:rsidRDefault="00E60FDA" w:rsidP="00C235C5">
            <w:pPr>
              <w:pStyle w:val="TableText0"/>
              <w:rPr>
                <w:iCs/>
              </w:rPr>
            </w:pPr>
            <w:r w:rsidRPr="00501526">
              <w:rPr>
                <w:iCs/>
              </w:rPr>
              <w:t>PKU-001</w:t>
            </w:r>
          </w:p>
        </w:tc>
        <w:tc>
          <w:tcPr>
            <w:tcW w:w="3027" w:type="pct"/>
            <w:tcBorders>
              <w:bottom w:val="nil"/>
            </w:tcBorders>
            <w:vAlign w:val="center"/>
          </w:tcPr>
          <w:p w14:paraId="6E828B08" w14:textId="77777777" w:rsidR="00E60FDA" w:rsidRPr="00501526" w:rsidRDefault="00E60FDA" w:rsidP="00C235C5">
            <w:pPr>
              <w:pStyle w:val="TableText0"/>
              <w:rPr>
                <w:iCs/>
                <w:szCs w:val="18"/>
              </w:rPr>
            </w:pPr>
            <w:r w:rsidRPr="00501526">
              <w:rPr>
                <w:iCs/>
                <w:szCs w:val="18"/>
              </w:rPr>
              <w:t>A Phase 2, Multicenter, Open-Label Study to Evaluate the Response to and Safety of an 8-Day Course of Phenoptin™ (sapropterin dihydrochloride) Treatment in Subjects with Phenylketonuria Who Have Elevated Phenylalanine Levels</w:t>
            </w:r>
          </w:p>
        </w:tc>
        <w:tc>
          <w:tcPr>
            <w:tcW w:w="1177" w:type="pct"/>
            <w:tcBorders>
              <w:bottom w:val="nil"/>
            </w:tcBorders>
            <w:vAlign w:val="center"/>
          </w:tcPr>
          <w:p w14:paraId="211C9411" w14:textId="77777777" w:rsidR="00E60FDA" w:rsidRPr="00501526" w:rsidRDefault="00E60FDA" w:rsidP="00C235C5">
            <w:pPr>
              <w:pStyle w:val="TableText0"/>
              <w:rPr>
                <w:iCs/>
              </w:rPr>
            </w:pPr>
            <w:r w:rsidRPr="00501526">
              <w:rPr>
                <w:iCs/>
                <w:szCs w:val="18"/>
              </w:rPr>
              <w:t>December 2006</w:t>
            </w:r>
          </w:p>
        </w:tc>
      </w:tr>
      <w:tr w:rsidR="00E60FDA" w:rsidRPr="00501526" w14:paraId="67D44A2E" w14:textId="77777777" w:rsidTr="000B0876">
        <w:tc>
          <w:tcPr>
            <w:tcW w:w="796" w:type="pct"/>
            <w:vMerge/>
            <w:vAlign w:val="center"/>
          </w:tcPr>
          <w:p w14:paraId="3778F272" w14:textId="58B4469A" w:rsidR="00E60FDA" w:rsidRPr="00501526" w:rsidRDefault="00E60FDA" w:rsidP="00C235C5">
            <w:pPr>
              <w:pStyle w:val="TableText0"/>
              <w:rPr>
                <w:iCs/>
              </w:rPr>
            </w:pPr>
          </w:p>
        </w:tc>
        <w:tc>
          <w:tcPr>
            <w:tcW w:w="3027" w:type="pct"/>
            <w:tcBorders>
              <w:top w:val="nil"/>
              <w:bottom w:val="nil"/>
            </w:tcBorders>
            <w:vAlign w:val="center"/>
          </w:tcPr>
          <w:p w14:paraId="35F9C89F" w14:textId="77777777" w:rsidR="00E60FDA" w:rsidRPr="00501526" w:rsidRDefault="00E60FDA" w:rsidP="00C235C5">
            <w:pPr>
              <w:pStyle w:val="TableText0"/>
              <w:rPr>
                <w:iCs/>
                <w:szCs w:val="18"/>
              </w:rPr>
            </w:pPr>
            <w:r w:rsidRPr="00501526">
              <w:rPr>
                <w:iCs/>
                <w:szCs w:val="18"/>
              </w:rPr>
              <w:t xml:space="preserve">An Open-label Substudy to Evaluate Phenylalanine Levels Over a </w:t>
            </w:r>
            <w:proofErr w:type="gramStart"/>
            <w:r w:rsidRPr="00501526">
              <w:rPr>
                <w:iCs/>
                <w:szCs w:val="18"/>
              </w:rPr>
              <w:t>Twenty-Four Hour</w:t>
            </w:r>
            <w:proofErr w:type="gramEnd"/>
            <w:r w:rsidRPr="00501526">
              <w:rPr>
                <w:iCs/>
                <w:szCs w:val="18"/>
              </w:rPr>
              <w:t xml:space="preserve"> Period in Subjects with Phenylketonuria Participating in the PKU-001 Study</w:t>
            </w:r>
          </w:p>
        </w:tc>
        <w:tc>
          <w:tcPr>
            <w:tcW w:w="1177" w:type="pct"/>
            <w:tcBorders>
              <w:top w:val="nil"/>
              <w:bottom w:val="nil"/>
            </w:tcBorders>
            <w:vAlign w:val="center"/>
          </w:tcPr>
          <w:p w14:paraId="4A9240FF" w14:textId="77777777" w:rsidR="00E60FDA" w:rsidRPr="00501526" w:rsidRDefault="00E60FDA" w:rsidP="00C235C5">
            <w:pPr>
              <w:pStyle w:val="TableText0"/>
              <w:rPr>
                <w:iCs/>
                <w:szCs w:val="18"/>
              </w:rPr>
            </w:pPr>
            <w:r w:rsidRPr="00501526">
              <w:rPr>
                <w:iCs/>
                <w:szCs w:val="18"/>
              </w:rPr>
              <w:t>December 2006</w:t>
            </w:r>
          </w:p>
        </w:tc>
      </w:tr>
      <w:tr w:rsidR="00E60FDA" w:rsidRPr="00501526" w14:paraId="60846D4D" w14:textId="77777777" w:rsidTr="000B0876">
        <w:tc>
          <w:tcPr>
            <w:tcW w:w="796" w:type="pct"/>
            <w:vMerge/>
            <w:vAlign w:val="center"/>
          </w:tcPr>
          <w:p w14:paraId="562EB4DB" w14:textId="77777777" w:rsidR="00E60FDA" w:rsidRPr="00501526" w:rsidRDefault="00E60FDA" w:rsidP="00C235C5">
            <w:pPr>
              <w:pStyle w:val="TableText0"/>
              <w:rPr>
                <w:iCs/>
              </w:rPr>
            </w:pPr>
          </w:p>
        </w:tc>
        <w:tc>
          <w:tcPr>
            <w:tcW w:w="3027" w:type="pct"/>
            <w:tcBorders>
              <w:top w:val="nil"/>
              <w:bottom w:val="nil"/>
            </w:tcBorders>
            <w:vAlign w:val="center"/>
          </w:tcPr>
          <w:p w14:paraId="58DD0FD9" w14:textId="77777777" w:rsidR="00E60FDA" w:rsidRPr="00501526" w:rsidRDefault="00E60FDA" w:rsidP="00C235C5">
            <w:pPr>
              <w:pStyle w:val="TableText0"/>
              <w:rPr>
                <w:iCs/>
                <w:szCs w:val="18"/>
              </w:rPr>
            </w:pPr>
            <w:r w:rsidRPr="00501526">
              <w:rPr>
                <w:iCs/>
                <w:szCs w:val="18"/>
              </w:rPr>
              <w:t>A Phase 2, Multicenter, Open-Label Study to Evaluate the Response to and Safety of an 8-Day Course of Kuvan® (sapropterin dihydrochloride) Treatment in Subjects with Phenylketonuria Who Have Elevated Phenylalanine Levels</w:t>
            </w:r>
          </w:p>
        </w:tc>
        <w:tc>
          <w:tcPr>
            <w:tcW w:w="1177" w:type="pct"/>
            <w:tcBorders>
              <w:top w:val="nil"/>
              <w:bottom w:val="nil"/>
            </w:tcBorders>
            <w:vAlign w:val="center"/>
          </w:tcPr>
          <w:p w14:paraId="33B5CCF4" w14:textId="77777777" w:rsidR="00E60FDA" w:rsidRPr="00501526" w:rsidRDefault="00E60FDA" w:rsidP="00C235C5">
            <w:pPr>
              <w:pStyle w:val="TableText0"/>
              <w:rPr>
                <w:iCs/>
                <w:szCs w:val="18"/>
              </w:rPr>
            </w:pPr>
            <w:r w:rsidRPr="00501526">
              <w:rPr>
                <w:iCs/>
                <w:szCs w:val="18"/>
              </w:rPr>
              <w:t>December 2008</w:t>
            </w:r>
          </w:p>
        </w:tc>
      </w:tr>
      <w:tr w:rsidR="00E60FDA" w:rsidRPr="00501526" w14:paraId="2066EA23" w14:textId="77777777" w:rsidTr="000B0876">
        <w:tc>
          <w:tcPr>
            <w:tcW w:w="796" w:type="pct"/>
            <w:vMerge/>
            <w:tcBorders>
              <w:bottom w:val="single" w:sz="4" w:space="0" w:color="auto"/>
            </w:tcBorders>
            <w:vAlign w:val="center"/>
          </w:tcPr>
          <w:p w14:paraId="536219CF" w14:textId="77777777" w:rsidR="00E60FDA" w:rsidRPr="00501526" w:rsidRDefault="00E60FDA" w:rsidP="00C235C5">
            <w:pPr>
              <w:pStyle w:val="TableText0"/>
              <w:rPr>
                <w:iCs/>
              </w:rPr>
            </w:pPr>
          </w:p>
        </w:tc>
        <w:tc>
          <w:tcPr>
            <w:tcW w:w="3027" w:type="pct"/>
            <w:tcBorders>
              <w:top w:val="nil"/>
              <w:bottom w:val="single" w:sz="4" w:space="0" w:color="auto"/>
            </w:tcBorders>
            <w:vAlign w:val="center"/>
          </w:tcPr>
          <w:p w14:paraId="7584F72F" w14:textId="77777777" w:rsidR="00E60FDA" w:rsidRPr="00501526" w:rsidRDefault="00E60FDA" w:rsidP="00C235C5">
            <w:pPr>
              <w:pStyle w:val="TableText0"/>
              <w:rPr>
                <w:iCs/>
                <w:szCs w:val="18"/>
              </w:rPr>
            </w:pPr>
            <w:r w:rsidRPr="00501526">
              <w:rPr>
                <w:iCs/>
                <w:szCs w:val="18"/>
              </w:rPr>
              <w:t xml:space="preserve">Burton et al. The response of patients with phenylketonuria and elevated serum phenylalanine to treatment with oral sapropterin dihydrochloride (6R-tetrahydrobiopterin): a phase II, multicentre, open-label, screening study. </w:t>
            </w:r>
          </w:p>
        </w:tc>
        <w:tc>
          <w:tcPr>
            <w:tcW w:w="1177" w:type="pct"/>
            <w:tcBorders>
              <w:top w:val="nil"/>
              <w:bottom w:val="single" w:sz="4" w:space="0" w:color="auto"/>
            </w:tcBorders>
            <w:vAlign w:val="center"/>
          </w:tcPr>
          <w:p w14:paraId="090BAFE0" w14:textId="77777777" w:rsidR="00E60FDA" w:rsidRPr="00501526" w:rsidRDefault="00E60FDA" w:rsidP="00C235C5">
            <w:pPr>
              <w:pStyle w:val="TableText0"/>
              <w:rPr>
                <w:iCs/>
                <w:szCs w:val="18"/>
              </w:rPr>
            </w:pPr>
            <w:r w:rsidRPr="00501526">
              <w:rPr>
                <w:iCs/>
                <w:szCs w:val="18"/>
              </w:rPr>
              <w:t>Journal of Inherited Metabolic Disease 2007; 30:700–707</w:t>
            </w:r>
          </w:p>
        </w:tc>
      </w:tr>
      <w:tr w:rsidR="00E60FDA" w:rsidRPr="00501526" w14:paraId="1EB083B6" w14:textId="77777777" w:rsidTr="00CA5DF9">
        <w:tc>
          <w:tcPr>
            <w:tcW w:w="796" w:type="pct"/>
            <w:vMerge w:val="restart"/>
            <w:tcBorders>
              <w:top w:val="nil"/>
            </w:tcBorders>
            <w:vAlign w:val="center"/>
          </w:tcPr>
          <w:p w14:paraId="2730F850" w14:textId="77777777" w:rsidR="00E60FDA" w:rsidRPr="00501526" w:rsidRDefault="00E60FDA" w:rsidP="00C235C5">
            <w:pPr>
              <w:pStyle w:val="TableText0"/>
              <w:rPr>
                <w:iCs/>
              </w:rPr>
            </w:pPr>
            <w:r w:rsidRPr="00501526">
              <w:rPr>
                <w:iCs/>
              </w:rPr>
              <w:t>PKU-003</w:t>
            </w:r>
          </w:p>
        </w:tc>
        <w:tc>
          <w:tcPr>
            <w:tcW w:w="3027" w:type="pct"/>
            <w:tcBorders>
              <w:top w:val="nil"/>
              <w:bottom w:val="nil"/>
            </w:tcBorders>
            <w:vAlign w:val="center"/>
          </w:tcPr>
          <w:p w14:paraId="1CB2E65D" w14:textId="77777777" w:rsidR="00E60FDA" w:rsidRPr="00501526" w:rsidRDefault="00E60FDA" w:rsidP="00C235C5">
            <w:pPr>
              <w:pStyle w:val="TableText0"/>
              <w:rPr>
                <w:iCs/>
                <w:szCs w:val="18"/>
              </w:rPr>
            </w:pPr>
            <w:r w:rsidRPr="00501526">
              <w:rPr>
                <w:iCs/>
                <w:szCs w:val="18"/>
              </w:rPr>
              <w:t>A Phase 3, Randomized, Double-Blind, Placebo-Controlled Study to Evaluate the Safety and Efficacy of Phenoptin™ (sapropterin dihydrochloride) in Subjects with Phenylketonuria Who Have Elevated Phenylalanine Levels</w:t>
            </w:r>
          </w:p>
        </w:tc>
        <w:tc>
          <w:tcPr>
            <w:tcW w:w="1177" w:type="pct"/>
            <w:tcBorders>
              <w:top w:val="nil"/>
              <w:bottom w:val="nil"/>
            </w:tcBorders>
            <w:vAlign w:val="center"/>
          </w:tcPr>
          <w:p w14:paraId="163C3456" w14:textId="77777777" w:rsidR="00E60FDA" w:rsidRPr="00501526" w:rsidRDefault="00E60FDA" w:rsidP="00C235C5">
            <w:pPr>
              <w:pStyle w:val="TableText0"/>
              <w:rPr>
                <w:iCs/>
                <w:szCs w:val="18"/>
              </w:rPr>
            </w:pPr>
            <w:r w:rsidRPr="00501526">
              <w:rPr>
                <w:iCs/>
                <w:szCs w:val="18"/>
              </w:rPr>
              <w:t>December 2006</w:t>
            </w:r>
          </w:p>
        </w:tc>
      </w:tr>
      <w:tr w:rsidR="00E60FDA" w:rsidRPr="00501526" w14:paraId="3E305B11" w14:textId="77777777" w:rsidTr="00CA5DF9">
        <w:tc>
          <w:tcPr>
            <w:tcW w:w="796" w:type="pct"/>
            <w:vMerge/>
            <w:tcBorders>
              <w:bottom w:val="nil"/>
            </w:tcBorders>
            <w:vAlign w:val="center"/>
          </w:tcPr>
          <w:p w14:paraId="74B9A6FE" w14:textId="77777777" w:rsidR="00E60FDA" w:rsidRPr="00501526" w:rsidRDefault="00E60FDA" w:rsidP="00C235C5">
            <w:pPr>
              <w:pStyle w:val="TableText0"/>
              <w:rPr>
                <w:iCs/>
              </w:rPr>
            </w:pPr>
          </w:p>
        </w:tc>
        <w:tc>
          <w:tcPr>
            <w:tcW w:w="3027" w:type="pct"/>
            <w:tcBorders>
              <w:top w:val="nil"/>
              <w:bottom w:val="nil"/>
            </w:tcBorders>
            <w:vAlign w:val="center"/>
          </w:tcPr>
          <w:p w14:paraId="1148623A" w14:textId="77777777" w:rsidR="00E60FDA" w:rsidRPr="00501526" w:rsidRDefault="00E60FDA" w:rsidP="00C235C5">
            <w:pPr>
              <w:pStyle w:val="TableText0"/>
              <w:rPr>
                <w:iCs/>
                <w:szCs w:val="18"/>
              </w:rPr>
            </w:pPr>
            <w:r w:rsidRPr="00501526">
              <w:rPr>
                <w:iCs/>
                <w:szCs w:val="18"/>
              </w:rPr>
              <w:t xml:space="preserve">Levy et al. Efficacy of sapropterin dihydrochloride (tetrahydrobiopterin, 6R-BH4) for reduction of phenylalanine concentration in patients with phenylketonuria: a phase III randomised placebo-controlled study. </w:t>
            </w:r>
          </w:p>
        </w:tc>
        <w:tc>
          <w:tcPr>
            <w:tcW w:w="1177" w:type="pct"/>
            <w:tcBorders>
              <w:top w:val="nil"/>
              <w:bottom w:val="nil"/>
            </w:tcBorders>
            <w:vAlign w:val="center"/>
          </w:tcPr>
          <w:p w14:paraId="20ECF99A" w14:textId="77777777" w:rsidR="00E60FDA" w:rsidRPr="00501526" w:rsidRDefault="00E60FDA" w:rsidP="00C235C5">
            <w:pPr>
              <w:pStyle w:val="TableText0"/>
              <w:rPr>
                <w:iCs/>
                <w:szCs w:val="18"/>
              </w:rPr>
            </w:pPr>
            <w:r w:rsidRPr="00501526">
              <w:rPr>
                <w:iCs/>
                <w:szCs w:val="18"/>
              </w:rPr>
              <w:t>Lancet 2007; 370: 504-510</w:t>
            </w:r>
          </w:p>
        </w:tc>
      </w:tr>
      <w:tr w:rsidR="00E60FDA" w:rsidRPr="00501526" w14:paraId="487D2CCA" w14:textId="77777777" w:rsidTr="00C864F2">
        <w:tc>
          <w:tcPr>
            <w:tcW w:w="796" w:type="pct"/>
            <w:vMerge w:val="restart"/>
            <w:vAlign w:val="center"/>
          </w:tcPr>
          <w:p w14:paraId="60227803" w14:textId="77777777" w:rsidR="00E60FDA" w:rsidRPr="00501526" w:rsidRDefault="00E60FDA" w:rsidP="00C235C5">
            <w:pPr>
              <w:pStyle w:val="TableText0"/>
              <w:rPr>
                <w:iCs/>
              </w:rPr>
            </w:pPr>
            <w:r w:rsidRPr="00501526">
              <w:rPr>
                <w:iCs/>
              </w:rPr>
              <w:t>PKU-004</w:t>
            </w:r>
          </w:p>
        </w:tc>
        <w:tc>
          <w:tcPr>
            <w:tcW w:w="3027" w:type="pct"/>
            <w:tcBorders>
              <w:bottom w:val="nil"/>
            </w:tcBorders>
            <w:vAlign w:val="center"/>
          </w:tcPr>
          <w:p w14:paraId="2562E6F4" w14:textId="77777777" w:rsidR="00E60FDA" w:rsidRPr="00501526" w:rsidRDefault="00E60FDA" w:rsidP="00C235C5">
            <w:pPr>
              <w:pStyle w:val="TableText0"/>
              <w:rPr>
                <w:iCs/>
              </w:rPr>
            </w:pPr>
            <w:r w:rsidRPr="00501526">
              <w:rPr>
                <w:iCs/>
              </w:rPr>
              <w:t>A Phase 3, Multicenter, Open-Label Extension Study of Phenoptin™ (sapropterin dihydrochloride) in Subjects with Phenylketonuria Who Have Elevated Phenylalanine Levels</w:t>
            </w:r>
          </w:p>
        </w:tc>
        <w:tc>
          <w:tcPr>
            <w:tcW w:w="1177" w:type="pct"/>
            <w:tcBorders>
              <w:bottom w:val="nil"/>
            </w:tcBorders>
            <w:vAlign w:val="center"/>
          </w:tcPr>
          <w:p w14:paraId="5E42ECA4" w14:textId="77777777" w:rsidR="00E60FDA" w:rsidRPr="00501526" w:rsidRDefault="00E60FDA" w:rsidP="00C235C5">
            <w:pPr>
              <w:pStyle w:val="TableText0"/>
              <w:rPr>
                <w:iCs/>
              </w:rPr>
            </w:pPr>
            <w:r w:rsidRPr="00501526">
              <w:rPr>
                <w:iCs/>
              </w:rPr>
              <w:t>March 2007</w:t>
            </w:r>
          </w:p>
        </w:tc>
      </w:tr>
      <w:tr w:rsidR="00E60FDA" w:rsidRPr="00501526" w14:paraId="3F5307A9" w14:textId="77777777" w:rsidTr="00C864F2">
        <w:tc>
          <w:tcPr>
            <w:tcW w:w="796" w:type="pct"/>
            <w:vMerge/>
            <w:tcBorders>
              <w:bottom w:val="nil"/>
            </w:tcBorders>
            <w:vAlign w:val="center"/>
          </w:tcPr>
          <w:p w14:paraId="052C19BA" w14:textId="77777777" w:rsidR="00E60FDA" w:rsidRPr="00501526" w:rsidRDefault="00E60FDA" w:rsidP="00C235C5">
            <w:pPr>
              <w:pStyle w:val="TableText0"/>
              <w:rPr>
                <w:iCs/>
              </w:rPr>
            </w:pPr>
          </w:p>
        </w:tc>
        <w:tc>
          <w:tcPr>
            <w:tcW w:w="3027" w:type="pct"/>
            <w:tcBorders>
              <w:top w:val="nil"/>
              <w:bottom w:val="nil"/>
            </w:tcBorders>
            <w:vAlign w:val="center"/>
          </w:tcPr>
          <w:p w14:paraId="07E3ADF8" w14:textId="77777777" w:rsidR="00E60FDA" w:rsidRPr="00501526" w:rsidRDefault="00E60FDA" w:rsidP="00C235C5">
            <w:pPr>
              <w:pStyle w:val="TableText0"/>
              <w:rPr>
                <w:iCs/>
                <w:szCs w:val="18"/>
              </w:rPr>
            </w:pPr>
            <w:r w:rsidRPr="00501526">
              <w:rPr>
                <w:iCs/>
                <w:szCs w:val="18"/>
              </w:rPr>
              <w:t>Lee et al.  Safety and Efficacy of 22 Weeks of Treatment With Sapropterin Dihydrochloride in Patients With Phenylketonuria.</w:t>
            </w:r>
          </w:p>
        </w:tc>
        <w:tc>
          <w:tcPr>
            <w:tcW w:w="1177" w:type="pct"/>
            <w:tcBorders>
              <w:top w:val="nil"/>
              <w:bottom w:val="nil"/>
            </w:tcBorders>
            <w:vAlign w:val="center"/>
          </w:tcPr>
          <w:p w14:paraId="4495BBD1" w14:textId="77777777" w:rsidR="00E60FDA" w:rsidRPr="00501526" w:rsidRDefault="00E60FDA" w:rsidP="00C235C5">
            <w:pPr>
              <w:pStyle w:val="TableText0"/>
              <w:rPr>
                <w:iCs/>
              </w:rPr>
            </w:pPr>
            <w:r w:rsidRPr="00501526">
              <w:rPr>
                <w:iCs/>
                <w:szCs w:val="18"/>
              </w:rPr>
              <w:t>American Journal of Medical Genetics 2008; Part A 146A:2851–2859</w:t>
            </w:r>
          </w:p>
        </w:tc>
      </w:tr>
      <w:tr w:rsidR="00E60FDA" w:rsidRPr="00501526" w14:paraId="43413D5C" w14:textId="77777777" w:rsidTr="00183DDF">
        <w:tc>
          <w:tcPr>
            <w:tcW w:w="796" w:type="pct"/>
            <w:vMerge w:val="restart"/>
            <w:vAlign w:val="center"/>
          </w:tcPr>
          <w:p w14:paraId="6F59A3DA" w14:textId="77777777" w:rsidR="00E60FDA" w:rsidRPr="00501526" w:rsidRDefault="00E60FDA" w:rsidP="00C235C5">
            <w:pPr>
              <w:pStyle w:val="TableText0"/>
              <w:rPr>
                <w:iCs/>
              </w:rPr>
            </w:pPr>
            <w:r w:rsidRPr="00501526">
              <w:rPr>
                <w:iCs/>
              </w:rPr>
              <w:t>PKU-008</w:t>
            </w:r>
          </w:p>
        </w:tc>
        <w:tc>
          <w:tcPr>
            <w:tcW w:w="3027" w:type="pct"/>
            <w:tcBorders>
              <w:bottom w:val="nil"/>
            </w:tcBorders>
            <w:vAlign w:val="center"/>
          </w:tcPr>
          <w:p w14:paraId="5CEFCAA5" w14:textId="77777777" w:rsidR="00E60FDA" w:rsidRPr="00501526" w:rsidRDefault="00E60FDA" w:rsidP="00C235C5">
            <w:pPr>
              <w:pStyle w:val="TableText0"/>
              <w:rPr>
                <w:iCs/>
              </w:rPr>
            </w:pPr>
            <w:r w:rsidRPr="00501526">
              <w:rPr>
                <w:iCs/>
                <w:szCs w:val="18"/>
              </w:rPr>
              <w:t xml:space="preserve">A Phase 3b, Multicenter, Open–Label Extension Study of Phenoptin™ (sapropterin dihydrochloride) in Subjects with Phenylketonuria Who Participated in Studies PKU-004 or PKU-006; </w:t>
            </w:r>
          </w:p>
        </w:tc>
        <w:tc>
          <w:tcPr>
            <w:tcW w:w="1177" w:type="pct"/>
            <w:tcBorders>
              <w:bottom w:val="nil"/>
            </w:tcBorders>
            <w:vAlign w:val="center"/>
          </w:tcPr>
          <w:p w14:paraId="763DFDDF" w14:textId="77777777" w:rsidR="00E60FDA" w:rsidRPr="00501526" w:rsidRDefault="00E60FDA" w:rsidP="00C235C5">
            <w:pPr>
              <w:pStyle w:val="TableText0"/>
              <w:rPr>
                <w:iCs/>
              </w:rPr>
            </w:pPr>
            <w:r w:rsidRPr="00501526">
              <w:rPr>
                <w:iCs/>
                <w:szCs w:val="18"/>
              </w:rPr>
              <w:t>April 2010</w:t>
            </w:r>
          </w:p>
        </w:tc>
      </w:tr>
      <w:tr w:rsidR="00E60FDA" w:rsidRPr="00501526" w14:paraId="3CE43976" w14:textId="77777777" w:rsidTr="00183DDF">
        <w:tc>
          <w:tcPr>
            <w:tcW w:w="796" w:type="pct"/>
            <w:vMerge/>
            <w:tcBorders>
              <w:bottom w:val="single" w:sz="4" w:space="0" w:color="auto"/>
            </w:tcBorders>
            <w:vAlign w:val="center"/>
          </w:tcPr>
          <w:p w14:paraId="38DBDB3F" w14:textId="77777777" w:rsidR="00E60FDA" w:rsidRPr="00501526" w:rsidRDefault="00E60FDA" w:rsidP="00C235C5">
            <w:pPr>
              <w:pStyle w:val="TableText0"/>
              <w:rPr>
                <w:iCs/>
              </w:rPr>
            </w:pPr>
          </w:p>
        </w:tc>
        <w:tc>
          <w:tcPr>
            <w:tcW w:w="3027" w:type="pct"/>
            <w:tcBorders>
              <w:top w:val="nil"/>
              <w:bottom w:val="single" w:sz="4" w:space="0" w:color="auto"/>
            </w:tcBorders>
            <w:vAlign w:val="center"/>
          </w:tcPr>
          <w:p w14:paraId="6576DE25" w14:textId="77777777" w:rsidR="00E60FDA" w:rsidRPr="00501526" w:rsidRDefault="00E60FDA" w:rsidP="00C235C5">
            <w:pPr>
              <w:pStyle w:val="TableText0"/>
              <w:rPr>
                <w:iCs/>
                <w:szCs w:val="18"/>
              </w:rPr>
            </w:pPr>
            <w:r w:rsidRPr="00501526">
              <w:rPr>
                <w:iCs/>
                <w:szCs w:val="18"/>
              </w:rPr>
              <w:t xml:space="preserve">Burton et al.  Safety of extended treatment with sapropterin dihydrochloride in patients with phenylketonuria: Results of a phase 3b study. </w:t>
            </w:r>
          </w:p>
        </w:tc>
        <w:tc>
          <w:tcPr>
            <w:tcW w:w="1177" w:type="pct"/>
            <w:tcBorders>
              <w:top w:val="nil"/>
              <w:bottom w:val="single" w:sz="4" w:space="0" w:color="auto"/>
            </w:tcBorders>
            <w:vAlign w:val="center"/>
          </w:tcPr>
          <w:p w14:paraId="1C351E9D" w14:textId="77777777" w:rsidR="00E60FDA" w:rsidRPr="00501526" w:rsidRDefault="00E60FDA" w:rsidP="00C235C5">
            <w:pPr>
              <w:pStyle w:val="TableText0"/>
              <w:rPr>
                <w:iCs/>
              </w:rPr>
            </w:pPr>
            <w:r w:rsidRPr="00501526">
              <w:rPr>
                <w:iCs/>
                <w:szCs w:val="18"/>
              </w:rPr>
              <w:t>Molecular Genetics and Metabolism 2011; 103: 315–322</w:t>
            </w:r>
          </w:p>
        </w:tc>
      </w:tr>
      <w:tr w:rsidR="00543C62" w:rsidRPr="00501526" w14:paraId="53478852" w14:textId="77777777" w:rsidTr="00C235C5">
        <w:tc>
          <w:tcPr>
            <w:tcW w:w="5000" w:type="pct"/>
            <w:gridSpan w:val="3"/>
            <w:tcBorders>
              <w:top w:val="single" w:sz="4" w:space="0" w:color="auto"/>
              <w:bottom w:val="single" w:sz="4" w:space="0" w:color="auto"/>
            </w:tcBorders>
            <w:vAlign w:val="center"/>
          </w:tcPr>
          <w:p w14:paraId="1A7D4833" w14:textId="77777777" w:rsidR="00543C62" w:rsidRPr="00501526" w:rsidRDefault="00543C62" w:rsidP="00C235C5">
            <w:pPr>
              <w:pStyle w:val="TableText0"/>
              <w:rPr>
                <w:iCs/>
                <w:szCs w:val="18"/>
              </w:rPr>
            </w:pPr>
            <w:r w:rsidRPr="00501526">
              <w:rPr>
                <w:iCs/>
                <w:szCs w:val="18"/>
              </w:rPr>
              <w:t>Supplemental studies</w:t>
            </w:r>
          </w:p>
        </w:tc>
      </w:tr>
      <w:tr w:rsidR="00E60FDA" w:rsidRPr="00501526" w14:paraId="5A919879" w14:textId="77777777" w:rsidTr="00C432D6">
        <w:tc>
          <w:tcPr>
            <w:tcW w:w="796" w:type="pct"/>
            <w:vMerge w:val="restart"/>
            <w:tcBorders>
              <w:top w:val="single" w:sz="4" w:space="0" w:color="auto"/>
            </w:tcBorders>
            <w:vAlign w:val="center"/>
          </w:tcPr>
          <w:p w14:paraId="7A4589AD" w14:textId="77777777" w:rsidR="00E60FDA" w:rsidRPr="00501526" w:rsidRDefault="00E60FDA" w:rsidP="00C235C5">
            <w:pPr>
              <w:pStyle w:val="TableText0"/>
              <w:rPr>
                <w:iCs/>
              </w:rPr>
            </w:pPr>
            <w:r w:rsidRPr="00501526">
              <w:rPr>
                <w:iCs/>
              </w:rPr>
              <w:t>PKUDOS</w:t>
            </w:r>
          </w:p>
        </w:tc>
        <w:tc>
          <w:tcPr>
            <w:tcW w:w="3027" w:type="pct"/>
            <w:tcBorders>
              <w:top w:val="single" w:sz="4" w:space="0" w:color="auto"/>
              <w:bottom w:val="nil"/>
            </w:tcBorders>
            <w:vAlign w:val="center"/>
          </w:tcPr>
          <w:p w14:paraId="58BFB485" w14:textId="77777777" w:rsidR="00E60FDA" w:rsidRPr="00501526" w:rsidRDefault="00E60FDA" w:rsidP="00C235C5">
            <w:pPr>
              <w:pStyle w:val="TableText0"/>
              <w:rPr>
                <w:iCs/>
                <w:szCs w:val="18"/>
              </w:rPr>
            </w:pPr>
            <w:r w:rsidRPr="00501526">
              <w:rPr>
                <w:iCs/>
                <w:szCs w:val="18"/>
              </w:rPr>
              <w:t xml:space="preserve">Longo et al., Long-term safety and efficacy of sapropterin: The PKUDOS registry experience. </w:t>
            </w:r>
          </w:p>
        </w:tc>
        <w:tc>
          <w:tcPr>
            <w:tcW w:w="1177" w:type="pct"/>
            <w:tcBorders>
              <w:top w:val="single" w:sz="4" w:space="0" w:color="auto"/>
              <w:bottom w:val="nil"/>
            </w:tcBorders>
            <w:vAlign w:val="center"/>
          </w:tcPr>
          <w:p w14:paraId="4D7D4A20" w14:textId="77777777" w:rsidR="00E60FDA" w:rsidRPr="00501526" w:rsidRDefault="00E60FDA" w:rsidP="00C235C5">
            <w:pPr>
              <w:pStyle w:val="TableText0"/>
              <w:rPr>
                <w:iCs/>
                <w:szCs w:val="18"/>
              </w:rPr>
            </w:pPr>
            <w:r w:rsidRPr="00501526">
              <w:rPr>
                <w:iCs/>
                <w:szCs w:val="18"/>
              </w:rPr>
              <w:t>Mol Gen Metab 2015; 557-563</w:t>
            </w:r>
          </w:p>
        </w:tc>
      </w:tr>
      <w:tr w:rsidR="00E60FDA" w:rsidRPr="00501526" w14:paraId="51A3C09D" w14:textId="77777777" w:rsidTr="00C432D6">
        <w:tc>
          <w:tcPr>
            <w:tcW w:w="796" w:type="pct"/>
            <w:vMerge/>
            <w:tcBorders>
              <w:bottom w:val="single" w:sz="4" w:space="0" w:color="auto"/>
            </w:tcBorders>
            <w:vAlign w:val="center"/>
          </w:tcPr>
          <w:p w14:paraId="1E93348C" w14:textId="77777777" w:rsidR="00E60FDA" w:rsidRPr="00501526" w:rsidRDefault="00E60FDA" w:rsidP="00C235C5">
            <w:pPr>
              <w:pStyle w:val="TableText0"/>
              <w:rPr>
                <w:iCs/>
              </w:rPr>
            </w:pPr>
          </w:p>
        </w:tc>
        <w:tc>
          <w:tcPr>
            <w:tcW w:w="3027" w:type="pct"/>
            <w:tcBorders>
              <w:top w:val="nil"/>
              <w:bottom w:val="single" w:sz="4" w:space="0" w:color="auto"/>
            </w:tcBorders>
            <w:vAlign w:val="center"/>
          </w:tcPr>
          <w:p w14:paraId="1053A97E" w14:textId="77777777" w:rsidR="00E60FDA" w:rsidRPr="00501526" w:rsidRDefault="00E60FDA" w:rsidP="00C235C5">
            <w:pPr>
              <w:pStyle w:val="TableText0"/>
              <w:rPr>
                <w:iCs/>
                <w:szCs w:val="18"/>
              </w:rPr>
            </w:pPr>
            <w:r w:rsidRPr="00501526">
              <w:rPr>
                <w:iCs/>
                <w:szCs w:val="18"/>
              </w:rPr>
              <w:t xml:space="preserve">Lilienstein et al. Interim analysis of the Phenylketonuria (PKU) patients enrolled in the PKUDOS registry. </w:t>
            </w:r>
          </w:p>
        </w:tc>
        <w:tc>
          <w:tcPr>
            <w:tcW w:w="1177" w:type="pct"/>
            <w:tcBorders>
              <w:top w:val="nil"/>
              <w:bottom w:val="single" w:sz="4" w:space="0" w:color="auto"/>
            </w:tcBorders>
            <w:vAlign w:val="center"/>
          </w:tcPr>
          <w:p w14:paraId="7499F6F3" w14:textId="77777777" w:rsidR="00E60FDA" w:rsidRPr="00501526" w:rsidRDefault="00E60FDA" w:rsidP="00C235C5">
            <w:pPr>
              <w:pStyle w:val="TableText0"/>
              <w:rPr>
                <w:iCs/>
                <w:szCs w:val="18"/>
              </w:rPr>
            </w:pPr>
            <w:r w:rsidRPr="00501526">
              <w:rPr>
                <w:iCs/>
                <w:szCs w:val="18"/>
              </w:rPr>
              <w:t>Presented at the National PKU Alliance Conference, July 5-8</w:t>
            </w:r>
            <w:proofErr w:type="gramStart"/>
            <w:r w:rsidRPr="00501526">
              <w:rPr>
                <w:iCs/>
                <w:szCs w:val="18"/>
              </w:rPr>
              <w:t xml:space="preserve"> 2018</w:t>
            </w:r>
            <w:proofErr w:type="gramEnd"/>
            <w:r w:rsidRPr="00501526">
              <w:rPr>
                <w:iCs/>
                <w:szCs w:val="18"/>
              </w:rPr>
              <w:t>, Atlanta, GA, US [poster]</w:t>
            </w:r>
          </w:p>
        </w:tc>
      </w:tr>
    </w:tbl>
    <w:p w14:paraId="223F0E49" w14:textId="77777777" w:rsidR="00543C62" w:rsidRPr="00501526" w:rsidRDefault="00543C62" w:rsidP="00543C62">
      <w:pPr>
        <w:pStyle w:val="TableFigureFooter"/>
        <w:rPr>
          <w:iCs/>
          <w:sz w:val="20"/>
        </w:rPr>
      </w:pPr>
      <w:r w:rsidRPr="00501526">
        <w:rPr>
          <w:iCs/>
        </w:rPr>
        <w:t>Source: Table 2.8.10, p175 of the submission.</w:t>
      </w:r>
    </w:p>
    <w:p w14:paraId="64149AE3" w14:textId="17FE696B" w:rsidR="00312867" w:rsidRPr="00501526" w:rsidRDefault="009A46EE" w:rsidP="00C306F2">
      <w:pPr>
        <w:pStyle w:val="3-BodyText"/>
        <w:rPr>
          <w:iCs/>
        </w:rPr>
      </w:pPr>
      <w:r w:rsidRPr="00501526">
        <w:rPr>
          <w:iCs/>
        </w:rPr>
        <w:t xml:space="preserve">Key features of included key evidence is presented in </w:t>
      </w:r>
      <w:r w:rsidRPr="00501526">
        <w:rPr>
          <w:iCs/>
        </w:rPr>
        <w:fldChar w:fldCharType="begin"/>
      </w:r>
      <w:r w:rsidRPr="00501526">
        <w:rPr>
          <w:iCs/>
        </w:rPr>
        <w:instrText xml:space="preserve"> REF _Ref103261728 \h  \* MERGEFORMAT </w:instrText>
      </w:r>
      <w:r w:rsidRPr="00501526">
        <w:rPr>
          <w:iCs/>
        </w:rPr>
      </w:r>
      <w:r w:rsidRPr="00501526">
        <w:rPr>
          <w:iCs/>
        </w:rPr>
        <w:fldChar w:fldCharType="separate"/>
      </w:r>
      <w:r w:rsidR="0035299E" w:rsidRPr="0035299E">
        <w:t>Table 5</w:t>
      </w:r>
      <w:r w:rsidRPr="00501526">
        <w:rPr>
          <w:iCs/>
        </w:rPr>
        <w:fldChar w:fldCharType="end"/>
      </w:r>
      <w:r w:rsidRPr="00501526">
        <w:rPr>
          <w:iCs/>
        </w:rPr>
        <w:t>.</w:t>
      </w:r>
    </w:p>
    <w:p w14:paraId="6DAF88F0" w14:textId="0EBB22DF" w:rsidR="00312867" w:rsidRPr="00501526" w:rsidRDefault="00312867" w:rsidP="00E8222B">
      <w:pPr>
        <w:pStyle w:val="TableFigureHeading"/>
        <w:keepLines/>
        <w:rPr>
          <w:rStyle w:val="CommentReference"/>
          <w:b/>
          <w:iCs/>
          <w:szCs w:val="24"/>
        </w:rPr>
      </w:pPr>
      <w:bookmarkStart w:id="26" w:name="_Ref103261728"/>
      <w:r w:rsidRPr="00501526">
        <w:rPr>
          <w:rStyle w:val="CommentReference"/>
          <w:b/>
          <w:iCs/>
          <w:szCs w:val="24"/>
        </w:rPr>
        <w:lastRenderedPageBreak/>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5</w:t>
      </w:r>
      <w:r w:rsidRPr="00501526">
        <w:rPr>
          <w:rStyle w:val="CommentReference"/>
          <w:b/>
          <w:iCs/>
          <w:szCs w:val="24"/>
        </w:rPr>
        <w:fldChar w:fldCharType="end"/>
      </w:r>
      <w:bookmarkEnd w:id="26"/>
      <w:r w:rsidRPr="00501526">
        <w:rPr>
          <w:rStyle w:val="CommentReference"/>
          <w:b/>
          <w:iCs/>
          <w:szCs w:val="24"/>
        </w:rPr>
        <w:t>: Key features of the key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9"/>
        <w:gridCol w:w="421"/>
        <w:gridCol w:w="771"/>
        <w:gridCol w:w="597"/>
        <w:gridCol w:w="2762"/>
        <w:gridCol w:w="2849"/>
        <w:gridCol w:w="868"/>
      </w:tblGrid>
      <w:tr w:rsidR="0085315F" w:rsidRPr="00501526" w14:paraId="5F08A700" w14:textId="77777777" w:rsidTr="009A46EE">
        <w:trPr>
          <w:cantSplit/>
          <w:tblHeader/>
        </w:trPr>
        <w:tc>
          <w:tcPr>
            <w:tcW w:w="415" w:type="pct"/>
            <w:shd w:val="clear" w:color="auto" w:fill="auto"/>
            <w:vAlign w:val="center"/>
          </w:tcPr>
          <w:p w14:paraId="022540C0" w14:textId="77777777" w:rsidR="00312867" w:rsidRPr="00501526" w:rsidRDefault="00312867" w:rsidP="00E8222B">
            <w:pPr>
              <w:pStyle w:val="In-tableHeading"/>
              <w:keepLines/>
              <w:rPr>
                <w:iCs/>
                <w:lang w:val="en-AU"/>
              </w:rPr>
            </w:pPr>
            <w:r w:rsidRPr="00501526">
              <w:rPr>
                <w:iCs/>
                <w:lang w:val="en-AU"/>
              </w:rPr>
              <w:t>Trial</w:t>
            </w:r>
          </w:p>
        </w:tc>
        <w:tc>
          <w:tcPr>
            <w:tcW w:w="233" w:type="pct"/>
            <w:shd w:val="clear" w:color="auto" w:fill="auto"/>
            <w:vAlign w:val="center"/>
          </w:tcPr>
          <w:p w14:paraId="6A31A60B" w14:textId="77777777" w:rsidR="00312867" w:rsidRPr="00501526" w:rsidRDefault="00312867" w:rsidP="00E8222B">
            <w:pPr>
              <w:pStyle w:val="In-tableHeading"/>
              <w:keepLines/>
              <w:jc w:val="center"/>
              <w:rPr>
                <w:iCs/>
                <w:lang w:val="en-AU"/>
              </w:rPr>
            </w:pPr>
            <w:r w:rsidRPr="00501526">
              <w:rPr>
                <w:iCs/>
                <w:lang w:val="en-AU"/>
              </w:rPr>
              <w:t>N</w:t>
            </w:r>
          </w:p>
        </w:tc>
        <w:tc>
          <w:tcPr>
            <w:tcW w:w="445" w:type="pct"/>
            <w:shd w:val="clear" w:color="auto" w:fill="auto"/>
            <w:vAlign w:val="center"/>
          </w:tcPr>
          <w:p w14:paraId="0DBBD8DB" w14:textId="77777777" w:rsidR="00312867" w:rsidRPr="00501526" w:rsidRDefault="00312867" w:rsidP="00E8222B">
            <w:pPr>
              <w:pStyle w:val="In-tableHeading"/>
              <w:keepLines/>
              <w:jc w:val="center"/>
              <w:rPr>
                <w:iCs/>
                <w:lang w:val="en-AU"/>
              </w:rPr>
            </w:pPr>
            <w:r w:rsidRPr="00501526">
              <w:rPr>
                <w:iCs/>
                <w:lang w:val="en-AU"/>
              </w:rPr>
              <w:t>Design/ duration</w:t>
            </w:r>
          </w:p>
        </w:tc>
        <w:tc>
          <w:tcPr>
            <w:tcW w:w="349" w:type="pct"/>
            <w:shd w:val="clear" w:color="auto" w:fill="auto"/>
            <w:vAlign w:val="center"/>
          </w:tcPr>
          <w:p w14:paraId="7A7B0067" w14:textId="77777777" w:rsidR="00312867" w:rsidRPr="00501526" w:rsidRDefault="00312867" w:rsidP="00E8222B">
            <w:pPr>
              <w:pStyle w:val="In-tableHeading"/>
              <w:keepLines/>
              <w:jc w:val="center"/>
              <w:rPr>
                <w:iCs/>
                <w:lang w:val="en-AU"/>
              </w:rPr>
            </w:pPr>
            <w:r w:rsidRPr="00501526">
              <w:rPr>
                <w:iCs/>
                <w:lang w:val="en-AU"/>
              </w:rPr>
              <w:t>Risk of bias</w:t>
            </w:r>
          </w:p>
        </w:tc>
        <w:tc>
          <w:tcPr>
            <w:tcW w:w="1549" w:type="pct"/>
            <w:shd w:val="clear" w:color="auto" w:fill="auto"/>
            <w:vAlign w:val="center"/>
          </w:tcPr>
          <w:p w14:paraId="5BCB6E1F" w14:textId="77777777" w:rsidR="00312867" w:rsidRPr="00501526" w:rsidRDefault="00312867" w:rsidP="00E8222B">
            <w:pPr>
              <w:pStyle w:val="In-tableHeading"/>
              <w:keepLines/>
              <w:jc w:val="center"/>
              <w:rPr>
                <w:iCs/>
                <w:lang w:val="en-AU"/>
              </w:rPr>
            </w:pPr>
            <w:r w:rsidRPr="00501526">
              <w:rPr>
                <w:iCs/>
                <w:lang w:val="en-AU"/>
              </w:rPr>
              <w:t>Patient population</w:t>
            </w:r>
          </w:p>
        </w:tc>
        <w:tc>
          <w:tcPr>
            <w:tcW w:w="1597" w:type="pct"/>
            <w:shd w:val="clear" w:color="auto" w:fill="auto"/>
            <w:vAlign w:val="center"/>
          </w:tcPr>
          <w:p w14:paraId="264C7B19" w14:textId="77777777" w:rsidR="00312867" w:rsidRPr="00501526" w:rsidRDefault="00312867" w:rsidP="00E8222B">
            <w:pPr>
              <w:pStyle w:val="In-tableHeading"/>
              <w:keepLines/>
              <w:jc w:val="center"/>
              <w:rPr>
                <w:iCs/>
                <w:lang w:val="en-AU"/>
              </w:rPr>
            </w:pPr>
            <w:r w:rsidRPr="00501526">
              <w:rPr>
                <w:iCs/>
                <w:lang w:val="en-AU"/>
              </w:rPr>
              <w:t>Outcomes</w:t>
            </w:r>
          </w:p>
        </w:tc>
        <w:tc>
          <w:tcPr>
            <w:tcW w:w="411" w:type="pct"/>
            <w:shd w:val="clear" w:color="auto" w:fill="auto"/>
            <w:vAlign w:val="center"/>
          </w:tcPr>
          <w:p w14:paraId="5F1B2DC5" w14:textId="77777777" w:rsidR="00312867" w:rsidRPr="00501526" w:rsidRDefault="00312867" w:rsidP="00E8222B">
            <w:pPr>
              <w:pStyle w:val="In-tableHeading"/>
              <w:keepLines/>
              <w:jc w:val="center"/>
              <w:rPr>
                <w:iCs/>
                <w:lang w:val="en-AU"/>
              </w:rPr>
            </w:pPr>
            <w:r w:rsidRPr="00501526">
              <w:rPr>
                <w:iCs/>
                <w:lang w:val="en-AU"/>
              </w:rPr>
              <w:t>Use in modelled evaluation</w:t>
            </w:r>
          </w:p>
        </w:tc>
      </w:tr>
      <w:tr w:rsidR="0085315F" w:rsidRPr="00501526" w14:paraId="63D56CCB" w14:textId="77777777" w:rsidTr="005623A2">
        <w:trPr>
          <w:cantSplit/>
        </w:trPr>
        <w:tc>
          <w:tcPr>
            <w:tcW w:w="415" w:type="pct"/>
            <w:shd w:val="clear" w:color="auto" w:fill="C6D9F1" w:themeFill="text2" w:themeFillTint="33"/>
            <w:vAlign w:val="center"/>
          </w:tcPr>
          <w:p w14:paraId="156EE555" w14:textId="77777777" w:rsidR="00312867" w:rsidRPr="00501526" w:rsidRDefault="00312867" w:rsidP="00E8222B">
            <w:pPr>
              <w:pStyle w:val="TableText0"/>
              <w:keepLines/>
              <w:rPr>
                <w:iCs/>
              </w:rPr>
            </w:pPr>
            <w:r w:rsidRPr="00501526">
              <w:rPr>
                <w:iCs/>
              </w:rPr>
              <w:t>PKU-001</w:t>
            </w:r>
          </w:p>
        </w:tc>
        <w:tc>
          <w:tcPr>
            <w:tcW w:w="233" w:type="pct"/>
            <w:shd w:val="clear" w:color="auto" w:fill="C6D9F1" w:themeFill="text2" w:themeFillTint="33"/>
            <w:vAlign w:val="center"/>
          </w:tcPr>
          <w:p w14:paraId="5A60AC71" w14:textId="77777777" w:rsidR="00312867" w:rsidRPr="00501526" w:rsidRDefault="00312867" w:rsidP="00E8222B">
            <w:pPr>
              <w:pStyle w:val="TableText0"/>
              <w:keepLines/>
              <w:jc w:val="center"/>
              <w:rPr>
                <w:iCs/>
              </w:rPr>
            </w:pPr>
            <w:r w:rsidRPr="00501526">
              <w:rPr>
                <w:iCs/>
              </w:rPr>
              <w:t>490</w:t>
            </w:r>
          </w:p>
        </w:tc>
        <w:tc>
          <w:tcPr>
            <w:tcW w:w="445" w:type="pct"/>
            <w:shd w:val="clear" w:color="auto" w:fill="C6D9F1" w:themeFill="text2" w:themeFillTint="33"/>
            <w:vAlign w:val="center"/>
          </w:tcPr>
          <w:p w14:paraId="49C45E97" w14:textId="77777777" w:rsidR="00312867" w:rsidRPr="00501526" w:rsidRDefault="00312867" w:rsidP="00E8222B">
            <w:pPr>
              <w:pStyle w:val="TableText0"/>
              <w:keepLines/>
              <w:jc w:val="center"/>
              <w:rPr>
                <w:iCs/>
              </w:rPr>
            </w:pPr>
            <w:r w:rsidRPr="00501526">
              <w:rPr>
                <w:iCs/>
              </w:rPr>
              <w:t xml:space="preserve">OL, SAS </w:t>
            </w:r>
            <w:proofErr w:type="gramStart"/>
            <w:r w:rsidRPr="00501526">
              <w:rPr>
                <w:iCs/>
              </w:rPr>
              <w:t>8 day</w:t>
            </w:r>
            <w:proofErr w:type="gramEnd"/>
            <w:r w:rsidRPr="00501526">
              <w:rPr>
                <w:iCs/>
              </w:rPr>
              <w:t xml:space="preserve"> duration</w:t>
            </w:r>
          </w:p>
        </w:tc>
        <w:tc>
          <w:tcPr>
            <w:tcW w:w="349" w:type="pct"/>
            <w:shd w:val="clear" w:color="auto" w:fill="C6D9F1" w:themeFill="text2" w:themeFillTint="33"/>
            <w:vAlign w:val="center"/>
          </w:tcPr>
          <w:p w14:paraId="0D6DA425" w14:textId="77777777" w:rsidR="00312867" w:rsidRPr="00501526" w:rsidRDefault="00312867" w:rsidP="00E8222B">
            <w:pPr>
              <w:pStyle w:val="TableText0"/>
              <w:keepLines/>
              <w:jc w:val="center"/>
              <w:rPr>
                <w:iCs/>
              </w:rPr>
            </w:pPr>
            <w:r w:rsidRPr="00501526">
              <w:rPr>
                <w:iCs/>
              </w:rPr>
              <w:t>NA</w:t>
            </w:r>
          </w:p>
        </w:tc>
        <w:tc>
          <w:tcPr>
            <w:tcW w:w="1549" w:type="pct"/>
            <w:shd w:val="clear" w:color="auto" w:fill="C6D9F1" w:themeFill="text2" w:themeFillTint="33"/>
            <w:vAlign w:val="center"/>
          </w:tcPr>
          <w:p w14:paraId="423ED863" w14:textId="5375D9F8" w:rsidR="00312867" w:rsidRPr="00501526" w:rsidRDefault="00312867" w:rsidP="00E8222B">
            <w:pPr>
              <w:pStyle w:val="TableText0"/>
              <w:keepLines/>
              <w:rPr>
                <w:iCs/>
              </w:rPr>
            </w:pPr>
            <w:r w:rsidRPr="00501526">
              <w:rPr>
                <w:iCs/>
              </w:rPr>
              <w:t xml:space="preserve">Patients ≥ 8 years, not adhering to a strict Phe-restricted diet </w:t>
            </w:r>
          </w:p>
          <w:p w14:paraId="0000299B" w14:textId="77777777" w:rsidR="00312867" w:rsidRPr="00501526" w:rsidRDefault="00312867" w:rsidP="00E8222B">
            <w:pPr>
              <w:pStyle w:val="TableText0"/>
              <w:keepLines/>
              <w:rPr>
                <w:iCs/>
              </w:rPr>
            </w:pPr>
            <w:r w:rsidRPr="00501526">
              <w:rPr>
                <w:iCs/>
              </w:rPr>
              <w:t>blood Phe levels were defined as ≥ 600 µmol/L (original protocol) or 450 µmol/L (after Protocol Amendment)</w:t>
            </w:r>
          </w:p>
        </w:tc>
        <w:tc>
          <w:tcPr>
            <w:tcW w:w="1597" w:type="pct"/>
            <w:shd w:val="clear" w:color="auto" w:fill="C6D9F1" w:themeFill="text2" w:themeFillTint="33"/>
            <w:vAlign w:val="center"/>
          </w:tcPr>
          <w:p w14:paraId="2148D868" w14:textId="77777777" w:rsidR="00312867" w:rsidRPr="00501526" w:rsidRDefault="00312867" w:rsidP="00E8222B">
            <w:pPr>
              <w:pStyle w:val="TableText0"/>
              <w:keepLines/>
              <w:rPr>
                <w:iCs/>
              </w:rPr>
            </w:pPr>
            <w:r w:rsidRPr="00501526">
              <w:rPr>
                <w:iCs/>
              </w:rPr>
              <w:t xml:space="preserve">Response to 8 days of sapropterin 10 mg/kg/day </w:t>
            </w:r>
          </w:p>
          <w:p w14:paraId="02A2D0FF" w14:textId="77777777" w:rsidR="00312867" w:rsidRPr="00501526" w:rsidRDefault="00312867" w:rsidP="00E8222B">
            <w:pPr>
              <w:pStyle w:val="TableText0"/>
              <w:keepLines/>
              <w:rPr>
                <w:iCs/>
              </w:rPr>
            </w:pPr>
            <w:r w:rsidRPr="00501526">
              <w:rPr>
                <w:iCs/>
              </w:rPr>
              <w:t>Response defined as a ≥ 30% reduction in blood Phe level from Day 1 (pre-sapropterin) to Day 8</w:t>
            </w:r>
          </w:p>
        </w:tc>
        <w:tc>
          <w:tcPr>
            <w:tcW w:w="411" w:type="pct"/>
            <w:shd w:val="clear" w:color="auto" w:fill="C6D9F1" w:themeFill="text2" w:themeFillTint="33"/>
            <w:vAlign w:val="center"/>
          </w:tcPr>
          <w:p w14:paraId="3B388547" w14:textId="77777777" w:rsidR="00312867" w:rsidRPr="00501526" w:rsidRDefault="00312867" w:rsidP="00E8222B">
            <w:pPr>
              <w:pStyle w:val="TableText0"/>
              <w:keepLines/>
              <w:jc w:val="center"/>
              <w:rPr>
                <w:iCs/>
              </w:rPr>
            </w:pPr>
            <w:r w:rsidRPr="00501526">
              <w:rPr>
                <w:iCs/>
              </w:rPr>
              <w:t>No</w:t>
            </w:r>
          </w:p>
        </w:tc>
      </w:tr>
      <w:tr w:rsidR="0085315F" w:rsidRPr="00501526" w14:paraId="667B1BF5" w14:textId="77777777" w:rsidTr="005623A2">
        <w:trPr>
          <w:cantSplit/>
        </w:trPr>
        <w:tc>
          <w:tcPr>
            <w:tcW w:w="415" w:type="pct"/>
            <w:shd w:val="clear" w:color="auto" w:fill="C6D9F1" w:themeFill="text2" w:themeFillTint="33"/>
            <w:vAlign w:val="center"/>
          </w:tcPr>
          <w:p w14:paraId="62F28F5A" w14:textId="77777777" w:rsidR="00312867" w:rsidRPr="00501526" w:rsidRDefault="00312867" w:rsidP="00E8222B">
            <w:pPr>
              <w:pStyle w:val="TableText0"/>
              <w:keepLines/>
              <w:rPr>
                <w:iCs/>
              </w:rPr>
            </w:pPr>
            <w:r w:rsidRPr="00501526">
              <w:rPr>
                <w:iCs/>
              </w:rPr>
              <w:t>PKU-003</w:t>
            </w:r>
          </w:p>
        </w:tc>
        <w:tc>
          <w:tcPr>
            <w:tcW w:w="233" w:type="pct"/>
            <w:shd w:val="clear" w:color="auto" w:fill="C6D9F1" w:themeFill="text2" w:themeFillTint="33"/>
            <w:vAlign w:val="center"/>
          </w:tcPr>
          <w:p w14:paraId="0E726CAE" w14:textId="77777777" w:rsidR="00312867" w:rsidRPr="00501526" w:rsidRDefault="00312867" w:rsidP="00E8222B">
            <w:pPr>
              <w:pStyle w:val="TableText0"/>
              <w:keepLines/>
              <w:jc w:val="center"/>
              <w:rPr>
                <w:iCs/>
              </w:rPr>
            </w:pPr>
            <w:r w:rsidRPr="00501526">
              <w:rPr>
                <w:iCs/>
              </w:rPr>
              <w:t>88</w:t>
            </w:r>
          </w:p>
        </w:tc>
        <w:tc>
          <w:tcPr>
            <w:tcW w:w="445" w:type="pct"/>
            <w:shd w:val="clear" w:color="auto" w:fill="C6D9F1" w:themeFill="text2" w:themeFillTint="33"/>
            <w:vAlign w:val="center"/>
          </w:tcPr>
          <w:p w14:paraId="56C018CA" w14:textId="77777777" w:rsidR="00312867" w:rsidRPr="00501526" w:rsidRDefault="00312867" w:rsidP="00E8222B">
            <w:pPr>
              <w:pStyle w:val="TableText0"/>
              <w:keepLines/>
              <w:jc w:val="center"/>
              <w:rPr>
                <w:iCs/>
              </w:rPr>
            </w:pPr>
            <w:r w:rsidRPr="00501526">
              <w:rPr>
                <w:iCs/>
              </w:rPr>
              <w:t xml:space="preserve">R, </w:t>
            </w:r>
            <w:proofErr w:type="gramStart"/>
            <w:r w:rsidRPr="00501526">
              <w:rPr>
                <w:iCs/>
              </w:rPr>
              <w:t>DB,  6</w:t>
            </w:r>
            <w:proofErr w:type="gramEnd"/>
            <w:r w:rsidRPr="00501526">
              <w:rPr>
                <w:iCs/>
              </w:rPr>
              <w:t xml:space="preserve"> week duration</w:t>
            </w:r>
          </w:p>
        </w:tc>
        <w:tc>
          <w:tcPr>
            <w:tcW w:w="349" w:type="pct"/>
            <w:shd w:val="clear" w:color="auto" w:fill="C6D9F1" w:themeFill="text2" w:themeFillTint="33"/>
            <w:vAlign w:val="center"/>
          </w:tcPr>
          <w:p w14:paraId="2283E576" w14:textId="77777777" w:rsidR="00312867" w:rsidRPr="00501526" w:rsidRDefault="00312867" w:rsidP="00E8222B">
            <w:pPr>
              <w:pStyle w:val="TableText0"/>
              <w:keepLines/>
              <w:jc w:val="center"/>
              <w:rPr>
                <w:iCs/>
              </w:rPr>
            </w:pPr>
            <w:r w:rsidRPr="00501526">
              <w:rPr>
                <w:iCs/>
              </w:rPr>
              <w:t>Low</w:t>
            </w:r>
          </w:p>
        </w:tc>
        <w:tc>
          <w:tcPr>
            <w:tcW w:w="1549" w:type="pct"/>
            <w:shd w:val="clear" w:color="auto" w:fill="C6D9F1" w:themeFill="text2" w:themeFillTint="33"/>
            <w:vAlign w:val="center"/>
          </w:tcPr>
          <w:p w14:paraId="39069ECF" w14:textId="6B37DF13" w:rsidR="00312867" w:rsidRPr="00501526" w:rsidRDefault="00312867" w:rsidP="00E8222B">
            <w:pPr>
              <w:pStyle w:val="TableText0"/>
              <w:keepLines/>
              <w:rPr>
                <w:iCs/>
              </w:rPr>
            </w:pPr>
            <w:r w:rsidRPr="00501526">
              <w:rPr>
                <w:iCs/>
              </w:rPr>
              <w:t>PKU-001 patients demonstrating a response to sapropterin 10 mg/kg</w:t>
            </w:r>
          </w:p>
        </w:tc>
        <w:tc>
          <w:tcPr>
            <w:tcW w:w="1597" w:type="pct"/>
            <w:shd w:val="clear" w:color="auto" w:fill="C6D9F1" w:themeFill="text2" w:themeFillTint="33"/>
            <w:vAlign w:val="center"/>
          </w:tcPr>
          <w:p w14:paraId="4E0734DA" w14:textId="77777777" w:rsidR="00312867" w:rsidRPr="00501526" w:rsidRDefault="00312867" w:rsidP="00E8222B">
            <w:pPr>
              <w:pStyle w:val="TableText0"/>
              <w:keepLines/>
              <w:rPr>
                <w:iCs/>
              </w:rPr>
            </w:pPr>
            <w:r w:rsidRPr="00501526">
              <w:rPr>
                <w:iCs/>
              </w:rPr>
              <w:t xml:space="preserve">•Reduction in blood Phe-levels from baseline to week 6 </w:t>
            </w:r>
          </w:p>
          <w:p w14:paraId="05837E3E" w14:textId="77777777" w:rsidR="00312867" w:rsidRPr="00501526" w:rsidRDefault="00312867" w:rsidP="00E8222B">
            <w:pPr>
              <w:pStyle w:val="TableText0"/>
              <w:keepLines/>
              <w:rPr>
                <w:iCs/>
              </w:rPr>
            </w:pPr>
            <w:r w:rsidRPr="00501526">
              <w:rPr>
                <w:iCs/>
              </w:rPr>
              <w:t>•Mean change in blood Phe over 6 weeks</w:t>
            </w:r>
          </w:p>
          <w:p w14:paraId="208ECB58" w14:textId="77777777" w:rsidR="00312867" w:rsidRPr="00501526" w:rsidRDefault="00312867" w:rsidP="00E8222B">
            <w:pPr>
              <w:pStyle w:val="TableText0"/>
              <w:keepLines/>
              <w:rPr>
                <w:iCs/>
              </w:rPr>
            </w:pPr>
            <w:r w:rsidRPr="00501526">
              <w:rPr>
                <w:iCs/>
              </w:rPr>
              <w:t xml:space="preserve">•Proportion of patients with blood Phe &lt; 600 µmol/L </w:t>
            </w:r>
          </w:p>
        </w:tc>
        <w:tc>
          <w:tcPr>
            <w:tcW w:w="411" w:type="pct"/>
            <w:shd w:val="clear" w:color="auto" w:fill="C6D9F1" w:themeFill="text2" w:themeFillTint="33"/>
            <w:vAlign w:val="center"/>
          </w:tcPr>
          <w:p w14:paraId="211BB900" w14:textId="77777777" w:rsidR="00312867" w:rsidRPr="00501526" w:rsidRDefault="00312867" w:rsidP="00E8222B">
            <w:pPr>
              <w:pStyle w:val="TableText0"/>
              <w:keepLines/>
              <w:jc w:val="center"/>
              <w:rPr>
                <w:iCs/>
              </w:rPr>
            </w:pPr>
            <w:r w:rsidRPr="00501526">
              <w:rPr>
                <w:iCs/>
              </w:rPr>
              <w:t>No</w:t>
            </w:r>
          </w:p>
        </w:tc>
      </w:tr>
      <w:tr w:rsidR="0085315F" w:rsidRPr="00501526" w14:paraId="3041D14E" w14:textId="77777777" w:rsidTr="00E75A63">
        <w:trPr>
          <w:cantSplit/>
        </w:trPr>
        <w:tc>
          <w:tcPr>
            <w:tcW w:w="415" w:type="pct"/>
            <w:shd w:val="clear" w:color="auto" w:fill="auto"/>
            <w:vAlign w:val="center"/>
          </w:tcPr>
          <w:p w14:paraId="01AABCF9" w14:textId="77777777" w:rsidR="00312867" w:rsidRPr="00501526" w:rsidRDefault="00312867" w:rsidP="00E8222B">
            <w:pPr>
              <w:pStyle w:val="TableText0"/>
              <w:keepLines/>
              <w:rPr>
                <w:iCs/>
              </w:rPr>
            </w:pPr>
            <w:r w:rsidRPr="00501526">
              <w:rPr>
                <w:iCs/>
              </w:rPr>
              <w:t>PKUDOS</w:t>
            </w:r>
          </w:p>
        </w:tc>
        <w:tc>
          <w:tcPr>
            <w:tcW w:w="233" w:type="pct"/>
            <w:shd w:val="clear" w:color="auto" w:fill="auto"/>
            <w:vAlign w:val="center"/>
          </w:tcPr>
          <w:p w14:paraId="0E2044FF" w14:textId="77777777" w:rsidR="00312867" w:rsidRPr="00501526" w:rsidRDefault="00312867" w:rsidP="00E8222B">
            <w:pPr>
              <w:pStyle w:val="TableText0"/>
              <w:keepLines/>
              <w:jc w:val="center"/>
              <w:rPr>
                <w:iCs/>
              </w:rPr>
            </w:pPr>
            <w:r w:rsidRPr="00501526">
              <w:rPr>
                <w:iCs/>
              </w:rPr>
              <w:t>1189</w:t>
            </w:r>
          </w:p>
        </w:tc>
        <w:tc>
          <w:tcPr>
            <w:tcW w:w="445" w:type="pct"/>
            <w:shd w:val="clear" w:color="auto" w:fill="auto"/>
            <w:vAlign w:val="center"/>
          </w:tcPr>
          <w:p w14:paraId="0703A862" w14:textId="77777777" w:rsidR="00312867" w:rsidRPr="00501526" w:rsidRDefault="00312867" w:rsidP="00E8222B">
            <w:pPr>
              <w:pStyle w:val="TableText0"/>
              <w:keepLines/>
              <w:jc w:val="center"/>
              <w:rPr>
                <w:iCs/>
              </w:rPr>
            </w:pPr>
            <w:r w:rsidRPr="00501526">
              <w:rPr>
                <w:iCs/>
              </w:rPr>
              <w:t>Registry</w:t>
            </w:r>
          </w:p>
        </w:tc>
        <w:tc>
          <w:tcPr>
            <w:tcW w:w="349" w:type="pct"/>
            <w:shd w:val="clear" w:color="auto" w:fill="auto"/>
            <w:vAlign w:val="center"/>
          </w:tcPr>
          <w:p w14:paraId="325F757E" w14:textId="77777777" w:rsidR="00312867" w:rsidRPr="00501526" w:rsidRDefault="00312867" w:rsidP="00E8222B">
            <w:pPr>
              <w:pStyle w:val="TableText0"/>
              <w:keepLines/>
              <w:jc w:val="center"/>
              <w:rPr>
                <w:iCs/>
              </w:rPr>
            </w:pPr>
            <w:r w:rsidRPr="00501526">
              <w:rPr>
                <w:iCs/>
              </w:rPr>
              <w:t>NA</w:t>
            </w:r>
          </w:p>
        </w:tc>
        <w:tc>
          <w:tcPr>
            <w:tcW w:w="1549" w:type="pct"/>
            <w:shd w:val="clear" w:color="auto" w:fill="auto"/>
            <w:vAlign w:val="center"/>
          </w:tcPr>
          <w:p w14:paraId="132B3DF7" w14:textId="3FD42352" w:rsidR="00312867" w:rsidRPr="00501526" w:rsidRDefault="00312867" w:rsidP="00E8222B">
            <w:pPr>
              <w:pStyle w:val="TableText0"/>
              <w:keepLines/>
              <w:rPr>
                <w:iCs/>
              </w:rPr>
            </w:pPr>
            <w:r w:rsidRPr="00501526">
              <w:rPr>
                <w:iCs/>
              </w:rPr>
              <w:t>Documented blood Phe of ≥ 360 µmol/L and previous, current sapropterin use or intention to receive sapropterin within 90 days of enrolment</w:t>
            </w:r>
          </w:p>
        </w:tc>
        <w:tc>
          <w:tcPr>
            <w:tcW w:w="1597" w:type="pct"/>
            <w:shd w:val="clear" w:color="auto" w:fill="auto"/>
            <w:vAlign w:val="center"/>
          </w:tcPr>
          <w:p w14:paraId="7CF4E260" w14:textId="77777777" w:rsidR="00312867" w:rsidRPr="00501526" w:rsidRDefault="00312867" w:rsidP="00E8222B">
            <w:pPr>
              <w:pStyle w:val="TableText0"/>
              <w:keepLines/>
              <w:rPr>
                <w:iCs/>
              </w:rPr>
            </w:pPr>
            <w:r w:rsidRPr="00501526">
              <w:rPr>
                <w:iCs/>
              </w:rPr>
              <w:t>Mean relative change of Phe in responders; Mean absolute Phe Change in non-responders. Proportion of patients achieving 30% reduction in Phe after 7-28 days</w:t>
            </w:r>
          </w:p>
        </w:tc>
        <w:tc>
          <w:tcPr>
            <w:tcW w:w="411" w:type="pct"/>
            <w:shd w:val="clear" w:color="auto" w:fill="auto"/>
            <w:vAlign w:val="center"/>
          </w:tcPr>
          <w:p w14:paraId="599D7F2D" w14:textId="77777777" w:rsidR="00312867" w:rsidRPr="00501526" w:rsidRDefault="00312867" w:rsidP="00E8222B">
            <w:pPr>
              <w:pStyle w:val="TableText0"/>
              <w:keepLines/>
              <w:jc w:val="center"/>
              <w:rPr>
                <w:iCs/>
              </w:rPr>
            </w:pPr>
            <w:r w:rsidRPr="00501526">
              <w:rPr>
                <w:iCs/>
              </w:rPr>
              <w:t>Yes</w:t>
            </w:r>
            <w:r w:rsidRPr="00501526">
              <w:rPr>
                <w:iCs/>
                <w:vertAlign w:val="superscript"/>
              </w:rPr>
              <w:t>a</w:t>
            </w:r>
            <w:r w:rsidRPr="00501526">
              <w:rPr>
                <w:iCs/>
              </w:rPr>
              <w:t>.</w:t>
            </w:r>
          </w:p>
        </w:tc>
      </w:tr>
    </w:tbl>
    <w:p w14:paraId="3D75FA63" w14:textId="77777777" w:rsidR="00312867" w:rsidRPr="00501526" w:rsidRDefault="00312867" w:rsidP="00312867">
      <w:pPr>
        <w:pStyle w:val="TableFigureFooter"/>
        <w:rPr>
          <w:iCs/>
        </w:rPr>
      </w:pPr>
      <w:r w:rsidRPr="00501526">
        <w:rPr>
          <w:iCs/>
        </w:rPr>
        <w:t>Source: Table 2.8-11, p179 of the submission</w:t>
      </w:r>
    </w:p>
    <w:p w14:paraId="72137C8E" w14:textId="77777777" w:rsidR="00312867" w:rsidRPr="00501526" w:rsidRDefault="00312867" w:rsidP="00312867">
      <w:pPr>
        <w:pStyle w:val="TableFigureFooter"/>
        <w:rPr>
          <w:iCs/>
        </w:rPr>
      </w:pPr>
      <w:r w:rsidRPr="00501526">
        <w:rPr>
          <w:iCs/>
        </w:rPr>
        <w:t>DB = double blind; MC = multi-centre; OL = open label; OS = overall survival; PFS = progression-free survival; R = randomised.</w:t>
      </w:r>
    </w:p>
    <w:p w14:paraId="709E568F" w14:textId="4DFB3E6F" w:rsidR="00312867" w:rsidRPr="00501526" w:rsidRDefault="00312867" w:rsidP="00312867">
      <w:pPr>
        <w:pStyle w:val="TableFigureFooter"/>
        <w:rPr>
          <w:iCs/>
        </w:rPr>
      </w:pPr>
      <w:r w:rsidRPr="00501526">
        <w:rPr>
          <w:iCs/>
          <w:vertAlign w:val="superscript"/>
        </w:rPr>
        <w:t>a</w:t>
      </w:r>
      <w:r w:rsidRPr="00501526">
        <w:rPr>
          <w:iCs/>
        </w:rPr>
        <w:t>Post-hoc analyses of a separate unpublished May 2016 data cut in a small subset of patients</w:t>
      </w:r>
    </w:p>
    <w:p w14:paraId="71B2EC85" w14:textId="1ACE4132" w:rsidR="005623A2" w:rsidRPr="00501526" w:rsidRDefault="005623A2" w:rsidP="00312867">
      <w:pPr>
        <w:pStyle w:val="TableFigureFooter"/>
        <w:rPr>
          <w:iCs/>
        </w:rPr>
      </w:pPr>
      <w:r w:rsidRPr="00501526">
        <w:rPr>
          <w:iCs/>
        </w:rPr>
        <w:t>Blue shading indicate evidence previously considered by PBAC</w:t>
      </w:r>
      <w:r w:rsidR="001D65AF" w:rsidRPr="00501526">
        <w:rPr>
          <w:iCs/>
        </w:rPr>
        <w:t>; Note that the PBAC has previously seen data from the PKUDOS registry though the resubmission presented two new data-</w:t>
      </w:r>
      <w:r w:rsidR="00070905" w:rsidRPr="00501526">
        <w:rPr>
          <w:iCs/>
        </w:rPr>
        <w:t>cuts.</w:t>
      </w:r>
    </w:p>
    <w:p w14:paraId="3B03EAA3" w14:textId="68CFFFE5" w:rsidR="00954CE9" w:rsidRPr="00501526" w:rsidRDefault="00A36FA2" w:rsidP="00C306F2">
      <w:pPr>
        <w:pStyle w:val="3-BodyText"/>
        <w:rPr>
          <w:iCs/>
        </w:rPr>
      </w:pPr>
      <w:r w:rsidRPr="00501526">
        <w:rPr>
          <w:iCs/>
          <w:color w:val="000000" w:themeColor="text1"/>
        </w:rPr>
        <w:t>A</w:t>
      </w:r>
      <w:r w:rsidR="00C306F2" w:rsidRPr="00501526">
        <w:rPr>
          <w:iCs/>
          <w:color w:val="000000" w:themeColor="text1"/>
        </w:rPr>
        <w:t xml:space="preserve"> key issue with the PKUDOS data and its subsequent incorporation into the economic </w:t>
      </w:r>
      <w:r w:rsidR="00C306F2" w:rsidRPr="00501526">
        <w:rPr>
          <w:iCs/>
        </w:rPr>
        <w:t xml:space="preserve">model was that the analyses used </w:t>
      </w:r>
      <w:r w:rsidR="00070905" w:rsidRPr="00501526">
        <w:rPr>
          <w:iCs/>
        </w:rPr>
        <w:t>data from</w:t>
      </w:r>
      <w:r w:rsidR="00C306F2" w:rsidRPr="00501526">
        <w:rPr>
          <w:iCs/>
        </w:rPr>
        <w:t xml:space="preserve"> </w:t>
      </w:r>
      <w:r w:rsidR="00C418B9">
        <w:rPr>
          <w:iCs/>
        </w:rPr>
        <w:t xml:space="preserve">adult </w:t>
      </w:r>
      <w:r w:rsidR="00630063" w:rsidRPr="00501526">
        <w:rPr>
          <w:iCs/>
        </w:rPr>
        <w:t xml:space="preserve">patients who were </w:t>
      </w:r>
      <w:r w:rsidR="00C306F2" w:rsidRPr="00501526">
        <w:rPr>
          <w:iCs/>
        </w:rPr>
        <w:t xml:space="preserve">continuously treated </w:t>
      </w:r>
      <w:r w:rsidR="00630063" w:rsidRPr="00501526">
        <w:rPr>
          <w:iCs/>
        </w:rPr>
        <w:t xml:space="preserve">with </w:t>
      </w:r>
      <w:r w:rsidR="00C306F2" w:rsidRPr="00501526">
        <w:rPr>
          <w:iCs/>
        </w:rPr>
        <w:t xml:space="preserve">sapropterin </w:t>
      </w:r>
      <w:r w:rsidR="00013584">
        <w:rPr>
          <w:iCs/>
        </w:rPr>
        <w:t>versus</w:t>
      </w:r>
      <w:r w:rsidR="00475855">
        <w:rPr>
          <w:iCs/>
        </w:rPr>
        <w:t xml:space="preserve"> </w:t>
      </w:r>
      <w:r w:rsidR="00630063" w:rsidRPr="00501526">
        <w:rPr>
          <w:iCs/>
        </w:rPr>
        <w:t>those</w:t>
      </w:r>
      <w:r w:rsidR="00C306F2" w:rsidRPr="00501526">
        <w:rPr>
          <w:iCs/>
        </w:rPr>
        <w:t xml:space="preserve"> who had discontinued sapropterin as a proxy for </w:t>
      </w:r>
      <w:r w:rsidR="00013584">
        <w:rPr>
          <w:iCs/>
        </w:rPr>
        <w:t xml:space="preserve">comparing patients who initiate sapropterin in adulthood (i.e. who had not received sapropterin in childhood) versus a Phe </w:t>
      </w:r>
      <w:r w:rsidRPr="00501526">
        <w:rPr>
          <w:iCs/>
        </w:rPr>
        <w:t>restricted diet alone</w:t>
      </w:r>
      <w:r w:rsidR="00C306F2" w:rsidRPr="00501526">
        <w:rPr>
          <w:iCs/>
        </w:rPr>
        <w:t xml:space="preserve">. </w:t>
      </w:r>
      <w:r w:rsidR="00475855">
        <w:t>The PBAC noted</w:t>
      </w:r>
      <w:r w:rsidR="005F05A4">
        <w:t xml:space="preserve"> that </w:t>
      </w:r>
      <w:r w:rsidR="005F05A4" w:rsidRPr="005F05A4">
        <w:t>there were applicability issues</w:t>
      </w:r>
      <w:r w:rsidR="005F05A4">
        <w:t xml:space="preserve"> with the use of these data as the populations were not directly representative of the PBS population for sapropterin or the relevant comparator and </w:t>
      </w:r>
      <w:r w:rsidR="00475855">
        <w:t>there were no studies presented in sapropterin</w:t>
      </w:r>
      <w:r w:rsidR="00F73ECC">
        <w:t>-</w:t>
      </w:r>
      <w:r w:rsidR="00475855">
        <w:t xml:space="preserve">naïve </w:t>
      </w:r>
      <w:r w:rsidR="00F73ECC">
        <w:t xml:space="preserve">adult </w:t>
      </w:r>
      <w:r w:rsidR="00475855">
        <w:t>patients.</w:t>
      </w:r>
      <w:r w:rsidR="00C418B9">
        <w:rPr>
          <w:iCs/>
        </w:rPr>
        <w:t xml:space="preserve"> </w:t>
      </w:r>
    </w:p>
    <w:p w14:paraId="204D45D6" w14:textId="450214F6" w:rsidR="00954CE9" w:rsidRPr="00501526" w:rsidRDefault="00954CE9" w:rsidP="00954CE9">
      <w:pPr>
        <w:pStyle w:val="3-BodyText"/>
        <w:rPr>
          <w:iCs/>
          <w:color w:val="000000" w:themeColor="text1"/>
        </w:rPr>
      </w:pPr>
      <w:r w:rsidRPr="00501526">
        <w:rPr>
          <w:iCs/>
          <w:color w:val="000000" w:themeColor="text1"/>
        </w:rPr>
        <w:t xml:space="preserve">PKU-003 was the only comparative study presented, with a duration of only six weeks. Comparatively, usage of sapropterin was proposed to be lifelong. Further, no subgroup data from adult patients enrolled in PKU-003 were presented (although it is acknowledged that subgroup analyses would be difficult to interpret due to small sample sizes). Full distributions of patients by age at baseline were not presented in the submission or CSR, but given that the median age was 18, at least half of the trial population reflected the extension population. </w:t>
      </w:r>
    </w:p>
    <w:p w14:paraId="4F7CD551" w14:textId="03463450" w:rsidR="00954CE9" w:rsidRPr="00501526" w:rsidRDefault="00954CE9" w:rsidP="00954CE9">
      <w:pPr>
        <w:pStyle w:val="3-BodyText"/>
        <w:rPr>
          <w:iCs/>
          <w:color w:val="000000" w:themeColor="text1"/>
        </w:rPr>
      </w:pPr>
      <w:r w:rsidRPr="00501526">
        <w:rPr>
          <w:iCs/>
        </w:rPr>
        <w:t xml:space="preserve">Though the submission considered that the provided evidence included a majority of adult patients (only sapropterin studies with at least half of the patients ≥ 18 years of age were included), none of the studies reported efficacy specifically in patients who initiated sapropterin as adults. </w:t>
      </w:r>
      <w:r w:rsidRPr="00501526">
        <w:rPr>
          <w:iCs/>
          <w:color w:val="000000" w:themeColor="text1"/>
        </w:rPr>
        <w:t xml:space="preserve">This was a key applicability issue as the prevention of intellectual disabilities with early childhood control of blood Phe levels is a key benefit of controlling Phe levels, and the PBAC had previously considered that the benefits of sapropterin in terms of improved neurological function were likely to be greatest during the development period for children and adolescents (paragraph 7.1 and 7.3 </w:t>
      </w:r>
      <w:r w:rsidRPr="00501526">
        <w:rPr>
          <w:iCs/>
          <w:color w:val="000000" w:themeColor="text1"/>
        </w:rPr>
        <w:lastRenderedPageBreak/>
        <w:t>sapropterin PSD</w:t>
      </w:r>
      <w:r w:rsidR="005F05A4">
        <w:rPr>
          <w:iCs/>
          <w:color w:val="000000" w:themeColor="text1"/>
        </w:rPr>
        <w:t>,</w:t>
      </w:r>
      <w:r w:rsidR="005F05A4" w:rsidRPr="005F05A4">
        <w:rPr>
          <w:iCs/>
          <w:color w:val="000000" w:themeColor="text1"/>
        </w:rPr>
        <w:t xml:space="preserve"> </w:t>
      </w:r>
      <w:r w:rsidR="005F05A4" w:rsidRPr="00501526">
        <w:rPr>
          <w:iCs/>
          <w:color w:val="000000" w:themeColor="text1"/>
        </w:rPr>
        <w:t>March 2018</w:t>
      </w:r>
      <w:r w:rsidR="005F05A4">
        <w:rPr>
          <w:iCs/>
          <w:color w:val="000000" w:themeColor="text1"/>
        </w:rPr>
        <w:t xml:space="preserve"> PBAC meeting</w:t>
      </w:r>
      <w:r w:rsidRPr="00501526">
        <w:rPr>
          <w:iCs/>
          <w:color w:val="000000" w:themeColor="text1"/>
        </w:rPr>
        <w:t xml:space="preserve">). </w:t>
      </w:r>
      <w:r w:rsidR="009D47D7" w:rsidRPr="00501526">
        <w:rPr>
          <w:iCs/>
          <w:color w:val="000000" w:themeColor="text1"/>
        </w:rPr>
        <w:t>As such, the magnitude of the incremental benefit in terms of lowering blood-Phe levels in adults was uncertain.</w:t>
      </w:r>
      <w:r w:rsidR="009D47D7">
        <w:rPr>
          <w:iCs/>
          <w:color w:val="000000" w:themeColor="text1"/>
        </w:rPr>
        <w:t xml:space="preserve"> </w:t>
      </w:r>
      <w:r w:rsidRPr="00501526">
        <w:rPr>
          <w:iCs/>
          <w:color w:val="000000" w:themeColor="text1"/>
        </w:rPr>
        <w:t xml:space="preserve">International guidelines note that evidence is lacking in adult management goals (van Wegberg 2017). </w:t>
      </w:r>
    </w:p>
    <w:p w14:paraId="4A4FE085" w14:textId="1C5613CC" w:rsidR="00B60939" w:rsidRPr="00501526" w:rsidRDefault="00B60939" w:rsidP="00EC5836">
      <w:pPr>
        <w:pStyle w:val="4-SubsectionHeading"/>
      </w:pPr>
      <w:bookmarkStart w:id="27" w:name="_Toc22897641"/>
      <w:bookmarkStart w:id="28" w:name="_Toc103766828"/>
      <w:r w:rsidRPr="00501526">
        <w:t>Comparative effectiveness</w:t>
      </w:r>
      <w:bookmarkEnd w:id="27"/>
      <w:bookmarkEnd w:id="28"/>
    </w:p>
    <w:p w14:paraId="69973B5B" w14:textId="0F24C1A1" w:rsidR="00605449" w:rsidRPr="00501526" w:rsidRDefault="00891542" w:rsidP="00EC5836">
      <w:pPr>
        <w:pStyle w:val="3-BodyText"/>
        <w:rPr>
          <w:iCs/>
        </w:rPr>
      </w:pPr>
      <w:r w:rsidRPr="00501526">
        <w:rPr>
          <w:iCs/>
        </w:rPr>
        <w:fldChar w:fldCharType="begin"/>
      </w:r>
      <w:r w:rsidRPr="00501526">
        <w:rPr>
          <w:iCs/>
        </w:rPr>
        <w:instrText xml:space="preserve"> REF _Ref102328967 \h  \* MERGEFORMAT </w:instrText>
      </w:r>
      <w:r w:rsidRPr="00501526">
        <w:rPr>
          <w:iCs/>
        </w:rPr>
      </w:r>
      <w:r w:rsidRPr="00501526">
        <w:rPr>
          <w:iCs/>
        </w:rPr>
        <w:fldChar w:fldCharType="separate"/>
      </w:r>
      <w:r w:rsidR="0035299E" w:rsidRPr="0035299E">
        <w:t>Table 6</w:t>
      </w:r>
      <w:r w:rsidRPr="00501526">
        <w:rPr>
          <w:iCs/>
        </w:rPr>
        <w:fldChar w:fldCharType="end"/>
      </w:r>
      <w:r w:rsidRPr="00501526">
        <w:rPr>
          <w:iCs/>
        </w:rPr>
        <w:t xml:space="preserve"> </w:t>
      </w:r>
      <w:r w:rsidR="00605449" w:rsidRPr="00501526">
        <w:rPr>
          <w:iCs/>
        </w:rPr>
        <w:t xml:space="preserve">provides </w:t>
      </w:r>
      <w:r w:rsidR="00F3228B" w:rsidRPr="00501526">
        <w:rPr>
          <w:iCs/>
          <w:snapToGrid/>
          <w:color w:val="000000" w:themeColor="text1"/>
        </w:rPr>
        <w:t xml:space="preserve">the results based on number of responders in PKU-001 and </w:t>
      </w:r>
      <w:r w:rsidR="00605449" w:rsidRPr="00501526">
        <w:rPr>
          <w:iCs/>
          <w:snapToGrid/>
          <w:color w:val="000000" w:themeColor="text1"/>
        </w:rPr>
        <w:t xml:space="preserve">the comparative effectiveness results </w:t>
      </w:r>
      <w:r w:rsidR="00FD74E7" w:rsidRPr="00501526">
        <w:rPr>
          <w:iCs/>
          <w:snapToGrid/>
          <w:color w:val="000000" w:themeColor="text1"/>
        </w:rPr>
        <w:t>from PKU-003</w:t>
      </w:r>
      <w:r w:rsidR="00605449" w:rsidRPr="00501526">
        <w:rPr>
          <w:iCs/>
          <w:snapToGrid/>
        </w:rPr>
        <w:t xml:space="preserve">. </w:t>
      </w:r>
    </w:p>
    <w:p w14:paraId="5AF046E9" w14:textId="3D6833CA" w:rsidR="0034717C" w:rsidRPr="00501526" w:rsidRDefault="00891542" w:rsidP="00F110B7">
      <w:pPr>
        <w:pStyle w:val="TableFigureHeading"/>
        <w:keepLines/>
        <w:rPr>
          <w:b w:val="0"/>
          <w:bCs w:val="0"/>
          <w:iCs/>
        </w:rPr>
      </w:pPr>
      <w:bookmarkStart w:id="29" w:name="_Ref102328967"/>
      <w:r w:rsidRPr="00501526">
        <w:rPr>
          <w:rStyle w:val="CommentReference"/>
          <w:b/>
          <w:bCs w:val="0"/>
          <w:iCs/>
          <w:szCs w:val="24"/>
        </w:rPr>
        <w:t xml:space="preserve">Table </w:t>
      </w:r>
      <w:r w:rsidRPr="00501526">
        <w:rPr>
          <w:rStyle w:val="CommentReference"/>
          <w:b/>
          <w:bCs w:val="0"/>
          <w:iCs/>
          <w:szCs w:val="24"/>
        </w:rPr>
        <w:fldChar w:fldCharType="begin"/>
      </w:r>
      <w:r w:rsidRPr="00501526">
        <w:rPr>
          <w:rStyle w:val="CommentReference"/>
          <w:b/>
          <w:bCs w:val="0"/>
          <w:iCs/>
          <w:szCs w:val="24"/>
        </w:rPr>
        <w:instrText xml:space="preserve"> SEQ Table \* MERGEFORMAT </w:instrText>
      </w:r>
      <w:r w:rsidRPr="00501526">
        <w:rPr>
          <w:rStyle w:val="CommentReference"/>
          <w:b/>
          <w:bCs w:val="0"/>
          <w:iCs/>
          <w:szCs w:val="24"/>
        </w:rPr>
        <w:fldChar w:fldCharType="separate"/>
      </w:r>
      <w:r w:rsidR="0035299E">
        <w:rPr>
          <w:rStyle w:val="CommentReference"/>
          <w:b/>
          <w:bCs w:val="0"/>
          <w:iCs/>
          <w:noProof/>
          <w:szCs w:val="24"/>
        </w:rPr>
        <w:t>6</w:t>
      </w:r>
      <w:r w:rsidRPr="00501526">
        <w:rPr>
          <w:rStyle w:val="CommentReference"/>
          <w:b/>
          <w:bCs w:val="0"/>
          <w:iCs/>
          <w:szCs w:val="24"/>
        </w:rPr>
        <w:fldChar w:fldCharType="end"/>
      </w:r>
      <w:bookmarkEnd w:id="29"/>
      <w:r w:rsidRPr="00501526">
        <w:rPr>
          <w:rStyle w:val="CommentReference"/>
          <w:b/>
          <w:bCs w:val="0"/>
          <w:iCs/>
          <w:szCs w:val="24"/>
        </w:rPr>
        <w:t xml:space="preserve">: Summary of effectiveness results previously </w:t>
      </w:r>
      <w:r w:rsidR="002E5CF5" w:rsidRPr="00501526">
        <w:rPr>
          <w:rStyle w:val="CommentReference"/>
          <w:b/>
          <w:bCs w:val="0"/>
          <w:iCs/>
          <w:szCs w:val="24"/>
        </w:rPr>
        <w:t xml:space="preserve">considered </w:t>
      </w:r>
      <w:r w:rsidRPr="00501526">
        <w:rPr>
          <w:rStyle w:val="CommentReference"/>
          <w:b/>
          <w:bCs w:val="0"/>
          <w:iCs/>
          <w:szCs w:val="24"/>
        </w:rPr>
        <w:t>by PBAC</w:t>
      </w:r>
    </w:p>
    <w:tbl>
      <w:tblPr>
        <w:tblStyle w:val="TableGrid"/>
        <w:tblW w:w="0" w:type="auto"/>
        <w:tblCellMar>
          <w:left w:w="28" w:type="dxa"/>
          <w:right w:w="28" w:type="dxa"/>
        </w:tblCellMar>
        <w:tblLook w:val="04A0" w:firstRow="1" w:lastRow="0" w:firstColumn="1" w:lastColumn="0" w:noHBand="0" w:noVBand="1"/>
      </w:tblPr>
      <w:tblGrid>
        <w:gridCol w:w="2830"/>
        <w:gridCol w:w="1755"/>
        <w:gridCol w:w="1506"/>
        <w:gridCol w:w="24"/>
        <w:gridCol w:w="2902"/>
      </w:tblGrid>
      <w:tr w:rsidR="0034717C" w:rsidRPr="00501526" w14:paraId="5085E138" w14:textId="77777777" w:rsidTr="00C235C5">
        <w:trPr>
          <w:trHeight w:val="195"/>
        </w:trPr>
        <w:tc>
          <w:tcPr>
            <w:tcW w:w="9017" w:type="dxa"/>
            <w:gridSpan w:val="5"/>
            <w:vAlign w:val="center"/>
          </w:tcPr>
          <w:p w14:paraId="2ACB3390" w14:textId="3C2B13E1" w:rsidR="0034717C" w:rsidRPr="00501526" w:rsidRDefault="0034717C" w:rsidP="00F110B7">
            <w:pPr>
              <w:keepNext/>
              <w:keepLines/>
              <w:rPr>
                <w:rFonts w:ascii="Arial Narrow" w:hAnsi="Arial Narrow"/>
                <w:b/>
                <w:iCs/>
                <w:sz w:val="20"/>
              </w:rPr>
            </w:pPr>
            <w:r w:rsidRPr="00501526">
              <w:rPr>
                <w:rFonts w:ascii="Arial Narrow" w:hAnsi="Arial Narrow"/>
                <w:b/>
                <w:iCs/>
                <w:sz w:val="20"/>
              </w:rPr>
              <w:t>Response to sapropterin, defined as ≥30% reduction in blood Phe levels in studies PKU-001</w:t>
            </w:r>
          </w:p>
        </w:tc>
      </w:tr>
      <w:tr w:rsidR="0034717C" w:rsidRPr="00501526" w14:paraId="4863CEFF" w14:textId="77777777" w:rsidTr="00F10B4A">
        <w:trPr>
          <w:trHeight w:val="195"/>
        </w:trPr>
        <w:tc>
          <w:tcPr>
            <w:tcW w:w="2830" w:type="dxa"/>
            <w:vMerge w:val="restart"/>
            <w:vAlign w:val="center"/>
          </w:tcPr>
          <w:p w14:paraId="71762FDD" w14:textId="77777777" w:rsidR="0034717C" w:rsidRPr="00501526" w:rsidRDefault="0034717C" w:rsidP="00F110B7">
            <w:pPr>
              <w:keepNext/>
              <w:keepLines/>
              <w:jc w:val="left"/>
              <w:rPr>
                <w:rFonts w:ascii="Arial Narrow" w:hAnsi="Arial Narrow"/>
                <w:b/>
                <w:iCs/>
                <w:sz w:val="20"/>
              </w:rPr>
            </w:pPr>
            <w:r w:rsidRPr="00501526">
              <w:rPr>
                <w:rFonts w:ascii="Arial Narrow" w:hAnsi="Arial Narrow"/>
                <w:b/>
                <w:iCs/>
                <w:sz w:val="20"/>
              </w:rPr>
              <w:t>Study</w:t>
            </w:r>
          </w:p>
        </w:tc>
        <w:tc>
          <w:tcPr>
            <w:tcW w:w="3261" w:type="dxa"/>
            <w:gridSpan w:val="2"/>
            <w:vAlign w:val="center"/>
          </w:tcPr>
          <w:p w14:paraId="5E1736CE"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 xml:space="preserve">Response </w:t>
            </w:r>
          </w:p>
        </w:tc>
        <w:tc>
          <w:tcPr>
            <w:tcW w:w="2926" w:type="dxa"/>
            <w:gridSpan w:val="2"/>
            <w:vMerge w:val="restart"/>
            <w:vAlign w:val="center"/>
          </w:tcPr>
          <w:p w14:paraId="3B9E710D"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 xml:space="preserve">Patients </w:t>
            </w:r>
          </w:p>
        </w:tc>
      </w:tr>
      <w:tr w:rsidR="0034717C" w:rsidRPr="00501526" w14:paraId="451F4583" w14:textId="77777777" w:rsidTr="00F10B4A">
        <w:trPr>
          <w:trHeight w:val="255"/>
        </w:trPr>
        <w:tc>
          <w:tcPr>
            <w:tcW w:w="2830" w:type="dxa"/>
            <w:vMerge/>
            <w:vAlign w:val="center"/>
          </w:tcPr>
          <w:p w14:paraId="3808ED38" w14:textId="77777777" w:rsidR="0034717C" w:rsidRPr="00501526" w:rsidRDefault="0034717C" w:rsidP="00F110B7">
            <w:pPr>
              <w:keepNext/>
              <w:keepLines/>
              <w:jc w:val="left"/>
              <w:rPr>
                <w:rFonts w:ascii="Arial Narrow" w:hAnsi="Arial Narrow"/>
                <w:b/>
                <w:iCs/>
                <w:sz w:val="20"/>
              </w:rPr>
            </w:pPr>
          </w:p>
        </w:tc>
        <w:tc>
          <w:tcPr>
            <w:tcW w:w="1755" w:type="dxa"/>
            <w:vAlign w:val="center"/>
          </w:tcPr>
          <w:p w14:paraId="49815C5A"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 xml:space="preserve">n/N (%) </w:t>
            </w:r>
          </w:p>
        </w:tc>
        <w:tc>
          <w:tcPr>
            <w:tcW w:w="1506" w:type="dxa"/>
            <w:vAlign w:val="center"/>
          </w:tcPr>
          <w:p w14:paraId="02C0CED4"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95% CI</w:t>
            </w:r>
          </w:p>
        </w:tc>
        <w:tc>
          <w:tcPr>
            <w:tcW w:w="2926" w:type="dxa"/>
            <w:gridSpan w:val="2"/>
            <w:vMerge/>
            <w:vAlign w:val="center"/>
          </w:tcPr>
          <w:p w14:paraId="39CB3E3C" w14:textId="77777777" w:rsidR="0034717C" w:rsidRPr="00501526" w:rsidRDefault="0034717C" w:rsidP="00F110B7">
            <w:pPr>
              <w:keepNext/>
              <w:keepLines/>
              <w:jc w:val="center"/>
              <w:rPr>
                <w:rFonts w:ascii="Arial Narrow" w:hAnsi="Arial Narrow"/>
                <w:b/>
                <w:iCs/>
                <w:sz w:val="20"/>
              </w:rPr>
            </w:pPr>
          </w:p>
        </w:tc>
      </w:tr>
      <w:tr w:rsidR="0034717C" w:rsidRPr="00501526" w14:paraId="4E357750" w14:textId="77777777" w:rsidTr="005623A2">
        <w:tc>
          <w:tcPr>
            <w:tcW w:w="2830" w:type="dxa"/>
            <w:shd w:val="clear" w:color="auto" w:fill="C6D9F1" w:themeFill="text2" w:themeFillTint="33"/>
          </w:tcPr>
          <w:p w14:paraId="5BBA8888" w14:textId="4F8B2378" w:rsidR="009A46EE" w:rsidRPr="00501526" w:rsidRDefault="0034717C" w:rsidP="00F110B7">
            <w:pPr>
              <w:keepNext/>
              <w:keepLines/>
              <w:jc w:val="left"/>
              <w:rPr>
                <w:rFonts w:ascii="Arial Narrow" w:hAnsi="Arial Narrow"/>
                <w:iCs/>
                <w:sz w:val="20"/>
              </w:rPr>
            </w:pPr>
            <w:r w:rsidRPr="00501526">
              <w:rPr>
                <w:rFonts w:ascii="Arial Narrow" w:hAnsi="Arial Narrow"/>
                <w:iCs/>
                <w:sz w:val="20"/>
              </w:rPr>
              <w:t>PKU-001, 10 mg/kg/day for 8 days</w:t>
            </w:r>
          </w:p>
        </w:tc>
        <w:tc>
          <w:tcPr>
            <w:tcW w:w="1755" w:type="dxa"/>
            <w:shd w:val="clear" w:color="auto" w:fill="C6D9F1" w:themeFill="text2" w:themeFillTint="33"/>
            <w:vAlign w:val="center"/>
          </w:tcPr>
          <w:p w14:paraId="1E14B05C"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 xml:space="preserve">96/485 (20) </w:t>
            </w:r>
          </w:p>
        </w:tc>
        <w:tc>
          <w:tcPr>
            <w:tcW w:w="1506" w:type="dxa"/>
            <w:shd w:val="clear" w:color="auto" w:fill="C6D9F1" w:themeFill="text2" w:themeFillTint="33"/>
            <w:vAlign w:val="center"/>
          </w:tcPr>
          <w:p w14:paraId="1ABE82EE"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16, 23</w:t>
            </w:r>
          </w:p>
        </w:tc>
        <w:tc>
          <w:tcPr>
            <w:tcW w:w="2926" w:type="dxa"/>
            <w:gridSpan w:val="2"/>
            <w:vMerge w:val="restart"/>
            <w:shd w:val="clear" w:color="auto" w:fill="C6D9F1" w:themeFill="text2" w:themeFillTint="33"/>
            <w:vAlign w:val="center"/>
          </w:tcPr>
          <w:p w14:paraId="19B19F35"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≥8 years, baseline Phe ≥480 μmol/L, no strict diet</w:t>
            </w:r>
          </w:p>
        </w:tc>
      </w:tr>
      <w:tr w:rsidR="00121400" w:rsidRPr="00501526" w14:paraId="23B4D014" w14:textId="77777777" w:rsidTr="005623A2">
        <w:tc>
          <w:tcPr>
            <w:tcW w:w="2830" w:type="dxa"/>
            <w:shd w:val="clear" w:color="auto" w:fill="C6D9F1" w:themeFill="text2" w:themeFillTint="33"/>
          </w:tcPr>
          <w:p w14:paraId="502D8F01" w14:textId="4E7BCF66" w:rsidR="00121400" w:rsidRPr="00501526" w:rsidRDefault="0095100B" w:rsidP="00F110B7">
            <w:pPr>
              <w:keepNext/>
              <w:keepLines/>
              <w:tabs>
                <w:tab w:val="left" w:pos="282"/>
              </w:tabs>
              <w:jc w:val="left"/>
              <w:rPr>
                <w:rFonts w:ascii="Arial Narrow" w:hAnsi="Arial Narrow"/>
                <w:iCs/>
                <w:sz w:val="20"/>
              </w:rPr>
            </w:pPr>
            <w:r w:rsidRPr="00501526">
              <w:rPr>
                <w:rFonts w:ascii="Arial Narrow" w:hAnsi="Arial Narrow"/>
                <w:iCs/>
                <w:sz w:val="20"/>
              </w:rPr>
              <w:t xml:space="preserve">Responders </w:t>
            </w:r>
            <w:r w:rsidR="00BD092C" w:rsidRPr="00501526">
              <w:rPr>
                <w:rFonts w:ascii="Arial Narrow" w:hAnsi="Arial Narrow"/>
                <w:iCs/>
                <w:sz w:val="20"/>
              </w:rPr>
              <w:t>by baseline blood-Phe</w:t>
            </w:r>
          </w:p>
        </w:tc>
        <w:tc>
          <w:tcPr>
            <w:tcW w:w="1755" w:type="dxa"/>
            <w:shd w:val="clear" w:color="auto" w:fill="C6D9F1" w:themeFill="text2" w:themeFillTint="33"/>
            <w:vAlign w:val="center"/>
          </w:tcPr>
          <w:p w14:paraId="7ED406AE" w14:textId="77777777" w:rsidR="00121400" w:rsidRPr="00501526" w:rsidRDefault="00121400" w:rsidP="00F110B7">
            <w:pPr>
              <w:keepNext/>
              <w:keepLines/>
              <w:jc w:val="center"/>
              <w:rPr>
                <w:rFonts w:ascii="Arial Narrow" w:hAnsi="Arial Narrow"/>
                <w:iCs/>
                <w:sz w:val="20"/>
              </w:rPr>
            </w:pPr>
          </w:p>
        </w:tc>
        <w:tc>
          <w:tcPr>
            <w:tcW w:w="1506" w:type="dxa"/>
            <w:shd w:val="clear" w:color="auto" w:fill="C6D9F1" w:themeFill="text2" w:themeFillTint="33"/>
            <w:vAlign w:val="center"/>
          </w:tcPr>
          <w:p w14:paraId="271141F1" w14:textId="77777777" w:rsidR="00121400" w:rsidRPr="00501526" w:rsidRDefault="00121400" w:rsidP="00F110B7">
            <w:pPr>
              <w:keepNext/>
              <w:keepLines/>
              <w:jc w:val="center"/>
              <w:rPr>
                <w:rFonts w:ascii="Arial Narrow" w:hAnsi="Arial Narrow"/>
                <w:iCs/>
                <w:sz w:val="20"/>
              </w:rPr>
            </w:pPr>
          </w:p>
        </w:tc>
        <w:tc>
          <w:tcPr>
            <w:tcW w:w="2926" w:type="dxa"/>
            <w:gridSpan w:val="2"/>
            <w:vMerge/>
            <w:shd w:val="clear" w:color="auto" w:fill="C6D9F1" w:themeFill="text2" w:themeFillTint="33"/>
            <w:vAlign w:val="center"/>
          </w:tcPr>
          <w:p w14:paraId="5C1B706C" w14:textId="77777777" w:rsidR="00121400" w:rsidRPr="00501526" w:rsidRDefault="00121400" w:rsidP="00F110B7">
            <w:pPr>
              <w:keepNext/>
              <w:keepLines/>
              <w:jc w:val="center"/>
              <w:rPr>
                <w:rFonts w:ascii="Arial Narrow" w:hAnsi="Arial Narrow"/>
                <w:iCs/>
                <w:sz w:val="20"/>
              </w:rPr>
            </w:pPr>
          </w:p>
        </w:tc>
      </w:tr>
      <w:tr w:rsidR="0034717C" w:rsidRPr="00501526" w14:paraId="3A71178F" w14:textId="77777777" w:rsidTr="005623A2">
        <w:tc>
          <w:tcPr>
            <w:tcW w:w="2830" w:type="dxa"/>
            <w:shd w:val="clear" w:color="auto" w:fill="C6D9F1" w:themeFill="text2" w:themeFillTint="33"/>
          </w:tcPr>
          <w:p w14:paraId="742F27B4" w14:textId="77777777" w:rsidR="0034717C" w:rsidRPr="00501526" w:rsidRDefault="0034717C" w:rsidP="00F110B7">
            <w:pPr>
              <w:keepNext/>
              <w:keepLines/>
              <w:tabs>
                <w:tab w:val="left" w:pos="282"/>
              </w:tabs>
              <w:jc w:val="left"/>
              <w:rPr>
                <w:rFonts w:ascii="Arial Narrow" w:hAnsi="Arial Narrow"/>
                <w:iCs/>
                <w:sz w:val="20"/>
              </w:rPr>
            </w:pPr>
            <w:r w:rsidRPr="00501526">
              <w:rPr>
                <w:rFonts w:ascii="Arial Narrow" w:hAnsi="Arial Narrow"/>
                <w:iCs/>
                <w:sz w:val="20"/>
              </w:rPr>
              <w:tab/>
              <w:t>&lt;600 μmol/L</w:t>
            </w:r>
          </w:p>
        </w:tc>
        <w:tc>
          <w:tcPr>
            <w:tcW w:w="1755" w:type="dxa"/>
            <w:shd w:val="clear" w:color="auto" w:fill="C6D9F1" w:themeFill="text2" w:themeFillTint="33"/>
            <w:vAlign w:val="center"/>
          </w:tcPr>
          <w:p w14:paraId="501316F5"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 xml:space="preserve">31/57 (54) </w:t>
            </w:r>
          </w:p>
        </w:tc>
        <w:tc>
          <w:tcPr>
            <w:tcW w:w="1506" w:type="dxa"/>
            <w:shd w:val="clear" w:color="auto" w:fill="C6D9F1" w:themeFill="text2" w:themeFillTint="33"/>
            <w:vAlign w:val="center"/>
          </w:tcPr>
          <w:p w14:paraId="07648482"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41, 68</w:t>
            </w:r>
          </w:p>
        </w:tc>
        <w:tc>
          <w:tcPr>
            <w:tcW w:w="2926" w:type="dxa"/>
            <w:gridSpan w:val="2"/>
            <w:vMerge/>
            <w:shd w:val="clear" w:color="auto" w:fill="C6D9F1" w:themeFill="text2" w:themeFillTint="33"/>
            <w:vAlign w:val="center"/>
          </w:tcPr>
          <w:p w14:paraId="363C17FD" w14:textId="77777777" w:rsidR="0034717C" w:rsidRPr="00501526" w:rsidRDefault="0034717C" w:rsidP="00F110B7">
            <w:pPr>
              <w:keepNext/>
              <w:keepLines/>
              <w:jc w:val="center"/>
              <w:rPr>
                <w:rFonts w:ascii="Arial Narrow" w:hAnsi="Arial Narrow"/>
                <w:iCs/>
                <w:sz w:val="20"/>
              </w:rPr>
            </w:pPr>
          </w:p>
        </w:tc>
      </w:tr>
      <w:tr w:rsidR="0034717C" w:rsidRPr="00501526" w14:paraId="0AD155D1" w14:textId="77777777" w:rsidTr="005623A2">
        <w:tc>
          <w:tcPr>
            <w:tcW w:w="2830" w:type="dxa"/>
            <w:shd w:val="clear" w:color="auto" w:fill="C6D9F1" w:themeFill="text2" w:themeFillTint="33"/>
          </w:tcPr>
          <w:p w14:paraId="1FA189D7" w14:textId="77777777" w:rsidR="0034717C" w:rsidRPr="00501526" w:rsidRDefault="0034717C" w:rsidP="00F110B7">
            <w:pPr>
              <w:keepNext/>
              <w:keepLines/>
              <w:tabs>
                <w:tab w:val="left" w:pos="282"/>
              </w:tabs>
              <w:jc w:val="left"/>
              <w:rPr>
                <w:rFonts w:ascii="Arial Narrow" w:hAnsi="Arial Narrow"/>
                <w:iCs/>
                <w:sz w:val="20"/>
              </w:rPr>
            </w:pPr>
            <w:r w:rsidRPr="00501526">
              <w:rPr>
                <w:rFonts w:ascii="Arial Narrow" w:hAnsi="Arial Narrow"/>
                <w:iCs/>
                <w:sz w:val="20"/>
              </w:rPr>
              <w:tab/>
              <w:t>600-899 μmol/L</w:t>
            </w:r>
          </w:p>
        </w:tc>
        <w:tc>
          <w:tcPr>
            <w:tcW w:w="1755" w:type="dxa"/>
            <w:shd w:val="clear" w:color="auto" w:fill="C6D9F1" w:themeFill="text2" w:themeFillTint="33"/>
            <w:vAlign w:val="center"/>
          </w:tcPr>
          <w:p w14:paraId="1331BC20"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 xml:space="preserve">38/157 (24) </w:t>
            </w:r>
          </w:p>
        </w:tc>
        <w:tc>
          <w:tcPr>
            <w:tcW w:w="1506" w:type="dxa"/>
            <w:shd w:val="clear" w:color="auto" w:fill="C6D9F1" w:themeFill="text2" w:themeFillTint="33"/>
            <w:vAlign w:val="center"/>
          </w:tcPr>
          <w:p w14:paraId="760AC1E2"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NR</w:t>
            </w:r>
          </w:p>
        </w:tc>
        <w:tc>
          <w:tcPr>
            <w:tcW w:w="2926" w:type="dxa"/>
            <w:gridSpan w:val="2"/>
            <w:vMerge/>
            <w:shd w:val="clear" w:color="auto" w:fill="C6D9F1" w:themeFill="text2" w:themeFillTint="33"/>
            <w:vAlign w:val="center"/>
          </w:tcPr>
          <w:p w14:paraId="15BCE607" w14:textId="77777777" w:rsidR="0034717C" w:rsidRPr="00501526" w:rsidRDefault="0034717C" w:rsidP="00F110B7">
            <w:pPr>
              <w:keepNext/>
              <w:keepLines/>
              <w:jc w:val="center"/>
              <w:rPr>
                <w:rFonts w:ascii="Arial Narrow" w:hAnsi="Arial Narrow"/>
                <w:iCs/>
                <w:sz w:val="20"/>
              </w:rPr>
            </w:pPr>
          </w:p>
        </w:tc>
      </w:tr>
      <w:tr w:rsidR="0034717C" w:rsidRPr="00501526" w14:paraId="4C5E09FA" w14:textId="77777777" w:rsidTr="005623A2">
        <w:tc>
          <w:tcPr>
            <w:tcW w:w="2830" w:type="dxa"/>
            <w:shd w:val="clear" w:color="auto" w:fill="C6D9F1" w:themeFill="text2" w:themeFillTint="33"/>
          </w:tcPr>
          <w:p w14:paraId="1BD5DA0A" w14:textId="77777777" w:rsidR="0034717C" w:rsidRPr="00501526" w:rsidRDefault="0034717C" w:rsidP="00F110B7">
            <w:pPr>
              <w:keepNext/>
              <w:keepLines/>
              <w:tabs>
                <w:tab w:val="left" w:pos="282"/>
              </w:tabs>
              <w:jc w:val="left"/>
              <w:rPr>
                <w:rFonts w:ascii="Arial Narrow" w:hAnsi="Arial Narrow"/>
                <w:iCs/>
                <w:sz w:val="20"/>
              </w:rPr>
            </w:pPr>
            <w:r w:rsidRPr="00501526">
              <w:rPr>
                <w:rFonts w:ascii="Arial Narrow" w:hAnsi="Arial Narrow"/>
                <w:iCs/>
                <w:sz w:val="20"/>
              </w:rPr>
              <w:tab/>
              <w:t>900-1119 μmol/L</w:t>
            </w:r>
          </w:p>
        </w:tc>
        <w:tc>
          <w:tcPr>
            <w:tcW w:w="1755" w:type="dxa"/>
            <w:shd w:val="clear" w:color="auto" w:fill="C6D9F1" w:themeFill="text2" w:themeFillTint="33"/>
            <w:vAlign w:val="center"/>
          </w:tcPr>
          <w:p w14:paraId="761A846D"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14/135 (10)</w:t>
            </w:r>
          </w:p>
        </w:tc>
        <w:tc>
          <w:tcPr>
            <w:tcW w:w="1506" w:type="dxa"/>
            <w:shd w:val="clear" w:color="auto" w:fill="C6D9F1" w:themeFill="text2" w:themeFillTint="33"/>
            <w:vAlign w:val="center"/>
          </w:tcPr>
          <w:p w14:paraId="72573EC8"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NR</w:t>
            </w:r>
          </w:p>
        </w:tc>
        <w:tc>
          <w:tcPr>
            <w:tcW w:w="2926" w:type="dxa"/>
            <w:gridSpan w:val="2"/>
            <w:vMerge/>
            <w:shd w:val="clear" w:color="auto" w:fill="C6D9F1" w:themeFill="text2" w:themeFillTint="33"/>
            <w:vAlign w:val="center"/>
          </w:tcPr>
          <w:p w14:paraId="18108228" w14:textId="77777777" w:rsidR="0034717C" w:rsidRPr="00501526" w:rsidRDefault="0034717C" w:rsidP="00F110B7">
            <w:pPr>
              <w:keepNext/>
              <w:keepLines/>
              <w:jc w:val="center"/>
              <w:rPr>
                <w:rFonts w:ascii="Arial Narrow" w:hAnsi="Arial Narrow"/>
                <w:iCs/>
                <w:sz w:val="20"/>
              </w:rPr>
            </w:pPr>
          </w:p>
        </w:tc>
      </w:tr>
      <w:tr w:rsidR="0034717C" w:rsidRPr="00501526" w14:paraId="14C57583" w14:textId="77777777" w:rsidTr="005623A2">
        <w:tc>
          <w:tcPr>
            <w:tcW w:w="2830" w:type="dxa"/>
            <w:shd w:val="clear" w:color="auto" w:fill="C6D9F1" w:themeFill="text2" w:themeFillTint="33"/>
          </w:tcPr>
          <w:p w14:paraId="4EB1A6AB" w14:textId="77777777" w:rsidR="0034717C" w:rsidRPr="00501526" w:rsidRDefault="0034717C" w:rsidP="00F110B7">
            <w:pPr>
              <w:keepNext/>
              <w:keepLines/>
              <w:tabs>
                <w:tab w:val="left" w:pos="282"/>
              </w:tabs>
              <w:jc w:val="left"/>
              <w:rPr>
                <w:rFonts w:ascii="Arial Narrow" w:hAnsi="Arial Narrow"/>
                <w:iCs/>
                <w:sz w:val="20"/>
              </w:rPr>
            </w:pPr>
            <w:r w:rsidRPr="00501526">
              <w:rPr>
                <w:rFonts w:ascii="Arial Narrow" w:hAnsi="Arial Narrow"/>
                <w:iCs/>
                <w:sz w:val="20"/>
              </w:rPr>
              <w:tab/>
              <w:t>≥1200 μmol/L</w:t>
            </w:r>
          </w:p>
        </w:tc>
        <w:tc>
          <w:tcPr>
            <w:tcW w:w="1755" w:type="dxa"/>
            <w:shd w:val="clear" w:color="auto" w:fill="C6D9F1" w:themeFill="text2" w:themeFillTint="33"/>
            <w:vAlign w:val="center"/>
          </w:tcPr>
          <w:p w14:paraId="1053C8B6"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13/136 (10)</w:t>
            </w:r>
          </w:p>
        </w:tc>
        <w:tc>
          <w:tcPr>
            <w:tcW w:w="1506" w:type="dxa"/>
            <w:shd w:val="clear" w:color="auto" w:fill="C6D9F1" w:themeFill="text2" w:themeFillTint="33"/>
            <w:vAlign w:val="center"/>
          </w:tcPr>
          <w:p w14:paraId="7947B8BE"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NR</w:t>
            </w:r>
          </w:p>
        </w:tc>
        <w:tc>
          <w:tcPr>
            <w:tcW w:w="2926" w:type="dxa"/>
            <w:gridSpan w:val="2"/>
            <w:vMerge/>
            <w:shd w:val="clear" w:color="auto" w:fill="C6D9F1" w:themeFill="text2" w:themeFillTint="33"/>
            <w:vAlign w:val="center"/>
          </w:tcPr>
          <w:p w14:paraId="4F874DEE" w14:textId="77777777" w:rsidR="0034717C" w:rsidRPr="00501526" w:rsidRDefault="0034717C" w:rsidP="00F110B7">
            <w:pPr>
              <w:keepNext/>
              <w:keepLines/>
              <w:jc w:val="center"/>
              <w:rPr>
                <w:rFonts w:ascii="Arial Narrow" w:hAnsi="Arial Narrow"/>
                <w:iCs/>
                <w:sz w:val="20"/>
              </w:rPr>
            </w:pPr>
          </w:p>
        </w:tc>
      </w:tr>
      <w:tr w:rsidR="0034717C" w:rsidRPr="00501526" w14:paraId="4DB3B803" w14:textId="77777777" w:rsidTr="00C235C5">
        <w:tc>
          <w:tcPr>
            <w:tcW w:w="9017" w:type="dxa"/>
            <w:gridSpan w:val="5"/>
          </w:tcPr>
          <w:p w14:paraId="562111C6" w14:textId="1826196F" w:rsidR="0034717C" w:rsidRPr="00501526" w:rsidRDefault="0034717C" w:rsidP="00F110B7">
            <w:pPr>
              <w:keepNext/>
              <w:keepLines/>
              <w:jc w:val="left"/>
              <w:rPr>
                <w:rFonts w:ascii="Arial Narrow" w:hAnsi="Arial Narrow"/>
                <w:iCs/>
                <w:sz w:val="20"/>
              </w:rPr>
            </w:pPr>
            <w:r w:rsidRPr="00501526">
              <w:rPr>
                <w:rFonts w:ascii="Arial Narrow" w:hAnsi="Arial Narrow"/>
                <w:b/>
                <w:iCs/>
                <w:sz w:val="20"/>
              </w:rPr>
              <w:t>Results for the change in blood Phe levels reported in the PKU-003</w:t>
            </w:r>
          </w:p>
        </w:tc>
      </w:tr>
      <w:tr w:rsidR="0034717C" w:rsidRPr="00501526" w14:paraId="7C04BE49" w14:textId="77777777" w:rsidTr="00F10B4A">
        <w:tc>
          <w:tcPr>
            <w:tcW w:w="2830" w:type="dxa"/>
          </w:tcPr>
          <w:p w14:paraId="510FB268" w14:textId="77777777" w:rsidR="0034717C" w:rsidRPr="00501526" w:rsidRDefault="0034717C" w:rsidP="00F110B7">
            <w:pPr>
              <w:keepNext/>
              <w:keepLines/>
              <w:rPr>
                <w:rFonts w:ascii="Arial Narrow" w:hAnsi="Arial Narrow"/>
                <w:b/>
                <w:iCs/>
                <w:sz w:val="20"/>
              </w:rPr>
            </w:pPr>
            <w:r w:rsidRPr="00501526">
              <w:rPr>
                <w:rFonts w:ascii="Arial Narrow" w:hAnsi="Arial Narrow"/>
                <w:b/>
                <w:iCs/>
                <w:sz w:val="20"/>
              </w:rPr>
              <w:t>Trial/Study</w:t>
            </w:r>
          </w:p>
        </w:tc>
        <w:tc>
          <w:tcPr>
            <w:tcW w:w="1755" w:type="dxa"/>
            <w:vAlign w:val="center"/>
          </w:tcPr>
          <w:p w14:paraId="623C295A"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Sapropterin</w:t>
            </w:r>
          </w:p>
        </w:tc>
        <w:tc>
          <w:tcPr>
            <w:tcW w:w="1530" w:type="dxa"/>
            <w:gridSpan w:val="2"/>
            <w:vAlign w:val="center"/>
          </w:tcPr>
          <w:p w14:paraId="390B5F47"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Placebo</w:t>
            </w:r>
          </w:p>
        </w:tc>
        <w:tc>
          <w:tcPr>
            <w:tcW w:w="2902" w:type="dxa"/>
            <w:vAlign w:val="center"/>
          </w:tcPr>
          <w:p w14:paraId="0452EAC2"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b/>
                <w:iCs/>
                <w:sz w:val="20"/>
              </w:rPr>
              <w:t>Estimate (95% CI) between groups</w:t>
            </w:r>
          </w:p>
        </w:tc>
      </w:tr>
      <w:tr w:rsidR="0034717C" w:rsidRPr="00501526" w14:paraId="1EC553A2" w14:textId="77777777" w:rsidTr="00C235C5">
        <w:tc>
          <w:tcPr>
            <w:tcW w:w="9017" w:type="dxa"/>
            <w:gridSpan w:val="5"/>
          </w:tcPr>
          <w:p w14:paraId="5D04DDFE" w14:textId="77777777" w:rsidR="0034717C" w:rsidRPr="00501526" w:rsidRDefault="0034717C" w:rsidP="00F110B7">
            <w:pPr>
              <w:keepNext/>
              <w:keepLines/>
              <w:jc w:val="left"/>
              <w:rPr>
                <w:rFonts w:ascii="Arial Narrow" w:hAnsi="Arial Narrow"/>
                <w:iCs/>
                <w:sz w:val="20"/>
              </w:rPr>
            </w:pPr>
            <w:r w:rsidRPr="00501526">
              <w:rPr>
                <w:rFonts w:ascii="Arial Narrow" w:hAnsi="Arial Narrow"/>
                <w:iCs/>
                <w:sz w:val="20"/>
              </w:rPr>
              <w:t>PKU-003</w:t>
            </w:r>
          </w:p>
        </w:tc>
      </w:tr>
      <w:tr w:rsidR="0034717C" w:rsidRPr="00501526" w14:paraId="03890040" w14:textId="77777777" w:rsidTr="005623A2">
        <w:tc>
          <w:tcPr>
            <w:tcW w:w="2830" w:type="dxa"/>
            <w:shd w:val="clear" w:color="auto" w:fill="C6D9F1" w:themeFill="text2" w:themeFillTint="33"/>
          </w:tcPr>
          <w:p w14:paraId="13263915" w14:textId="77777777" w:rsidR="0034717C" w:rsidRPr="00501526" w:rsidRDefault="0034717C" w:rsidP="00F110B7">
            <w:pPr>
              <w:keepNext/>
              <w:keepLines/>
              <w:tabs>
                <w:tab w:val="left" w:pos="237"/>
              </w:tabs>
              <w:rPr>
                <w:rFonts w:ascii="Arial Narrow" w:hAnsi="Arial Narrow"/>
                <w:iCs/>
                <w:sz w:val="20"/>
              </w:rPr>
            </w:pPr>
            <w:r w:rsidRPr="00501526">
              <w:rPr>
                <w:rFonts w:ascii="Arial Narrow" w:hAnsi="Arial Narrow"/>
                <w:iCs/>
                <w:sz w:val="20"/>
              </w:rPr>
              <w:t>Baseline, mean μmol/L (SD)</w:t>
            </w:r>
          </w:p>
        </w:tc>
        <w:tc>
          <w:tcPr>
            <w:tcW w:w="1755" w:type="dxa"/>
            <w:shd w:val="clear" w:color="auto" w:fill="C6D9F1" w:themeFill="text2" w:themeFillTint="33"/>
            <w:vAlign w:val="center"/>
          </w:tcPr>
          <w:p w14:paraId="3C689C31"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N=41, 842.7 (299.6)</w:t>
            </w:r>
          </w:p>
        </w:tc>
        <w:tc>
          <w:tcPr>
            <w:tcW w:w="1530" w:type="dxa"/>
            <w:gridSpan w:val="2"/>
            <w:shd w:val="clear" w:color="auto" w:fill="C6D9F1" w:themeFill="text2" w:themeFillTint="33"/>
            <w:vAlign w:val="center"/>
          </w:tcPr>
          <w:p w14:paraId="143CDB2C"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N=47, 888.3 (323.1)</w:t>
            </w:r>
          </w:p>
        </w:tc>
        <w:tc>
          <w:tcPr>
            <w:tcW w:w="2902" w:type="dxa"/>
            <w:vMerge w:val="restart"/>
            <w:shd w:val="clear" w:color="auto" w:fill="C6D9F1" w:themeFill="text2" w:themeFillTint="33"/>
            <w:vAlign w:val="center"/>
          </w:tcPr>
          <w:p w14:paraId="7DB0D284"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Difference =</w:t>
            </w:r>
            <w:r w:rsidRPr="00501526">
              <w:rPr>
                <w:rFonts w:ascii="Arial Narrow" w:hAnsi="Arial Narrow"/>
                <w:b/>
                <w:iCs/>
                <w:sz w:val="20"/>
              </w:rPr>
              <w:t xml:space="preserve"> -245 (-350, -141)</w:t>
            </w:r>
          </w:p>
        </w:tc>
      </w:tr>
      <w:tr w:rsidR="0034717C" w:rsidRPr="00501526" w14:paraId="344EAD66" w14:textId="77777777" w:rsidTr="005623A2">
        <w:tc>
          <w:tcPr>
            <w:tcW w:w="2830" w:type="dxa"/>
            <w:shd w:val="clear" w:color="auto" w:fill="C6D9F1" w:themeFill="text2" w:themeFillTint="33"/>
          </w:tcPr>
          <w:p w14:paraId="39DB591D" w14:textId="77777777" w:rsidR="0034717C" w:rsidRPr="00501526" w:rsidRDefault="0034717C" w:rsidP="00F110B7">
            <w:pPr>
              <w:keepNext/>
              <w:keepLines/>
              <w:tabs>
                <w:tab w:val="left" w:pos="267"/>
              </w:tabs>
              <w:rPr>
                <w:rFonts w:ascii="Arial Narrow" w:hAnsi="Arial Narrow"/>
                <w:iCs/>
                <w:sz w:val="20"/>
              </w:rPr>
            </w:pPr>
            <w:r w:rsidRPr="00501526">
              <w:rPr>
                <w:rFonts w:ascii="Arial Narrow" w:hAnsi="Arial Narrow"/>
                <w:iCs/>
                <w:sz w:val="20"/>
              </w:rPr>
              <w:t xml:space="preserve">6 weeks, mean μmol/L (SD) </w:t>
            </w:r>
          </w:p>
        </w:tc>
        <w:tc>
          <w:tcPr>
            <w:tcW w:w="1755" w:type="dxa"/>
            <w:shd w:val="clear" w:color="auto" w:fill="C6D9F1" w:themeFill="text2" w:themeFillTint="33"/>
            <w:vAlign w:val="center"/>
          </w:tcPr>
          <w:p w14:paraId="2EF67A6A"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N=41, 606.9 (377.0)</w:t>
            </w:r>
          </w:p>
        </w:tc>
        <w:tc>
          <w:tcPr>
            <w:tcW w:w="1530" w:type="dxa"/>
            <w:gridSpan w:val="2"/>
            <w:shd w:val="clear" w:color="auto" w:fill="C6D9F1" w:themeFill="text2" w:themeFillTint="33"/>
            <w:vAlign w:val="center"/>
          </w:tcPr>
          <w:p w14:paraId="40C2F5EC"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N=47, 981.2 (347.6)</w:t>
            </w:r>
          </w:p>
        </w:tc>
        <w:tc>
          <w:tcPr>
            <w:tcW w:w="2902" w:type="dxa"/>
            <w:vMerge/>
            <w:shd w:val="clear" w:color="auto" w:fill="C6D9F1" w:themeFill="text2" w:themeFillTint="33"/>
            <w:vAlign w:val="center"/>
          </w:tcPr>
          <w:p w14:paraId="1261282B" w14:textId="77777777" w:rsidR="0034717C" w:rsidRPr="00501526" w:rsidRDefault="0034717C" w:rsidP="00F110B7">
            <w:pPr>
              <w:keepNext/>
              <w:keepLines/>
              <w:jc w:val="center"/>
              <w:rPr>
                <w:rFonts w:ascii="Arial Narrow" w:hAnsi="Arial Narrow"/>
                <w:iCs/>
                <w:sz w:val="20"/>
              </w:rPr>
            </w:pPr>
          </w:p>
        </w:tc>
      </w:tr>
      <w:tr w:rsidR="0034717C" w:rsidRPr="00501526" w14:paraId="32E79CC7" w14:textId="77777777" w:rsidTr="005623A2">
        <w:tc>
          <w:tcPr>
            <w:tcW w:w="2830" w:type="dxa"/>
            <w:shd w:val="clear" w:color="auto" w:fill="C6D9F1" w:themeFill="text2" w:themeFillTint="33"/>
          </w:tcPr>
          <w:p w14:paraId="495EE93C" w14:textId="77777777" w:rsidR="0034717C" w:rsidRPr="00501526" w:rsidRDefault="0034717C" w:rsidP="00F110B7">
            <w:pPr>
              <w:keepNext/>
              <w:keepLines/>
              <w:tabs>
                <w:tab w:val="left" w:pos="267"/>
              </w:tabs>
              <w:rPr>
                <w:rFonts w:ascii="Arial Narrow" w:hAnsi="Arial Narrow"/>
                <w:iCs/>
                <w:sz w:val="20"/>
              </w:rPr>
            </w:pPr>
            <w:r w:rsidRPr="00501526">
              <w:rPr>
                <w:rFonts w:ascii="Arial Narrow" w:hAnsi="Arial Narrow"/>
                <w:iCs/>
                <w:sz w:val="20"/>
              </w:rPr>
              <w:t xml:space="preserve">Change, mean μmol/L (SE)  </w:t>
            </w:r>
          </w:p>
        </w:tc>
        <w:tc>
          <w:tcPr>
            <w:tcW w:w="1755" w:type="dxa"/>
            <w:shd w:val="clear" w:color="auto" w:fill="C6D9F1" w:themeFill="text2" w:themeFillTint="33"/>
            <w:vAlign w:val="center"/>
          </w:tcPr>
          <w:p w14:paraId="59269210"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N=41, -239 (38.3)</w:t>
            </w:r>
          </w:p>
        </w:tc>
        <w:tc>
          <w:tcPr>
            <w:tcW w:w="1530" w:type="dxa"/>
            <w:gridSpan w:val="2"/>
            <w:shd w:val="clear" w:color="auto" w:fill="C6D9F1" w:themeFill="text2" w:themeFillTint="33"/>
            <w:vAlign w:val="center"/>
          </w:tcPr>
          <w:p w14:paraId="37BE65E6"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N=47, 6 (35.8)</w:t>
            </w:r>
          </w:p>
        </w:tc>
        <w:tc>
          <w:tcPr>
            <w:tcW w:w="2902" w:type="dxa"/>
            <w:vMerge/>
            <w:shd w:val="clear" w:color="auto" w:fill="C6D9F1" w:themeFill="text2" w:themeFillTint="33"/>
            <w:vAlign w:val="center"/>
          </w:tcPr>
          <w:p w14:paraId="1E580C96" w14:textId="77777777" w:rsidR="0034717C" w:rsidRPr="00501526" w:rsidRDefault="0034717C" w:rsidP="00F110B7">
            <w:pPr>
              <w:keepNext/>
              <w:keepLines/>
              <w:jc w:val="center"/>
              <w:rPr>
                <w:rFonts w:ascii="Arial Narrow" w:hAnsi="Arial Narrow"/>
                <w:b/>
                <w:iCs/>
                <w:sz w:val="20"/>
              </w:rPr>
            </w:pPr>
          </w:p>
        </w:tc>
      </w:tr>
      <w:tr w:rsidR="0034717C" w:rsidRPr="00501526" w14:paraId="3FB9683C" w14:textId="77777777" w:rsidTr="005623A2">
        <w:tc>
          <w:tcPr>
            <w:tcW w:w="2830" w:type="dxa"/>
            <w:shd w:val="clear" w:color="auto" w:fill="C6D9F1" w:themeFill="text2" w:themeFillTint="33"/>
            <w:vAlign w:val="center"/>
          </w:tcPr>
          <w:p w14:paraId="7A76404D" w14:textId="77777777" w:rsidR="0034717C" w:rsidRPr="00501526" w:rsidRDefault="0034717C" w:rsidP="00F110B7">
            <w:pPr>
              <w:keepNext/>
              <w:keepLines/>
              <w:tabs>
                <w:tab w:val="left" w:pos="267"/>
              </w:tabs>
              <w:jc w:val="left"/>
              <w:rPr>
                <w:rFonts w:ascii="Arial Narrow" w:hAnsi="Arial Narrow"/>
                <w:iCs/>
                <w:sz w:val="20"/>
              </w:rPr>
            </w:pPr>
            <w:r w:rsidRPr="00501526">
              <w:rPr>
                <w:rFonts w:ascii="Arial Narrow" w:hAnsi="Arial Narrow"/>
                <w:iCs/>
                <w:sz w:val="20"/>
              </w:rPr>
              <w:t>Proportion &lt;600 μmol/L, n/N (%)</w:t>
            </w:r>
          </w:p>
        </w:tc>
        <w:tc>
          <w:tcPr>
            <w:tcW w:w="1755" w:type="dxa"/>
            <w:shd w:val="clear" w:color="auto" w:fill="C6D9F1" w:themeFill="text2" w:themeFillTint="33"/>
            <w:vAlign w:val="center"/>
          </w:tcPr>
          <w:p w14:paraId="258DCB27"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22/41 (54)</w:t>
            </w:r>
          </w:p>
        </w:tc>
        <w:tc>
          <w:tcPr>
            <w:tcW w:w="1530" w:type="dxa"/>
            <w:gridSpan w:val="2"/>
            <w:shd w:val="clear" w:color="auto" w:fill="C6D9F1" w:themeFill="text2" w:themeFillTint="33"/>
            <w:vAlign w:val="center"/>
          </w:tcPr>
          <w:p w14:paraId="4BB75056"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11/47 (23)</w:t>
            </w:r>
          </w:p>
        </w:tc>
        <w:tc>
          <w:tcPr>
            <w:tcW w:w="2902" w:type="dxa"/>
            <w:shd w:val="clear" w:color="auto" w:fill="C6D9F1" w:themeFill="text2" w:themeFillTint="33"/>
            <w:vAlign w:val="center"/>
          </w:tcPr>
          <w:p w14:paraId="5291E3C9"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iCs/>
                <w:sz w:val="20"/>
              </w:rPr>
              <w:t>RR=</w:t>
            </w:r>
            <w:r w:rsidRPr="00501526">
              <w:rPr>
                <w:rFonts w:ascii="Arial Narrow" w:hAnsi="Arial Narrow"/>
                <w:b/>
                <w:iCs/>
                <w:sz w:val="20"/>
              </w:rPr>
              <w:t>2.3 (1.3, 4.1)</w:t>
            </w:r>
          </w:p>
          <w:p w14:paraId="41DC691D" w14:textId="77777777" w:rsidR="0034717C" w:rsidRPr="00501526" w:rsidRDefault="0034717C" w:rsidP="00F110B7">
            <w:pPr>
              <w:keepNext/>
              <w:keepLines/>
              <w:jc w:val="center"/>
              <w:rPr>
                <w:rFonts w:ascii="Arial Narrow" w:hAnsi="Arial Narrow"/>
                <w:b/>
                <w:iCs/>
                <w:sz w:val="20"/>
              </w:rPr>
            </w:pPr>
            <w:r w:rsidRPr="00501526">
              <w:rPr>
                <w:rFonts w:ascii="Arial Narrow" w:hAnsi="Arial Narrow"/>
                <w:iCs/>
                <w:sz w:val="20"/>
              </w:rPr>
              <w:t>RD=</w:t>
            </w:r>
            <w:r w:rsidRPr="00501526">
              <w:rPr>
                <w:rFonts w:ascii="Arial Narrow" w:hAnsi="Arial Narrow"/>
                <w:b/>
                <w:iCs/>
                <w:sz w:val="20"/>
              </w:rPr>
              <w:t>0.3 (0.1, 0.5)</w:t>
            </w:r>
          </w:p>
        </w:tc>
      </w:tr>
      <w:tr w:rsidR="0034717C" w:rsidRPr="00501526" w14:paraId="0E077360" w14:textId="77777777" w:rsidTr="005623A2">
        <w:tc>
          <w:tcPr>
            <w:tcW w:w="2830" w:type="dxa"/>
            <w:shd w:val="clear" w:color="auto" w:fill="C6D9F1" w:themeFill="text2" w:themeFillTint="33"/>
            <w:vAlign w:val="center"/>
          </w:tcPr>
          <w:p w14:paraId="46E09273" w14:textId="77777777" w:rsidR="0034717C" w:rsidRPr="00501526" w:rsidRDefault="0034717C" w:rsidP="00F110B7">
            <w:pPr>
              <w:keepNext/>
              <w:keepLines/>
              <w:tabs>
                <w:tab w:val="left" w:pos="267"/>
              </w:tabs>
              <w:jc w:val="left"/>
              <w:rPr>
                <w:rFonts w:ascii="Arial Narrow" w:hAnsi="Arial Narrow"/>
                <w:iCs/>
                <w:sz w:val="20"/>
              </w:rPr>
            </w:pPr>
            <w:r w:rsidRPr="00501526">
              <w:rPr>
                <w:rFonts w:ascii="Arial Narrow" w:hAnsi="Arial Narrow"/>
                <w:iCs/>
                <w:sz w:val="20"/>
              </w:rPr>
              <w:t>Proportion &lt;360 μmol/L, n/N (%)</w:t>
            </w:r>
          </w:p>
        </w:tc>
        <w:tc>
          <w:tcPr>
            <w:tcW w:w="1755" w:type="dxa"/>
            <w:shd w:val="clear" w:color="auto" w:fill="C6D9F1" w:themeFill="text2" w:themeFillTint="33"/>
            <w:vAlign w:val="center"/>
          </w:tcPr>
          <w:p w14:paraId="305F18A6"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13/41 (32)</w:t>
            </w:r>
          </w:p>
        </w:tc>
        <w:tc>
          <w:tcPr>
            <w:tcW w:w="1530" w:type="dxa"/>
            <w:gridSpan w:val="2"/>
            <w:shd w:val="clear" w:color="auto" w:fill="C6D9F1" w:themeFill="text2" w:themeFillTint="33"/>
            <w:vAlign w:val="center"/>
          </w:tcPr>
          <w:p w14:paraId="4B416E19"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1/47 (2)</w:t>
            </w:r>
          </w:p>
        </w:tc>
        <w:tc>
          <w:tcPr>
            <w:tcW w:w="2902" w:type="dxa"/>
            <w:shd w:val="clear" w:color="auto" w:fill="C6D9F1" w:themeFill="text2" w:themeFillTint="33"/>
            <w:vAlign w:val="center"/>
          </w:tcPr>
          <w:p w14:paraId="28298E19"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RR=</w:t>
            </w:r>
            <w:r w:rsidRPr="00501526">
              <w:rPr>
                <w:rFonts w:ascii="Arial Narrow" w:hAnsi="Arial Narrow"/>
                <w:b/>
                <w:iCs/>
                <w:sz w:val="20"/>
              </w:rPr>
              <w:t>14.9 (2.0, 109.1)</w:t>
            </w:r>
          </w:p>
          <w:p w14:paraId="5D3D26D4" w14:textId="77777777" w:rsidR="0034717C" w:rsidRPr="00501526" w:rsidRDefault="0034717C" w:rsidP="00F110B7">
            <w:pPr>
              <w:keepNext/>
              <w:keepLines/>
              <w:jc w:val="center"/>
              <w:rPr>
                <w:rFonts w:ascii="Arial Narrow" w:hAnsi="Arial Narrow"/>
                <w:iCs/>
                <w:sz w:val="20"/>
              </w:rPr>
            </w:pPr>
            <w:r w:rsidRPr="00501526">
              <w:rPr>
                <w:rFonts w:ascii="Arial Narrow" w:hAnsi="Arial Narrow"/>
                <w:iCs/>
                <w:sz w:val="20"/>
              </w:rPr>
              <w:t>RD=</w:t>
            </w:r>
            <w:r w:rsidRPr="00501526">
              <w:rPr>
                <w:rFonts w:ascii="Arial Narrow" w:hAnsi="Arial Narrow"/>
                <w:b/>
                <w:iCs/>
                <w:sz w:val="20"/>
              </w:rPr>
              <w:t>0.3 (0.2, 0.4)</w:t>
            </w:r>
          </w:p>
        </w:tc>
      </w:tr>
    </w:tbl>
    <w:p w14:paraId="166DD627" w14:textId="21896DDD" w:rsidR="0034717C" w:rsidRPr="00501526" w:rsidRDefault="0034717C" w:rsidP="00F110B7">
      <w:pPr>
        <w:pStyle w:val="TableFooter"/>
        <w:keepNext/>
        <w:keepLines/>
        <w:tabs>
          <w:tab w:val="left" w:pos="284"/>
        </w:tabs>
        <w:rPr>
          <w:iCs/>
        </w:rPr>
      </w:pPr>
      <w:r w:rsidRPr="00501526">
        <w:rPr>
          <w:iCs/>
        </w:rPr>
        <w:t xml:space="preserve">Source: Tables 7 and 8, pp14-15 of Sapropterin March 2018 PBAC PSD. </w:t>
      </w:r>
    </w:p>
    <w:p w14:paraId="304881C4" w14:textId="232A332E" w:rsidR="005623A2" w:rsidRPr="00501526" w:rsidRDefault="005623A2" w:rsidP="005623A2">
      <w:pPr>
        <w:pStyle w:val="TableFigureFooter"/>
        <w:rPr>
          <w:iCs/>
          <w:snapToGrid/>
          <w:szCs w:val="24"/>
        </w:rPr>
      </w:pPr>
      <w:r w:rsidRPr="00501526">
        <w:rPr>
          <w:iCs/>
          <w:snapToGrid/>
          <w:szCs w:val="24"/>
        </w:rPr>
        <w:t>Blue shading indicate evidence previously considered by PBAC</w:t>
      </w:r>
    </w:p>
    <w:p w14:paraId="3CB7C7BB" w14:textId="77777777" w:rsidR="0034717C" w:rsidRPr="00501526" w:rsidRDefault="0034717C" w:rsidP="00FD5282">
      <w:pPr>
        <w:pStyle w:val="TableFooter"/>
        <w:keepNext/>
        <w:keepLines/>
        <w:tabs>
          <w:tab w:val="left" w:pos="284"/>
        </w:tabs>
        <w:rPr>
          <w:iCs/>
        </w:rPr>
      </w:pPr>
    </w:p>
    <w:p w14:paraId="19A5EF4F" w14:textId="3D79C041" w:rsidR="00912256" w:rsidRPr="00501526" w:rsidRDefault="00912256" w:rsidP="00912256">
      <w:pPr>
        <w:pStyle w:val="3-BodyText"/>
        <w:rPr>
          <w:iCs/>
          <w:color w:val="000000" w:themeColor="text1"/>
        </w:rPr>
      </w:pPr>
      <w:r w:rsidRPr="00501526">
        <w:rPr>
          <w:iCs/>
          <w:color w:val="000000" w:themeColor="text1"/>
        </w:rPr>
        <w:t xml:space="preserve">In PKU-004, a reduction in blood Phe was observed at all time points (up to week 22) with treatment with sapropterin, with larger reductions observed with increasing doses of sapropterin, which were statistically significant (P&lt;0.01). </w:t>
      </w:r>
    </w:p>
    <w:p w14:paraId="4220F8C6" w14:textId="207D0731" w:rsidR="00B32585" w:rsidRPr="00501526" w:rsidRDefault="00912256" w:rsidP="00912256">
      <w:pPr>
        <w:pStyle w:val="3-BodyText"/>
        <w:rPr>
          <w:iCs/>
          <w:color w:val="000000" w:themeColor="text1"/>
        </w:rPr>
      </w:pPr>
      <w:r w:rsidRPr="00501526">
        <w:rPr>
          <w:iCs/>
          <w:color w:val="000000" w:themeColor="text1"/>
        </w:rPr>
        <w:t xml:space="preserve">In PKU-008, the mean blood Phe remained constant in both cohorts over 24 months for both patients who </w:t>
      </w:r>
      <w:r w:rsidR="006E1415" w:rsidRPr="00501526">
        <w:rPr>
          <w:iCs/>
          <w:color w:val="000000" w:themeColor="text1"/>
        </w:rPr>
        <w:t xml:space="preserve">continued treatment with sapropterin and </w:t>
      </w:r>
      <w:r w:rsidR="00B13ECC" w:rsidRPr="00501526">
        <w:rPr>
          <w:iCs/>
          <w:color w:val="000000" w:themeColor="text1"/>
        </w:rPr>
        <w:t xml:space="preserve">who </w:t>
      </w:r>
      <w:r w:rsidRPr="00501526">
        <w:rPr>
          <w:iCs/>
          <w:color w:val="000000" w:themeColor="text1"/>
        </w:rPr>
        <w:t>were previously enrolled in PKU-004 and PKU-006, though no statistical tests were conducted.</w:t>
      </w:r>
    </w:p>
    <w:p w14:paraId="7ECE4C82" w14:textId="0BC89423" w:rsidR="000C5C22" w:rsidRPr="00501526" w:rsidRDefault="00FD5282" w:rsidP="00C235C5">
      <w:pPr>
        <w:pStyle w:val="3-BodyText"/>
        <w:rPr>
          <w:iCs/>
        </w:rPr>
      </w:pPr>
      <w:r w:rsidRPr="00501526">
        <w:rPr>
          <w:iCs/>
          <w:snapToGrid/>
          <w:color w:val="000000" w:themeColor="text1"/>
        </w:rPr>
        <w:t xml:space="preserve">The submission also presented a more recent cut-off </w:t>
      </w:r>
      <w:r w:rsidR="00CF00E0" w:rsidRPr="00501526">
        <w:rPr>
          <w:iCs/>
          <w:snapToGrid/>
          <w:color w:val="000000" w:themeColor="text1"/>
        </w:rPr>
        <w:t xml:space="preserve">(February 2017) </w:t>
      </w:r>
      <w:r w:rsidRPr="00501526">
        <w:rPr>
          <w:iCs/>
          <w:snapToGrid/>
          <w:color w:val="000000" w:themeColor="text1"/>
        </w:rPr>
        <w:t xml:space="preserve">of </w:t>
      </w:r>
      <w:r w:rsidR="00404F74" w:rsidRPr="00501526">
        <w:rPr>
          <w:iCs/>
          <w:snapToGrid/>
          <w:color w:val="000000" w:themeColor="text1"/>
        </w:rPr>
        <w:t xml:space="preserve">the </w:t>
      </w:r>
      <w:r w:rsidRPr="00501526">
        <w:rPr>
          <w:iCs/>
          <w:snapToGrid/>
          <w:color w:val="000000" w:themeColor="text1"/>
        </w:rPr>
        <w:t xml:space="preserve">PKUDOS registry from </w:t>
      </w:r>
      <w:r w:rsidR="009629AB" w:rsidRPr="00501526">
        <w:rPr>
          <w:iCs/>
          <w:snapToGrid/>
          <w:color w:val="000000" w:themeColor="text1"/>
        </w:rPr>
        <w:t>Lilienstein</w:t>
      </w:r>
      <w:r w:rsidRPr="00501526">
        <w:rPr>
          <w:iCs/>
          <w:snapToGrid/>
          <w:color w:val="000000" w:themeColor="text1"/>
        </w:rPr>
        <w:t xml:space="preserve"> (2018).</w:t>
      </w:r>
      <w:r w:rsidR="00F64DF4" w:rsidRPr="00501526">
        <w:rPr>
          <w:iCs/>
        </w:rPr>
        <w:t xml:space="preserve"> </w:t>
      </w:r>
      <w:r w:rsidR="000C5C22" w:rsidRPr="00501526">
        <w:rPr>
          <w:iCs/>
        </w:rPr>
        <w:t>The change in blood Phe levels over a follow-up of 8 years for adults (18 to &lt;65 years) is presented in</w:t>
      </w:r>
      <w:r w:rsidR="00CD0BE2" w:rsidRPr="00501526">
        <w:rPr>
          <w:iCs/>
        </w:rPr>
        <w:t xml:space="preserve"> </w:t>
      </w:r>
      <w:r w:rsidR="00CD0BE2" w:rsidRPr="00501526">
        <w:rPr>
          <w:iCs/>
        </w:rPr>
        <w:fldChar w:fldCharType="begin"/>
      </w:r>
      <w:r w:rsidR="00CD0BE2" w:rsidRPr="00501526">
        <w:rPr>
          <w:iCs/>
        </w:rPr>
        <w:instrText xml:space="preserve"> REF _Ref106359305 \h  \* MERGEFORMAT </w:instrText>
      </w:r>
      <w:r w:rsidR="00CD0BE2" w:rsidRPr="00501526">
        <w:rPr>
          <w:iCs/>
        </w:rPr>
      </w:r>
      <w:r w:rsidR="00CD0BE2" w:rsidRPr="00501526">
        <w:rPr>
          <w:iCs/>
        </w:rPr>
        <w:fldChar w:fldCharType="separate"/>
      </w:r>
      <w:r w:rsidR="0035299E" w:rsidRPr="0035299E">
        <w:rPr>
          <w:iCs/>
        </w:rPr>
        <w:t>Figure 1</w:t>
      </w:r>
      <w:r w:rsidR="00CD0BE2" w:rsidRPr="00501526">
        <w:rPr>
          <w:iCs/>
        </w:rPr>
        <w:fldChar w:fldCharType="end"/>
      </w:r>
      <w:r w:rsidR="000C5C22" w:rsidRPr="00501526">
        <w:rPr>
          <w:iCs/>
        </w:rPr>
        <w:t>.</w:t>
      </w:r>
    </w:p>
    <w:p w14:paraId="55D6C872" w14:textId="7A2E8AB6" w:rsidR="00EF4958" w:rsidRPr="00501526" w:rsidRDefault="00954CE9" w:rsidP="00954CE9">
      <w:pPr>
        <w:pStyle w:val="Caption"/>
        <w:keepNext/>
        <w:keepLines/>
        <w:spacing w:after="0"/>
        <w:rPr>
          <w:rFonts w:ascii="Arial Narrow" w:hAnsi="Arial Narrow"/>
          <w:iCs/>
          <w:color w:val="auto"/>
          <w:sz w:val="20"/>
          <w:szCs w:val="20"/>
        </w:rPr>
      </w:pPr>
      <w:bookmarkStart w:id="30" w:name="_Ref106359305"/>
      <w:r w:rsidRPr="00501526">
        <w:rPr>
          <w:rFonts w:ascii="Arial Narrow" w:hAnsi="Arial Narrow"/>
          <w:iCs/>
          <w:color w:val="auto"/>
          <w:sz w:val="20"/>
          <w:szCs w:val="20"/>
        </w:rPr>
        <w:lastRenderedPageBreak/>
        <w:t xml:space="preserve">Figure </w:t>
      </w:r>
      <w:r w:rsidRPr="00501526">
        <w:rPr>
          <w:rFonts w:ascii="Arial Narrow" w:hAnsi="Arial Narrow"/>
          <w:iCs/>
          <w:color w:val="auto"/>
          <w:sz w:val="20"/>
          <w:szCs w:val="20"/>
        </w:rPr>
        <w:fldChar w:fldCharType="begin"/>
      </w:r>
      <w:r w:rsidRPr="00501526">
        <w:rPr>
          <w:rFonts w:ascii="Arial Narrow" w:hAnsi="Arial Narrow"/>
          <w:iCs/>
          <w:color w:val="auto"/>
          <w:sz w:val="20"/>
          <w:szCs w:val="20"/>
        </w:rPr>
        <w:instrText xml:space="preserve"> SEQ Figure \* ARABIC </w:instrText>
      </w:r>
      <w:r w:rsidRPr="00501526">
        <w:rPr>
          <w:rFonts w:ascii="Arial Narrow" w:hAnsi="Arial Narrow"/>
          <w:iCs/>
          <w:color w:val="auto"/>
          <w:sz w:val="20"/>
          <w:szCs w:val="20"/>
        </w:rPr>
        <w:fldChar w:fldCharType="separate"/>
      </w:r>
      <w:r w:rsidR="0035299E">
        <w:rPr>
          <w:rFonts w:ascii="Arial Narrow" w:hAnsi="Arial Narrow"/>
          <w:iCs/>
          <w:noProof/>
          <w:color w:val="auto"/>
          <w:sz w:val="20"/>
          <w:szCs w:val="20"/>
        </w:rPr>
        <w:t>1</w:t>
      </w:r>
      <w:r w:rsidRPr="00501526">
        <w:rPr>
          <w:rFonts w:ascii="Arial Narrow" w:hAnsi="Arial Narrow"/>
          <w:iCs/>
          <w:color w:val="auto"/>
          <w:sz w:val="20"/>
          <w:szCs w:val="20"/>
        </w:rPr>
        <w:fldChar w:fldCharType="end"/>
      </w:r>
      <w:bookmarkEnd w:id="30"/>
      <w:r w:rsidR="00EF4958" w:rsidRPr="00501526">
        <w:rPr>
          <w:rFonts w:ascii="Arial Narrow" w:hAnsi="Arial Narrow"/>
          <w:iCs/>
          <w:color w:val="auto"/>
          <w:sz w:val="20"/>
          <w:szCs w:val="20"/>
        </w:rPr>
        <w:t>: Mean blood Phe (A) and mean Phe intake (B) in adults (18 to &lt;65 years old) in PKUDOS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C5C22" w:rsidRPr="00501526" w14:paraId="072C70EB" w14:textId="77777777" w:rsidTr="00C235C5">
        <w:tc>
          <w:tcPr>
            <w:tcW w:w="4508" w:type="dxa"/>
          </w:tcPr>
          <w:p w14:paraId="2EBA0878" w14:textId="77777777" w:rsidR="000C5C22" w:rsidRPr="00501526" w:rsidRDefault="000C5C22" w:rsidP="00954CE9">
            <w:pPr>
              <w:pStyle w:val="Tabletext"/>
              <w:keepNext/>
              <w:keepLines/>
              <w:rPr>
                <w:iCs/>
              </w:rPr>
            </w:pPr>
            <w:r w:rsidRPr="00501526">
              <w:rPr>
                <w:iCs/>
              </w:rPr>
              <w:t xml:space="preserve">A </w:t>
            </w:r>
          </w:p>
        </w:tc>
        <w:tc>
          <w:tcPr>
            <w:tcW w:w="4508" w:type="dxa"/>
          </w:tcPr>
          <w:p w14:paraId="31E3B1E5" w14:textId="77777777" w:rsidR="000C5C22" w:rsidRPr="00501526" w:rsidRDefault="000C5C22" w:rsidP="00954CE9">
            <w:pPr>
              <w:pStyle w:val="Tabletext"/>
              <w:keepNext/>
              <w:keepLines/>
              <w:rPr>
                <w:iCs/>
              </w:rPr>
            </w:pPr>
            <w:r w:rsidRPr="00501526">
              <w:rPr>
                <w:iCs/>
              </w:rPr>
              <w:t>B</w:t>
            </w:r>
          </w:p>
        </w:tc>
      </w:tr>
      <w:tr w:rsidR="000C5C22" w:rsidRPr="00501526" w14:paraId="4D18107E" w14:textId="77777777" w:rsidTr="00C235C5">
        <w:tc>
          <w:tcPr>
            <w:tcW w:w="4508" w:type="dxa"/>
          </w:tcPr>
          <w:p w14:paraId="4EF488DD" w14:textId="77777777" w:rsidR="000C5C22" w:rsidRPr="00501526" w:rsidRDefault="000C5C22" w:rsidP="00954CE9">
            <w:pPr>
              <w:pStyle w:val="Tabletext"/>
              <w:keepNext/>
              <w:keepLines/>
              <w:rPr>
                <w:iCs/>
              </w:rPr>
            </w:pPr>
            <w:r w:rsidRPr="00501526">
              <w:rPr>
                <w:iCs/>
                <w:noProof/>
              </w:rPr>
              <w:drawing>
                <wp:inline distT="0" distB="0" distL="0" distR="0" wp14:anchorId="1E97BAAA" wp14:editId="7E764C72">
                  <wp:extent cx="2648309" cy="3452360"/>
                  <wp:effectExtent l="0" t="0" r="0" b="0"/>
                  <wp:docPr id="4" name="Picture 4" descr="Figure 1: Mean blood Phe in adults (18 to &lt;65 years old) in PK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Mean blood Phe in adults (18 to &lt;65 years old) in PKUDOS"/>
                          <pic:cNvPicPr/>
                        </pic:nvPicPr>
                        <pic:blipFill>
                          <a:blip r:embed="rId8"/>
                          <a:stretch>
                            <a:fillRect/>
                          </a:stretch>
                        </pic:blipFill>
                        <pic:spPr>
                          <a:xfrm>
                            <a:off x="0" y="0"/>
                            <a:ext cx="2671738" cy="3482902"/>
                          </a:xfrm>
                          <a:prstGeom prst="rect">
                            <a:avLst/>
                          </a:prstGeom>
                        </pic:spPr>
                      </pic:pic>
                    </a:graphicData>
                  </a:graphic>
                </wp:inline>
              </w:drawing>
            </w:r>
          </w:p>
        </w:tc>
        <w:tc>
          <w:tcPr>
            <w:tcW w:w="4508" w:type="dxa"/>
          </w:tcPr>
          <w:p w14:paraId="1633678C" w14:textId="77777777" w:rsidR="000C5C22" w:rsidRPr="00501526" w:rsidRDefault="000C5C22" w:rsidP="00954CE9">
            <w:pPr>
              <w:pStyle w:val="Tabletext"/>
              <w:keepNext/>
              <w:keepLines/>
              <w:rPr>
                <w:iCs/>
              </w:rPr>
            </w:pPr>
            <w:r w:rsidRPr="00501526">
              <w:rPr>
                <w:iCs/>
                <w:noProof/>
              </w:rPr>
              <w:drawing>
                <wp:inline distT="0" distB="0" distL="0" distR="0" wp14:anchorId="74821688" wp14:editId="126CBC12">
                  <wp:extent cx="2725947" cy="3400522"/>
                  <wp:effectExtent l="0" t="0" r="0" b="0"/>
                  <wp:docPr id="5" name="Picture 5" descr="Figure 1: Mean mean Phe intake in adults (18 to &lt;65 years old) in PK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Mean mean Phe intake in adults (18 to &lt;65 years old) in PKUDOS"/>
                          <pic:cNvPicPr/>
                        </pic:nvPicPr>
                        <pic:blipFill>
                          <a:blip r:embed="rId9"/>
                          <a:stretch>
                            <a:fillRect/>
                          </a:stretch>
                        </pic:blipFill>
                        <pic:spPr>
                          <a:xfrm>
                            <a:off x="0" y="0"/>
                            <a:ext cx="2759830" cy="3442789"/>
                          </a:xfrm>
                          <a:prstGeom prst="rect">
                            <a:avLst/>
                          </a:prstGeom>
                        </pic:spPr>
                      </pic:pic>
                    </a:graphicData>
                  </a:graphic>
                </wp:inline>
              </w:drawing>
            </w:r>
          </w:p>
        </w:tc>
      </w:tr>
    </w:tbl>
    <w:p w14:paraId="692A204C" w14:textId="3C30D64B" w:rsidR="000C5C22" w:rsidRPr="00501526" w:rsidRDefault="000C5C22" w:rsidP="00954CE9">
      <w:pPr>
        <w:pStyle w:val="TableFigureFooter"/>
        <w:keepNext/>
        <w:keepLines/>
        <w:jc w:val="left"/>
        <w:rPr>
          <w:iCs/>
        </w:rPr>
      </w:pPr>
      <w:r w:rsidRPr="00501526">
        <w:rPr>
          <w:iCs/>
        </w:rPr>
        <w:t>Source: Figure 2.8-9, p224 of the submission</w:t>
      </w:r>
      <w:r w:rsidR="003F60FD">
        <w:rPr>
          <w:iCs/>
        </w:rPr>
        <w:t xml:space="preserve"> A</w:t>
      </w:r>
      <w:r w:rsidR="00A201B5">
        <w:rPr>
          <w:iCs/>
        </w:rPr>
        <w:t>dapted from Lilienstein et al (2018) Poster figure 1 and 3</w:t>
      </w:r>
      <w:r w:rsidRPr="00501526">
        <w:rPr>
          <w:iCs/>
        </w:rPr>
        <w:t>. Phe = phenylalanine; SD = standard deviation</w:t>
      </w:r>
    </w:p>
    <w:p w14:paraId="1025F25B" w14:textId="77777777" w:rsidR="000C5C22" w:rsidRPr="00501526" w:rsidRDefault="000C5C22" w:rsidP="00954CE9">
      <w:pPr>
        <w:pStyle w:val="TableFigureFooter"/>
        <w:keepNext/>
        <w:keepLines/>
        <w:jc w:val="left"/>
        <w:rPr>
          <w:iCs/>
        </w:rPr>
      </w:pPr>
      <w:r w:rsidRPr="00501526">
        <w:rPr>
          <w:iCs/>
        </w:rPr>
        <w:t>Light shaded area represents blood Phe range 120-360 μmol/L.</w:t>
      </w:r>
    </w:p>
    <w:p w14:paraId="1ACF525F" w14:textId="77777777" w:rsidR="000C5C22" w:rsidRPr="00501526" w:rsidRDefault="000C5C22" w:rsidP="00954CE9">
      <w:pPr>
        <w:pStyle w:val="TableFigureFooter"/>
        <w:keepNext/>
        <w:keepLines/>
        <w:spacing w:after="240"/>
        <w:jc w:val="left"/>
        <w:rPr>
          <w:iCs/>
        </w:rPr>
      </w:pPr>
      <w:r w:rsidRPr="00501526">
        <w:rPr>
          <w:iCs/>
        </w:rPr>
        <w:t>Dark shaded area represents blood Phe range 360-600 μmol/L.</w:t>
      </w:r>
    </w:p>
    <w:p w14:paraId="1D167324" w14:textId="522D6A1E" w:rsidR="003F60FD" w:rsidRDefault="00404F74" w:rsidP="003F60FD">
      <w:pPr>
        <w:pStyle w:val="3-BodyText"/>
      </w:pPr>
      <w:bookmarkStart w:id="31" w:name="_Ref102570548"/>
      <w:bookmarkStart w:id="32" w:name="_Ref102616944"/>
      <w:r w:rsidRPr="003F60FD">
        <w:t xml:space="preserve">The submission stated that </w:t>
      </w:r>
      <w:bookmarkStart w:id="33" w:name="_Hlk102579486"/>
      <w:r w:rsidRPr="003F60FD">
        <w:t>patients in PKUDOS on continuous treatment with sapropterin were able to maintain blood Phe levels in the range of 360-600</w:t>
      </w:r>
      <w:r w:rsidR="00B400A7">
        <w:t> </w:t>
      </w:r>
      <w:r w:rsidRPr="003F60FD">
        <w:t xml:space="preserve">µmol/L through the 8 years of follow-up, while the mean blood Phe levels were all above </w:t>
      </w:r>
      <w:r w:rsidR="003F60FD" w:rsidRPr="003F60FD">
        <w:t>600 </w:t>
      </w:r>
      <w:r w:rsidRPr="003F60FD">
        <w:t xml:space="preserve">µmol/L in the previously treated cohort </w:t>
      </w:r>
      <w:bookmarkEnd w:id="33"/>
      <w:r w:rsidRPr="003F60FD">
        <w:t xml:space="preserve">(i.e. patients who discontinued sapropterin for any reason). </w:t>
      </w:r>
      <w:r w:rsidR="00737463" w:rsidRPr="003F60FD">
        <w:t>T</w:t>
      </w:r>
      <w:r w:rsidRPr="003F60FD">
        <w:t>he mean baseline Phe level was lower in patients on continuous treatment compared with those previously treated based on visual inspection of available data (Lilienstein 2018 did not present mean baseline Phe in either group, a graphical presentation of Phe at baseline and follow-up is presented</w:t>
      </w:r>
      <w:r w:rsidR="00954CE9" w:rsidRPr="003F60FD">
        <w:t xml:space="preserve"> in </w:t>
      </w:r>
      <w:r w:rsidR="00954CE9" w:rsidRPr="003F60FD">
        <w:fldChar w:fldCharType="begin"/>
      </w:r>
      <w:r w:rsidR="00954CE9" w:rsidRPr="003F60FD">
        <w:instrText xml:space="preserve"> REF _Ref106359305 \h  \* MERGEFORMAT </w:instrText>
      </w:r>
      <w:r w:rsidR="00954CE9" w:rsidRPr="003F60FD">
        <w:fldChar w:fldCharType="separate"/>
      </w:r>
      <w:r w:rsidR="0035299E" w:rsidRPr="0035299E">
        <w:t>Figure 1</w:t>
      </w:r>
      <w:r w:rsidR="00954CE9" w:rsidRPr="003F60FD">
        <w:fldChar w:fldCharType="end"/>
      </w:r>
      <w:r w:rsidRPr="003F60FD">
        <w:t>). The submission acknowledged that this may be because sapropterin is more effective in patients with less severe PKU.</w:t>
      </w:r>
      <w:bookmarkEnd w:id="31"/>
      <w:r w:rsidRPr="003F60FD">
        <w:t xml:space="preserve"> </w:t>
      </w:r>
      <w:r w:rsidR="00BB415B">
        <w:rPr>
          <w:iCs/>
        </w:rPr>
        <w:t>T</w:t>
      </w:r>
      <w:r w:rsidR="00BB415B" w:rsidRPr="00501526">
        <w:rPr>
          <w:iCs/>
        </w:rPr>
        <w:t>he evaluation and ESC considered that any incremental differences in Phe levels should be interpreted with caution as patients who discontinued sapropterin had higher mean baseline Phe levels</w:t>
      </w:r>
      <w:r w:rsidR="00C65408" w:rsidRPr="00C65408">
        <w:rPr>
          <w:iCs/>
        </w:rPr>
        <w:t xml:space="preserve"> </w:t>
      </w:r>
      <w:r w:rsidR="00C65408">
        <w:rPr>
          <w:iCs/>
        </w:rPr>
        <w:t>in this analysis</w:t>
      </w:r>
      <w:r w:rsidR="00BB415B" w:rsidRPr="00501526">
        <w:rPr>
          <w:iCs/>
        </w:rPr>
        <w:t xml:space="preserve">, suggesting that they had more severe disease. As such, any incremental benefit from sapropterin treatment based on any PKUDOS data was likely overestimated. </w:t>
      </w:r>
    </w:p>
    <w:p w14:paraId="19F91873" w14:textId="62B9435F" w:rsidR="00404F74" w:rsidRPr="00501526" w:rsidRDefault="00404F74" w:rsidP="00404F74">
      <w:pPr>
        <w:pStyle w:val="3-BodyText"/>
        <w:rPr>
          <w:iCs/>
        </w:rPr>
      </w:pPr>
      <w:r w:rsidRPr="00501526">
        <w:rPr>
          <w:iCs/>
        </w:rPr>
        <w:t xml:space="preserve">The submission also noted that during </w:t>
      </w:r>
      <w:r w:rsidR="001C74B1">
        <w:rPr>
          <w:iCs/>
        </w:rPr>
        <w:t xml:space="preserve">the </w:t>
      </w:r>
      <w:r w:rsidR="001E6038">
        <w:rPr>
          <w:iCs/>
        </w:rPr>
        <w:t>8 years of follow-up</w:t>
      </w:r>
      <w:r w:rsidRPr="00501526">
        <w:rPr>
          <w:iCs/>
        </w:rPr>
        <w:t>, Phe intake was lower in the previously treated cohort than the continuously treated cohort, despite higher blood-Phe levels (</w:t>
      </w:r>
      <w:r w:rsidR="00954CE9" w:rsidRPr="00501526">
        <w:rPr>
          <w:iCs/>
        </w:rPr>
        <w:fldChar w:fldCharType="begin"/>
      </w:r>
      <w:r w:rsidR="00954CE9" w:rsidRPr="00501526">
        <w:rPr>
          <w:iCs/>
        </w:rPr>
        <w:instrText xml:space="preserve"> REF _Ref106359305 \h  \* MERGEFORMAT </w:instrText>
      </w:r>
      <w:r w:rsidR="00954CE9" w:rsidRPr="00501526">
        <w:rPr>
          <w:iCs/>
        </w:rPr>
      </w:r>
      <w:r w:rsidR="00954CE9" w:rsidRPr="00501526">
        <w:rPr>
          <w:iCs/>
        </w:rPr>
        <w:fldChar w:fldCharType="separate"/>
      </w:r>
      <w:r w:rsidR="0035299E" w:rsidRPr="0035299E">
        <w:rPr>
          <w:iCs/>
        </w:rPr>
        <w:t>Figure 1</w:t>
      </w:r>
      <w:r w:rsidR="00954CE9" w:rsidRPr="00501526">
        <w:rPr>
          <w:iCs/>
        </w:rPr>
        <w:fldChar w:fldCharType="end"/>
      </w:r>
      <w:r w:rsidRPr="00501526">
        <w:rPr>
          <w:iCs/>
        </w:rPr>
        <w:t xml:space="preserve">). In the continuously treated cohort, Phe intake appears relatively stable. In the previously treated cohort, there was greater variation. This might </w:t>
      </w:r>
      <w:proofErr w:type="gramStart"/>
      <w:r w:rsidRPr="00501526">
        <w:rPr>
          <w:iCs/>
        </w:rPr>
        <w:t>be a reflection of</w:t>
      </w:r>
      <w:proofErr w:type="gramEnd"/>
      <w:r w:rsidRPr="00501526">
        <w:rPr>
          <w:iCs/>
        </w:rPr>
        <w:t xml:space="preserve"> the difficulty in maintaining a strict Phe-restricted diet. It was </w:t>
      </w:r>
      <w:r w:rsidRPr="00501526">
        <w:rPr>
          <w:iCs/>
        </w:rPr>
        <w:lastRenderedPageBreak/>
        <w:t>noted that continuously treated patients also had a higher mean Phe intake, suggesting that patients treated with sapropterin may adopt a less stringent Phe-controlled diet. DUSC has previously considered that sapropterin use may allow inappropriate relaxation of the Phe-restricted diet (</w:t>
      </w:r>
      <w:r w:rsidR="001E6038">
        <w:rPr>
          <w:iCs/>
        </w:rPr>
        <w:t>p</w:t>
      </w:r>
      <w:r w:rsidRPr="00501526">
        <w:rPr>
          <w:iCs/>
        </w:rPr>
        <w:t>ara 6.70, sapropterin</w:t>
      </w:r>
      <w:r w:rsidR="001E6038">
        <w:rPr>
          <w:iCs/>
        </w:rPr>
        <w:t>, PSD,</w:t>
      </w:r>
      <w:r w:rsidRPr="00501526">
        <w:rPr>
          <w:iCs/>
        </w:rPr>
        <w:t xml:space="preserve"> March 2018 </w:t>
      </w:r>
      <w:r w:rsidR="001E6038">
        <w:rPr>
          <w:iCs/>
        </w:rPr>
        <w:t>PBAC meeting</w:t>
      </w:r>
      <w:r w:rsidRPr="00501526">
        <w:rPr>
          <w:iCs/>
        </w:rPr>
        <w:t xml:space="preserve">). It was also noted that relaxation of the Phe-restricted diet contributes partly to the improvement in quality of life in patients experiencing a decrease in blood-Phe with active treatment. </w:t>
      </w:r>
      <w:r w:rsidR="001E6038">
        <w:rPr>
          <w:iCs/>
        </w:rPr>
        <w:t>The PBAC considered that w</w:t>
      </w:r>
      <w:r w:rsidRPr="00501526">
        <w:rPr>
          <w:iCs/>
        </w:rPr>
        <w:t xml:space="preserve">hile being able to relax the Phe restricted diet </w:t>
      </w:r>
      <w:r w:rsidR="001E6038">
        <w:rPr>
          <w:iCs/>
        </w:rPr>
        <w:t>clearly has</w:t>
      </w:r>
      <w:r w:rsidRPr="00501526">
        <w:rPr>
          <w:iCs/>
        </w:rPr>
        <w:t xml:space="preserve"> important quality of life benefits, the incremental </w:t>
      </w:r>
      <w:r w:rsidR="001E6038">
        <w:rPr>
          <w:iCs/>
        </w:rPr>
        <w:t>benefit</w:t>
      </w:r>
      <w:r w:rsidR="001E6038" w:rsidRPr="00501526">
        <w:rPr>
          <w:iCs/>
        </w:rPr>
        <w:t xml:space="preserve"> </w:t>
      </w:r>
      <w:r w:rsidRPr="00501526">
        <w:rPr>
          <w:iCs/>
        </w:rPr>
        <w:t>in terms of diet relaxation (between patients treated with sapropterin plus Phe-restricted diet compared to Phe-restricted diet alone) was not quantified</w:t>
      </w:r>
      <w:r w:rsidR="001E6038">
        <w:rPr>
          <w:iCs/>
        </w:rPr>
        <w:t xml:space="preserve"> in the submission</w:t>
      </w:r>
      <w:r w:rsidRPr="00501526">
        <w:rPr>
          <w:iCs/>
        </w:rPr>
        <w:t xml:space="preserve">. </w:t>
      </w:r>
    </w:p>
    <w:p w14:paraId="5F60E3FC" w14:textId="729E138E" w:rsidR="000E2472" w:rsidRPr="00501526" w:rsidRDefault="000E2472" w:rsidP="000E2472">
      <w:pPr>
        <w:pStyle w:val="3-BodyText"/>
        <w:numPr>
          <w:ilvl w:val="0"/>
          <w:numId w:val="0"/>
        </w:numPr>
        <w:outlineLvl w:val="2"/>
        <w:rPr>
          <w:b/>
          <w:bCs/>
          <w:i/>
        </w:rPr>
      </w:pPr>
      <w:r w:rsidRPr="00501526">
        <w:rPr>
          <w:b/>
          <w:bCs/>
          <w:i/>
        </w:rPr>
        <w:t>Response rates</w:t>
      </w:r>
    </w:p>
    <w:p w14:paraId="097D23B8" w14:textId="18B0ADAF" w:rsidR="00C65408" w:rsidRDefault="00C65408" w:rsidP="00E822BB">
      <w:pPr>
        <w:pStyle w:val="3-BodyText"/>
        <w:rPr>
          <w:iCs/>
        </w:rPr>
      </w:pPr>
      <w:r>
        <w:rPr>
          <w:iCs/>
        </w:rPr>
        <w:t xml:space="preserve">The submission derived response rates from a May 2016 </w:t>
      </w:r>
      <w:r w:rsidRPr="00C65408">
        <w:rPr>
          <w:iCs/>
        </w:rPr>
        <w:t xml:space="preserve">post-hoc analysis </w:t>
      </w:r>
      <w:r>
        <w:rPr>
          <w:iCs/>
        </w:rPr>
        <w:t xml:space="preserve">of a </w:t>
      </w:r>
      <w:r w:rsidRPr="00C65408">
        <w:rPr>
          <w:iCs/>
        </w:rPr>
        <w:t>subgroup of patients aged 18 years or older at first use of sapropterin</w:t>
      </w:r>
      <w:r>
        <w:rPr>
          <w:iCs/>
        </w:rPr>
        <w:t>,</w:t>
      </w:r>
      <w:r w:rsidRPr="00C65408">
        <w:rPr>
          <w:iCs/>
        </w:rPr>
        <w:t xml:space="preserve"> who had a baseline Phe &gt;</w:t>
      </w:r>
      <w:r w:rsidR="00B400A7">
        <w:rPr>
          <w:iCs/>
        </w:rPr>
        <w:t> </w:t>
      </w:r>
      <w:r w:rsidRPr="00C65408">
        <w:rPr>
          <w:iCs/>
        </w:rPr>
        <w:t>600</w:t>
      </w:r>
      <w:r w:rsidR="00B400A7">
        <w:rPr>
          <w:iCs/>
        </w:rPr>
        <w:t> </w:t>
      </w:r>
      <w:r w:rsidRPr="00C65408">
        <w:rPr>
          <w:iCs/>
        </w:rPr>
        <w:t xml:space="preserve">µmol/L. This baseline Phe level was </w:t>
      </w:r>
      <w:proofErr w:type="gramStart"/>
      <w:r>
        <w:rPr>
          <w:iCs/>
        </w:rPr>
        <w:t>taken</w:t>
      </w:r>
      <w:r w:rsidRPr="00C65408">
        <w:rPr>
          <w:iCs/>
        </w:rPr>
        <w:t>:</w:t>
      </w:r>
      <w:proofErr w:type="gramEnd"/>
      <w:r w:rsidRPr="00C65408">
        <w:rPr>
          <w:iCs/>
        </w:rPr>
        <w:t xml:space="preserve"> pre-sapropterin in the ‘continuously treated’ sapropterin group; or post-sapropterin in the ‘previously treated’ </w:t>
      </w:r>
      <w:r>
        <w:rPr>
          <w:iCs/>
        </w:rPr>
        <w:t xml:space="preserve">Phe diet alone </w:t>
      </w:r>
      <w:r w:rsidRPr="00C65408">
        <w:rPr>
          <w:iCs/>
        </w:rPr>
        <w:t>group</w:t>
      </w:r>
      <w:r w:rsidR="00F3360C">
        <w:rPr>
          <w:iCs/>
        </w:rPr>
        <w:t>.</w:t>
      </w:r>
    </w:p>
    <w:p w14:paraId="0B21DEA1" w14:textId="74925FA6" w:rsidR="00C65408" w:rsidRDefault="00C65408" w:rsidP="00E822BB">
      <w:pPr>
        <w:pStyle w:val="3-BodyText"/>
        <w:rPr>
          <w:iCs/>
        </w:rPr>
      </w:pPr>
      <w:r w:rsidRPr="003F60FD">
        <w:t>The pre-PBAC response</w:t>
      </w:r>
      <w:r w:rsidR="007D01C1">
        <w:t xml:space="preserve"> argued that baseline Phe levels were similar in this analysis</w:t>
      </w:r>
      <w:r w:rsidRPr="003F60FD">
        <w:t xml:space="preserve"> </w:t>
      </w:r>
      <w:r w:rsidR="007D01C1">
        <w:t>(unlike the analysis by Lilienstein et al, 2018 shown in Figure 1) as</w:t>
      </w:r>
      <w:r w:rsidRPr="003F60FD">
        <w:t xml:space="preserve"> </w:t>
      </w:r>
      <w:r>
        <w:t>“t</w:t>
      </w:r>
      <w:r w:rsidRPr="006E40CA">
        <w:t xml:space="preserve">he mean baseline blood Phe of all patients treated with sapropterin </w:t>
      </w:r>
      <w:r>
        <w:t xml:space="preserve">[including non-responders] </w:t>
      </w:r>
      <w:r w:rsidRPr="006E40CA">
        <w:t>was 1,057 µmol/L compared with 1,113 µmol/L for Phe-restricted diet alone</w:t>
      </w:r>
      <w:r>
        <w:t>”,</w:t>
      </w:r>
      <w:r w:rsidR="009A418A">
        <w:t xml:space="preserve"> and that</w:t>
      </w:r>
      <w:r>
        <w:t xml:space="preserve"> the small difference </w:t>
      </w:r>
      <w:r w:rsidR="009A418A">
        <w:t xml:space="preserve">was </w:t>
      </w:r>
      <w:r>
        <w:t>unlikely to have biased the comparison</w:t>
      </w:r>
      <w:r w:rsidRPr="006E40CA">
        <w:t>.</w:t>
      </w:r>
      <w:r>
        <w:t xml:space="preserve"> </w:t>
      </w:r>
    </w:p>
    <w:p w14:paraId="6CCFF9BE" w14:textId="034DDF74" w:rsidR="00FA7B04" w:rsidRPr="00501526" w:rsidRDefault="004172F1" w:rsidP="00E822BB">
      <w:pPr>
        <w:pStyle w:val="3-BodyText"/>
        <w:rPr>
          <w:iCs/>
        </w:rPr>
      </w:pPr>
      <w:r w:rsidRPr="00501526">
        <w:rPr>
          <w:iCs/>
        </w:rPr>
        <w:t xml:space="preserve">Based on </w:t>
      </w:r>
      <w:r w:rsidR="007D01C1">
        <w:rPr>
          <w:iCs/>
        </w:rPr>
        <w:t>this</w:t>
      </w:r>
      <w:r w:rsidR="00AE32C3" w:rsidRPr="00501526">
        <w:rPr>
          <w:iCs/>
        </w:rPr>
        <w:t xml:space="preserve"> </w:t>
      </w:r>
      <w:r w:rsidR="007D01C1">
        <w:rPr>
          <w:iCs/>
        </w:rPr>
        <w:t xml:space="preserve">post-hoc </w:t>
      </w:r>
      <w:r w:rsidRPr="00501526">
        <w:rPr>
          <w:iCs/>
        </w:rPr>
        <w:t xml:space="preserve">analysis of PKUDOS data, 27/115 (23.5%) </w:t>
      </w:r>
      <w:r w:rsidR="00B9729E" w:rsidRPr="00501526">
        <w:rPr>
          <w:iCs/>
        </w:rPr>
        <w:t>of adult patients</w:t>
      </w:r>
      <w:r w:rsidR="00634533">
        <w:rPr>
          <w:iCs/>
        </w:rPr>
        <w:t xml:space="preserve"> with baseline Phe &gt;600 </w:t>
      </w:r>
      <w:r w:rsidR="00634533" w:rsidRPr="006E40CA">
        <w:t>µmol/L</w:t>
      </w:r>
      <w:r w:rsidR="00B9729E" w:rsidRPr="00501526">
        <w:rPr>
          <w:iCs/>
        </w:rPr>
        <w:t xml:space="preserve"> </w:t>
      </w:r>
      <w:r w:rsidR="00F82EF2" w:rsidRPr="00501526">
        <w:rPr>
          <w:iCs/>
        </w:rPr>
        <w:t xml:space="preserve">who received sapropterin achieved a </w:t>
      </w:r>
      <w:r w:rsidR="00B400A7" w:rsidRPr="00501526">
        <w:rPr>
          <w:iCs/>
        </w:rPr>
        <w:t>≥</w:t>
      </w:r>
      <w:r w:rsidR="00B400A7">
        <w:rPr>
          <w:iCs/>
        </w:rPr>
        <w:t> </w:t>
      </w:r>
      <w:r w:rsidR="00F82EF2" w:rsidRPr="00501526">
        <w:rPr>
          <w:iCs/>
        </w:rPr>
        <w:t xml:space="preserve">30% reduction in blood Phe levels </w:t>
      </w:r>
      <w:r w:rsidR="00D426DD">
        <w:rPr>
          <w:iCs/>
        </w:rPr>
        <w:t>in the first</w:t>
      </w:r>
      <w:r w:rsidR="00D426DD" w:rsidRPr="00501526">
        <w:rPr>
          <w:iCs/>
        </w:rPr>
        <w:t xml:space="preserve"> </w:t>
      </w:r>
      <w:r w:rsidR="00D426DD">
        <w:rPr>
          <w:iCs/>
        </w:rPr>
        <w:t>28 days after starting sapropterin. In the economic model it was assumed that 23.5% of patients achieved a response within 7 days (as per the response period in the PBS restrictions).</w:t>
      </w:r>
      <w:r w:rsidR="00522A1C">
        <w:rPr>
          <w:iCs/>
        </w:rPr>
        <w:t xml:space="preserve"> </w:t>
      </w:r>
      <w:r w:rsidR="00D25CAD" w:rsidRPr="00501526">
        <w:rPr>
          <w:iCs/>
        </w:rPr>
        <w:t xml:space="preserve">As such the </w:t>
      </w:r>
      <w:r w:rsidR="00B24537">
        <w:rPr>
          <w:iCs/>
        </w:rPr>
        <w:t xml:space="preserve">evaluation and ESC considered the </w:t>
      </w:r>
      <w:r w:rsidR="00D25CAD" w:rsidRPr="00501526">
        <w:rPr>
          <w:iCs/>
        </w:rPr>
        <w:t>response rate to sapropterin may be overestimated.</w:t>
      </w:r>
      <w:bookmarkEnd w:id="32"/>
      <w:r w:rsidR="00D25CAD" w:rsidRPr="00501526">
        <w:rPr>
          <w:iCs/>
        </w:rPr>
        <w:t xml:space="preserve"> </w:t>
      </w:r>
    </w:p>
    <w:p w14:paraId="0575DAB4" w14:textId="33BF1C8D" w:rsidR="00543353" w:rsidRPr="00501526" w:rsidRDefault="00E233DE" w:rsidP="00543353">
      <w:pPr>
        <w:pStyle w:val="3-BodyText"/>
        <w:rPr>
          <w:iCs/>
        </w:rPr>
      </w:pPr>
      <w:bookmarkStart w:id="34" w:name="_Ref108685739"/>
      <w:r w:rsidRPr="00501526">
        <w:rPr>
          <w:iCs/>
        </w:rPr>
        <w:t>The</w:t>
      </w:r>
      <w:r w:rsidRPr="00501526">
        <w:rPr>
          <w:iCs/>
          <w:snapToGrid/>
        </w:rPr>
        <w:t xml:space="preserve"> </w:t>
      </w:r>
      <w:r w:rsidR="00CB7A76" w:rsidRPr="00501526">
        <w:rPr>
          <w:iCs/>
          <w:snapToGrid/>
        </w:rPr>
        <w:t xml:space="preserve">submission and PSCR </w:t>
      </w:r>
      <w:r w:rsidR="00C20908" w:rsidRPr="00501526">
        <w:rPr>
          <w:iCs/>
          <w:snapToGrid/>
        </w:rPr>
        <w:t xml:space="preserve">argued that </w:t>
      </w:r>
      <w:r w:rsidRPr="00501526">
        <w:rPr>
          <w:iCs/>
        </w:rPr>
        <w:t xml:space="preserve">that as response to sapropterin is typically rapid, it </w:t>
      </w:r>
      <w:r w:rsidR="000E2472" w:rsidRPr="00501526">
        <w:rPr>
          <w:iCs/>
        </w:rPr>
        <w:t>was</w:t>
      </w:r>
      <w:r w:rsidRPr="00501526">
        <w:rPr>
          <w:iCs/>
        </w:rPr>
        <w:t xml:space="preserve"> reasonable to assume that similar results are obtained in the 28-day testing period </w:t>
      </w:r>
      <w:r w:rsidR="006C7123" w:rsidRPr="00501526">
        <w:rPr>
          <w:iCs/>
        </w:rPr>
        <w:t xml:space="preserve">(which is </w:t>
      </w:r>
      <w:r w:rsidRPr="00501526">
        <w:rPr>
          <w:iCs/>
        </w:rPr>
        <w:t>recommended in the sapropterin P</w:t>
      </w:r>
      <w:r w:rsidR="006C7123" w:rsidRPr="00501526">
        <w:rPr>
          <w:iCs/>
        </w:rPr>
        <w:t xml:space="preserve">roduct </w:t>
      </w:r>
      <w:r w:rsidRPr="00501526">
        <w:rPr>
          <w:iCs/>
        </w:rPr>
        <w:t>I</w:t>
      </w:r>
      <w:r w:rsidR="006C7123" w:rsidRPr="00501526">
        <w:rPr>
          <w:iCs/>
        </w:rPr>
        <w:t>nformation)</w:t>
      </w:r>
      <w:r w:rsidRPr="00501526">
        <w:rPr>
          <w:iCs/>
        </w:rPr>
        <w:t xml:space="preserve"> as in the 7</w:t>
      </w:r>
      <w:r w:rsidR="0015159C" w:rsidRPr="00501526">
        <w:rPr>
          <w:iCs/>
        </w:rPr>
        <w:t>-</w:t>
      </w:r>
      <w:r w:rsidRPr="00501526">
        <w:rPr>
          <w:iCs/>
        </w:rPr>
        <w:t xml:space="preserve">day testing period. </w:t>
      </w:r>
      <w:r w:rsidR="00B24537">
        <w:rPr>
          <w:iCs/>
        </w:rPr>
        <w:t xml:space="preserve">The 23.5% response rate was derived using data that included patients who had no Phe measurements in the </w:t>
      </w:r>
      <w:proofErr w:type="gramStart"/>
      <w:r w:rsidR="00B24537">
        <w:rPr>
          <w:iCs/>
        </w:rPr>
        <w:t>28 day</w:t>
      </w:r>
      <w:proofErr w:type="gramEnd"/>
      <w:r w:rsidR="00B24537">
        <w:rPr>
          <w:iCs/>
        </w:rPr>
        <w:t xml:space="preserve"> period. </w:t>
      </w:r>
      <w:r w:rsidRPr="00501526">
        <w:rPr>
          <w:iCs/>
        </w:rPr>
        <w:t xml:space="preserve">There were 79 patients with at least one measurement within the first 28 days (n = 79), 34% </w:t>
      </w:r>
      <w:r w:rsidR="009A418A">
        <w:rPr>
          <w:iCs/>
        </w:rPr>
        <w:t xml:space="preserve">of whom </w:t>
      </w:r>
      <w:r w:rsidRPr="00501526">
        <w:rPr>
          <w:iCs/>
        </w:rPr>
        <w:t>(27/79) had a ≥ 30% reduction in blood Phe from baseline. The PBAC previously concluded that given the high intra-patient variability in Phe levels, the PBS restriction should require a 24-hour testing period in newborns and a 7-day testing</w:t>
      </w:r>
      <w:r w:rsidR="00522A1C">
        <w:rPr>
          <w:iCs/>
        </w:rPr>
        <w:t xml:space="preserve"> period</w:t>
      </w:r>
      <w:r w:rsidRPr="00501526">
        <w:rPr>
          <w:iCs/>
        </w:rPr>
        <w:t xml:space="preserve"> in children and adolescents (</w:t>
      </w:r>
      <w:r w:rsidR="00522A1C">
        <w:rPr>
          <w:iCs/>
        </w:rPr>
        <w:t>p</w:t>
      </w:r>
      <w:r w:rsidRPr="00501526">
        <w:rPr>
          <w:iCs/>
        </w:rPr>
        <w:t>ara 7.7</w:t>
      </w:r>
      <w:r w:rsidR="00522A1C">
        <w:rPr>
          <w:iCs/>
        </w:rPr>
        <w:t>, sapropterin, PSD,</w:t>
      </w:r>
      <w:r w:rsidRPr="00501526">
        <w:rPr>
          <w:iCs/>
        </w:rPr>
        <w:t xml:space="preserve"> March 2018 </w:t>
      </w:r>
      <w:r w:rsidR="00522A1C">
        <w:rPr>
          <w:iCs/>
        </w:rPr>
        <w:t>PBAC meeting</w:t>
      </w:r>
      <w:r w:rsidRPr="00501526">
        <w:rPr>
          <w:iCs/>
        </w:rPr>
        <w:t xml:space="preserve">; </w:t>
      </w:r>
      <w:r w:rsidR="00522A1C">
        <w:rPr>
          <w:iCs/>
        </w:rPr>
        <w:t>p</w:t>
      </w:r>
      <w:r w:rsidRPr="00501526">
        <w:rPr>
          <w:iCs/>
        </w:rPr>
        <w:t xml:space="preserve">ara 2.10, </w:t>
      </w:r>
      <w:r w:rsidR="00522A1C">
        <w:rPr>
          <w:iCs/>
        </w:rPr>
        <w:t xml:space="preserve">sapropterin, PSD, </w:t>
      </w:r>
      <w:r w:rsidRPr="00501526">
        <w:rPr>
          <w:iCs/>
        </w:rPr>
        <w:t xml:space="preserve">November 2018 </w:t>
      </w:r>
      <w:r w:rsidR="00522A1C">
        <w:rPr>
          <w:iCs/>
        </w:rPr>
        <w:t>PBAC meeting</w:t>
      </w:r>
      <w:r w:rsidR="00134CF5" w:rsidRPr="00501526">
        <w:rPr>
          <w:iCs/>
        </w:rPr>
        <w:t>)</w:t>
      </w:r>
      <w:r w:rsidR="00543353" w:rsidRPr="00501526">
        <w:rPr>
          <w:iCs/>
        </w:rPr>
        <w:t>.</w:t>
      </w:r>
      <w:r w:rsidR="006F544C" w:rsidRPr="00501526">
        <w:rPr>
          <w:iCs/>
        </w:rPr>
        <w:t xml:space="preserve"> </w:t>
      </w:r>
      <w:r w:rsidR="00DB7090">
        <w:rPr>
          <w:iCs/>
        </w:rPr>
        <w:t xml:space="preserve">The evaluation considered it was </w:t>
      </w:r>
      <w:r w:rsidR="006F544C" w:rsidRPr="00501526">
        <w:rPr>
          <w:iCs/>
        </w:rPr>
        <w:t xml:space="preserve">unreasonable to apply a </w:t>
      </w:r>
      <w:r w:rsidR="002038E9" w:rsidRPr="00501526">
        <w:rPr>
          <w:iCs/>
        </w:rPr>
        <w:t>28-day</w:t>
      </w:r>
      <w:r w:rsidR="006F544C" w:rsidRPr="00501526">
        <w:rPr>
          <w:iCs/>
        </w:rPr>
        <w:t xml:space="preserve"> response rate </w:t>
      </w:r>
      <w:r w:rsidR="00522A1C">
        <w:rPr>
          <w:iCs/>
        </w:rPr>
        <w:t xml:space="preserve">in the economic model </w:t>
      </w:r>
      <w:r w:rsidR="006F544C" w:rsidRPr="00501526">
        <w:rPr>
          <w:iCs/>
        </w:rPr>
        <w:t>when the PBS restriction specifies a 7-day testing period.</w:t>
      </w:r>
      <w:bookmarkEnd w:id="34"/>
      <w:r w:rsidR="006F544C" w:rsidRPr="00501526">
        <w:rPr>
          <w:iCs/>
        </w:rPr>
        <w:t xml:space="preserve"> </w:t>
      </w:r>
    </w:p>
    <w:p w14:paraId="4ADEB295" w14:textId="48F25D43" w:rsidR="00B11E1F" w:rsidRPr="00501526" w:rsidRDefault="00B11E1F" w:rsidP="00B11E1F">
      <w:pPr>
        <w:pStyle w:val="3-BodyText"/>
        <w:rPr>
          <w:iCs/>
        </w:rPr>
      </w:pPr>
      <w:r w:rsidRPr="00501526">
        <w:rPr>
          <w:iCs/>
        </w:rPr>
        <w:lastRenderedPageBreak/>
        <w:t>Based on an analysis restricted to patients who were known to have responded in the first 28 days of treatment (at least one Phe measurement less than 70% of the baseline value</w:t>
      </w:r>
      <w:r w:rsidR="00483F83" w:rsidRPr="00501526">
        <w:rPr>
          <w:iCs/>
        </w:rPr>
        <w:t xml:space="preserve"> i.e. </w:t>
      </w:r>
      <w:r w:rsidR="00483F83" w:rsidRPr="00501526">
        <w:rPr>
          <w:rFonts w:cstheme="minorHAnsi"/>
          <w:iCs/>
        </w:rPr>
        <w:t>≥</w:t>
      </w:r>
      <w:r w:rsidR="00483F83" w:rsidRPr="00501526">
        <w:rPr>
          <w:iCs/>
        </w:rPr>
        <w:t>30% reduction</w:t>
      </w:r>
      <w:r w:rsidRPr="00501526">
        <w:rPr>
          <w:iCs/>
        </w:rPr>
        <w:t xml:space="preserve">), the </w:t>
      </w:r>
      <w:r w:rsidR="00620F02" w:rsidRPr="00501526">
        <w:rPr>
          <w:iCs/>
        </w:rPr>
        <w:t xml:space="preserve">mean </w:t>
      </w:r>
      <w:r w:rsidR="00483F83" w:rsidRPr="00501526">
        <w:rPr>
          <w:iCs/>
        </w:rPr>
        <w:t xml:space="preserve">percentage </w:t>
      </w:r>
      <w:r w:rsidRPr="00501526">
        <w:rPr>
          <w:iCs/>
        </w:rPr>
        <w:t xml:space="preserve">change in blood-Phe </w:t>
      </w:r>
      <w:r w:rsidR="00620F02" w:rsidRPr="00501526">
        <w:rPr>
          <w:iCs/>
        </w:rPr>
        <w:t xml:space="preserve">in </w:t>
      </w:r>
      <w:r w:rsidR="00167EA1" w:rsidRPr="00501526">
        <w:rPr>
          <w:iCs/>
        </w:rPr>
        <w:t>those treated with</w:t>
      </w:r>
      <w:r w:rsidR="00620F02" w:rsidRPr="00501526">
        <w:rPr>
          <w:iCs/>
        </w:rPr>
        <w:t xml:space="preserve"> sapropterin </w:t>
      </w:r>
      <w:r w:rsidRPr="00501526">
        <w:rPr>
          <w:iCs/>
        </w:rPr>
        <w:t xml:space="preserve">was estimated to be </w:t>
      </w:r>
      <w:r w:rsidR="00C306F2" w:rsidRPr="00501526">
        <w:rPr>
          <w:iCs/>
        </w:rPr>
        <w:t>61%</w:t>
      </w:r>
      <w:r w:rsidRPr="00501526">
        <w:rPr>
          <w:iCs/>
        </w:rPr>
        <w:t xml:space="preserve"> (95% CI: 51</w:t>
      </w:r>
      <w:r w:rsidR="00C306F2" w:rsidRPr="00501526">
        <w:rPr>
          <w:iCs/>
        </w:rPr>
        <w:t>%</w:t>
      </w:r>
      <w:r w:rsidRPr="00501526">
        <w:rPr>
          <w:iCs/>
        </w:rPr>
        <w:t>, 72</w:t>
      </w:r>
      <w:r w:rsidR="00C306F2" w:rsidRPr="00501526">
        <w:rPr>
          <w:iCs/>
        </w:rPr>
        <w:t>%</w:t>
      </w:r>
      <w:r w:rsidRPr="00501526">
        <w:rPr>
          <w:iCs/>
        </w:rPr>
        <w:t xml:space="preserve">) of the baseline Phe level. </w:t>
      </w:r>
      <w:r w:rsidR="00055BAA" w:rsidRPr="00501526">
        <w:rPr>
          <w:iCs/>
        </w:rPr>
        <w:t>This mean and standard deviation w</w:t>
      </w:r>
      <w:r w:rsidR="0086409B" w:rsidRPr="00501526">
        <w:rPr>
          <w:iCs/>
        </w:rPr>
        <w:t>ere</w:t>
      </w:r>
      <w:r w:rsidR="00055BAA" w:rsidRPr="00501526">
        <w:rPr>
          <w:iCs/>
        </w:rPr>
        <w:t xml:space="preserve"> used to inform </w:t>
      </w:r>
      <w:r w:rsidR="00356354" w:rsidRPr="00501526">
        <w:rPr>
          <w:iCs/>
        </w:rPr>
        <w:t xml:space="preserve">the </w:t>
      </w:r>
      <w:r w:rsidR="009F4A3A" w:rsidRPr="00501526">
        <w:rPr>
          <w:iCs/>
        </w:rPr>
        <w:t>magnitude of blood</w:t>
      </w:r>
      <w:r w:rsidR="006C6030">
        <w:rPr>
          <w:iCs/>
        </w:rPr>
        <w:t xml:space="preserve"> </w:t>
      </w:r>
      <w:r w:rsidR="009F4A3A" w:rsidRPr="00501526">
        <w:rPr>
          <w:iCs/>
        </w:rPr>
        <w:t xml:space="preserve">Phe improvement in </w:t>
      </w:r>
      <w:r w:rsidR="00055BAA" w:rsidRPr="00501526">
        <w:rPr>
          <w:iCs/>
        </w:rPr>
        <w:t xml:space="preserve">the microsimulation model. </w:t>
      </w:r>
      <w:r w:rsidRPr="00501526">
        <w:rPr>
          <w:iCs/>
        </w:rPr>
        <w:t xml:space="preserve"> </w:t>
      </w:r>
    </w:p>
    <w:p w14:paraId="25CA160C" w14:textId="01C3BE04" w:rsidR="00C65408" w:rsidRPr="00736F0D" w:rsidRDefault="00E233DE" w:rsidP="009E6EDF">
      <w:pPr>
        <w:pStyle w:val="3-BodyText"/>
        <w:rPr>
          <w:iCs/>
        </w:rPr>
      </w:pPr>
      <w:r w:rsidRPr="00736F0D">
        <w:rPr>
          <w:iCs/>
        </w:rPr>
        <w:t xml:space="preserve">The submission considered that, overall, despite day-to-day fluctuations, sapropterin treatment resulted in a rapid decline </w:t>
      </w:r>
      <w:r w:rsidR="0086409B" w:rsidRPr="00736F0D">
        <w:rPr>
          <w:iCs/>
        </w:rPr>
        <w:t>in</w:t>
      </w:r>
      <w:r w:rsidRPr="00736F0D">
        <w:rPr>
          <w:iCs/>
        </w:rPr>
        <w:t xml:space="preserve"> blood Phe levels</w:t>
      </w:r>
      <w:r w:rsidR="0086409B" w:rsidRPr="00736F0D">
        <w:rPr>
          <w:iCs/>
        </w:rPr>
        <w:t>, which</w:t>
      </w:r>
      <w:r w:rsidRPr="00736F0D">
        <w:rPr>
          <w:iCs/>
        </w:rPr>
        <w:t xml:space="preserve"> remained consistent over time in sapropterin </w:t>
      </w:r>
      <w:proofErr w:type="gramStart"/>
      <w:r w:rsidRPr="00736F0D">
        <w:rPr>
          <w:iCs/>
        </w:rPr>
        <w:t>responders</w:t>
      </w:r>
      <w:proofErr w:type="gramEnd"/>
      <w:r w:rsidR="00B06B59" w:rsidRPr="00736F0D">
        <w:rPr>
          <w:iCs/>
        </w:rPr>
        <w:t xml:space="preserve"> and this assumption was applied to the economic model</w:t>
      </w:r>
      <w:r w:rsidRPr="00736F0D">
        <w:rPr>
          <w:iCs/>
        </w:rPr>
        <w:t>.</w:t>
      </w:r>
      <w:r w:rsidR="00B3213E" w:rsidRPr="00736F0D">
        <w:rPr>
          <w:iCs/>
        </w:rPr>
        <w:t xml:space="preserve"> Individual patient data from Appendix 5 to the submission showed that there was a great deal of variation in blood Phe levels over time for patients treated with sapropterin.</w:t>
      </w:r>
      <w:r w:rsidRPr="00736F0D">
        <w:rPr>
          <w:iCs/>
        </w:rPr>
        <w:t xml:space="preserve"> </w:t>
      </w:r>
    </w:p>
    <w:p w14:paraId="7396F781" w14:textId="11DA037F" w:rsidR="00CB7A76" w:rsidRPr="00501526" w:rsidRDefault="00CB7A76" w:rsidP="00384812">
      <w:pPr>
        <w:pStyle w:val="3-BodyText"/>
        <w:keepNext/>
        <w:keepLines/>
        <w:numPr>
          <w:ilvl w:val="0"/>
          <w:numId w:val="0"/>
        </w:numPr>
        <w:outlineLvl w:val="2"/>
        <w:rPr>
          <w:b/>
          <w:bCs/>
          <w:i/>
        </w:rPr>
      </w:pPr>
      <w:r w:rsidRPr="00501526">
        <w:rPr>
          <w:b/>
          <w:bCs/>
          <w:i/>
        </w:rPr>
        <w:t>Neurological symptoms</w:t>
      </w:r>
    </w:p>
    <w:p w14:paraId="62B9EDE0" w14:textId="4AFBAD83" w:rsidR="00FD5282" w:rsidRPr="00501526" w:rsidRDefault="00FD5282" w:rsidP="00384812">
      <w:pPr>
        <w:pStyle w:val="3-BodyText"/>
        <w:keepNext/>
        <w:keepLines/>
        <w:rPr>
          <w:iCs/>
        </w:rPr>
      </w:pPr>
      <w:r w:rsidRPr="00501526">
        <w:rPr>
          <w:iCs/>
        </w:rPr>
        <w:t xml:space="preserve">Neuropsychiatric assessments </w:t>
      </w:r>
      <w:r w:rsidR="001D7A16" w:rsidRPr="00501526">
        <w:rPr>
          <w:iCs/>
        </w:rPr>
        <w:t xml:space="preserve">in </w:t>
      </w:r>
      <w:r w:rsidR="006C7123" w:rsidRPr="00501526">
        <w:rPr>
          <w:iCs/>
        </w:rPr>
        <w:t xml:space="preserve">the </w:t>
      </w:r>
      <w:r w:rsidR="001D7A16" w:rsidRPr="00501526">
        <w:rPr>
          <w:iCs/>
        </w:rPr>
        <w:t xml:space="preserve">PKUDOS </w:t>
      </w:r>
      <w:r w:rsidR="006C7123" w:rsidRPr="00501526">
        <w:rPr>
          <w:iCs/>
        </w:rPr>
        <w:t xml:space="preserve">registry </w:t>
      </w:r>
      <w:r w:rsidRPr="00501526">
        <w:rPr>
          <w:iCs/>
        </w:rPr>
        <w:t xml:space="preserve">were reported by investigators for a follow-up of 5 years. These are presented in </w:t>
      </w:r>
      <w:r w:rsidRPr="00501526">
        <w:rPr>
          <w:iCs/>
        </w:rPr>
        <w:fldChar w:fldCharType="begin"/>
      </w:r>
      <w:r w:rsidRPr="00501526">
        <w:rPr>
          <w:iCs/>
        </w:rPr>
        <w:instrText xml:space="preserve"> REF _Ref102329963 \h </w:instrText>
      </w:r>
      <w:r w:rsidR="00471C44" w:rsidRPr="00501526">
        <w:rPr>
          <w:iCs/>
        </w:rPr>
        <w:instrText xml:space="preserve"> \* MERGEFORMAT </w:instrText>
      </w:r>
      <w:r w:rsidRPr="00501526">
        <w:rPr>
          <w:iCs/>
        </w:rPr>
      </w:r>
      <w:r w:rsidRPr="00501526">
        <w:rPr>
          <w:iCs/>
        </w:rPr>
        <w:fldChar w:fldCharType="separate"/>
      </w:r>
      <w:r w:rsidR="0035299E" w:rsidRPr="00501526">
        <w:rPr>
          <w:iCs/>
        </w:rPr>
        <w:t xml:space="preserve">Figure </w:t>
      </w:r>
      <w:r w:rsidR="0035299E">
        <w:rPr>
          <w:iCs/>
          <w:noProof/>
        </w:rPr>
        <w:t>2</w:t>
      </w:r>
      <w:r w:rsidRPr="00501526">
        <w:rPr>
          <w:iCs/>
        </w:rPr>
        <w:fldChar w:fldCharType="end"/>
      </w:r>
      <w:r w:rsidRPr="00501526">
        <w:rPr>
          <w:iCs/>
        </w:rPr>
        <w:t xml:space="preserve">. </w:t>
      </w:r>
    </w:p>
    <w:p w14:paraId="5FE15334" w14:textId="4941D346" w:rsidR="0086409B" w:rsidRPr="00501526" w:rsidRDefault="0086409B" w:rsidP="0086409B">
      <w:pPr>
        <w:pStyle w:val="TableFigureHeading"/>
        <w:keepLines/>
        <w:rPr>
          <w:iCs/>
        </w:rPr>
      </w:pPr>
      <w:bookmarkStart w:id="35" w:name="_Ref102329963"/>
      <w:bookmarkStart w:id="36" w:name="OLE_LINK1"/>
      <w:r w:rsidRPr="00501526">
        <w:rPr>
          <w:iCs/>
        </w:rPr>
        <w:t xml:space="preserve">Figure </w:t>
      </w:r>
      <w:r w:rsidR="00471C44" w:rsidRPr="00501526">
        <w:rPr>
          <w:iCs/>
        </w:rPr>
        <w:fldChar w:fldCharType="begin"/>
      </w:r>
      <w:r w:rsidR="00471C44" w:rsidRPr="00501526">
        <w:rPr>
          <w:iCs/>
        </w:rPr>
        <w:instrText xml:space="preserve"> SEQ Figure \* MERGEFORMAT </w:instrText>
      </w:r>
      <w:r w:rsidR="00471C44" w:rsidRPr="00501526">
        <w:rPr>
          <w:iCs/>
        </w:rPr>
        <w:fldChar w:fldCharType="separate"/>
      </w:r>
      <w:r w:rsidR="0035299E">
        <w:rPr>
          <w:iCs/>
          <w:noProof/>
        </w:rPr>
        <w:t>2</w:t>
      </w:r>
      <w:r w:rsidR="00471C44" w:rsidRPr="00501526">
        <w:rPr>
          <w:iCs/>
          <w:noProof/>
        </w:rPr>
        <w:fldChar w:fldCharType="end"/>
      </w:r>
      <w:bookmarkEnd w:id="35"/>
      <w:r w:rsidRPr="00501526">
        <w:rPr>
          <w:iCs/>
        </w:rPr>
        <w:t xml:space="preserve">: </w:t>
      </w:r>
      <w:bookmarkEnd w:id="36"/>
      <w:r w:rsidRPr="00501526">
        <w:rPr>
          <w:iCs/>
        </w:rPr>
        <w:t>Psychiatric assessments at baseline and follow-up in PKUDOS, all patients with data (0 to &lt;65 years)</w:t>
      </w:r>
    </w:p>
    <w:p w14:paraId="3062CE4C" w14:textId="77777777" w:rsidR="00FD5282" w:rsidRPr="00501526" w:rsidRDefault="00FD5282" w:rsidP="00C16B3F">
      <w:pPr>
        <w:keepNext/>
        <w:keepLines/>
        <w:jc w:val="center"/>
        <w:rPr>
          <w:b/>
          <w:bCs/>
          <w:iCs/>
          <w:szCs w:val="18"/>
        </w:rPr>
      </w:pPr>
      <w:r w:rsidRPr="00501526">
        <w:rPr>
          <w:iCs/>
          <w:noProof/>
        </w:rPr>
        <w:drawing>
          <wp:inline distT="0" distB="0" distL="0" distR="0" wp14:anchorId="437F2F89" wp14:editId="6D2B2C6B">
            <wp:extent cx="5731510" cy="3041015"/>
            <wp:effectExtent l="0" t="0" r="2540" b="6985"/>
            <wp:docPr id="6" name="Picture 6" descr="Figure 2: Psychiatric assessments at baseline and follow-up in PKUDOS, all patients with data (0 to &lt;6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Psychiatric assessments at baseline and follow-up in PKUDOS, all patients with data (0 to &lt;65 years)"/>
                    <pic:cNvPicPr/>
                  </pic:nvPicPr>
                  <pic:blipFill>
                    <a:blip r:embed="rId10"/>
                    <a:stretch>
                      <a:fillRect/>
                    </a:stretch>
                  </pic:blipFill>
                  <pic:spPr>
                    <a:xfrm>
                      <a:off x="0" y="0"/>
                      <a:ext cx="5731510" cy="3041015"/>
                    </a:xfrm>
                    <a:prstGeom prst="rect">
                      <a:avLst/>
                    </a:prstGeom>
                  </pic:spPr>
                </pic:pic>
              </a:graphicData>
            </a:graphic>
          </wp:inline>
        </w:drawing>
      </w:r>
      <w:r w:rsidRPr="00501526">
        <w:rPr>
          <w:iCs/>
        </w:rPr>
        <w:t xml:space="preserve"> </w:t>
      </w:r>
    </w:p>
    <w:p w14:paraId="2DBAF36B" w14:textId="77777777" w:rsidR="00FD5282" w:rsidRPr="00501526" w:rsidRDefault="00FD5282" w:rsidP="00167EA1">
      <w:pPr>
        <w:pStyle w:val="TableFigureFooter"/>
        <w:keepNext/>
        <w:keepLines/>
        <w:jc w:val="left"/>
        <w:rPr>
          <w:iCs/>
        </w:rPr>
      </w:pPr>
      <w:r w:rsidRPr="00501526">
        <w:rPr>
          <w:iCs/>
        </w:rPr>
        <w:t>Figure 2.8.10, p225 of the submission.</w:t>
      </w:r>
    </w:p>
    <w:p w14:paraId="7819084A" w14:textId="77777777" w:rsidR="00FD5282" w:rsidRPr="00501526" w:rsidRDefault="00FD5282" w:rsidP="00167EA1">
      <w:pPr>
        <w:pStyle w:val="TableFigureFooter"/>
        <w:keepNext/>
        <w:keepLines/>
        <w:jc w:val="left"/>
        <w:rPr>
          <w:iCs/>
        </w:rPr>
      </w:pPr>
      <w:r w:rsidRPr="00501526">
        <w:rPr>
          <w:iCs/>
        </w:rPr>
        <w:t>ADHD = attention deficit hyperactivity disorder; OCD = obsessive compulsive disorder</w:t>
      </w:r>
    </w:p>
    <w:p w14:paraId="0DD29565" w14:textId="7CDDEAF8" w:rsidR="00FD5282" w:rsidRPr="00501526" w:rsidRDefault="00FD5282" w:rsidP="00167EA1">
      <w:pPr>
        <w:pStyle w:val="TableFigureFooter"/>
        <w:keepNext/>
        <w:keepLines/>
        <w:jc w:val="left"/>
        <w:rPr>
          <w:iCs/>
        </w:rPr>
      </w:pPr>
      <w:r w:rsidRPr="00501526">
        <w:rPr>
          <w:iCs/>
        </w:rPr>
        <w:t>Numbers inside bars correspond to the number of patients that were reported with these symptoms by investigators. Similar trends are seen in other psychiatric conditions assessed (OCD, phobia, autism, psychosis, and bipolar disorder).</w:t>
      </w:r>
    </w:p>
    <w:p w14:paraId="71C3FE28" w14:textId="21969E08" w:rsidR="001110E9" w:rsidRPr="00501526" w:rsidRDefault="00FD5282" w:rsidP="00FD5282">
      <w:pPr>
        <w:pStyle w:val="3-BodyText"/>
        <w:rPr>
          <w:iCs/>
        </w:rPr>
      </w:pPr>
      <w:r w:rsidRPr="00501526">
        <w:rPr>
          <w:iCs/>
        </w:rPr>
        <w:t>The submission noted that these results were reported for patients with available data at baseline and follow-up time points and were not reported by age group</w:t>
      </w:r>
      <w:r w:rsidR="00C16B3F" w:rsidRPr="00501526">
        <w:rPr>
          <w:iCs/>
        </w:rPr>
        <w:t xml:space="preserve"> and as such has limited applicability to the current submission</w:t>
      </w:r>
      <w:r w:rsidRPr="00501526">
        <w:rPr>
          <w:iCs/>
        </w:rPr>
        <w:t xml:space="preserve">. Among these patients, new cases of anxiety, ADHD, autism, depression and OCD generally decreased over time, the majority of which were mild or moderate. </w:t>
      </w:r>
    </w:p>
    <w:p w14:paraId="076A63F0" w14:textId="066871A9" w:rsidR="0043663A" w:rsidRPr="00501526" w:rsidRDefault="00FD5282" w:rsidP="00EC5836">
      <w:pPr>
        <w:pStyle w:val="3-BodyText"/>
        <w:rPr>
          <w:iCs/>
        </w:rPr>
      </w:pPr>
      <w:r w:rsidRPr="00501526">
        <w:rPr>
          <w:iCs/>
          <w:snapToGrid/>
        </w:rPr>
        <w:lastRenderedPageBreak/>
        <w:t xml:space="preserve">Though these outcomes are clinically meaningful, the </w:t>
      </w:r>
      <w:r w:rsidR="00C54691" w:rsidRPr="00501526">
        <w:rPr>
          <w:iCs/>
          <w:snapToGrid/>
        </w:rPr>
        <w:t xml:space="preserve">data </w:t>
      </w:r>
      <w:r w:rsidRPr="00501526">
        <w:rPr>
          <w:iCs/>
          <w:snapToGrid/>
        </w:rPr>
        <w:t xml:space="preserve">do not allow any assessment of benefit in terms of these outcomes for adults. </w:t>
      </w:r>
    </w:p>
    <w:p w14:paraId="26C5B6CF" w14:textId="576411FD" w:rsidR="00B13187" w:rsidRPr="00501526" w:rsidRDefault="00120CBE" w:rsidP="00B54C32">
      <w:pPr>
        <w:pStyle w:val="3-BodyText"/>
        <w:rPr>
          <w:rFonts w:cstheme="minorHAnsi"/>
          <w:iCs/>
        </w:rPr>
      </w:pPr>
      <w:r w:rsidRPr="00501526">
        <w:rPr>
          <w:iCs/>
        </w:rPr>
        <w:t xml:space="preserve">Based on a literature review, the submission </w:t>
      </w:r>
      <w:r w:rsidR="009E29C8" w:rsidRPr="00501526">
        <w:rPr>
          <w:iCs/>
        </w:rPr>
        <w:t>claimed that a lower blood</w:t>
      </w:r>
      <w:r w:rsidR="0086409B" w:rsidRPr="00501526">
        <w:rPr>
          <w:iCs/>
        </w:rPr>
        <w:t xml:space="preserve"> </w:t>
      </w:r>
      <w:r w:rsidR="009E29C8" w:rsidRPr="00501526">
        <w:rPr>
          <w:iCs/>
        </w:rPr>
        <w:t xml:space="preserve">Phe </w:t>
      </w:r>
      <w:r w:rsidR="0086409B" w:rsidRPr="00501526">
        <w:rPr>
          <w:iCs/>
        </w:rPr>
        <w:t xml:space="preserve">level </w:t>
      </w:r>
      <w:r w:rsidR="009E29C8" w:rsidRPr="00501526">
        <w:rPr>
          <w:iCs/>
        </w:rPr>
        <w:t>was correlated with fewer neuropsychiatric symptoms in adults</w:t>
      </w:r>
      <w:r w:rsidR="00B54C32" w:rsidRPr="00501526">
        <w:rPr>
          <w:iCs/>
        </w:rPr>
        <w:t>.</w:t>
      </w:r>
    </w:p>
    <w:p w14:paraId="634C22B2" w14:textId="408FEBCE" w:rsidR="003F5BC5" w:rsidRPr="00501526" w:rsidRDefault="00460143" w:rsidP="0034637B">
      <w:pPr>
        <w:pStyle w:val="3-BodyText"/>
        <w:rPr>
          <w:rFonts w:cstheme="minorHAnsi"/>
          <w:iCs/>
        </w:rPr>
      </w:pPr>
      <w:r w:rsidRPr="00501526">
        <w:rPr>
          <w:rFonts w:cstheme="minorHAnsi"/>
          <w:iCs/>
        </w:rPr>
        <w:t xml:space="preserve">As part of </w:t>
      </w:r>
      <w:r w:rsidR="0034637B" w:rsidRPr="00501526">
        <w:rPr>
          <w:rFonts w:cstheme="minorHAnsi"/>
          <w:iCs/>
        </w:rPr>
        <w:t xml:space="preserve">the translational evidence, the submission presented </w:t>
      </w:r>
      <w:r w:rsidR="005028FD" w:rsidRPr="00501526">
        <w:rPr>
          <w:rFonts w:cstheme="minorHAnsi"/>
          <w:iCs/>
        </w:rPr>
        <w:t xml:space="preserve">results from </w:t>
      </w:r>
      <w:r w:rsidR="00406F61" w:rsidRPr="00501526">
        <w:rPr>
          <w:rFonts w:cstheme="minorHAnsi"/>
          <w:iCs/>
        </w:rPr>
        <w:t>PKU-016</w:t>
      </w:r>
      <w:r w:rsidR="0034637B" w:rsidRPr="00501526">
        <w:rPr>
          <w:rFonts w:cstheme="minorHAnsi"/>
          <w:iCs/>
        </w:rPr>
        <w:t xml:space="preserve">, </w:t>
      </w:r>
      <w:r w:rsidR="00406F61" w:rsidRPr="00501526">
        <w:rPr>
          <w:rFonts w:cstheme="minorHAnsi"/>
          <w:iCs/>
        </w:rPr>
        <w:t xml:space="preserve">a randomised controlled trial of sapropterin (n = 108) compared with placebo (n=98) as an adjunct to normal Phe-restricted diet in patients aged ≥ 8 years for 13 weeks. </w:t>
      </w:r>
      <w:r w:rsidR="0086409B" w:rsidRPr="00501526">
        <w:rPr>
          <w:rFonts w:cstheme="minorHAnsi"/>
          <w:iCs/>
        </w:rPr>
        <w:t>However, the submission excluded t</w:t>
      </w:r>
      <w:r w:rsidR="00B54C32" w:rsidRPr="00501526">
        <w:rPr>
          <w:rFonts w:cstheme="minorHAnsi"/>
          <w:iCs/>
        </w:rPr>
        <w:t xml:space="preserve">his trial </w:t>
      </w:r>
      <w:r w:rsidR="0086409B" w:rsidRPr="00501526">
        <w:rPr>
          <w:rFonts w:cstheme="minorHAnsi"/>
          <w:iCs/>
        </w:rPr>
        <w:t>as it did</w:t>
      </w:r>
      <w:r w:rsidR="00B13187" w:rsidRPr="00501526">
        <w:rPr>
          <w:rFonts w:cstheme="minorHAnsi"/>
          <w:iCs/>
        </w:rPr>
        <w:t xml:space="preserve"> not includ</w:t>
      </w:r>
      <w:r w:rsidR="0086409B" w:rsidRPr="00501526">
        <w:rPr>
          <w:rFonts w:cstheme="minorHAnsi"/>
          <w:iCs/>
        </w:rPr>
        <w:t>e</w:t>
      </w:r>
      <w:r w:rsidR="00B13187" w:rsidRPr="00501526">
        <w:rPr>
          <w:rFonts w:cstheme="minorHAnsi"/>
          <w:iCs/>
        </w:rPr>
        <w:t xml:space="preserve"> at least 50% adult patients. </w:t>
      </w:r>
      <w:r w:rsidR="009F4524">
        <w:rPr>
          <w:rFonts w:cstheme="minorHAnsi"/>
          <w:iCs/>
        </w:rPr>
        <w:t>T</w:t>
      </w:r>
      <w:r w:rsidR="0086409B" w:rsidRPr="00501526">
        <w:rPr>
          <w:rFonts w:cstheme="minorHAnsi"/>
          <w:iCs/>
        </w:rPr>
        <w:t>his trial reported no statistically significant differences between adults with PKU treated with sapropterin or placebo in ADHD-RS and BRIEF scores.</w:t>
      </w:r>
      <w:r w:rsidR="00F41B07" w:rsidRPr="00501526">
        <w:rPr>
          <w:rFonts w:cstheme="minorHAnsi"/>
          <w:iCs/>
        </w:rPr>
        <w:t xml:space="preserve"> The other translational evidence included published regression models from Bilder 2016 and Burgess 2021, which did not report any statistically significant correlations between Phe and neuropsychiatric outcomes.</w:t>
      </w:r>
    </w:p>
    <w:p w14:paraId="4E8CCED5" w14:textId="5D8E078B" w:rsidR="00406F61" w:rsidRPr="00501526" w:rsidRDefault="00406F61" w:rsidP="00550416">
      <w:pPr>
        <w:pStyle w:val="3-BodyText"/>
        <w:rPr>
          <w:rFonts w:cstheme="minorHAnsi"/>
          <w:iCs/>
        </w:rPr>
      </w:pPr>
      <w:r w:rsidRPr="00501526">
        <w:rPr>
          <w:rFonts w:cstheme="minorHAnsi"/>
          <w:iCs/>
        </w:rPr>
        <w:t xml:space="preserve">Overall, while it was biologically plausible that a lower blood-Phe was correlated with fewer neuropsychiatric symptoms in adults, the </w:t>
      </w:r>
      <w:r w:rsidR="006C7123" w:rsidRPr="00501526">
        <w:rPr>
          <w:rFonts w:cstheme="minorHAnsi"/>
          <w:iCs/>
        </w:rPr>
        <w:t xml:space="preserve">evaluation and the ESC considered that the </w:t>
      </w:r>
      <w:r w:rsidRPr="00501526">
        <w:rPr>
          <w:rFonts w:cstheme="minorHAnsi"/>
          <w:iCs/>
        </w:rPr>
        <w:t>exact correlation was uncertain, and the incremental benefit associated with treatment with sapropterin was difficult to accurately quantif</w:t>
      </w:r>
      <w:r w:rsidR="009C1838" w:rsidRPr="00501526">
        <w:rPr>
          <w:rFonts w:cstheme="minorHAnsi"/>
          <w:iCs/>
        </w:rPr>
        <w:t>y.</w:t>
      </w:r>
    </w:p>
    <w:p w14:paraId="746FFDC2" w14:textId="6C5607F0" w:rsidR="00F41B07" w:rsidRPr="00501526" w:rsidRDefault="00406F61" w:rsidP="00F41B07">
      <w:pPr>
        <w:pStyle w:val="3-BodyText"/>
        <w:rPr>
          <w:rFonts w:cstheme="minorHAnsi"/>
          <w:iCs/>
        </w:rPr>
      </w:pPr>
      <w:bookmarkStart w:id="37" w:name="_Ref103053220"/>
      <w:r w:rsidRPr="00501526">
        <w:rPr>
          <w:rFonts w:cstheme="minorHAnsi"/>
          <w:iCs/>
        </w:rPr>
        <w:t xml:space="preserve">The </w:t>
      </w:r>
      <w:r w:rsidR="00F41B07" w:rsidRPr="00501526">
        <w:rPr>
          <w:rFonts w:cstheme="minorHAnsi"/>
          <w:iCs/>
        </w:rPr>
        <w:t>s</w:t>
      </w:r>
      <w:r w:rsidRPr="00501526">
        <w:rPr>
          <w:rFonts w:cstheme="minorHAnsi"/>
          <w:iCs/>
        </w:rPr>
        <w:t xml:space="preserve">ubmission </w:t>
      </w:r>
      <w:r w:rsidR="005345B8" w:rsidRPr="00501526">
        <w:rPr>
          <w:rFonts w:cstheme="minorHAnsi"/>
          <w:iCs/>
        </w:rPr>
        <w:t xml:space="preserve">also </w:t>
      </w:r>
      <w:r w:rsidRPr="00501526">
        <w:rPr>
          <w:rFonts w:cstheme="minorHAnsi"/>
          <w:iCs/>
        </w:rPr>
        <w:t xml:space="preserve">claimed that a relationship between increases in Phe tolerance and increased quality of life was supported by the time burden studies and HRQoL evidence. This was plausible and reasonable, and was captured in the time trade off (TTO) study used </w:t>
      </w:r>
      <w:r w:rsidR="003C4C16" w:rsidRPr="00501526">
        <w:rPr>
          <w:rFonts w:cstheme="minorHAnsi"/>
          <w:iCs/>
        </w:rPr>
        <w:t>in the economic</w:t>
      </w:r>
      <w:r w:rsidR="00E702A3" w:rsidRPr="00501526">
        <w:rPr>
          <w:rFonts w:cstheme="minorHAnsi"/>
          <w:iCs/>
        </w:rPr>
        <w:t xml:space="preserve"> evaluation</w:t>
      </w:r>
      <w:r w:rsidRPr="00501526">
        <w:rPr>
          <w:rFonts w:cstheme="minorHAnsi"/>
          <w:iCs/>
        </w:rPr>
        <w:t>. However</w:t>
      </w:r>
      <w:r w:rsidR="00F41B07" w:rsidRPr="00501526">
        <w:rPr>
          <w:rFonts w:cstheme="minorHAnsi"/>
          <w:iCs/>
        </w:rPr>
        <w:t xml:space="preserve">, </w:t>
      </w:r>
      <w:r w:rsidRPr="00501526">
        <w:rPr>
          <w:rFonts w:cstheme="minorHAnsi"/>
          <w:iCs/>
        </w:rPr>
        <w:t>differences in dietary Phe w</w:t>
      </w:r>
      <w:r w:rsidR="00F41B07" w:rsidRPr="00501526">
        <w:rPr>
          <w:rFonts w:cstheme="minorHAnsi"/>
          <w:iCs/>
        </w:rPr>
        <w:t>ere</w:t>
      </w:r>
      <w:r w:rsidRPr="00501526">
        <w:rPr>
          <w:rFonts w:cstheme="minorHAnsi"/>
          <w:iCs/>
        </w:rPr>
        <w:t xml:space="preserve"> not considered in the clinical claim or economic model, which was based solely on blood-Phe levels.</w:t>
      </w:r>
      <w:bookmarkEnd w:id="37"/>
      <w:r w:rsidR="00F41B07" w:rsidRPr="00501526">
        <w:rPr>
          <w:rFonts w:cstheme="minorHAnsi"/>
          <w:iCs/>
        </w:rPr>
        <w:t xml:space="preserve"> In reality, it is likely some</w:t>
      </w:r>
      <w:r w:rsidR="003C4C16" w:rsidRPr="00501526">
        <w:rPr>
          <w:rFonts w:cstheme="minorHAnsi"/>
          <w:iCs/>
        </w:rPr>
        <w:t xml:space="preserve"> adult</w:t>
      </w:r>
      <w:r w:rsidR="00F41B07" w:rsidRPr="00501526">
        <w:rPr>
          <w:rFonts w:cstheme="minorHAnsi"/>
          <w:iCs/>
        </w:rPr>
        <w:t xml:space="preserve"> patients who achieve a response to </w:t>
      </w:r>
      <w:r w:rsidR="003C4C16" w:rsidRPr="00501526">
        <w:rPr>
          <w:rFonts w:cstheme="minorHAnsi"/>
          <w:iCs/>
        </w:rPr>
        <w:t xml:space="preserve">sapropterin </w:t>
      </w:r>
      <w:r w:rsidR="00F41B07" w:rsidRPr="00501526">
        <w:rPr>
          <w:rFonts w:cstheme="minorHAnsi"/>
          <w:iCs/>
        </w:rPr>
        <w:t xml:space="preserve">would choose to trade-off some of the blood-Phe lowering effects with </w:t>
      </w:r>
      <w:r w:rsidR="009F4524">
        <w:rPr>
          <w:rFonts w:cstheme="minorHAnsi"/>
          <w:iCs/>
        </w:rPr>
        <w:t>sapropterin</w:t>
      </w:r>
      <w:r w:rsidR="009F4524" w:rsidRPr="00501526">
        <w:rPr>
          <w:rFonts w:cstheme="minorHAnsi"/>
          <w:iCs/>
        </w:rPr>
        <w:t xml:space="preserve"> </w:t>
      </w:r>
      <w:r w:rsidR="00F41B07" w:rsidRPr="00501526">
        <w:rPr>
          <w:rFonts w:cstheme="minorHAnsi"/>
          <w:iCs/>
        </w:rPr>
        <w:t>by relaxing their Phe-restricted diet. However</w:t>
      </w:r>
      <w:r w:rsidR="003C4C16" w:rsidRPr="00501526">
        <w:rPr>
          <w:rFonts w:cstheme="minorHAnsi"/>
          <w:iCs/>
        </w:rPr>
        <w:t>,</w:t>
      </w:r>
      <w:r w:rsidR="00F41B07" w:rsidRPr="00501526">
        <w:rPr>
          <w:rFonts w:cstheme="minorHAnsi"/>
          <w:iCs/>
        </w:rPr>
        <w:t xml:space="preserve"> the extent of this could not be elicited from the available data. For reference, the TTO study conducted by the sponsor estimated the disutility associated with a restricted diet with medical food and partly restricted diet without medical food to be 0.173 and 0.062, respectively, assuming no change in PKU symptoms. </w:t>
      </w:r>
      <w:r w:rsidR="006C7123" w:rsidRPr="00501526">
        <w:rPr>
          <w:rFonts w:cstheme="minorHAnsi"/>
          <w:iCs/>
        </w:rPr>
        <w:t>The ESC considered that normalisation of diet may be an important treatment goal.</w:t>
      </w:r>
      <w:r w:rsidR="009F4524">
        <w:rPr>
          <w:rFonts w:cstheme="minorHAnsi"/>
          <w:iCs/>
        </w:rPr>
        <w:t xml:space="preserve"> The PBAC noted that this was consistent with input received from clinicians and patients.</w:t>
      </w:r>
    </w:p>
    <w:p w14:paraId="1452C351" w14:textId="0D19F1B0" w:rsidR="00B60939" w:rsidRPr="00501526" w:rsidRDefault="00B60939" w:rsidP="00D86231">
      <w:pPr>
        <w:pStyle w:val="4-SubsectionHeading"/>
      </w:pPr>
      <w:bookmarkStart w:id="38" w:name="_Toc22897642"/>
      <w:bookmarkStart w:id="39" w:name="_Toc103766829"/>
      <w:r w:rsidRPr="00501526">
        <w:t>Comparative harms</w:t>
      </w:r>
      <w:bookmarkEnd w:id="38"/>
      <w:bookmarkEnd w:id="39"/>
    </w:p>
    <w:p w14:paraId="2423C6F0" w14:textId="032609D1" w:rsidR="00061B1F" w:rsidRPr="00501526" w:rsidRDefault="00061B1F" w:rsidP="003343EF">
      <w:pPr>
        <w:pStyle w:val="3-BodyText"/>
        <w:rPr>
          <w:iCs/>
        </w:rPr>
      </w:pPr>
      <w:r w:rsidRPr="00501526">
        <w:rPr>
          <w:iCs/>
          <w:color w:val="000000" w:themeColor="text1"/>
        </w:rPr>
        <w:t xml:space="preserve">The PBAC </w:t>
      </w:r>
      <w:r w:rsidRPr="00501526">
        <w:rPr>
          <w:iCs/>
        </w:rPr>
        <w:t>previously noted that the only statistically significant difference in adverse events reported in the trials and studies (by relative risk and odds ratio, but not risk difference) was a lower proportion of patients in the sapropterin arm of PKU</w:t>
      </w:r>
      <w:r w:rsidR="009F4524">
        <w:rPr>
          <w:iCs/>
        </w:rPr>
        <w:noBreakHyphen/>
      </w:r>
      <w:r w:rsidRPr="00501526">
        <w:rPr>
          <w:iCs/>
        </w:rPr>
        <w:t xml:space="preserve">003 experiencing adverse events compared with diet alone and that </w:t>
      </w:r>
      <w:r w:rsidRPr="00501526">
        <w:rPr>
          <w:rFonts w:cs="Calibri"/>
          <w:iCs/>
          <w:snapToGrid/>
        </w:rPr>
        <w:t>the</w:t>
      </w:r>
      <w:r w:rsidRPr="00501526">
        <w:rPr>
          <w:iCs/>
        </w:rPr>
        <w:t xml:space="preserve"> most common events reported among the trials and studies were cough, upper respiratory tract infections and nasopharyngitis (paras 6.26 &amp; 6.27</w:t>
      </w:r>
      <w:r w:rsidR="009F4524">
        <w:rPr>
          <w:iCs/>
        </w:rPr>
        <w:t xml:space="preserve"> </w:t>
      </w:r>
      <w:r w:rsidR="001C7FD9" w:rsidRPr="00501526">
        <w:rPr>
          <w:iCs/>
        </w:rPr>
        <w:t xml:space="preserve">sapropterin </w:t>
      </w:r>
      <w:r w:rsidR="009F4524">
        <w:rPr>
          <w:iCs/>
        </w:rPr>
        <w:t xml:space="preserve">PSD, </w:t>
      </w:r>
      <w:r w:rsidRPr="00501526">
        <w:rPr>
          <w:iCs/>
        </w:rPr>
        <w:t xml:space="preserve">March 2018 PBAC </w:t>
      </w:r>
      <w:r w:rsidR="009F4524">
        <w:rPr>
          <w:iCs/>
        </w:rPr>
        <w:t>meeting</w:t>
      </w:r>
      <w:r w:rsidRPr="00501526">
        <w:rPr>
          <w:iCs/>
        </w:rPr>
        <w:t>).</w:t>
      </w:r>
    </w:p>
    <w:p w14:paraId="04E6ECD5" w14:textId="4168799B" w:rsidR="00061B1F" w:rsidRPr="00501526" w:rsidRDefault="00061B1F" w:rsidP="003343EF">
      <w:pPr>
        <w:pStyle w:val="3-BodyText"/>
        <w:rPr>
          <w:iCs/>
        </w:rPr>
      </w:pPr>
      <w:r w:rsidRPr="00501526">
        <w:rPr>
          <w:iCs/>
          <w:color w:val="000000" w:themeColor="text1"/>
        </w:rPr>
        <w:lastRenderedPageBreak/>
        <w:t>The</w:t>
      </w:r>
      <w:r w:rsidRPr="00501526">
        <w:rPr>
          <w:iCs/>
        </w:rPr>
        <w:t xml:space="preserve"> only new safety data presented was from the 2017 </w:t>
      </w:r>
      <w:r w:rsidR="006C7123" w:rsidRPr="00501526">
        <w:rPr>
          <w:iCs/>
        </w:rPr>
        <w:t>d</w:t>
      </w:r>
      <w:r w:rsidR="009629AB" w:rsidRPr="00501526">
        <w:rPr>
          <w:iCs/>
        </w:rPr>
        <w:t>ata cut</w:t>
      </w:r>
      <w:r w:rsidR="000670F1">
        <w:rPr>
          <w:iCs/>
        </w:rPr>
        <w:t xml:space="preserve"> </w:t>
      </w:r>
      <w:r w:rsidR="00BB415B">
        <w:rPr>
          <w:iCs/>
        </w:rPr>
        <w:t>from</w:t>
      </w:r>
      <w:r w:rsidRPr="00501526">
        <w:rPr>
          <w:iCs/>
        </w:rPr>
        <w:t xml:space="preserve"> PKUDOS. These results are presented in the table below.</w:t>
      </w:r>
    </w:p>
    <w:p w14:paraId="05A9DAFB" w14:textId="2FD05967" w:rsidR="00061B1F" w:rsidRPr="00501526" w:rsidRDefault="00061B1F" w:rsidP="009E3278">
      <w:pPr>
        <w:pStyle w:val="TableFigureHeading"/>
        <w:keepLines/>
        <w:rPr>
          <w:iCs/>
        </w:rPr>
      </w:pPr>
      <w:r w:rsidRPr="00501526">
        <w:rPr>
          <w:rStyle w:val="CommentReference"/>
          <w:b/>
          <w:bCs w:val="0"/>
          <w:iCs/>
          <w:szCs w:val="24"/>
        </w:rPr>
        <w:t xml:space="preserve">Table </w:t>
      </w:r>
      <w:r w:rsidRPr="00501526">
        <w:rPr>
          <w:rStyle w:val="CommentReference"/>
          <w:b/>
          <w:bCs w:val="0"/>
          <w:iCs/>
          <w:szCs w:val="24"/>
        </w:rPr>
        <w:fldChar w:fldCharType="begin"/>
      </w:r>
      <w:r w:rsidRPr="00501526">
        <w:rPr>
          <w:rStyle w:val="CommentReference"/>
          <w:b/>
          <w:bCs w:val="0"/>
          <w:iCs/>
          <w:szCs w:val="24"/>
        </w:rPr>
        <w:instrText xml:space="preserve"> SEQ Table \* MERGEFORMAT </w:instrText>
      </w:r>
      <w:r w:rsidRPr="00501526">
        <w:rPr>
          <w:rStyle w:val="CommentReference"/>
          <w:b/>
          <w:bCs w:val="0"/>
          <w:iCs/>
          <w:szCs w:val="24"/>
        </w:rPr>
        <w:fldChar w:fldCharType="separate"/>
      </w:r>
      <w:r w:rsidR="0035299E">
        <w:rPr>
          <w:rStyle w:val="CommentReference"/>
          <w:b/>
          <w:bCs w:val="0"/>
          <w:iCs/>
          <w:noProof/>
          <w:szCs w:val="24"/>
        </w:rPr>
        <w:t>7</w:t>
      </w:r>
      <w:r w:rsidRPr="00501526">
        <w:rPr>
          <w:rStyle w:val="CommentReference"/>
          <w:b/>
          <w:bCs w:val="0"/>
          <w:iCs/>
          <w:szCs w:val="24"/>
        </w:rPr>
        <w:fldChar w:fldCharType="end"/>
      </w:r>
      <w:r w:rsidRPr="00501526">
        <w:rPr>
          <w:iCs/>
        </w:rPr>
        <w:t>: Most common AEs considered related to sapropterin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1481"/>
        <w:gridCol w:w="1675"/>
        <w:gridCol w:w="1674"/>
      </w:tblGrid>
      <w:tr w:rsidR="00D505E9" w:rsidRPr="00501526" w14:paraId="7D91F3E8" w14:textId="11FEF6C7" w:rsidTr="00D505E9">
        <w:trPr>
          <w:trHeight w:val="244"/>
        </w:trPr>
        <w:tc>
          <w:tcPr>
            <w:tcW w:w="2322" w:type="pct"/>
            <w:vMerge w:val="restart"/>
          </w:tcPr>
          <w:p w14:paraId="604289A0" w14:textId="77777777" w:rsidR="00D505E9" w:rsidRPr="00501526" w:rsidRDefault="00D505E9" w:rsidP="009E3278">
            <w:pPr>
              <w:pStyle w:val="Tabletext"/>
              <w:keepNext/>
              <w:keepLines/>
              <w:rPr>
                <w:rFonts w:eastAsia="Calibri"/>
                <w:b/>
                <w:bCs/>
                <w:iCs/>
              </w:rPr>
            </w:pPr>
            <w:r w:rsidRPr="00501526">
              <w:rPr>
                <w:rFonts w:eastAsia="Calibri"/>
                <w:b/>
                <w:bCs/>
                <w:iCs/>
              </w:rPr>
              <w:t>Proportion of patients, n (%)</w:t>
            </w:r>
          </w:p>
        </w:tc>
        <w:tc>
          <w:tcPr>
            <w:tcW w:w="821" w:type="pct"/>
            <w:vAlign w:val="center"/>
          </w:tcPr>
          <w:p w14:paraId="73A6B309" w14:textId="77777777" w:rsidR="00D505E9" w:rsidRPr="00501526" w:rsidRDefault="00D505E9" w:rsidP="009E3278">
            <w:pPr>
              <w:pStyle w:val="Tabletext"/>
              <w:keepNext/>
              <w:keepLines/>
              <w:jc w:val="center"/>
              <w:rPr>
                <w:rFonts w:eastAsia="Calibri"/>
                <w:b/>
                <w:bCs/>
                <w:iCs/>
              </w:rPr>
            </w:pPr>
            <w:r w:rsidRPr="00501526">
              <w:rPr>
                <w:rFonts w:eastAsia="Calibri"/>
                <w:b/>
                <w:bCs/>
                <w:iCs/>
              </w:rPr>
              <w:t>Continuously treated</w:t>
            </w:r>
          </w:p>
        </w:tc>
        <w:tc>
          <w:tcPr>
            <w:tcW w:w="929" w:type="pct"/>
            <w:vAlign w:val="center"/>
          </w:tcPr>
          <w:p w14:paraId="5D2F6065" w14:textId="77777777" w:rsidR="00D505E9" w:rsidRPr="00501526" w:rsidRDefault="00D505E9" w:rsidP="009E3278">
            <w:pPr>
              <w:pStyle w:val="Tabletext"/>
              <w:keepNext/>
              <w:keepLines/>
              <w:jc w:val="center"/>
              <w:rPr>
                <w:rFonts w:eastAsia="Calibri"/>
                <w:b/>
                <w:bCs/>
                <w:iCs/>
              </w:rPr>
            </w:pPr>
            <w:r w:rsidRPr="00501526">
              <w:rPr>
                <w:rFonts w:eastAsia="Calibri"/>
                <w:b/>
                <w:bCs/>
                <w:iCs/>
              </w:rPr>
              <w:t>Previously treated</w:t>
            </w:r>
          </w:p>
        </w:tc>
        <w:tc>
          <w:tcPr>
            <w:tcW w:w="928" w:type="pct"/>
            <w:vMerge w:val="restart"/>
            <w:vAlign w:val="center"/>
          </w:tcPr>
          <w:p w14:paraId="7D4DF36D" w14:textId="7596DCA8" w:rsidR="00D505E9" w:rsidRPr="00501526" w:rsidRDefault="00D505E9" w:rsidP="009E3278">
            <w:pPr>
              <w:pStyle w:val="Tabletext"/>
              <w:keepNext/>
              <w:keepLines/>
              <w:jc w:val="center"/>
              <w:rPr>
                <w:rFonts w:eastAsia="Calibri"/>
                <w:b/>
                <w:bCs/>
                <w:iCs/>
              </w:rPr>
            </w:pPr>
            <w:r w:rsidRPr="00501526">
              <w:rPr>
                <w:rFonts w:eastAsia="Calibri"/>
                <w:b/>
                <w:bCs/>
                <w:iCs/>
              </w:rPr>
              <w:t>RD (95% CI)</w:t>
            </w:r>
          </w:p>
        </w:tc>
      </w:tr>
      <w:tr w:rsidR="00D505E9" w:rsidRPr="00501526" w14:paraId="59B760A3" w14:textId="32809336" w:rsidTr="00D505E9">
        <w:trPr>
          <w:trHeight w:val="244"/>
        </w:trPr>
        <w:tc>
          <w:tcPr>
            <w:tcW w:w="2322" w:type="pct"/>
            <w:vMerge/>
          </w:tcPr>
          <w:p w14:paraId="6346F6BA" w14:textId="77777777" w:rsidR="00D505E9" w:rsidRPr="00501526" w:rsidRDefault="00D505E9" w:rsidP="009E3278">
            <w:pPr>
              <w:pStyle w:val="Tabletext"/>
              <w:keepNext/>
              <w:keepLines/>
              <w:rPr>
                <w:rFonts w:eastAsia="Calibri"/>
                <w:iCs/>
              </w:rPr>
            </w:pPr>
          </w:p>
        </w:tc>
        <w:tc>
          <w:tcPr>
            <w:tcW w:w="821" w:type="pct"/>
            <w:vAlign w:val="center"/>
          </w:tcPr>
          <w:p w14:paraId="347429B1" w14:textId="77777777" w:rsidR="00D505E9" w:rsidRPr="00501526" w:rsidRDefault="00D505E9" w:rsidP="009E3278">
            <w:pPr>
              <w:pStyle w:val="Tabletext"/>
              <w:keepNext/>
              <w:keepLines/>
              <w:jc w:val="center"/>
              <w:rPr>
                <w:rFonts w:eastAsia="Calibri"/>
                <w:b/>
                <w:bCs/>
                <w:iCs/>
              </w:rPr>
            </w:pPr>
            <w:r w:rsidRPr="00501526">
              <w:rPr>
                <w:rFonts w:eastAsia="Calibri"/>
                <w:b/>
                <w:bCs/>
                <w:iCs/>
              </w:rPr>
              <w:t>N = 908</w:t>
            </w:r>
          </w:p>
        </w:tc>
        <w:tc>
          <w:tcPr>
            <w:tcW w:w="929" w:type="pct"/>
            <w:vAlign w:val="center"/>
          </w:tcPr>
          <w:p w14:paraId="67704942" w14:textId="77777777" w:rsidR="00D505E9" w:rsidRPr="00501526" w:rsidRDefault="00D505E9" w:rsidP="009E3278">
            <w:pPr>
              <w:pStyle w:val="Tabletext"/>
              <w:keepNext/>
              <w:keepLines/>
              <w:jc w:val="center"/>
              <w:rPr>
                <w:rFonts w:eastAsia="Calibri"/>
                <w:b/>
                <w:bCs/>
                <w:iCs/>
              </w:rPr>
            </w:pPr>
            <w:r w:rsidRPr="00501526">
              <w:rPr>
                <w:rFonts w:eastAsia="Calibri"/>
                <w:b/>
                <w:bCs/>
                <w:iCs/>
              </w:rPr>
              <w:t>N = 381</w:t>
            </w:r>
          </w:p>
        </w:tc>
        <w:tc>
          <w:tcPr>
            <w:tcW w:w="928" w:type="pct"/>
            <w:vMerge/>
            <w:vAlign w:val="center"/>
          </w:tcPr>
          <w:p w14:paraId="099C46C7" w14:textId="332BD9E6" w:rsidR="00D505E9" w:rsidRPr="00501526" w:rsidRDefault="00D505E9" w:rsidP="009E3278">
            <w:pPr>
              <w:pStyle w:val="Tabletext"/>
              <w:keepNext/>
              <w:keepLines/>
              <w:jc w:val="center"/>
              <w:rPr>
                <w:rFonts w:eastAsia="Calibri"/>
                <w:iCs/>
              </w:rPr>
            </w:pPr>
          </w:p>
        </w:tc>
      </w:tr>
      <w:tr w:rsidR="00F36988" w:rsidRPr="00501526" w14:paraId="4385A722" w14:textId="4B53F0B2" w:rsidTr="00464C14">
        <w:trPr>
          <w:trHeight w:val="244"/>
        </w:trPr>
        <w:tc>
          <w:tcPr>
            <w:tcW w:w="2322" w:type="pct"/>
            <w:hideMark/>
          </w:tcPr>
          <w:p w14:paraId="6B032A20"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 1 drug-related AE </w:t>
            </w:r>
          </w:p>
        </w:tc>
        <w:tc>
          <w:tcPr>
            <w:tcW w:w="821" w:type="pct"/>
          </w:tcPr>
          <w:p w14:paraId="7373F074" w14:textId="77777777" w:rsidR="00F36988" w:rsidRPr="00501526" w:rsidRDefault="00F36988" w:rsidP="009E3278">
            <w:pPr>
              <w:pStyle w:val="Tabletext"/>
              <w:keepNext/>
              <w:keepLines/>
              <w:jc w:val="center"/>
              <w:rPr>
                <w:rFonts w:eastAsia="Calibri"/>
                <w:iCs/>
              </w:rPr>
            </w:pPr>
            <w:r w:rsidRPr="00501526">
              <w:rPr>
                <w:rFonts w:eastAsia="Calibri"/>
                <w:iCs/>
              </w:rPr>
              <w:t>116 (12.8)</w:t>
            </w:r>
          </w:p>
        </w:tc>
        <w:tc>
          <w:tcPr>
            <w:tcW w:w="929" w:type="pct"/>
          </w:tcPr>
          <w:p w14:paraId="41DC8275" w14:textId="77777777" w:rsidR="00F36988" w:rsidRPr="00501526" w:rsidRDefault="00F36988" w:rsidP="009E3278">
            <w:pPr>
              <w:pStyle w:val="Tabletext"/>
              <w:keepNext/>
              <w:keepLines/>
              <w:jc w:val="center"/>
              <w:rPr>
                <w:rFonts w:eastAsia="Calibri"/>
                <w:iCs/>
              </w:rPr>
            </w:pPr>
            <w:r w:rsidRPr="00501526">
              <w:rPr>
                <w:rFonts w:eastAsia="Calibri"/>
                <w:iCs/>
              </w:rPr>
              <w:t>9 (2.4)</w:t>
            </w:r>
          </w:p>
        </w:tc>
        <w:tc>
          <w:tcPr>
            <w:tcW w:w="928" w:type="pct"/>
            <w:vAlign w:val="bottom"/>
          </w:tcPr>
          <w:p w14:paraId="6E45C38A" w14:textId="56245805" w:rsidR="00F36988" w:rsidRPr="00501526" w:rsidRDefault="00F36988" w:rsidP="009E3278">
            <w:pPr>
              <w:pStyle w:val="Tabletext"/>
              <w:keepNext/>
              <w:keepLines/>
              <w:jc w:val="center"/>
              <w:rPr>
                <w:rFonts w:eastAsia="Calibri"/>
                <w:iCs/>
              </w:rPr>
            </w:pPr>
            <w:r w:rsidRPr="00501526">
              <w:rPr>
                <w:rFonts w:cs="Calibri"/>
                <w:iCs/>
                <w:color w:val="000000"/>
              </w:rPr>
              <w:t>0.1 (0.08, 0.13)</w:t>
            </w:r>
          </w:p>
        </w:tc>
      </w:tr>
      <w:tr w:rsidR="00F36988" w:rsidRPr="00501526" w14:paraId="33CC5F8C" w14:textId="056B6E09" w:rsidTr="00464C14">
        <w:trPr>
          <w:trHeight w:val="244"/>
        </w:trPr>
        <w:tc>
          <w:tcPr>
            <w:tcW w:w="2322" w:type="pct"/>
            <w:hideMark/>
          </w:tcPr>
          <w:p w14:paraId="79699B04"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Gastrointestinal disorders </w:t>
            </w:r>
          </w:p>
        </w:tc>
        <w:tc>
          <w:tcPr>
            <w:tcW w:w="821" w:type="pct"/>
          </w:tcPr>
          <w:p w14:paraId="636CD639" w14:textId="77777777" w:rsidR="00F36988" w:rsidRPr="00501526" w:rsidRDefault="00F36988" w:rsidP="009E3278">
            <w:pPr>
              <w:pStyle w:val="Tabletext"/>
              <w:keepNext/>
              <w:keepLines/>
              <w:jc w:val="center"/>
              <w:rPr>
                <w:rFonts w:eastAsia="Calibri"/>
                <w:iCs/>
              </w:rPr>
            </w:pPr>
            <w:r w:rsidRPr="00501526">
              <w:rPr>
                <w:rFonts w:eastAsia="Calibri"/>
                <w:iCs/>
              </w:rPr>
              <w:t>62 (36.8)</w:t>
            </w:r>
          </w:p>
        </w:tc>
        <w:tc>
          <w:tcPr>
            <w:tcW w:w="929" w:type="pct"/>
          </w:tcPr>
          <w:p w14:paraId="61632697" w14:textId="77777777" w:rsidR="00F36988" w:rsidRPr="00501526" w:rsidRDefault="00F36988" w:rsidP="009E3278">
            <w:pPr>
              <w:pStyle w:val="Tabletext"/>
              <w:keepNext/>
              <w:keepLines/>
              <w:jc w:val="center"/>
              <w:rPr>
                <w:rFonts w:eastAsia="Calibri"/>
                <w:iCs/>
              </w:rPr>
            </w:pPr>
            <w:r w:rsidRPr="00501526">
              <w:rPr>
                <w:rFonts w:eastAsia="Calibri"/>
                <w:iCs/>
              </w:rPr>
              <w:t>5 (1.3)</w:t>
            </w:r>
          </w:p>
        </w:tc>
        <w:tc>
          <w:tcPr>
            <w:tcW w:w="928" w:type="pct"/>
            <w:vAlign w:val="bottom"/>
          </w:tcPr>
          <w:p w14:paraId="05690E23" w14:textId="4B5198B3" w:rsidR="00F36988" w:rsidRPr="00501526" w:rsidRDefault="00F36988" w:rsidP="009E3278">
            <w:pPr>
              <w:pStyle w:val="Tabletext"/>
              <w:keepNext/>
              <w:keepLines/>
              <w:jc w:val="center"/>
              <w:rPr>
                <w:rFonts w:eastAsia="Calibri"/>
                <w:iCs/>
              </w:rPr>
            </w:pPr>
            <w:r w:rsidRPr="00501526">
              <w:rPr>
                <w:rFonts w:cs="Calibri"/>
                <w:iCs/>
                <w:color w:val="000000"/>
              </w:rPr>
              <w:t>0.06 (0.04, 0.08)</w:t>
            </w:r>
          </w:p>
        </w:tc>
      </w:tr>
      <w:tr w:rsidR="00F36988" w:rsidRPr="00501526" w14:paraId="203BDDA4" w14:textId="2A501767" w:rsidTr="00464C14">
        <w:trPr>
          <w:trHeight w:val="244"/>
        </w:trPr>
        <w:tc>
          <w:tcPr>
            <w:tcW w:w="2322" w:type="pct"/>
            <w:hideMark/>
          </w:tcPr>
          <w:p w14:paraId="427A5EE4"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Nervous system disorders </w:t>
            </w:r>
          </w:p>
        </w:tc>
        <w:tc>
          <w:tcPr>
            <w:tcW w:w="821" w:type="pct"/>
          </w:tcPr>
          <w:p w14:paraId="6B973348" w14:textId="77777777" w:rsidR="00F36988" w:rsidRPr="00501526" w:rsidRDefault="00F36988" w:rsidP="009E3278">
            <w:pPr>
              <w:pStyle w:val="Tabletext"/>
              <w:keepNext/>
              <w:keepLines/>
              <w:jc w:val="center"/>
              <w:rPr>
                <w:rFonts w:eastAsia="Calibri"/>
                <w:iCs/>
              </w:rPr>
            </w:pPr>
            <w:r w:rsidRPr="00501526">
              <w:rPr>
                <w:rFonts w:eastAsia="Calibri"/>
                <w:iCs/>
              </w:rPr>
              <w:t>30 (3.3)</w:t>
            </w:r>
          </w:p>
        </w:tc>
        <w:tc>
          <w:tcPr>
            <w:tcW w:w="929" w:type="pct"/>
          </w:tcPr>
          <w:p w14:paraId="229744EC" w14:textId="77777777" w:rsidR="00F36988" w:rsidRPr="00501526" w:rsidRDefault="00F36988" w:rsidP="009E3278">
            <w:pPr>
              <w:pStyle w:val="Tabletext"/>
              <w:keepNext/>
              <w:keepLines/>
              <w:jc w:val="center"/>
              <w:rPr>
                <w:rFonts w:eastAsia="Calibri"/>
                <w:iCs/>
              </w:rPr>
            </w:pPr>
            <w:r w:rsidRPr="00501526">
              <w:rPr>
                <w:rFonts w:eastAsia="Calibri"/>
                <w:iCs/>
              </w:rPr>
              <w:t>2 (0.5)</w:t>
            </w:r>
          </w:p>
        </w:tc>
        <w:tc>
          <w:tcPr>
            <w:tcW w:w="928" w:type="pct"/>
            <w:vAlign w:val="bottom"/>
          </w:tcPr>
          <w:p w14:paraId="5D9E9738" w14:textId="145BDF8D" w:rsidR="00F36988" w:rsidRPr="00501526" w:rsidRDefault="00F36988" w:rsidP="009E3278">
            <w:pPr>
              <w:pStyle w:val="Tabletext"/>
              <w:keepNext/>
              <w:keepLines/>
              <w:jc w:val="center"/>
              <w:rPr>
                <w:rFonts w:eastAsia="Calibri"/>
                <w:iCs/>
              </w:rPr>
            </w:pPr>
            <w:r w:rsidRPr="00501526">
              <w:rPr>
                <w:rFonts w:cs="Calibri"/>
                <w:iCs/>
                <w:color w:val="000000"/>
              </w:rPr>
              <w:t>0.03 (0.01, 0.04)</w:t>
            </w:r>
          </w:p>
        </w:tc>
      </w:tr>
      <w:tr w:rsidR="00F36988" w:rsidRPr="00501526" w14:paraId="400B4C14" w14:textId="281C2027" w:rsidTr="00464C14">
        <w:trPr>
          <w:trHeight w:val="244"/>
        </w:trPr>
        <w:tc>
          <w:tcPr>
            <w:tcW w:w="2322" w:type="pct"/>
            <w:hideMark/>
          </w:tcPr>
          <w:p w14:paraId="33B29021"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Respiratory, thoracic and mediastinal disorders </w:t>
            </w:r>
          </w:p>
        </w:tc>
        <w:tc>
          <w:tcPr>
            <w:tcW w:w="821" w:type="pct"/>
          </w:tcPr>
          <w:p w14:paraId="64501AA0" w14:textId="77777777" w:rsidR="00F36988" w:rsidRPr="00501526" w:rsidRDefault="00F36988" w:rsidP="009E3278">
            <w:pPr>
              <w:pStyle w:val="Tabletext"/>
              <w:keepNext/>
              <w:keepLines/>
              <w:jc w:val="center"/>
              <w:rPr>
                <w:rFonts w:eastAsia="Calibri"/>
                <w:iCs/>
              </w:rPr>
            </w:pPr>
            <w:r w:rsidRPr="00501526">
              <w:rPr>
                <w:rFonts w:eastAsia="Calibri"/>
                <w:iCs/>
              </w:rPr>
              <w:t>7 (0.8)</w:t>
            </w:r>
          </w:p>
        </w:tc>
        <w:tc>
          <w:tcPr>
            <w:tcW w:w="929" w:type="pct"/>
          </w:tcPr>
          <w:p w14:paraId="701A67C1" w14:textId="77777777" w:rsidR="00F36988" w:rsidRPr="00501526" w:rsidRDefault="00F36988" w:rsidP="009E3278">
            <w:pPr>
              <w:pStyle w:val="Tabletext"/>
              <w:keepNext/>
              <w:keepLines/>
              <w:jc w:val="center"/>
              <w:rPr>
                <w:rFonts w:eastAsia="Calibri"/>
                <w:iCs/>
              </w:rPr>
            </w:pPr>
            <w:r w:rsidRPr="00501526">
              <w:rPr>
                <w:rFonts w:eastAsia="Calibri"/>
                <w:iCs/>
              </w:rPr>
              <w:t>1 (0.3)</w:t>
            </w:r>
          </w:p>
        </w:tc>
        <w:tc>
          <w:tcPr>
            <w:tcW w:w="928" w:type="pct"/>
            <w:vAlign w:val="bottom"/>
          </w:tcPr>
          <w:p w14:paraId="5A0A45B8" w14:textId="239BD381" w:rsidR="00F36988" w:rsidRPr="00501526" w:rsidRDefault="00F36988" w:rsidP="009E3278">
            <w:pPr>
              <w:pStyle w:val="Tabletext"/>
              <w:keepNext/>
              <w:keepLines/>
              <w:jc w:val="center"/>
              <w:rPr>
                <w:rFonts w:eastAsia="Calibri"/>
                <w:iCs/>
              </w:rPr>
            </w:pPr>
            <w:r w:rsidRPr="00501526">
              <w:rPr>
                <w:rFonts w:cs="Calibri"/>
                <w:iCs/>
                <w:color w:val="000000"/>
              </w:rPr>
              <w:t>0.01 (0, 0.01)</w:t>
            </w:r>
          </w:p>
        </w:tc>
      </w:tr>
      <w:tr w:rsidR="00F36988" w:rsidRPr="00501526" w14:paraId="45664DAE" w14:textId="57217D9B" w:rsidTr="00464C14">
        <w:trPr>
          <w:trHeight w:val="244"/>
        </w:trPr>
        <w:tc>
          <w:tcPr>
            <w:tcW w:w="2322" w:type="pct"/>
            <w:hideMark/>
          </w:tcPr>
          <w:p w14:paraId="0C726393"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General disorders </w:t>
            </w:r>
          </w:p>
        </w:tc>
        <w:tc>
          <w:tcPr>
            <w:tcW w:w="821" w:type="pct"/>
          </w:tcPr>
          <w:p w14:paraId="1B62BCBF" w14:textId="77777777" w:rsidR="00F36988" w:rsidRPr="00501526" w:rsidRDefault="00F36988" w:rsidP="009E3278">
            <w:pPr>
              <w:pStyle w:val="Tabletext"/>
              <w:keepNext/>
              <w:keepLines/>
              <w:jc w:val="center"/>
              <w:rPr>
                <w:rFonts w:eastAsia="Calibri"/>
                <w:iCs/>
              </w:rPr>
            </w:pPr>
            <w:r w:rsidRPr="00501526">
              <w:rPr>
                <w:rFonts w:eastAsia="Calibri"/>
                <w:iCs/>
              </w:rPr>
              <w:t>7 (0.8)</w:t>
            </w:r>
          </w:p>
        </w:tc>
        <w:tc>
          <w:tcPr>
            <w:tcW w:w="929" w:type="pct"/>
          </w:tcPr>
          <w:p w14:paraId="35EFA3A9"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vAlign w:val="bottom"/>
          </w:tcPr>
          <w:p w14:paraId="3ADC9460" w14:textId="2C0DC6F1" w:rsidR="00F36988" w:rsidRPr="00501526" w:rsidRDefault="00F36988" w:rsidP="009E3278">
            <w:pPr>
              <w:pStyle w:val="Tabletext"/>
              <w:keepNext/>
              <w:keepLines/>
              <w:jc w:val="center"/>
              <w:rPr>
                <w:rFonts w:eastAsia="Calibri"/>
                <w:iCs/>
              </w:rPr>
            </w:pPr>
            <w:r w:rsidRPr="00501526">
              <w:rPr>
                <w:rFonts w:cs="Calibri"/>
                <w:iCs/>
                <w:color w:val="000000"/>
              </w:rPr>
              <w:t>0.01 (0, 0.01)</w:t>
            </w:r>
          </w:p>
        </w:tc>
      </w:tr>
      <w:tr w:rsidR="00F36988" w:rsidRPr="00501526" w14:paraId="75A31913" w14:textId="3B350463" w:rsidTr="00464C14">
        <w:trPr>
          <w:trHeight w:val="244"/>
        </w:trPr>
        <w:tc>
          <w:tcPr>
            <w:tcW w:w="2322" w:type="pct"/>
            <w:hideMark/>
          </w:tcPr>
          <w:p w14:paraId="00BEEA66"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Psychiatric disorders </w:t>
            </w:r>
          </w:p>
        </w:tc>
        <w:tc>
          <w:tcPr>
            <w:tcW w:w="821" w:type="pct"/>
          </w:tcPr>
          <w:p w14:paraId="37330AE5" w14:textId="77777777" w:rsidR="00F36988" w:rsidRPr="00501526" w:rsidRDefault="00F36988" w:rsidP="009E3278">
            <w:pPr>
              <w:pStyle w:val="Tabletext"/>
              <w:keepNext/>
              <w:keepLines/>
              <w:jc w:val="center"/>
              <w:rPr>
                <w:rFonts w:eastAsia="Calibri"/>
                <w:iCs/>
              </w:rPr>
            </w:pPr>
            <w:r w:rsidRPr="00501526">
              <w:rPr>
                <w:rFonts w:eastAsia="Calibri"/>
                <w:iCs/>
              </w:rPr>
              <w:t>15 (1.7)</w:t>
            </w:r>
          </w:p>
        </w:tc>
        <w:tc>
          <w:tcPr>
            <w:tcW w:w="929" w:type="pct"/>
          </w:tcPr>
          <w:p w14:paraId="3C35C3BE"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vAlign w:val="bottom"/>
          </w:tcPr>
          <w:p w14:paraId="7BF617D0" w14:textId="2795E58B" w:rsidR="00F36988" w:rsidRPr="00501526" w:rsidRDefault="00F36988" w:rsidP="009E3278">
            <w:pPr>
              <w:pStyle w:val="Tabletext"/>
              <w:keepNext/>
              <w:keepLines/>
              <w:jc w:val="center"/>
              <w:rPr>
                <w:rFonts w:eastAsia="Calibri"/>
                <w:iCs/>
              </w:rPr>
            </w:pPr>
            <w:r w:rsidRPr="00501526">
              <w:rPr>
                <w:rFonts w:cs="Calibri"/>
                <w:iCs/>
                <w:color w:val="000000"/>
              </w:rPr>
              <w:t>0.02 (0.01, 0.02)</w:t>
            </w:r>
          </w:p>
        </w:tc>
      </w:tr>
      <w:tr w:rsidR="00F36988" w:rsidRPr="00501526" w14:paraId="4251C840" w14:textId="2AFC7C34" w:rsidTr="00464C14">
        <w:trPr>
          <w:trHeight w:val="244"/>
        </w:trPr>
        <w:tc>
          <w:tcPr>
            <w:tcW w:w="2322" w:type="pct"/>
            <w:hideMark/>
          </w:tcPr>
          <w:p w14:paraId="0D05F1EE"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Skin and subcutaneous tissue disorders </w:t>
            </w:r>
          </w:p>
        </w:tc>
        <w:tc>
          <w:tcPr>
            <w:tcW w:w="821" w:type="pct"/>
          </w:tcPr>
          <w:p w14:paraId="381EED09" w14:textId="77777777" w:rsidR="00F36988" w:rsidRPr="00501526" w:rsidRDefault="00F36988" w:rsidP="009E3278">
            <w:pPr>
              <w:pStyle w:val="Tabletext"/>
              <w:keepNext/>
              <w:keepLines/>
              <w:jc w:val="center"/>
              <w:rPr>
                <w:rFonts w:eastAsia="Calibri"/>
                <w:iCs/>
              </w:rPr>
            </w:pPr>
            <w:r w:rsidRPr="00501526">
              <w:rPr>
                <w:rFonts w:eastAsia="Calibri"/>
                <w:iCs/>
              </w:rPr>
              <w:t>10 (1.1)</w:t>
            </w:r>
          </w:p>
        </w:tc>
        <w:tc>
          <w:tcPr>
            <w:tcW w:w="929" w:type="pct"/>
          </w:tcPr>
          <w:p w14:paraId="1578473E"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vAlign w:val="bottom"/>
          </w:tcPr>
          <w:p w14:paraId="33359143" w14:textId="3C93BEBE" w:rsidR="00F36988" w:rsidRPr="00501526" w:rsidRDefault="00F36988" w:rsidP="009E3278">
            <w:pPr>
              <w:pStyle w:val="Tabletext"/>
              <w:keepNext/>
              <w:keepLines/>
              <w:jc w:val="center"/>
              <w:rPr>
                <w:rFonts w:eastAsia="Calibri"/>
                <w:iCs/>
              </w:rPr>
            </w:pPr>
            <w:r w:rsidRPr="00501526">
              <w:rPr>
                <w:rFonts w:cs="Calibri"/>
                <w:iCs/>
                <w:color w:val="000000"/>
              </w:rPr>
              <w:t>0.01 (0, 0.02)</w:t>
            </w:r>
          </w:p>
        </w:tc>
      </w:tr>
      <w:tr w:rsidR="00F36988" w:rsidRPr="00501526" w14:paraId="0AAFFE29" w14:textId="29127DED" w:rsidTr="00464C14">
        <w:trPr>
          <w:trHeight w:val="244"/>
        </w:trPr>
        <w:tc>
          <w:tcPr>
            <w:tcW w:w="2322" w:type="pct"/>
            <w:hideMark/>
          </w:tcPr>
          <w:p w14:paraId="567C17F7"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Musculoskeletal and connective tissue disorders </w:t>
            </w:r>
          </w:p>
        </w:tc>
        <w:tc>
          <w:tcPr>
            <w:tcW w:w="821" w:type="pct"/>
          </w:tcPr>
          <w:p w14:paraId="71B03AF7" w14:textId="77777777" w:rsidR="00F36988" w:rsidRPr="00501526" w:rsidRDefault="00F36988" w:rsidP="009E3278">
            <w:pPr>
              <w:pStyle w:val="Tabletext"/>
              <w:keepNext/>
              <w:keepLines/>
              <w:jc w:val="center"/>
              <w:rPr>
                <w:rFonts w:eastAsia="Calibri"/>
                <w:iCs/>
              </w:rPr>
            </w:pPr>
            <w:r w:rsidRPr="00501526">
              <w:rPr>
                <w:rFonts w:eastAsia="Calibri"/>
                <w:iCs/>
              </w:rPr>
              <w:t>4 (0.4)</w:t>
            </w:r>
          </w:p>
        </w:tc>
        <w:tc>
          <w:tcPr>
            <w:tcW w:w="929" w:type="pct"/>
          </w:tcPr>
          <w:p w14:paraId="10D30693"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vAlign w:val="bottom"/>
          </w:tcPr>
          <w:p w14:paraId="4575A49F" w14:textId="0B09502D" w:rsidR="00F36988" w:rsidRPr="00501526" w:rsidRDefault="00F36988" w:rsidP="009E3278">
            <w:pPr>
              <w:pStyle w:val="Tabletext"/>
              <w:keepNext/>
              <w:keepLines/>
              <w:jc w:val="center"/>
              <w:rPr>
                <w:rFonts w:eastAsia="Calibri"/>
                <w:iCs/>
              </w:rPr>
            </w:pPr>
            <w:r w:rsidRPr="00501526">
              <w:rPr>
                <w:rFonts w:cs="Calibri"/>
                <w:iCs/>
                <w:color w:val="000000"/>
              </w:rPr>
              <w:t>0 (0, 0.01)</w:t>
            </w:r>
          </w:p>
        </w:tc>
      </w:tr>
      <w:tr w:rsidR="00F36988" w:rsidRPr="00501526" w14:paraId="1FB2E230" w14:textId="4D393217" w:rsidTr="00464C14">
        <w:trPr>
          <w:trHeight w:val="244"/>
        </w:trPr>
        <w:tc>
          <w:tcPr>
            <w:tcW w:w="2322" w:type="pct"/>
            <w:tcBorders>
              <w:bottom w:val="single" w:sz="4" w:space="0" w:color="auto"/>
            </w:tcBorders>
            <w:hideMark/>
          </w:tcPr>
          <w:p w14:paraId="1CB62CAF"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Infections and infestations </w:t>
            </w:r>
          </w:p>
        </w:tc>
        <w:tc>
          <w:tcPr>
            <w:tcW w:w="821" w:type="pct"/>
            <w:tcBorders>
              <w:bottom w:val="single" w:sz="4" w:space="0" w:color="auto"/>
            </w:tcBorders>
          </w:tcPr>
          <w:p w14:paraId="13DCFB7C" w14:textId="77777777" w:rsidR="00F36988" w:rsidRPr="00501526" w:rsidRDefault="00F36988" w:rsidP="009E3278">
            <w:pPr>
              <w:pStyle w:val="Tabletext"/>
              <w:keepNext/>
              <w:keepLines/>
              <w:jc w:val="center"/>
              <w:rPr>
                <w:rFonts w:eastAsia="Calibri"/>
                <w:iCs/>
              </w:rPr>
            </w:pPr>
            <w:r w:rsidRPr="00501526">
              <w:rPr>
                <w:rFonts w:eastAsia="Calibri"/>
                <w:iCs/>
              </w:rPr>
              <w:t>4 (0.4)</w:t>
            </w:r>
          </w:p>
        </w:tc>
        <w:tc>
          <w:tcPr>
            <w:tcW w:w="929" w:type="pct"/>
            <w:tcBorders>
              <w:bottom w:val="single" w:sz="4" w:space="0" w:color="auto"/>
            </w:tcBorders>
          </w:tcPr>
          <w:p w14:paraId="1FA88995"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tcBorders>
              <w:bottom w:val="single" w:sz="4" w:space="0" w:color="auto"/>
            </w:tcBorders>
            <w:vAlign w:val="bottom"/>
          </w:tcPr>
          <w:p w14:paraId="26437D64" w14:textId="7F5576F5" w:rsidR="00F36988" w:rsidRPr="00501526" w:rsidRDefault="00F36988" w:rsidP="009E3278">
            <w:pPr>
              <w:pStyle w:val="Tabletext"/>
              <w:keepNext/>
              <w:keepLines/>
              <w:jc w:val="center"/>
              <w:rPr>
                <w:rFonts w:eastAsia="Calibri"/>
                <w:iCs/>
              </w:rPr>
            </w:pPr>
            <w:r w:rsidRPr="00501526">
              <w:rPr>
                <w:rFonts w:cs="Calibri"/>
                <w:iCs/>
                <w:color w:val="000000"/>
              </w:rPr>
              <w:t>0 (0, 0.01)</w:t>
            </w:r>
          </w:p>
        </w:tc>
      </w:tr>
      <w:tr w:rsidR="00F36988" w:rsidRPr="00501526" w14:paraId="4F720083" w14:textId="062E216D" w:rsidTr="00464C14">
        <w:trPr>
          <w:trHeight w:val="244"/>
        </w:trPr>
        <w:tc>
          <w:tcPr>
            <w:tcW w:w="2322" w:type="pct"/>
            <w:tcBorders>
              <w:bottom w:val="single" w:sz="4" w:space="0" w:color="auto"/>
            </w:tcBorders>
            <w:hideMark/>
          </w:tcPr>
          <w:p w14:paraId="2C9C02BC" w14:textId="77777777" w:rsidR="00F36988" w:rsidRPr="00501526" w:rsidRDefault="00F36988" w:rsidP="009E3278">
            <w:pPr>
              <w:pStyle w:val="Tabletext"/>
              <w:keepNext/>
              <w:keepLines/>
              <w:rPr>
                <w:rFonts w:cs="Calibri"/>
                <w:iCs/>
                <w:color w:val="000000"/>
              </w:rPr>
            </w:pPr>
            <w:r w:rsidRPr="00501526">
              <w:rPr>
                <w:rFonts w:cs="Calibri"/>
                <w:iCs/>
                <w:color w:val="000000"/>
              </w:rPr>
              <w:t xml:space="preserve">Injury, poisoning and procedural complications </w:t>
            </w:r>
          </w:p>
        </w:tc>
        <w:tc>
          <w:tcPr>
            <w:tcW w:w="821" w:type="pct"/>
            <w:tcBorders>
              <w:bottom w:val="single" w:sz="4" w:space="0" w:color="auto"/>
            </w:tcBorders>
          </w:tcPr>
          <w:p w14:paraId="7821C215" w14:textId="77777777" w:rsidR="00F36988" w:rsidRPr="00501526" w:rsidRDefault="00F36988" w:rsidP="009E3278">
            <w:pPr>
              <w:pStyle w:val="Tabletext"/>
              <w:keepNext/>
              <w:keepLines/>
              <w:jc w:val="center"/>
              <w:rPr>
                <w:rFonts w:eastAsia="Calibri"/>
                <w:iCs/>
              </w:rPr>
            </w:pPr>
            <w:r w:rsidRPr="00501526">
              <w:rPr>
                <w:rFonts w:eastAsia="Calibri"/>
                <w:iCs/>
              </w:rPr>
              <w:t>2 (0.2)</w:t>
            </w:r>
          </w:p>
        </w:tc>
        <w:tc>
          <w:tcPr>
            <w:tcW w:w="929" w:type="pct"/>
            <w:tcBorders>
              <w:bottom w:val="single" w:sz="4" w:space="0" w:color="auto"/>
            </w:tcBorders>
          </w:tcPr>
          <w:p w14:paraId="421F8D06" w14:textId="77777777" w:rsidR="00F36988" w:rsidRPr="00501526" w:rsidRDefault="00F36988" w:rsidP="009E3278">
            <w:pPr>
              <w:pStyle w:val="Tabletext"/>
              <w:keepNext/>
              <w:keepLines/>
              <w:jc w:val="center"/>
              <w:rPr>
                <w:rFonts w:eastAsia="Calibri"/>
                <w:iCs/>
              </w:rPr>
            </w:pPr>
            <w:r w:rsidRPr="00501526">
              <w:rPr>
                <w:rFonts w:eastAsia="Calibri"/>
                <w:iCs/>
              </w:rPr>
              <w:t>0</w:t>
            </w:r>
          </w:p>
        </w:tc>
        <w:tc>
          <w:tcPr>
            <w:tcW w:w="928" w:type="pct"/>
            <w:tcBorders>
              <w:bottom w:val="single" w:sz="4" w:space="0" w:color="auto"/>
            </w:tcBorders>
            <w:vAlign w:val="bottom"/>
          </w:tcPr>
          <w:p w14:paraId="32C4F9A3" w14:textId="765B4878" w:rsidR="00F36988" w:rsidRPr="00501526" w:rsidRDefault="00F36988" w:rsidP="009E3278">
            <w:pPr>
              <w:pStyle w:val="Tabletext"/>
              <w:keepNext/>
              <w:keepLines/>
              <w:jc w:val="center"/>
              <w:rPr>
                <w:rFonts w:eastAsia="Calibri"/>
                <w:iCs/>
              </w:rPr>
            </w:pPr>
            <w:r w:rsidRPr="00501526">
              <w:rPr>
                <w:rFonts w:cs="Calibri"/>
                <w:iCs/>
                <w:color w:val="000000"/>
              </w:rPr>
              <w:t>0 (0, 0.01)</w:t>
            </w:r>
          </w:p>
        </w:tc>
      </w:tr>
    </w:tbl>
    <w:p w14:paraId="33ECC201" w14:textId="26F80F31" w:rsidR="00061B1F" w:rsidRPr="00501526" w:rsidRDefault="00061B1F" w:rsidP="009E3278">
      <w:pPr>
        <w:pStyle w:val="TableFigureFooter"/>
        <w:keepNext/>
        <w:keepLines/>
        <w:rPr>
          <w:iCs/>
        </w:rPr>
      </w:pPr>
      <w:r w:rsidRPr="00501526">
        <w:rPr>
          <w:iCs/>
        </w:rPr>
        <w:t>Source: Table 2.8-41, p227 of the submission. AE = adverse event</w:t>
      </w:r>
    </w:p>
    <w:p w14:paraId="156B9E59" w14:textId="7E936D93" w:rsidR="00F36988" w:rsidRPr="00501526" w:rsidRDefault="00F36988" w:rsidP="009E3278">
      <w:pPr>
        <w:pStyle w:val="TableFigureFooter"/>
        <w:keepNext/>
        <w:keepLines/>
        <w:rPr>
          <w:iCs/>
        </w:rPr>
      </w:pPr>
      <w:r w:rsidRPr="00501526">
        <w:rPr>
          <w:iCs/>
        </w:rPr>
        <w:t xml:space="preserve">Risk differences calculated during the evaluation using Microsoft Excel. </w:t>
      </w:r>
    </w:p>
    <w:p w14:paraId="2DAF16D1" w14:textId="520DE1C3" w:rsidR="00B60939" w:rsidRPr="00501526" w:rsidRDefault="007D4E55" w:rsidP="003343EF">
      <w:pPr>
        <w:pStyle w:val="3-BodyText"/>
        <w:rPr>
          <w:iCs/>
        </w:rPr>
      </w:pPr>
      <w:r w:rsidRPr="00501526">
        <w:rPr>
          <w:iCs/>
          <w:color w:val="000000" w:themeColor="text1"/>
        </w:rPr>
        <w:t>The continuously treated group had higher rates of several A</w:t>
      </w:r>
      <w:r w:rsidR="006F7EC4" w:rsidRPr="00501526">
        <w:rPr>
          <w:iCs/>
          <w:color w:val="000000" w:themeColor="text1"/>
        </w:rPr>
        <w:t>E</w:t>
      </w:r>
      <w:r w:rsidRPr="00501526">
        <w:rPr>
          <w:iCs/>
          <w:color w:val="000000" w:themeColor="text1"/>
        </w:rPr>
        <w:t xml:space="preserve">s including gastrointestinal disorders, nervous system disorders, respiratory system disorders and mediastinal disorders. However, given the non-randomised nature of these estimates and the likeliness of important baseline differences </w:t>
      </w:r>
      <w:r w:rsidR="00BB415B">
        <w:rPr>
          <w:iCs/>
          <w:color w:val="000000" w:themeColor="text1"/>
        </w:rPr>
        <w:t>between</w:t>
      </w:r>
      <w:r w:rsidR="00BB415B" w:rsidRPr="00501526">
        <w:rPr>
          <w:iCs/>
          <w:color w:val="000000" w:themeColor="text1"/>
        </w:rPr>
        <w:t xml:space="preserve"> </w:t>
      </w:r>
      <w:r w:rsidR="00A02842" w:rsidRPr="00501526">
        <w:rPr>
          <w:iCs/>
          <w:color w:val="000000" w:themeColor="text1"/>
        </w:rPr>
        <w:t xml:space="preserve">continuously treated and previously treated patients, it </w:t>
      </w:r>
      <w:r w:rsidR="0091491D" w:rsidRPr="00501526">
        <w:rPr>
          <w:iCs/>
          <w:color w:val="000000" w:themeColor="text1"/>
        </w:rPr>
        <w:t>wa</w:t>
      </w:r>
      <w:r w:rsidR="00A02842" w:rsidRPr="00501526">
        <w:rPr>
          <w:iCs/>
          <w:color w:val="000000" w:themeColor="text1"/>
        </w:rPr>
        <w:t xml:space="preserve">s </w:t>
      </w:r>
      <w:r w:rsidR="00D948C9" w:rsidRPr="00501526">
        <w:rPr>
          <w:iCs/>
          <w:color w:val="000000" w:themeColor="text1"/>
        </w:rPr>
        <w:t xml:space="preserve">unclear if </w:t>
      </w:r>
      <w:r w:rsidR="00A02842" w:rsidRPr="00501526">
        <w:rPr>
          <w:iCs/>
          <w:color w:val="000000" w:themeColor="text1"/>
        </w:rPr>
        <w:t xml:space="preserve">these estimates </w:t>
      </w:r>
      <w:r w:rsidR="00D948C9" w:rsidRPr="00501526">
        <w:rPr>
          <w:iCs/>
          <w:color w:val="000000" w:themeColor="text1"/>
        </w:rPr>
        <w:t>we</w:t>
      </w:r>
      <w:r w:rsidR="00A02842" w:rsidRPr="00501526">
        <w:rPr>
          <w:iCs/>
          <w:color w:val="000000" w:themeColor="text1"/>
        </w:rPr>
        <w:t xml:space="preserve">re reflective of the </w:t>
      </w:r>
      <w:r w:rsidR="004A13B1" w:rsidRPr="00501526">
        <w:rPr>
          <w:iCs/>
          <w:color w:val="000000" w:themeColor="text1"/>
        </w:rPr>
        <w:t xml:space="preserve">comparative </w:t>
      </w:r>
      <w:r w:rsidR="00A02842" w:rsidRPr="00501526">
        <w:rPr>
          <w:iCs/>
          <w:color w:val="000000" w:themeColor="text1"/>
        </w:rPr>
        <w:t xml:space="preserve">safety profile of sapropterin. </w:t>
      </w:r>
    </w:p>
    <w:p w14:paraId="33FD938B" w14:textId="77777777" w:rsidR="004305CD" w:rsidRPr="00501526" w:rsidRDefault="004305CD" w:rsidP="004305CD">
      <w:pPr>
        <w:pStyle w:val="4-SubsectionHeading"/>
      </w:pPr>
      <w:bookmarkStart w:id="40" w:name="_Toc22897644"/>
      <w:bookmarkStart w:id="41" w:name="_Toc103766831"/>
      <w:r w:rsidRPr="00501526">
        <w:t>Benefits/harms</w:t>
      </w:r>
    </w:p>
    <w:p w14:paraId="22121291" w14:textId="48FFA7F8" w:rsidR="004305CD" w:rsidRPr="00501526" w:rsidRDefault="004305CD" w:rsidP="004305CD">
      <w:pPr>
        <w:pStyle w:val="3-BodyText"/>
        <w:rPr>
          <w:iCs/>
        </w:rPr>
      </w:pPr>
      <w:r w:rsidRPr="00501526">
        <w:rPr>
          <w:iCs/>
        </w:rPr>
        <w:t xml:space="preserve">A summary of the comparative benefits for sapropterin plus a Phe-restricted diet compared to (placebo plus) a Phe-restricted diet is presented. </w:t>
      </w:r>
      <w:r w:rsidR="00DB0C7D" w:rsidRPr="00DB0C7D">
        <w:rPr>
          <w:iCs/>
        </w:rPr>
        <w:t xml:space="preserve">No </w:t>
      </w:r>
      <w:r w:rsidR="00DB0C7D">
        <w:rPr>
          <w:iCs/>
        </w:rPr>
        <w:t xml:space="preserve">major </w:t>
      </w:r>
      <w:r w:rsidR="00DB0C7D" w:rsidRPr="00DB0C7D">
        <w:rPr>
          <w:iCs/>
        </w:rPr>
        <w:t>differences were observed for harms.</w:t>
      </w:r>
      <w:r w:rsidRPr="00501526">
        <w:rPr>
          <w:iCs/>
        </w:rPr>
        <w:t xml:space="preserve"> </w:t>
      </w:r>
    </w:p>
    <w:p w14:paraId="2A5EFAB3" w14:textId="6A97CAAB" w:rsidR="004305CD" w:rsidRPr="00501526" w:rsidRDefault="004305CD" w:rsidP="004305CD">
      <w:pPr>
        <w:pStyle w:val="TableFigureHeading"/>
        <w:keepLines/>
        <w:rPr>
          <w:iCs/>
        </w:rPr>
      </w:pPr>
      <w:r w:rsidRPr="00501526">
        <w:rPr>
          <w:iCs/>
        </w:rPr>
        <w:t xml:space="preserve">Table </w:t>
      </w:r>
      <w:r w:rsidRPr="00501526">
        <w:rPr>
          <w:iCs/>
        </w:rPr>
        <w:fldChar w:fldCharType="begin"/>
      </w:r>
      <w:r w:rsidRPr="00501526">
        <w:rPr>
          <w:iCs/>
        </w:rPr>
        <w:instrText xml:space="preserve"> SEQ Table \* ARABIC </w:instrText>
      </w:r>
      <w:r w:rsidRPr="00501526">
        <w:rPr>
          <w:iCs/>
        </w:rPr>
        <w:fldChar w:fldCharType="separate"/>
      </w:r>
      <w:r w:rsidR="0035299E">
        <w:rPr>
          <w:iCs/>
          <w:noProof/>
        </w:rPr>
        <w:t>8</w:t>
      </w:r>
      <w:r w:rsidRPr="00501526">
        <w:rPr>
          <w:iCs/>
          <w:noProof/>
        </w:rPr>
        <w:fldChar w:fldCharType="end"/>
      </w:r>
      <w:r w:rsidRPr="00501526">
        <w:rPr>
          <w:iCs/>
        </w:rPr>
        <w:t xml:space="preserve"> Summary of comparative benefits for sapropterin compared to placebo in all patient ages</w:t>
      </w:r>
    </w:p>
    <w:tbl>
      <w:tblPr>
        <w:tblW w:w="5000" w:type="pct"/>
        <w:tblLayout w:type="fixed"/>
        <w:tblCellMar>
          <w:left w:w="28" w:type="dxa"/>
          <w:right w:w="28" w:type="dxa"/>
        </w:tblCellMar>
        <w:tblLook w:val="04A0" w:firstRow="1" w:lastRow="0" w:firstColumn="1" w:lastColumn="0" w:noHBand="0" w:noVBand="1"/>
      </w:tblPr>
      <w:tblGrid>
        <w:gridCol w:w="1142"/>
        <w:gridCol w:w="705"/>
        <w:gridCol w:w="440"/>
        <w:gridCol w:w="550"/>
        <w:gridCol w:w="734"/>
        <w:gridCol w:w="269"/>
        <w:gridCol w:w="839"/>
        <w:gridCol w:w="447"/>
        <w:gridCol w:w="546"/>
        <w:gridCol w:w="676"/>
        <w:gridCol w:w="314"/>
        <w:gridCol w:w="813"/>
        <w:gridCol w:w="1542"/>
      </w:tblGrid>
      <w:tr w:rsidR="004305CD" w:rsidRPr="00501526" w14:paraId="14F1BC9D" w14:textId="77777777" w:rsidTr="005F750F">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47D72" w14:textId="77777777" w:rsidR="004305CD" w:rsidRPr="00501526" w:rsidRDefault="004305CD" w:rsidP="005F750F">
            <w:pPr>
              <w:pStyle w:val="In-tableHeading"/>
              <w:keepLines/>
              <w:rPr>
                <w:iCs/>
                <w:lang w:val="en-AU"/>
              </w:rPr>
            </w:pPr>
            <w:r w:rsidRPr="00501526">
              <w:rPr>
                <w:iCs/>
                <w:lang w:val="en-AU"/>
              </w:rPr>
              <w:t>Trial</w:t>
            </w:r>
          </w:p>
        </w:tc>
        <w:tc>
          <w:tcPr>
            <w:tcW w:w="635" w:type="pct"/>
            <w:gridSpan w:val="2"/>
            <w:vMerge w:val="restart"/>
            <w:tcBorders>
              <w:top w:val="single" w:sz="4" w:space="0" w:color="auto"/>
              <w:left w:val="single" w:sz="4" w:space="0" w:color="auto"/>
              <w:bottom w:val="single" w:sz="4" w:space="0" w:color="auto"/>
              <w:right w:val="single" w:sz="4" w:space="0" w:color="auto"/>
            </w:tcBorders>
            <w:vAlign w:val="center"/>
          </w:tcPr>
          <w:p w14:paraId="450D3EC7" w14:textId="77777777" w:rsidR="004305CD" w:rsidRPr="00501526" w:rsidRDefault="004305CD" w:rsidP="005F750F">
            <w:pPr>
              <w:pStyle w:val="In-tableHeading"/>
              <w:keepLines/>
              <w:jc w:val="center"/>
              <w:rPr>
                <w:iCs/>
                <w:lang w:val="en-AU"/>
              </w:rPr>
            </w:pPr>
            <w:r w:rsidRPr="00501526">
              <w:rPr>
                <w:iCs/>
                <w:lang w:val="en-AU"/>
              </w:rPr>
              <w:t>Sapropterin</w:t>
            </w:r>
          </w:p>
          <w:p w14:paraId="282E3342" w14:textId="77777777" w:rsidR="004305CD" w:rsidRPr="00501526" w:rsidRDefault="004305CD" w:rsidP="005F750F">
            <w:pPr>
              <w:pStyle w:val="In-tableHeading"/>
              <w:keepLines/>
              <w:jc w:val="center"/>
              <w:rPr>
                <w:iCs/>
                <w:lang w:val="en-AU"/>
              </w:rPr>
            </w:pPr>
            <w:r w:rsidRPr="00501526">
              <w:rPr>
                <w:iCs/>
                <w:lang w:val="en-AU"/>
              </w:rPr>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14:paraId="0F713216" w14:textId="77777777" w:rsidR="004305CD" w:rsidRPr="00501526" w:rsidRDefault="004305CD" w:rsidP="005F750F">
            <w:pPr>
              <w:pStyle w:val="In-tableHeading"/>
              <w:keepLines/>
              <w:jc w:val="center"/>
              <w:rPr>
                <w:iCs/>
                <w:lang w:val="en-AU"/>
              </w:rPr>
            </w:pPr>
            <w:r w:rsidRPr="00501526">
              <w:rPr>
                <w:iCs/>
                <w:lang w:val="en-AU"/>
              </w:rPr>
              <w:t>Placebo</w:t>
            </w:r>
          </w:p>
          <w:p w14:paraId="049B37EF" w14:textId="77777777" w:rsidR="004305CD" w:rsidRPr="00501526" w:rsidRDefault="004305CD" w:rsidP="005F750F">
            <w:pPr>
              <w:pStyle w:val="In-tableHeading"/>
              <w:keepLines/>
              <w:jc w:val="center"/>
              <w:rPr>
                <w:iCs/>
                <w:lang w:val="en-AU"/>
              </w:rPr>
            </w:pPr>
            <w:r w:rsidRPr="00501526">
              <w:rPr>
                <w:iCs/>
                <w:lang w:val="en-AU"/>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51BD794E" w14:textId="77777777" w:rsidR="004305CD" w:rsidRPr="00501526" w:rsidRDefault="004305CD" w:rsidP="005F750F">
            <w:pPr>
              <w:pStyle w:val="In-tableHeading"/>
              <w:keepLines/>
              <w:jc w:val="center"/>
              <w:rPr>
                <w:iCs/>
                <w:lang w:val="en-AU"/>
              </w:rPr>
            </w:pPr>
            <w:r w:rsidRPr="00501526">
              <w:rPr>
                <w:iCs/>
                <w:lang w:val="en-AU"/>
              </w:rPr>
              <w:t>RR</w:t>
            </w:r>
          </w:p>
          <w:p w14:paraId="6CE388FD" w14:textId="77777777" w:rsidR="004305CD" w:rsidRPr="00501526" w:rsidRDefault="004305CD" w:rsidP="005F750F">
            <w:pPr>
              <w:pStyle w:val="In-tableHeading"/>
              <w:keepLines/>
              <w:jc w:val="center"/>
              <w:rPr>
                <w:iCs/>
                <w:lang w:val="en-AU"/>
              </w:rPr>
            </w:pPr>
            <w:r w:rsidRPr="00501526">
              <w:rPr>
                <w:iCs/>
                <w:lang w:val="en-AU"/>
              </w:rPr>
              <w:t>(95% CI)</w:t>
            </w:r>
          </w:p>
        </w:tc>
        <w:tc>
          <w:tcPr>
            <w:tcW w:w="1303" w:type="pct"/>
            <w:gridSpan w:val="4"/>
            <w:tcBorders>
              <w:top w:val="single" w:sz="4" w:space="0" w:color="auto"/>
              <w:left w:val="single" w:sz="4" w:space="0" w:color="auto"/>
              <w:bottom w:val="single" w:sz="4" w:space="0" w:color="auto"/>
              <w:right w:val="single" w:sz="4" w:space="0" w:color="auto"/>
            </w:tcBorders>
            <w:vAlign w:val="center"/>
          </w:tcPr>
          <w:p w14:paraId="700B4213" w14:textId="77777777" w:rsidR="004305CD" w:rsidRPr="00501526" w:rsidRDefault="004305CD" w:rsidP="005F750F">
            <w:pPr>
              <w:pStyle w:val="In-tableHeading"/>
              <w:keepLines/>
              <w:jc w:val="center"/>
              <w:rPr>
                <w:iCs/>
                <w:lang w:val="en-AU"/>
              </w:rPr>
            </w:pPr>
            <w:r w:rsidRPr="00501526">
              <w:rPr>
                <w:iCs/>
                <w:lang w:val="en-AU"/>
              </w:rPr>
              <w:t>Event rate/100 patients*</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14:paraId="7AF2CFF4" w14:textId="77777777" w:rsidR="004305CD" w:rsidRPr="00501526" w:rsidRDefault="004305CD" w:rsidP="005F750F">
            <w:pPr>
              <w:pStyle w:val="In-tableHeading"/>
              <w:keepLines/>
              <w:jc w:val="center"/>
              <w:rPr>
                <w:iCs/>
                <w:lang w:val="en-AU"/>
              </w:rPr>
            </w:pPr>
            <w:r w:rsidRPr="00501526">
              <w:rPr>
                <w:iCs/>
                <w:lang w:val="en-AU"/>
              </w:rPr>
              <w:t>RD</w:t>
            </w:r>
          </w:p>
          <w:p w14:paraId="5020C9FD" w14:textId="77777777" w:rsidR="004305CD" w:rsidRPr="00501526" w:rsidRDefault="004305CD" w:rsidP="005F750F">
            <w:pPr>
              <w:pStyle w:val="In-tableHeading"/>
              <w:keepLines/>
              <w:jc w:val="center"/>
              <w:rPr>
                <w:iCs/>
                <w:lang w:val="en-AU"/>
              </w:rPr>
            </w:pPr>
            <w:r w:rsidRPr="00501526">
              <w:rPr>
                <w:iCs/>
                <w:lang w:val="en-AU"/>
              </w:rPr>
              <w:t>(95% CI)</w:t>
            </w:r>
          </w:p>
        </w:tc>
      </w:tr>
      <w:tr w:rsidR="004305CD" w:rsidRPr="00501526" w14:paraId="3B7299ED" w14:textId="77777777" w:rsidTr="005F750F">
        <w:trPr>
          <w:cantSplit/>
          <w:trHeight w:val="31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DD9460" w14:textId="77777777" w:rsidR="004305CD" w:rsidRPr="00501526" w:rsidRDefault="004305CD" w:rsidP="005F750F">
            <w:pPr>
              <w:pStyle w:val="In-tableHeading"/>
              <w:keepLines/>
              <w:jc w:val="center"/>
              <w:rPr>
                <w:iCs/>
                <w:lang w:val="en-AU"/>
              </w:rPr>
            </w:pPr>
          </w:p>
        </w:tc>
        <w:tc>
          <w:tcPr>
            <w:tcW w:w="635" w:type="pct"/>
            <w:gridSpan w:val="2"/>
            <w:vMerge/>
            <w:tcBorders>
              <w:top w:val="single" w:sz="4" w:space="0" w:color="auto"/>
              <w:left w:val="single" w:sz="4" w:space="0" w:color="auto"/>
              <w:bottom w:val="single" w:sz="4" w:space="0" w:color="auto"/>
              <w:right w:val="single" w:sz="4" w:space="0" w:color="auto"/>
            </w:tcBorders>
            <w:vAlign w:val="center"/>
          </w:tcPr>
          <w:p w14:paraId="0791E957" w14:textId="77777777" w:rsidR="004305CD" w:rsidRPr="00501526" w:rsidRDefault="004305CD" w:rsidP="005F750F">
            <w:pPr>
              <w:pStyle w:val="In-tableHeading"/>
              <w:keepLines/>
              <w:jc w:val="center"/>
              <w:rPr>
                <w:iCs/>
                <w:lang w:val="en-AU"/>
              </w:rPr>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03B16682" w14:textId="77777777" w:rsidR="004305CD" w:rsidRPr="00501526" w:rsidRDefault="004305CD" w:rsidP="005F750F">
            <w:pPr>
              <w:pStyle w:val="In-tableHeading"/>
              <w:keepLines/>
              <w:jc w:val="center"/>
              <w:rPr>
                <w:iCs/>
                <w:lang w:val="en-AU"/>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47B629AC" w14:textId="77777777" w:rsidR="004305CD" w:rsidRPr="00501526" w:rsidRDefault="004305CD" w:rsidP="005F750F">
            <w:pPr>
              <w:pStyle w:val="In-tableHeading"/>
              <w:keepLines/>
              <w:jc w:val="center"/>
              <w:rPr>
                <w:iCs/>
                <w:lang w:val="en-AU"/>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326977EA" w14:textId="77777777" w:rsidR="004305CD" w:rsidRPr="00501526" w:rsidRDefault="004305CD" w:rsidP="005F750F">
            <w:pPr>
              <w:pStyle w:val="In-tableHeading"/>
              <w:keepLines/>
              <w:jc w:val="center"/>
              <w:rPr>
                <w:iCs/>
                <w:lang w:val="en-AU"/>
              </w:rPr>
            </w:pPr>
            <w:r w:rsidRPr="00501526">
              <w:rPr>
                <w:iCs/>
                <w:lang w:val="en-AU"/>
              </w:rPr>
              <w:t>Sapropterin</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132A09FA" w14:textId="77777777" w:rsidR="004305CD" w:rsidRPr="00501526" w:rsidRDefault="004305CD" w:rsidP="005F750F">
            <w:pPr>
              <w:pStyle w:val="In-tableHeading"/>
              <w:keepLines/>
              <w:jc w:val="center"/>
              <w:rPr>
                <w:iCs/>
                <w:lang w:val="en-AU"/>
              </w:rPr>
            </w:pPr>
            <w:r w:rsidRPr="00501526">
              <w:rPr>
                <w:iCs/>
                <w:lang w:val="en-AU"/>
              </w:rPr>
              <w:t>Placebo</w:t>
            </w:r>
          </w:p>
        </w:tc>
        <w:tc>
          <w:tcPr>
            <w:tcW w:w="855" w:type="pct"/>
            <w:vMerge/>
            <w:tcBorders>
              <w:top w:val="single" w:sz="4" w:space="0" w:color="auto"/>
              <w:left w:val="single" w:sz="4" w:space="0" w:color="auto"/>
              <w:bottom w:val="single" w:sz="4" w:space="0" w:color="auto"/>
              <w:right w:val="single" w:sz="4" w:space="0" w:color="auto"/>
            </w:tcBorders>
            <w:vAlign w:val="center"/>
          </w:tcPr>
          <w:p w14:paraId="4ECD779D" w14:textId="77777777" w:rsidR="004305CD" w:rsidRPr="00501526" w:rsidRDefault="004305CD" w:rsidP="005F750F">
            <w:pPr>
              <w:pStyle w:val="In-tableHeading"/>
              <w:keepLines/>
              <w:jc w:val="center"/>
              <w:rPr>
                <w:iCs/>
                <w:lang w:val="en-AU"/>
              </w:rPr>
            </w:pPr>
          </w:p>
        </w:tc>
      </w:tr>
      <w:tr w:rsidR="004305CD" w:rsidRPr="00501526" w14:paraId="18DE8E98" w14:textId="77777777" w:rsidTr="005F750F">
        <w:trPr>
          <w:cantSplit/>
        </w:trPr>
        <w:tc>
          <w:tcPr>
            <w:tcW w:w="5000" w:type="pct"/>
            <w:gridSpan w:val="13"/>
            <w:tcBorders>
              <w:top w:val="single" w:sz="4" w:space="0" w:color="auto"/>
              <w:left w:val="single" w:sz="4" w:space="0" w:color="auto"/>
              <w:bottom w:val="double" w:sz="4" w:space="0" w:color="auto"/>
              <w:right w:val="single" w:sz="4" w:space="0" w:color="auto"/>
            </w:tcBorders>
            <w:shd w:val="clear" w:color="auto" w:fill="auto"/>
            <w:vAlign w:val="center"/>
          </w:tcPr>
          <w:p w14:paraId="3687F569" w14:textId="77777777" w:rsidR="004305CD" w:rsidRPr="00501526" w:rsidRDefault="004305CD" w:rsidP="005F750F">
            <w:pPr>
              <w:pStyle w:val="In-tableHeading"/>
              <w:keepLines/>
              <w:rPr>
                <w:iCs/>
                <w:lang w:val="en-AU"/>
              </w:rPr>
            </w:pPr>
            <w:r w:rsidRPr="00501526">
              <w:rPr>
                <w:iCs/>
                <w:lang w:val="en-AU"/>
              </w:rPr>
              <w:t>Benefits</w:t>
            </w:r>
          </w:p>
        </w:tc>
      </w:tr>
      <w:tr w:rsidR="004305CD" w:rsidRPr="00501526" w14:paraId="0546D0FC" w14:textId="77777777" w:rsidTr="005F750F">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2D1121B4" w14:textId="77777777" w:rsidR="004305CD" w:rsidRPr="00501526" w:rsidRDefault="004305CD" w:rsidP="005F750F">
            <w:pPr>
              <w:pStyle w:val="In-tableHeading"/>
              <w:keepLines/>
              <w:rPr>
                <w:iCs/>
                <w:lang w:val="en-AU"/>
              </w:rPr>
            </w:pPr>
            <w:r w:rsidRPr="00501526">
              <w:rPr>
                <w:iCs/>
                <w:lang w:val="en-AU"/>
              </w:rPr>
              <w:t>Proportion of patients achieving blood Phe levels &lt;360 µmol/L</w:t>
            </w:r>
          </w:p>
        </w:tc>
      </w:tr>
      <w:tr w:rsidR="004305CD" w:rsidRPr="00501526" w14:paraId="7C697B81" w14:textId="77777777" w:rsidTr="005F750F">
        <w:trPr>
          <w:cantSplit/>
        </w:trPr>
        <w:tc>
          <w:tcPr>
            <w:tcW w:w="6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CBF7D1" w14:textId="77777777" w:rsidR="004305CD" w:rsidRPr="00501526" w:rsidRDefault="004305CD" w:rsidP="005F750F">
            <w:pPr>
              <w:pStyle w:val="TableText0"/>
              <w:keepLines/>
              <w:rPr>
                <w:iCs/>
              </w:rPr>
            </w:pPr>
            <w:r w:rsidRPr="00501526">
              <w:rPr>
                <w:iCs/>
              </w:rPr>
              <w:t>PKU-003</w:t>
            </w:r>
          </w:p>
        </w:tc>
        <w:tc>
          <w:tcPr>
            <w:tcW w:w="63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EEBD1C" w14:textId="77777777" w:rsidR="004305CD" w:rsidRPr="00501526" w:rsidRDefault="004305CD" w:rsidP="005F750F">
            <w:pPr>
              <w:pStyle w:val="TableText0"/>
              <w:keepLines/>
              <w:jc w:val="center"/>
              <w:rPr>
                <w:iCs/>
              </w:rPr>
            </w:pPr>
            <w:r w:rsidRPr="00501526">
              <w:rPr>
                <w:iCs/>
              </w:rPr>
              <w:t>13/41</w:t>
            </w:r>
          </w:p>
        </w:tc>
        <w:tc>
          <w:tcPr>
            <w:tcW w:w="71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D986C8" w14:textId="77777777" w:rsidR="004305CD" w:rsidRPr="00501526" w:rsidRDefault="004305CD" w:rsidP="005F750F">
            <w:pPr>
              <w:pStyle w:val="TableText0"/>
              <w:keepLines/>
              <w:jc w:val="center"/>
              <w:rPr>
                <w:iCs/>
              </w:rPr>
            </w:pPr>
            <w:r w:rsidRPr="00501526">
              <w:rPr>
                <w:iCs/>
              </w:rPr>
              <w:t>1/47</w:t>
            </w:r>
          </w:p>
        </w:tc>
        <w:tc>
          <w:tcPr>
            <w:tcW w:w="86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14758E" w14:textId="77777777" w:rsidR="004305CD" w:rsidRPr="00501526" w:rsidRDefault="004305CD" w:rsidP="005F750F">
            <w:pPr>
              <w:pStyle w:val="TableText0"/>
              <w:keepLines/>
              <w:jc w:val="center"/>
              <w:rPr>
                <w:iCs/>
              </w:rPr>
            </w:pPr>
            <w:r w:rsidRPr="00501526">
              <w:rPr>
                <w:iCs/>
              </w:rPr>
              <w:t>14.9 (2.0, 109.1)</w:t>
            </w:r>
          </w:p>
        </w:tc>
        <w:tc>
          <w:tcPr>
            <w:tcW w:w="67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EEACB1" w14:textId="77777777" w:rsidR="004305CD" w:rsidRPr="00501526" w:rsidRDefault="004305CD" w:rsidP="005F750F">
            <w:pPr>
              <w:pStyle w:val="TableText0"/>
              <w:keepLines/>
              <w:jc w:val="center"/>
              <w:rPr>
                <w:iCs/>
              </w:rPr>
            </w:pPr>
            <w:r w:rsidRPr="00501526">
              <w:rPr>
                <w:iCs/>
              </w:rPr>
              <w:t>32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63CF8D" w14:textId="77777777" w:rsidR="004305CD" w:rsidRPr="00501526" w:rsidRDefault="004305CD" w:rsidP="005F750F">
            <w:pPr>
              <w:pStyle w:val="TableText0"/>
              <w:keepLines/>
              <w:jc w:val="center"/>
              <w:rPr>
                <w:iCs/>
              </w:rPr>
            </w:pPr>
            <w:r w:rsidRPr="00501526">
              <w:rPr>
                <w:iCs/>
              </w:rPr>
              <w:t>2</w:t>
            </w:r>
          </w:p>
        </w:tc>
        <w:tc>
          <w:tcPr>
            <w:tcW w:w="8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1E387B" w14:textId="77777777" w:rsidR="004305CD" w:rsidRPr="00501526" w:rsidRDefault="004305CD" w:rsidP="005F750F">
            <w:pPr>
              <w:pStyle w:val="TableText0"/>
              <w:keepLines/>
              <w:jc w:val="center"/>
              <w:rPr>
                <w:iCs/>
              </w:rPr>
            </w:pPr>
            <w:r w:rsidRPr="00501526">
              <w:rPr>
                <w:iCs/>
              </w:rPr>
              <w:t>0.3 (0.2, 0.4)</w:t>
            </w:r>
          </w:p>
        </w:tc>
      </w:tr>
      <w:tr w:rsidR="004305CD" w:rsidRPr="00501526" w14:paraId="16602E1A" w14:textId="77777777" w:rsidTr="005F750F">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75B4063C" w14:textId="77777777" w:rsidR="004305CD" w:rsidRPr="00501526" w:rsidRDefault="004305CD" w:rsidP="005F750F">
            <w:pPr>
              <w:pStyle w:val="In-tableHeading"/>
              <w:keepLines/>
              <w:rPr>
                <w:iCs/>
                <w:lang w:val="en-AU"/>
              </w:rPr>
            </w:pPr>
            <w:r w:rsidRPr="00501526">
              <w:rPr>
                <w:iCs/>
                <w:lang w:val="en-AU"/>
              </w:rPr>
              <w:t>Change from baseline blood Phe levels</w:t>
            </w:r>
          </w:p>
        </w:tc>
      </w:tr>
      <w:tr w:rsidR="004305CD" w:rsidRPr="00501526" w14:paraId="70FE0B8B" w14:textId="77777777" w:rsidTr="005F750F">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D54A21" w14:textId="77777777" w:rsidR="004305CD" w:rsidRPr="00501526" w:rsidRDefault="004305CD" w:rsidP="005F750F">
            <w:pPr>
              <w:pStyle w:val="TableText0"/>
              <w:keepLines/>
              <w:rPr>
                <w:iCs/>
              </w:rPr>
            </w:pPr>
          </w:p>
        </w:tc>
        <w:tc>
          <w:tcPr>
            <w:tcW w:w="1496" w:type="pct"/>
            <w:gridSpan w:val="5"/>
            <w:tcBorders>
              <w:top w:val="single" w:sz="4" w:space="0" w:color="auto"/>
              <w:left w:val="single" w:sz="4" w:space="0" w:color="auto"/>
              <w:bottom w:val="single" w:sz="4" w:space="0" w:color="auto"/>
              <w:right w:val="single" w:sz="4" w:space="0" w:color="auto"/>
            </w:tcBorders>
            <w:vAlign w:val="center"/>
          </w:tcPr>
          <w:p w14:paraId="4B898DAF" w14:textId="77777777" w:rsidR="004305CD" w:rsidRPr="00501526" w:rsidRDefault="004305CD" w:rsidP="005F750F">
            <w:pPr>
              <w:pStyle w:val="In-tableHeading"/>
              <w:keepLines/>
              <w:jc w:val="center"/>
              <w:rPr>
                <w:iCs/>
                <w:lang w:val="en-AU"/>
              </w:rPr>
            </w:pPr>
            <w:r w:rsidRPr="00501526">
              <w:rPr>
                <w:iCs/>
                <w:lang w:val="en-AU"/>
              </w:rPr>
              <w:t>Sapropterin</w:t>
            </w:r>
          </w:p>
        </w:tc>
        <w:tc>
          <w:tcPr>
            <w:tcW w:w="1565" w:type="pct"/>
            <w:gridSpan w:val="5"/>
            <w:tcBorders>
              <w:top w:val="single" w:sz="4" w:space="0" w:color="auto"/>
              <w:left w:val="single" w:sz="4" w:space="0" w:color="auto"/>
              <w:bottom w:val="single" w:sz="4" w:space="0" w:color="auto"/>
              <w:right w:val="single" w:sz="4" w:space="0" w:color="auto"/>
            </w:tcBorders>
            <w:vAlign w:val="center"/>
          </w:tcPr>
          <w:p w14:paraId="770D472B" w14:textId="77777777" w:rsidR="004305CD" w:rsidRPr="00501526" w:rsidRDefault="004305CD" w:rsidP="005F750F">
            <w:pPr>
              <w:pStyle w:val="In-tableHeading"/>
              <w:keepLines/>
              <w:jc w:val="center"/>
              <w:rPr>
                <w:iCs/>
                <w:lang w:val="en-AU"/>
              </w:rPr>
            </w:pPr>
            <w:r w:rsidRPr="00501526">
              <w:rPr>
                <w:iCs/>
                <w:lang w:val="en-AU"/>
              </w:rPr>
              <w:t>Placebo</w:t>
            </w:r>
          </w:p>
        </w:tc>
        <w:tc>
          <w:tcPr>
            <w:tcW w:w="1306" w:type="pct"/>
            <w:gridSpan w:val="2"/>
            <w:vMerge w:val="restart"/>
            <w:tcBorders>
              <w:top w:val="single" w:sz="4" w:space="0" w:color="auto"/>
              <w:left w:val="single" w:sz="4" w:space="0" w:color="auto"/>
              <w:bottom w:val="single" w:sz="4" w:space="0" w:color="auto"/>
              <w:right w:val="single" w:sz="4" w:space="0" w:color="auto"/>
            </w:tcBorders>
            <w:vAlign w:val="center"/>
          </w:tcPr>
          <w:p w14:paraId="5370303C" w14:textId="77777777" w:rsidR="004305CD" w:rsidRPr="00501526" w:rsidRDefault="004305CD" w:rsidP="005F750F">
            <w:pPr>
              <w:pStyle w:val="In-tableHeading"/>
              <w:keepLines/>
              <w:jc w:val="center"/>
              <w:rPr>
                <w:iCs/>
                <w:lang w:val="en-AU"/>
              </w:rPr>
            </w:pPr>
            <w:r w:rsidRPr="00501526">
              <w:rPr>
                <w:iCs/>
                <w:lang w:val="en-AU"/>
              </w:rPr>
              <w:t>Mean difference:</w:t>
            </w:r>
          </w:p>
          <w:p w14:paraId="11F75221" w14:textId="77777777" w:rsidR="004305CD" w:rsidRPr="00501526" w:rsidRDefault="004305CD" w:rsidP="005F750F">
            <w:pPr>
              <w:pStyle w:val="In-tableHeading"/>
              <w:keepLines/>
              <w:jc w:val="center"/>
              <w:rPr>
                <w:iCs/>
                <w:szCs w:val="18"/>
                <w:lang w:val="en-AU"/>
              </w:rPr>
            </w:pPr>
            <w:r w:rsidRPr="00501526">
              <w:rPr>
                <w:iCs/>
                <w:szCs w:val="18"/>
                <w:lang w:val="en-AU"/>
              </w:rPr>
              <w:t>Sapropterin vs. placebo</w:t>
            </w:r>
          </w:p>
          <w:p w14:paraId="581677C8" w14:textId="77777777" w:rsidR="004305CD" w:rsidRPr="00501526" w:rsidRDefault="004305CD" w:rsidP="005F750F">
            <w:pPr>
              <w:pStyle w:val="In-tableHeading"/>
              <w:keepLines/>
              <w:jc w:val="center"/>
              <w:rPr>
                <w:iCs/>
                <w:szCs w:val="18"/>
                <w:lang w:val="en-AU"/>
              </w:rPr>
            </w:pPr>
            <w:r w:rsidRPr="00501526">
              <w:rPr>
                <w:iCs/>
                <w:szCs w:val="18"/>
                <w:lang w:val="en-AU"/>
              </w:rPr>
              <w:t>(95% CI)</w:t>
            </w:r>
          </w:p>
        </w:tc>
      </w:tr>
      <w:tr w:rsidR="004305CD" w:rsidRPr="00501526" w14:paraId="195D1525" w14:textId="77777777" w:rsidTr="005F750F">
        <w:trPr>
          <w:cantSplit/>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0DD62B" w14:textId="77777777" w:rsidR="004305CD" w:rsidRPr="00501526" w:rsidRDefault="004305CD" w:rsidP="005F750F">
            <w:pPr>
              <w:keepNext/>
              <w:keepLines/>
              <w:rPr>
                <w:rFonts w:ascii="Arial Narrow" w:hAnsi="Arial Narrow"/>
                <w:iCs/>
                <w:color w:val="000000"/>
                <w:sz w:val="20"/>
                <w:szCs w:val="18"/>
              </w:rPr>
            </w:pPr>
          </w:p>
        </w:tc>
        <w:tc>
          <w:tcPr>
            <w:tcW w:w="391" w:type="pct"/>
            <w:tcBorders>
              <w:top w:val="single" w:sz="4" w:space="0" w:color="auto"/>
              <w:left w:val="single" w:sz="4" w:space="0" w:color="auto"/>
              <w:bottom w:val="single" w:sz="4" w:space="0" w:color="auto"/>
              <w:right w:val="single" w:sz="4" w:space="0" w:color="auto"/>
            </w:tcBorders>
            <w:vAlign w:val="center"/>
          </w:tcPr>
          <w:p w14:paraId="76DE276E" w14:textId="77777777" w:rsidR="004305CD" w:rsidRPr="00501526" w:rsidRDefault="004305CD" w:rsidP="005F750F">
            <w:pPr>
              <w:pStyle w:val="In-tableHeading"/>
              <w:keepLines/>
              <w:jc w:val="center"/>
              <w:rPr>
                <w:iCs/>
                <w:lang w:val="en-AU"/>
              </w:rPr>
            </w:pPr>
            <w:r w:rsidRPr="00501526">
              <w:rPr>
                <w:iCs/>
                <w:lang w:val="en-AU"/>
              </w:rPr>
              <w:t>N</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439B91CF" w14:textId="77777777" w:rsidR="004305CD" w:rsidRPr="00501526" w:rsidRDefault="004305CD" w:rsidP="005F750F">
            <w:pPr>
              <w:pStyle w:val="In-tableHeading"/>
              <w:keepLines/>
              <w:jc w:val="center"/>
              <w:rPr>
                <w:iCs/>
                <w:lang w:val="en-AU"/>
              </w:rPr>
            </w:pPr>
            <w:r w:rsidRPr="00501526">
              <w:rPr>
                <w:iCs/>
                <w:lang w:val="en-AU"/>
              </w:rPr>
              <w:t xml:space="preserve">Mean ∆ baseline blood Phe </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42358CF0" w14:textId="77777777" w:rsidR="004305CD" w:rsidRPr="00501526" w:rsidRDefault="004305CD" w:rsidP="005F750F">
            <w:pPr>
              <w:pStyle w:val="In-tableHeading"/>
              <w:keepLines/>
              <w:jc w:val="center"/>
              <w:rPr>
                <w:iCs/>
                <w:lang w:val="en-AU"/>
              </w:rPr>
            </w:pPr>
            <w:r w:rsidRPr="00501526">
              <w:rPr>
                <w:iCs/>
                <w:lang w:val="en-AU"/>
              </w:rPr>
              <w:t>SE</w:t>
            </w:r>
          </w:p>
        </w:tc>
        <w:tc>
          <w:tcPr>
            <w:tcW w:w="465" w:type="pct"/>
            <w:tcBorders>
              <w:top w:val="single" w:sz="4" w:space="0" w:color="auto"/>
              <w:left w:val="single" w:sz="4" w:space="0" w:color="auto"/>
              <w:bottom w:val="single" w:sz="4" w:space="0" w:color="auto"/>
              <w:right w:val="single" w:sz="4" w:space="0" w:color="auto"/>
            </w:tcBorders>
            <w:vAlign w:val="center"/>
          </w:tcPr>
          <w:p w14:paraId="1B6CABC1" w14:textId="77777777" w:rsidR="004305CD" w:rsidRPr="00501526" w:rsidRDefault="004305CD" w:rsidP="005F750F">
            <w:pPr>
              <w:pStyle w:val="In-tableHeading"/>
              <w:keepLines/>
              <w:jc w:val="center"/>
              <w:rPr>
                <w:iCs/>
                <w:lang w:val="en-AU"/>
              </w:rPr>
            </w:pPr>
            <w:r w:rsidRPr="00501526">
              <w:rPr>
                <w:iCs/>
                <w:lang w:val="en-AU"/>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305D96A" w14:textId="77777777" w:rsidR="004305CD" w:rsidRPr="00501526" w:rsidRDefault="004305CD" w:rsidP="005F750F">
            <w:pPr>
              <w:pStyle w:val="In-tableHeading"/>
              <w:keepLines/>
              <w:jc w:val="center"/>
              <w:rPr>
                <w:iCs/>
                <w:lang w:val="en-AU"/>
              </w:rPr>
            </w:pPr>
            <w:r w:rsidRPr="00501526">
              <w:rPr>
                <w:iCs/>
                <w:lang w:val="en-AU"/>
              </w:rPr>
              <w:t>Mean ∆ baseline blood Phe</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02728A3C" w14:textId="77777777" w:rsidR="004305CD" w:rsidRPr="00501526" w:rsidRDefault="004305CD" w:rsidP="005F750F">
            <w:pPr>
              <w:pStyle w:val="In-tableHeading"/>
              <w:keepLines/>
              <w:jc w:val="center"/>
              <w:rPr>
                <w:iCs/>
                <w:lang w:val="en-AU"/>
              </w:rPr>
            </w:pPr>
            <w:r w:rsidRPr="00501526">
              <w:rPr>
                <w:iCs/>
                <w:lang w:val="en-AU"/>
              </w:rPr>
              <w:t>SE</w:t>
            </w:r>
          </w:p>
        </w:tc>
        <w:tc>
          <w:tcPr>
            <w:tcW w:w="1306" w:type="pct"/>
            <w:gridSpan w:val="2"/>
            <w:vMerge/>
            <w:tcBorders>
              <w:top w:val="single" w:sz="4" w:space="0" w:color="auto"/>
              <w:left w:val="single" w:sz="4" w:space="0" w:color="auto"/>
              <w:bottom w:val="single" w:sz="4" w:space="0" w:color="auto"/>
              <w:right w:val="single" w:sz="4" w:space="0" w:color="auto"/>
            </w:tcBorders>
            <w:vAlign w:val="center"/>
          </w:tcPr>
          <w:p w14:paraId="7F2DC149" w14:textId="77777777" w:rsidR="004305CD" w:rsidRPr="00501526" w:rsidRDefault="004305CD" w:rsidP="005F750F">
            <w:pPr>
              <w:keepNext/>
              <w:keepLines/>
              <w:jc w:val="center"/>
              <w:rPr>
                <w:rFonts w:ascii="Arial Narrow" w:hAnsi="Arial Narrow"/>
                <w:b/>
                <w:iCs/>
                <w:sz w:val="20"/>
                <w:szCs w:val="18"/>
              </w:rPr>
            </w:pPr>
          </w:p>
        </w:tc>
      </w:tr>
      <w:tr w:rsidR="004305CD" w:rsidRPr="00501526" w14:paraId="3CC23ABC" w14:textId="77777777" w:rsidTr="005F750F">
        <w:trPr>
          <w:cantSplit/>
        </w:trPr>
        <w:tc>
          <w:tcPr>
            <w:tcW w:w="6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00EE28" w14:textId="77777777" w:rsidR="004305CD" w:rsidRPr="00501526" w:rsidRDefault="004305CD" w:rsidP="005F750F">
            <w:pPr>
              <w:pStyle w:val="TableText0"/>
              <w:keepLines/>
              <w:rPr>
                <w:iCs/>
              </w:rPr>
            </w:pPr>
            <w:r w:rsidRPr="00501526">
              <w:rPr>
                <w:iCs/>
              </w:rPr>
              <w:t>PKU-003</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D3378" w14:textId="77777777" w:rsidR="004305CD" w:rsidRPr="00501526" w:rsidRDefault="004305CD" w:rsidP="005F750F">
            <w:pPr>
              <w:pStyle w:val="TableText0"/>
              <w:keepLines/>
              <w:jc w:val="center"/>
              <w:rPr>
                <w:iCs/>
              </w:rPr>
            </w:pPr>
            <w:r w:rsidRPr="00501526">
              <w:rPr>
                <w:iCs/>
              </w:rPr>
              <w:t>41</w:t>
            </w:r>
          </w:p>
        </w:tc>
        <w:tc>
          <w:tcPr>
            <w:tcW w:w="54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6C729C" w14:textId="77777777" w:rsidR="004305CD" w:rsidRPr="00501526" w:rsidRDefault="004305CD" w:rsidP="005F750F">
            <w:pPr>
              <w:pStyle w:val="TableText0"/>
              <w:keepLines/>
              <w:jc w:val="center"/>
              <w:rPr>
                <w:iCs/>
              </w:rPr>
            </w:pPr>
            <w:r w:rsidRPr="00501526">
              <w:rPr>
                <w:iCs/>
              </w:rPr>
              <w:t>-239</w:t>
            </w:r>
          </w:p>
        </w:tc>
        <w:tc>
          <w:tcPr>
            <w:tcW w:w="55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75B9CB" w14:textId="77777777" w:rsidR="004305CD" w:rsidRPr="00501526" w:rsidRDefault="004305CD" w:rsidP="005F750F">
            <w:pPr>
              <w:pStyle w:val="TableText0"/>
              <w:keepLines/>
              <w:jc w:val="center"/>
              <w:rPr>
                <w:iCs/>
              </w:rPr>
            </w:pPr>
            <w:r w:rsidRPr="00501526">
              <w:rPr>
                <w:iCs/>
              </w:rPr>
              <w:t>38.3</w:t>
            </w:r>
          </w:p>
        </w:tc>
        <w:tc>
          <w:tcPr>
            <w:tcW w:w="4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65629B" w14:textId="77777777" w:rsidR="004305CD" w:rsidRPr="00501526" w:rsidRDefault="004305CD" w:rsidP="005F750F">
            <w:pPr>
              <w:pStyle w:val="TableText0"/>
              <w:keepLines/>
              <w:jc w:val="center"/>
              <w:rPr>
                <w:iCs/>
              </w:rPr>
            </w:pPr>
            <w:r w:rsidRPr="00501526">
              <w:rPr>
                <w:iCs/>
              </w:rPr>
              <w:t>47</w:t>
            </w:r>
          </w:p>
        </w:tc>
        <w:tc>
          <w:tcPr>
            <w:tcW w:w="55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84C78C" w14:textId="77777777" w:rsidR="004305CD" w:rsidRPr="00501526" w:rsidRDefault="004305CD" w:rsidP="005F750F">
            <w:pPr>
              <w:pStyle w:val="TableText0"/>
              <w:keepLines/>
              <w:jc w:val="center"/>
              <w:rPr>
                <w:iCs/>
              </w:rPr>
            </w:pPr>
            <w:r w:rsidRPr="00501526">
              <w:rPr>
                <w:iCs/>
              </w:rPr>
              <w:t>6</w:t>
            </w:r>
          </w:p>
        </w:tc>
        <w:tc>
          <w:tcPr>
            <w:tcW w:w="54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E82DC9" w14:textId="77777777" w:rsidR="004305CD" w:rsidRPr="00501526" w:rsidRDefault="004305CD" w:rsidP="005F750F">
            <w:pPr>
              <w:pStyle w:val="TableText0"/>
              <w:keepLines/>
              <w:jc w:val="center"/>
              <w:rPr>
                <w:iCs/>
              </w:rPr>
            </w:pPr>
            <w:r w:rsidRPr="00501526">
              <w:rPr>
                <w:iCs/>
              </w:rPr>
              <w:t>35.8</w:t>
            </w:r>
          </w:p>
        </w:tc>
        <w:tc>
          <w:tcPr>
            <w:tcW w:w="130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14F76" w14:textId="77777777" w:rsidR="004305CD" w:rsidRPr="00501526" w:rsidRDefault="004305CD" w:rsidP="005F750F">
            <w:pPr>
              <w:pStyle w:val="TableText0"/>
              <w:keepLines/>
              <w:jc w:val="center"/>
              <w:rPr>
                <w:iCs/>
              </w:rPr>
            </w:pPr>
            <w:r w:rsidRPr="00501526">
              <w:rPr>
                <w:iCs/>
              </w:rPr>
              <w:t>-245 (-350, -141)</w:t>
            </w:r>
          </w:p>
        </w:tc>
      </w:tr>
    </w:tbl>
    <w:p w14:paraId="0254021C" w14:textId="77777777" w:rsidR="004305CD" w:rsidRPr="00501526" w:rsidRDefault="004305CD" w:rsidP="004305CD">
      <w:pPr>
        <w:pStyle w:val="3-BodyText"/>
        <w:keepNext/>
        <w:keepLines/>
        <w:numPr>
          <w:ilvl w:val="0"/>
          <w:numId w:val="0"/>
        </w:numPr>
        <w:spacing w:after="0"/>
        <w:rPr>
          <w:rFonts w:ascii="Arial Narrow" w:eastAsia="Arial Narrow+FPEF" w:hAnsi="Arial Narrow" w:cs="Arial Narrow+FPEF"/>
          <w:iCs/>
          <w:sz w:val="18"/>
          <w:szCs w:val="18"/>
        </w:rPr>
      </w:pPr>
      <w:r w:rsidRPr="00501526">
        <w:rPr>
          <w:rFonts w:ascii="Arial Narrow" w:eastAsia="Arial Narrow+FPEF" w:hAnsi="Arial Narrow" w:cs="Arial Narrow+FPEF"/>
          <w:iCs/>
          <w:sz w:val="18"/>
          <w:szCs w:val="18"/>
        </w:rPr>
        <w:t>Source: compiled during the evaluation</w:t>
      </w:r>
    </w:p>
    <w:p w14:paraId="6BE1AE68" w14:textId="77777777" w:rsidR="004305CD" w:rsidRPr="00501526" w:rsidRDefault="004305CD" w:rsidP="004305CD">
      <w:pPr>
        <w:pStyle w:val="TableFigureFooter"/>
        <w:keepNext/>
        <w:keepLines/>
        <w:rPr>
          <w:iCs/>
          <w:sz w:val="20"/>
        </w:rPr>
      </w:pPr>
      <w:r w:rsidRPr="00501526">
        <w:rPr>
          <w:rFonts w:eastAsia="Arial Narrow+FPEF" w:cs="Arial Narrow+FPEF"/>
          <w:iCs/>
          <w:szCs w:val="18"/>
        </w:rPr>
        <w:t>*6-week trial duration</w:t>
      </w:r>
      <w:r w:rsidRPr="00501526">
        <w:rPr>
          <w:iCs/>
          <w:sz w:val="20"/>
        </w:rPr>
        <w:t xml:space="preserve"> </w:t>
      </w:r>
    </w:p>
    <w:p w14:paraId="4BECBB80" w14:textId="77777777" w:rsidR="004305CD" w:rsidRPr="00501526" w:rsidRDefault="004305CD" w:rsidP="004305CD">
      <w:pPr>
        <w:pStyle w:val="TableFigureFooter"/>
        <w:keepNext/>
        <w:keepLines/>
        <w:rPr>
          <w:rFonts w:eastAsia="Arial Narrow+FPEF" w:cs="Arial Narrow+FPEF"/>
          <w:iCs/>
          <w:szCs w:val="18"/>
        </w:rPr>
      </w:pPr>
      <w:r w:rsidRPr="00501526">
        <w:rPr>
          <w:rFonts w:eastAsia="Arial Narrow+FPEF" w:cs="Arial Narrow+FPEF"/>
          <w:iCs/>
          <w:szCs w:val="18"/>
        </w:rPr>
        <w:t>Blue shading indicate evidence previously considered by PBAC</w:t>
      </w:r>
    </w:p>
    <w:p w14:paraId="214D3A16" w14:textId="77777777" w:rsidR="004305CD" w:rsidRPr="00501526" w:rsidRDefault="004305CD" w:rsidP="004305CD">
      <w:pPr>
        <w:pStyle w:val="3-BodyText"/>
        <w:rPr>
          <w:iCs/>
        </w:rPr>
      </w:pPr>
      <w:r w:rsidRPr="00501526">
        <w:rPr>
          <w:iCs/>
        </w:rPr>
        <w:t xml:space="preserve">On the basis of direct evidence presented by the submission, after six weeks of treatment, the comparison of sapropterin plus a Phe-restricted diet compared to </w:t>
      </w:r>
      <w:r w:rsidRPr="00501526">
        <w:rPr>
          <w:iCs/>
        </w:rPr>
        <w:lastRenderedPageBreak/>
        <w:t xml:space="preserve">(placebo plus) a Phe-restricted diet for any PKU patient (including adults, </w:t>
      </w:r>
      <w:proofErr w:type="gramStart"/>
      <w:r w:rsidRPr="00501526">
        <w:rPr>
          <w:iCs/>
        </w:rPr>
        <w:t>children</w:t>
      </w:r>
      <w:proofErr w:type="gramEnd"/>
      <w:r w:rsidRPr="00501526">
        <w:rPr>
          <w:iCs/>
        </w:rPr>
        <w:t xml:space="preserve"> and adolescents) resulted in:</w:t>
      </w:r>
    </w:p>
    <w:p w14:paraId="2ABA2759" w14:textId="77777777" w:rsidR="004305CD" w:rsidRPr="00501526" w:rsidRDefault="004305CD" w:rsidP="0038337A">
      <w:pPr>
        <w:pStyle w:val="3-BodyText"/>
        <w:numPr>
          <w:ilvl w:val="0"/>
          <w:numId w:val="5"/>
        </w:numPr>
        <w:spacing w:after="0"/>
        <w:ind w:left="993" w:hanging="284"/>
        <w:rPr>
          <w:iCs/>
        </w:rPr>
      </w:pPr>
      <w:r w:rsidRPr="00501526">
        <w:rPr>
          <w:iCs/>
        </w:rPr>
        <w:t>An additional 30% of patients achieving blood Phe levels ≤360 μmol/L; and</w:t>
      </w:r>
    </w:p>
    <w:p w14:paraId="42845481" w14:textId="77777777" w:rsidR="004305CD" w:rsidRPr="00501526" w:rsidRDefault="004305CD" w:rsidP="0038337A">
      <w:pPr>
        <w:pStyle w:val="3-BodyText"/>
        <w:numPr>
          <w:ilvl w:val="0"/>
          <w:numId w:val="5"/>
        </w:numPr>
        <w:ind w:left="993" w:hanging="284"/>
        <w:rPr>
          <w:iCs/>
        </w:rPr>
      </w:pPr>
      <w:r w:rsidRPr="00501526">
        <w:rPr>
          <w:iCs/>
        </w:rPr>
        <w:t>An average reduction in blood Phe levels of 245 μmol/L.</w:t>
      </w:r>
    </w:p>
    <w:p w14:paraId="7A1772B6" w14:textId="23BB3145" w:rsidR="00B60939" w:rsidRPr="00501526" w:rsidRDefault="00B60939" w:rsidP="00BB415B">
      <w:pPr>
        <w:pStyle w:val="4-SubsectionHeading"/>
        <w:spacing w:before="240"/>
      </w:pPr>
      <w:r w:rsidRPr="00501526">
        <w:t>Clinical claim</w:t>
      </w:r>
      <w:bookmarkEnd w:id="40"/>
      <w:bookmarkEnd w:id="41"/>
    </w:p>
    <w:p w14:paraId="1019CC6D" w14:textId="273C9777" w:rsidR="00127B1D" w:rsidRPr="00501526" w:rsidRDefault="00127B1D" w:rsidP="00127B1D">
      <w:pPr>
        <w:pStyle w:val="3-BodyText"/>
        <w:rPr>
          <w:iCs/>
        </w:rPr>
      </w:pPr>
      <w:r w:rsidRPr="00501526">
        <w:rPr>
          <w:iCs/>
        </w:rPr>
        <w:t xml:space="preserve">The submission described sapropterin as superior in terms of effectiveness compared with </w:t>
      </w:r>
      <w:r w:rsidR="00F32EA6" w:rsidRPr="00501526">
        <w:rPr>
          <w:iCs/>
        </w:rPr>
        <w:t xml:space="preserve">a </w:t>
      </w:r>
      <w:r w:rsidRPr="00501526">
        <w:rPr>
          <w:iCs/>
        </w:rPr>
        <w:t xml:space="preserve">Phe-restricted diet alone and non-inferior in terms of safety compared to a </w:t>
      </w:r>
      <w:r w:rsidR="00263C83" w:rsidRPr="00501526">
        <w:rPr>
          <w:iCs/>
        </w:rPr>
        <w:t>Phe</w:t>
      </w:r>
      <w:r w:rsidR="00CC142A">
        <w:rPr>
          <w:iCs/>
        </w:rPr>
        <w:noBreakHyphen/>
      </w:r>
      <w:r w:rsidRPr="00501526">
        <w:rPr>
          <w:iCs/>
        </w:rPr>
        <w:t xml:space="preserve">restricted diet alone. </w:t>
      </w:r>
    </w:p>
    <w:p w14:paraId="4E7120EB" w14:textId="1282051A" w:rsidR="007D0EDE" w:rsidRPr="00501526" w:rsidRDefault="00172AD6" w:rsidP="00127B1D">
      <w:pPr>
        <w:pStyle w:val="3-BodyText"/>
        <w:rPr>
          <w:rFonts w:eastAsia="Calibri"/>
          <w:iCs/>
        </w:rPr>
      </w:pPr>
      <w:r>
        <w:rPr>
          <w:iCs/>
        </w:rPr>
        <w:t>T</w:t>
      </w:r>
      <w:r w:rsidR="0073097D" w:rsidRPr="00501526">
        <w:rPr>
          <w:iCs/>
        </w:rPr>
        <w:t xml:space="preserve">he </w:t>
      </w:r>
      <w:r w:rsidR="00212939" w:rsidRPr="00501526">
        <w:rPr>
          <w:iCs/>
        </w:rPr>
        <w:t xml:space="preserve">evaluation and the ESC considered that the </w:t>
      </w:r>
      <w:r w:rsidR="0073097D" w:rsidRPr="00501526">
        <w:rPr>
          <w:iCs/>
        </w:rPr>
        <w:t>claim of superiority was likely reasonable</w:t>
      </w:r>
      <w:r w:rsidR="00212939" w:rsidRPr="00501526">
        <w:rPr>
          <w:iCs/>
        </w:rPr>
        <w:t xml:space="preserve"> in terms of lowering blood Phe-levels</w:t>
      </w:r>
      <w:r w:rsidR="0073097D" w:rsidRPr="00501526">
        <w:rPr>
          <w:iCs/>
        </w:rPr>
        <w:t xml:space="preserve">, </w:t>
      </w:r>
      <w:r>
        <w:rPr>
          <w:iCs/>
        </w:rPr>
        <w:t xml:space="preserve">but that </w:t>
      </w:r>
      <w:r w:rsidR="0073097D" w:rsidRPr="00501526">
        <w:rPr>
          <w:iCs/>
        </w:rPr>
        <w:t xml:space="preserve">the </w:t>
      </w:r>
      <w:r w:rsidR="00135228" w:rsidRPr="00501526">
        <w:rPr>
          <w:iCs/>
        </w:rPr>
        <w:t xml:space="preserve">magnitude </w:t>
      </w:r>
      <w:r w:rsidR="008F31C2" w:rsidRPr="00501526">
        <w:rPr>
          <w:iCs/>
        </w:rPr>
        <w:t xml:space="preserve">and clinical significance </w:t>
      </w:r>
      <w:r w:rsidR="00135228" w:rsidRPr="00501526">
        <w:rPr>
          <w:iCs/>
        </w:rPr>
        <w:t xml:space="preserve">of </w:t>
      </w:r>
      <w:r w:rsidR="00F32EA6" w:rsidRPr="00501526">
        <w:rPr>
          <w:iCs/>
        </w:rPr>
        <w:t xml:space="preserve">the </w:t>
      </w:r>
      <w:r w:rsidR="00135228" w:rsidRPr="00501526">
        <w:rPr>
          <w:iCs/>
        </w:rPr>
        <w:t xml:space="preserve">benefit in adults </w:t>
      </w:r>
      <w:r w:rsidR="00212939" w:rsidRPr="00501526">
        <w:rPr>
          <w:iCs/>
        </w:rPr>
        <w:t>could not be quantified based on the evidence provided</w:t>
      </w:r>
      <w:r w:rsidR="007D0EDE" w:rsidRPr="00501526">
        <w:rPr>
          <w:iCs/>
        </w:rPr>
        <w:t xml:space="preserve"> as</w:t>
      </w:r>
      <w:r w:rsidR="000A687C" w:rsidRPr="00501526">
        <w:rPr>
          <w:iCs/>
        </w:rPr>
        <w:t>:</w:t>
      </w:r>
      <w:r w:rsidR="007D0EDE" w:rsidRPr="00501526">
        <w:rPr>
          <w:iCs/>
        </w:rPr>
        <w:t xml:space="preserve"> </w:t>
      </w:r>
    </w:p>
    <w:p w14:paraId="3C66BC7F" w14:textId="08AE7A2C" w:rsidR="007D0EDE" w:rsidRPr="00501526" w:rsidRDefault="00135228" w:rsidP="0038337A">
      <w:pPr>
        <w:pStyle w:val="3-BodyText"/>
        <w:numPr>
          <w:ilvl w:val="0"/>
          <w:numId w:val="10"/>
        </w:numPr>
        <w:ind w:left="1134" w:hanging="283"/>
        <w:rPr>
          <w:rFonts w:eastAsia="Calibri"/>
          <w:iCs/>
        </w:rPr>
      </w:pPr>
      <w:r w:rsidRPr="00501526">
        <w:rPr>
          <w:iCs/>
        </w:rPr>
        <w:t xml:space="preserve">The only source of comparative data </w:t>
      </w:r>
      <w:r w:rsidR="008F31C2" w:rsidRPr="00501526">
        <w:rPr>
          <w:iCs/>
        </w:rPr>
        <w:t xml:space="preserve">on blood Phe levels </w:t>
      </w:r>
      <w:r w:rsidRPr="00501526">
        <w:rPr>
          <w:iCs/>
        </w:rPr>
        <w:t>was from PKU-003</w:t>
      </w:r>
      <w:r w:rsidR="00FF407B" w:rsidRPr="00501526">
        <w:rPr>
          <w:iCs/>
        </w:rPr>
        <w:t>, which</w:t>
      </w:r>
      <w:r w:rsidRPr="00501526">
        <w:rPr>
          <w:iCs/>
        </w:rPr>
        <w:t xml:space="preserve"> </w:t>
      </w:r>
      <w:r w:rsidR="00987DD1" w:rsidRPr="00501526">
        <w:rPr>
          <w:iCs/>
        </w:rPr>
        <w:t>recruit</w:t>
      </w:r>
      <w:r w:rsidR="00172AD6">
        <w:rPr>
          <w:iCs/>
        </w:rPr>
        <w:t>ed</w:t>
      </w:r>
      <w:r w:rsidR="00987DD1" w:rsidRPr="00501526">
        <w:rPr>
          <w:iCs/>
        </w:rPr>
        <w:t xml:space="preserve"> patients</w:t>
      </w:r>
      <w:r w:rsidR="00172AD6">
        <w:rPr>
          <w:iCs/>
        </w:rPr>
        <w:t xml:space="preserve"> of all ages</w:t>
      </w:r>
      <w:r w:rsidR="00057B38" w:rsidRPr="00501526">
        <w:rPr>
          <w:iCs/>
        </w:rPr>
        <w:t xml:space="preserve"> and no specific subgroup data from adults were presented</w:t>
      </w:r>
      <w:r w:rsidR="00987DD1" w:rsidRPr="00501526">
        <w:rPr>
          <w:iCs/>
        </w:rPr>
        <w:t xml:space="preserve">. </w:t>
      </w:r>
      <w:r w:rsidR="0052428E" w:rsidRPr="00501526">
        <w:rPr>
          <w:iCs/>
        </w:rPr>
        <w:t xml:space="preserve">PKU-003 was also </w:t>
      </w:r>
      <w:r w:rsidR="0097088D" w:rsidRPr="00501526">
        <w:rPr>
          <w:iCs/>
        </w:rPr>
        <w:t>only of short duration (six weeks) which may limit its applicability to a scenario where sapropterin usage is lifelong</w:t>
      </w:r>
      <w:r w:rsidR="007D0EDE" w:rsidRPr="00501526">
        <w:rPr>
          <w:iCs/>
        </w:rPr>
        <w:t>;</w:t>
      </w:r>
    </w:p>
    <w:p w14:paraId="2A15A1D7" w14:textId="03D612A3" w:rsidR="006E3166" w:rsidRPr="00501526" w:rsidRDefault="00327A2D" w:rsidP="0038337A">
      <w:pPr>
        <w:pStyle w:val="3-BodyText"/>
        <w:numPr>
          <w:ilvl w:val="0"/>
          <w:numId w:val="10"/>
        </w:numPr>
        <w:ind w:left="1134" w:hanging="283"/>
        <w:rPr>
          <w:rFonts w:eastAsia="Calibri"/>
          <w:iCs/>
        </w:rPr>
      </w:pPr>
      <w:r w:rsidRPr="00501526">
        <w:rPr>
          <w:iCs/>
        </w:rPr>
        <w:t>Da</w:t>
      </w:r>
      <w:r w:rsidR="00FC221C" w:rsidRPr="00501526">
        <w:rPr>
          <w:iCs/>
        </w:rPr>
        <w:t xml:space="preserve">ta from patients aged 18 to &lt;65 years in </w:t>
      </w:r>
      <w:r w:rsidR="007F7C68" w:rsidRPr="00501526">
        <w:rPr>
          <w:iCs/>
        </w:rPr>
        <w:t xml:space="preserve">the </w:t>
      </w:r>
      <w:r w:rsidR="00FC221C" w:rsidRPr="00501526">
        <w:rPr>
          <w:iCs/>
        </w:rPr>
        <w:t xml:space="preserve">PKUDOS </w:t>
      </w:r>
      <w:r w:rsidR="007F7C68" w:rsidRPr="00501526">
        <w:rPr>
          <w:iCs/>
        </w:rPr>
        <w:t xml:space="preserve">registry </w:t>
      </w:r>
      <w:r w:rsidR="00FC221C" w:rsidRPr="00501526">
        <w:rPr>
          <w:iCs/>
        </w:rPr>
        <w:t xml:space="preserve">suggested that patients on continuous treatment </w:t>
      </w:r>
      <w:r w:rsidR="00263C83" w:rsidRPr="00501526">
        <w:rPr>
          <w:iCs/>
        </w:rPr>
        <w:t xml:space="preserve">with sapropterin </w:t>
      </w:r>
      <w:r w:rsidR="00FC221C" w:rsidRPr="00501526">
        <w:rPr>
          <w:iCs/>
        </w:rPr>
        <w:t>were able to maintain blood Phe levels in the range of 360-600</w:t>
      </w:r>
      <w:r w:rsidR="00F3104E">
        <w:rPr>
          <w:iCs/>
        </w:rPr>
        <w:t> </w:t>
      </w:r>
      <w:r w:rsidR="00FC221C" w:rsidRPr="00501526">
        <w:rPr>
          <w:iCs/>
        </w:rPr>
        <w:t xml:space="preserve">µmol/L through </w:t>
      </w:r>
      <w:r w:rsidR="007F7C68" w:rsidRPr="00501526">
        <w:rPr>
          <w:iCs/>
        </w:rPr>
        <w:t xml:space="preserve">up to </w:t>
      </w:r>
      <w:r w:rsidR="00FC221C" w:rsidRPr="00501526">
        <w:rPr>
          <w:iCs/>
        </w:rPr>
        <w:t>8 years of follow-up</w:t>
      </w:r>
      <w:r w:rsidRPr="00501526">
        <w:rPr>
          <w:iCs/>
        </w:rPr>
        <w:t>,</w:t>
      </w:r>
      <w:r w:rsidR="00FC221C" w:rsidRPr="00501526">
        <w:rPr>
          <w:iCs/>
        </w:rPr>
        <w:t xml:space="preserve"> </w:t>
      </w:r>
      <w:r w:rsidRPr="00501526">
        <w:rPr>
          <w:iCs/>
        </w:rPr>
        <w:t xml:space="preserve">whereas </w:t>
      </w:r>
      <w:r w:rsidR="00FC221C" w:rsidRPr="00501526">
        <w:rPr>
          <w:iCs/>
        </w:rPr>
        <w:t>the mean blood Phe levels were all above 600 µmol/L in the previously treated cohort</w:t>
      </w:r>
      <w:r w:rsidR="00F32EA6" w:rsidRPr="00501526">
        <w:rPr>
          <w:iCs/>
        </w:rPr>
        <w:t xml:space="preserve"> (used as a proxy for Phe restricted diet alone)</w:t>
      </w:r>
      <w:r w:rsidRPr="00501526">
        <w:rPr>
          <w:iCs/>
        </w:rPr>
        <w:t>. However,</w:t>
      </w:r>
      <w:r w:rsidR="00FC221C" w:rsidRPr="00501526">
        <w:rPr>
          <w:iCs/>
        </w:rPr>
        <w:t xml:space="preserve"> mean baseline Phe level </w:t>
      </w:r>
      <w:r w:rsidR="004D4307" w:rsidRPr="00501526">
        <w:rPr>
          <w:iCs/>
        </w:rPr>
        <w:t xml:space="preserve">was </w:t>
      </w:r>
      <w:r w:rsidR="00FC221C" w:rsidRPr="00501526">
        <w:rPr>
          <w:iCs/>
        </w:rPr>
        <w:t xml:space="preserve">lower for patients on continuous treatment compared with </w:t>
      </w:r>
      <w:r w:rsidR="006E3166" w:rsidRPr="00501526">
        <w:rPr>
          <w:iCs/>
        </w:rPr>
        <w:t xml:space="preserve">patients in the previously treated cohort </w:t>
      </w:r>
      <w:r w:rsidR="00DC252D" w:rsidRPr="00501526">
        <w:rPr>
          <w:iCs/>
        </w:rPr>
        <w:t>(see</w:t>
      </w:r>
      <w:r w:rsidR="00CD0BE2" w:rsidRPr="00501526">
        <w:rPr>
          <w:iCs/>
        </w:rPr>
        <w:t xml:space="preserve"> </w:t>
      </w:r>
      <w:r w:rsidR="00CD0BE2" w:rsidRPr="00501526">
        <w:rPr>
          <w:iCs/>
        </w:rPr>
        <w:fldChar w:fldCharType="begin"/>
      </w:r>
      <w:r w:rsidR="00CD0BE2" w:rsidRPr="00501526">
        <w:rPr>
          <w:iCs/>
        </w:rPr>
        <w:instrText xml:space="preserve"> REF _Ref106359305 \h  \* MERGEFORMAT </w:instrText>
      </w:r>
      <w:r w:rsidR="00CD0BE2" w:rsidRPr="00501526">
        <w:rPr>
          <w:iCs/>
        </w:rPr>
      </w:r>
      <w:r w:rsidR="00CD0BE2" w:rsidRPr="00501526">
        <w:rPr>
          <w:iCs/>
        </w:rPr>
        <w:fldChar w:fldCharType="separate"/>
      </w:r>
      <w:r w:rsidR="0035299E" w:rsidRPr="0035299E">
        <w:rPr>
          <w:iCs/>
        </w:rPr>
        <w:t>Figure 1</w:t>
      </w:r>
      <w:r w:rsidR="00CD0BE2" w:rsidRPr="00501526">
        <w:rPr>
          <w:iCs/>
        </w:rPr>
        <w:fldChar w:fldCharType="end"/>
      </w:r>
      <w:r w:rsidR="00DC252D" w:rsidRPr="00501526">
        <w:rPr>
          <w:iCs/>
        </w:rPr>
        <w:t>)</w:t>
      </w:r>
      <w:r w:rsidR="004D4307" w:rsidRPr="00501526">
        <w:rPr>
          <w:iCs/>
        </w:rPr>
        <w:t>. Thus</w:t>
      </w:r>
      <w:r w:rsidR="00CA659B" w:rsidRPr="00501526">
        <w:rPr>
          <w:iCs/>
        </w:rPr>
        <w:t>,</w:t>
      </w:r>
      <w:r w:rsidR="003B67ED" w:rsidRPr="00501526">
        <w:rPr>
          <w:iCs/>
        </w:rPr>
        <w:t xml:space="preserve"> patients in the previously treated cohort may have</w:t>
      </w:r>
      <w:r w:rsidR="00DC252D" w:rsidRPr="00501526">
        <w:rPr>
          <w:iCs/>
        </w:rPr>
        <w:t xml:space="preserve"> </w:t>
      </w:r>
      <w:r w:rsidR="006E3166" w:rsidRPr="00501526">
        <w:rPr>
          <w:iCs/>
        </w:rPr>
        <w:t xml:space="preserve">had more severe disease and as such any incremental benefit observed in PKUDOS was biased in favour of </w:t>
      </w:r>
      <w:r w:rsidR="004D4307" w:rsidRPr="00501526">
        <w:rPr>
          <w:iCs/>
        </w:rPr>
        <w:t xml:space="preserve">the group of patients who received </w:t>
      </w:r>
      <w:r w:rsidR="006E3166" w:rsidRPr="00501526">
        <w:rPr>
          <w:iCs/>
        </w:rPr>
        <w:t>continuous treatment</w:t>
      </w:r>
      <w:r w:rsidR="00077383" w:rsidRPr="00501526">
        <w:rPr>
          <w:iCs/>
        </w:rPr>
        <w:t xml:space="preserve"> with sapropterin</w:t>
      </w:r>
      <w:r w:rsidR="006E3166" w:rsidRPr="00501526">
        <w:rPr>
          <w:iCs/>
        </w:rPr>
        <w:t>;</w:t>
      </w:r>
    </w:p>
    <w:p w14:paraId="495F7495" w14:textId="4D5D4D02" w:rsidR="006E3166" w:rsidRPr="00501526" w:rsidRDefault="0097088D" w:rsidP="0038337A">
      <w:pPr>
        <w:pStyle w:val="3-BodyText"/>
        <w:numPr>
          <w:ilvl w:val="0"/>
          <w:numId w:val="10"/>
        </w:numPr>
        <w:ind w:left="1134" w:hanging="283"/>
        <w:rPr>
          <w:rFonts w:eastAsia="Calibri"/>
          <w:iCs/>
        </w:rPr>
      </w:pPr>
      <w:r w:rsidRPr="00501526">
        <w:rPr>
          <w:iCs/>
        </w:rPr>
        <w:t>D</w:t>
      </w:r>
      <w:r w:rsidR="00127B1D" w:rsidRPr="00501526">
        <w:rPr>
          <w:iCs/>
        </w:rPr>
        <w:t xml:space="preserve">ata on </w:t>
      </w:r>
      <w:r w:rsidRPr="00501526">
        <w:rPr>
          <w:iCs/>
        </w:rPr>
        <w:t xml:space="preserve">the psychiatric and </w:t>
      </w:r>
      <w:r w:rsidR="00127B1D" w:rsidRPr="00501526">
        <w:rPr>
          <w:iCs/>
        </w:rPr>
        <w:t>neurological function</w:t>
      </w:r>
      <w:r w:rsidRPr="00501526">
        <w:rPr>
          <w:iCs/>
        </w:rPr>
        <w:t xml:space="preserve"> from the more recent data cut of the PKUDOS registry between </w:t>
      </w:r>
      <w:r w:rsidR="00E94E99" w:rsidRPr="00501526">
        <w:rPr>
          <w:iCs/>
        </w:rPr>
        <w:t>continuously treated and previously treated patients</w:t>
      </w:r>
      <w:r w:rsidRPr="00501526">
        <w:rPr>
          <w:iCs/>
        </w:rPr>
        <w:t xml:space="preserve"> </w:t>
      </w:r>
      <w:r w:rsidR="00F32EA6" w:rsidRPr="00501526">
        <w:rPr>
          <w:iCs/>
        </w:rPr>
        <w:t>was not specific to adults</w:t>
      </w:r>
      <w:r w:rsidR="00E94E99" w:rsidRPr="00501526">
        <w:rPr>
          <w:iCs/>
        </w:rPr>
        <w:t>.</w:t>
      </w:r>
      <w:r w:rsidR="0098391F" w:rsidRPr="00501526">
        <w:rPr>
          <w:iCs/>
        </w:rPr>
        <w:t xml:space="preserve"> Data from the randomised controlled trial PKU</w:t>
      </w:r>
      <w:r w:rsidR="00BF6E8D">
        <w:rPr>
          <w:iCs/>
        </w:rPr>
        <w:noBreakHyphen/>
      </w:r>
      <w:r w:rsidR="0098391F" w:rsidRPr="00501526">
        <w:rPr>
          <w:iCs/>
        </w:rPr>
        <w:t>016 also reported no statistically significant differences in ADHD-RS score or executive function between patients treated with sapropterin (n=6) compared to patients treated with placebo (n=6) who were aged &gt;18 at baseline</w:t>
      </w:r>
      <w:r w:rsidR="006E3166" w:rsidRPr="00501526">
        <w:rPr>
          <w:iCs/>
        </w:rPr>
        <w:t xml:space="preserve">; </w:t>
      </w:r>
    </w:p>
    <w:p w14:paraId="01E6F404" w14:textId="6EC73E8F" w:rsidR="00127B1D" w:rsidRPr="00501526" w:rsidRDefault="00483F5D" w:rsidP="0038337A">
      <w:pPr>
        <w:pStyle w:val="ListParagraph"/>
        <w:numPr>
          <w:ilvl w:val="0"/>
          <w:numId w:val="10"/>
        </w:numPr>
        <w:ind w:left="1134" w:hanging="283"/>
        <w:rPr>
          <w:iCs/>
        </w:rPr>
      </w:pPr>
      <w:r w:rsidRPr="00501526">
        <w:rPr>
          <w:iCs/>
        </w:rPr>
        <w:t>While it was biologically plausible that a lower blood-Phe was correlated with fewer neuropsychiatric symptoms in adults, the incremental benefit associated with treatment with sapropterin was difficult to accurately quantify. While there were some statistically significant findings in observed symptoms in published studies, statistical regressions by Bilder 2016 and Burgess 2021 did not find blood Phe to be a statistically significantly correlated to neuropsychiatric symptoms or symptom scores in adult PKU patient</w:t>
      </w:r>
      <w:r w:rsidR="00106A9A" w:rsidRPr="00501526">
        <w:rPr>
          <w:iCs/>
        </w:rPr>
        <w:t>s</w:t>
      </w:r>
      <w:r w:rsidR="00280311" w:rsidRPr="00501526">
        <w:rPr>
          <w:iCs/>
        </w:rPr>
        <w:t>.</w:t>
      </w:r>
      <w:r w:rsidR="00E94E99" w:rsidRPr="00501526">
        <w:rPr>
          <w:iCs/>
        </w:rPr>
        <w:t xml:space="preserve"> These studies also </w:t>
      </w:r>
      <w:r w:rsidR="00A227FA" w:rsidRPr="00501526">
        <w:rPr>
          <w:iCs/>
        </w:rPr>
        <w:t>did</w:t>
      </w:r>
      <w:r w:rsidR="00E94E99" w:rsidRPr="00501526">
        <w:rPr>
          <w:iCs/>
        </w:rPr>
        <w:t xml:space="preserve"> not account for </w:t>
      </w:r>
      <w:r w:rsidR="00E94E99" w:rsidRPr="00501526">
        <w:rPr>
          <w:iCs/>
        </w:rPr>
        <w:lastRenderedPageBreak/>
        <w:t xml:space="preserve">alterations in dietary intake of Phe during treatment with </w:t>
      </w:r>
      <w:r w:rsidR="00C20037" w:rsidRPr="00501526">
        <w:rPr>
          <w:iCs/>
        </w:rPr>
        <w:t>s</w:t>
      </w:r>
      <w:r w:rsidR="00E94E99" w:rsidRPr="00501526">
        <w:rPr>
          <w:iCs/>
        </w:rPr>
        <w:t xml:space="preserve">apropterin, and consequently it is uncertain if these outcomes would be </w:t>
      </w:r>
      <w:r w:rsidR="00A227FA" w:rsidRPr="00501526">
        <w:rPr>
          <w:iCs/>
        </w:rPr>
        <w:t xml:space="preserve">realised in clinical practice. </w:t>
      </w:r>
      <w:r w:rsidR="00280311" w:rsidRPr="00501526">
        <w:rPr>
          <w:iCs/>
        </w:rPr>
        <w:t xml:space="preserve"> </w:t>
      </w:r>
    </w:p>
    <w:p w14:paraId="19BA515C" w14:textId="2F00BB15" w:rsidR="004305CD" w:rsidRPr="00832F0F" w:rsidRDefault="004305CD" w:rsidP="004305CD">
      <w:pPr>
        <w:pStyle w:val="3-BodyText"/>
        <w:rPr>
          <w:rFonts w:eastAsia="Calibri"/>
          <w:iCs/>
        </w:rPr>
      </w:pPr>
      <w:r w:rsidRPr="00501526">
        <w:rPr>
          <w:iCs/>
        </w:rPr>
        <w:t xml:space="preserve">The PBAC </w:t>
      </w:r>
      <w:r w:rsidR="00BF6E8D">
        <w:rPr>
          <w:iCs/>
        </w:rPr>
        <w:t xml:space="preserve">previously </w:t>
      </w:r>
      <w:r w:rsidRPr="00501526">
        <w:rPr>
          <w:iCs/>
        </w:rPr>
        <w:t>considered that ‘…the claim of superior comparative effectiveness versus either a relaxed or strict Phe-restricted diet was reasonable’ and ‘the claim of non-inferior comparative safety was reasonable’ (paras 7.10 and 7.11</w:t>
      </w:r>
      <w:r w:rsidR="00BF6E8D">
        <w:rPr>
          <w:iCs/>
        </w:rPr>
        <w:t>, sapropterin PSD,</w:t>
      </w:r>
      <w:r w:rsidR="00BF6E8D" w:rsidRPr="00BF6E8D">
        <w:rPr>
          <w:iCs/>
        </w:rPr>
        <w:t xml:space="preserve"> </w:t>
      </w:r>
      <w:r w:rsidR="00BF6E8D" w:rsidRPr="00501526">
        <w:rPr>
          <w:iCs/>
        </w:rPr>
        <w:t>March 2018 P</w:t>
      </w:r>
      <w:r w:rsidR="00BF6E8D">
        <w:rPr>
          <w:iCs/>
        </w:rPr>
        <w:t>BAC meeting</w:t>
      </w:r>
      <w:r w:rsidRPr="00501526">
        <w:rPr>
          <w:iCs/>
        </w:rPr>
        <w:t xml:space="preserve">). However, </w:t>
      </w:r>
      <w:r w:rsidR="00BF6E8D">
        <w:rPr>
          <w:iCs/>
        </w:rPr>
        <w:t>t</w:t>
      </w:r>
      <w:r w:rsidRPr="00501526">
        <w:rPr>
          <w:iCs/>
        </w:rPr>
        <w:t xml:space="preserve">he PBAC </w:t>
      </w:r>
      <w:r w:rsidR="00BF6E8D">
        <w:rPr>
          <w:iCs/>
        </w:rPr>
        <w:t xml:space="preserve">also </w:t>
      </w:r>
      <w:r w:rsidRPr="00501526">
        <w:rPr>
          <w:iCs/>
        </w:rPr>
        <w:t xml:space="preserve">previously considered that “the </w:t>
      </w:r>
      <w:r w:rsidRPr="00501526">
        <w:rPr>
          <w:iCs/>
          <w:color w:val="000000" w:themeColor="text1"/>
        </w:rPr>
        <w:t>greatest benefits would be experienced in children and adolescents</w:t>
      </w:r>
      <w:r w:rsidRPr="00501526">
        <w:rPr>
          <w:iCs/>
        </w:rPr>
        <w:t xml:space="preserve">” in terms of clinically significant outcomes such as cognitive function and supporting growth, and acknowledged that “consumers had described a range of important </w:t>
      </w:r>
      <w:r w:rsidRPr="00832F0F">
        <w:rPr>
          <w:iCs/>
        </w:rPr>
        <w:t>benefits associated with lowering and stabilising Phe levels in adults … but considered that the resubmission had not provided sufficient evidence to support PBS</w:t>
      </w:r>
      <w:r w:rsidR="00BF6E8D" w:rsidRPr="00832F0F">
        <w:rPr>
          <w:iCs/>
        </w:rPr>
        <w:noBreakHyphen/>
      </w:r>
      <w:r w:rsidRPr="00832F0F">
        <w:rPr>
          <w:iCs/>
        </w:rPr>
        <w:t>listing in these groups” (</w:t>
      </w:r>
      <w:r w:rsidR="00832F0F" w:rsidRPr="00832F0F">
        <w:rPr>
          <w:iCs/>
        </w:rPr>
        <w:t>p</w:t>
      </w:r>
      <w:r w:rsidRPr="00832F0F">
        <w:rPr>
          <w:iCs/>
        </w:rPr>
        <w:t>aras 7.1 and 7.4, sapropterin PSD</w:t>
      </w:r>
      <w:r w:rsidR="00BF6E8D" w:rsidRPr="00832F0F">
        <w:rPr>
          <w:iCs/>
        </w:rPr>
        <w:t>,</w:t>
      </w:r>
      <w:r w:rsidRPr="00832F0F">
        <w:rPr>
          <w:iCs/>
        </w:rPr>
        <w:t xml:space="preserve"> March 2018</w:t>
      </w:r>
      <w:r w:rsidR="00BF6E8D" w:rsidRPr="00832F0F">
        <w:rPr>
          <w:iCs/>
        </w:rPr>
        <w:t xml:space="preserve"> PBAC meeting</w:t>
      </w:r>
      <w:r w:rsidRPr="00832F0F">
        <w:rPr>
          <w:iCs/>
        </w:rPr>
        <w:t xml:space="preserve">). </w:t>
      </w:r>
      <w:r w:rsidRPr="00832F0F">
        <w:rPr>
          <w:iCs/>
          <w:color w:val="000000" w:themeColor="text1"/>
        </w:rPr>
        <w:t xml:space="preserve">The ESC considered that the evidence presented in the current submission did not sufficiently address the key clinical issues that the PBAC raised in the adult population. </w:t>
      </w:r>
    </w:p>
    <w:p w14:paraId="4CAA7F36" w14:textId="3942385A" w:rsidR="00501526" w:rsidRPr="00832F0F" w:rsidRDefault="00501526" w:rsidP="00501526">
      <w:pPr>
        <w:pStyle w:val="3-BodyText"/>
        <w:rPr>
          <w:rFonts w:eastAsia="Calibri"/>
          <w:iCs/>
        </w:rPr>
      </w:pPr>
      <w:r w:rsidRPr="00832F0F">
        <w:rPr>
          <w:rFonts w:eastAsia="Calibri"/>
          <w:iCs/>
        </w:rPr>
        <w:t>The PBAC considered that the claim of superior comparative effectiveness</w:t>
      </w:r>
      <w:r w:rsidR="0035299E">
        <w:rPr>
          <w:rFonts w:eastAsia="Calibri"/>
          <w:iCs/>
        </w:rPr>
        <w:t xml:space="preserve">, in terms of </w:t>
      </w:r>
      <w:r w:rsidR="000E2E4D">
        <w:rPr>
          <w:rFonts w:eastAsia="Calibri"/>
          <w:iCs/>
        </w:rPr>
        <w:t>reducing Phe levels</w:t>
      </w:r>
      <w:r w:rsidR="0035299E">
        <w:rPr>
          <w:rFonts w:eastAsia="Calibri"/>
          <w:iCs/>
        </w:rPr>
        <w:t>,</w:t>
      </w:r>
      <w:r w:rsidR="000E2E4D">
        <w:rPr>
          <w:rFonts w:eastAsia="Calibri"/>
          <w:iCs/>
        </w:rPr>
        <w:t xml:space="preserve"> </w:t>
      </w:r>
      <w:r w:rsidR="00BF6E8D" w:rsidRPr="00832F0F">
        <w:rPr>
          <w:rFonts w:eastAsia="Calibri"/>
          <w:iCs/>
        </w:rPr>
        <w:t>versus a Phe-restricted diet remained</w:t>
      </w:r>
      <w:r w:rsidRPr="00832F0F">
        <w:rPr>
          <w:rFonts w:eastAsia="Calibri"/>
          <w:iCs/>
        </w:rPr>
        <w:t xml:space="preserve"> reasonable.</w:t>
      </w:r>
    </w:p>
    <w:p w14:paraId="43DF0CAA" w14:textId="094DB0EF" w:rsidR="00501526" w:rsidRDefault="00501526" w:rsidP="00501526">
      <w:pPr>
        <w:pStyle w:val="3-BodyText"/>
        <w:rPr>
          <w:rFonts w:eastAsia="Calibri"/>
          <w:iCs/>
        </w:rPr>
      </w:pPr>
      <w:r w:rsidRPr="00832F0F">
        <w:rPr>
          <w:rFonts w:eastAsia="Calibri"/>
          <w:iCs/>
        </w:rPr>
        <w:t xml:space="preserve">The PBAC considered that the claim of non-inferior comparative safety </w:t>
      </w:r>
      <w:r w:rsidR="00832F0F" w:rsidRPr="00832F0F">
        <w:rPr>
          <w:rFonts w:eastAsia="Calibri"/>
          <w:iCs/>
        </w:rPr>
        <w:t xml:space="preserve">remained </w:t>
      </w:r>
      <w:r w:rsidRPr="00832F0F">
        <w:rPr>
          <w:rFonts w:eastAsia="Calibri"/>
          <w:iCs/>
        </w:rPr>
        <w:t>reasonable.</w:t>
      </w:r>
    </w:p>
    <w:p w14:paraId="124014D6" w14:textId="3EF9ABD9" w:rsidR="00832F0F" w:rsidRPr="00832F0F" w:rsidRDefault="00832F0F" w:rsidP="00501526">
      <w:pPr>
        <w:pStyle w:val="3-BodyText"/>
        <w:rPr>
          <w:rFonts w:eastAsia="Calibri"/>
          <w:iCs/>
        </w:rPr>
      </w:pPr>
      <w:r>
        <w:rPr>
          <w:rFonts w:eastAsia="Calibri"/>
          <w:iCs/>
        </w:rPr>
        <w:t>The PBAC considered that the submission did not adequately address the range of important benefits for adults associated with lowering and stabilising Phe levels. The submission also did not address the benefit of treatment in allowing patients to increase dietary protein intake. The PBAC considered that while not well-demonstrated in the clinical data, consumer input assisted in establishing the degree of benefit to patients from blood Phe-lowering treatment.</w:t>
      </w:r>
    </w:p>
    <w:p w14:paraId="74A1172E" w14:textId="128C170E" w:rsidR="00B60939" w:rsidRPr="00501526" w:rsidRDefault="00B60939" w:rsidP="00E9094A">
      <w:pPr>
        <w:pStyle w:val="4-SubsectionHeading"/>
      </w:pPr>
      <w:bookmarkStart w:id="42" w:name="_Toc22897645"/>
      <w:bookmarkStart w:id="43" w:name="_Toc103766832"/>
      <w:r w:rsidRPr="00501526">
        <w:t>Economic analysis</w:t>
      </w:r>
      <w:bookmarkEnd w:id="42"/>
      <w:bookmarkEnd w:id="43"/>
      <w:r w:rsidR="00491B3A" w:rsidRPr="00501526">
        <w:t xml:space="preserve"> </w:t>
      </w:r>
    </w:p>
    <w:p w14:paraId="44120433" w14:textId="11FE18DE" w:rsidR="00E5594F" w:rsidRPr="00501526" w:rsidRDefault="00CC22EF" w:rsidP="00641FB3">
      <w:pPr>
        <w:pStyle w:val="3-BodyText"/>
        <w:rPr>
          <w:b/>
          <w:bCs/>
          <w:iCs/>
        </w:rPr>
      </w:pPr>
      <w:r w:rsidRPr="00501526">
        <w:rPr>
          <w:iCs/>
          <w:color w:val="000000" w:themeColor="text1"/>
        </w:rPr>
        <w:t xml:space="preserve">The submission presented a cost-utility analysis using a micro-simulation model. </w:t>
      </w:r>
      <w:r w:rsidR="00E5594F" w:rsidRPr="00501526">
        <w:rPr>
          <w:iCs/>
          <w:color w:val="000000" w:themeColor="text1"/>
        </w:rPr>
        <w:t xml:space="preserve">Because the submission had not presented clinical evidence </w:t>
      </w:r>
      <w:r w:rsidR="00DF688F" w:rsidRPr="00501526">
        <w:rPr>
          <w:iCs/>
          <w:color w:val="000000" w:themeColor="text1"/>
        </w:rPr>
        <w:t xml:space="preserve">clearly </w:t>
      </w:r>
      <w:r w:rsidR="0067162E" w:rsidRPr="00501526">
        <w:rPr>
          <w:iCs/>
        </w:rPr>
        <w:t xml:space="preserve">addressing the PBAC’s </w:t>
      </w:r>
      <w:r w:rsidR="00C821C2" w:rsidRPr="00501526">
        <w:rPr>
          <w:iCs/>
        </w:rPr>
        <w:t xml:space="preserve">previous concerns about the clinical meaningfulness of the </w:t>
      </w:r>
      <w:r w:rsidR="0067162E" w:rsidRPr="00501526">
        <w:rPr>
          <w:iCs/>
        </w:rPr>
        <w:t>benefit</w:t>
      </w:r>
      <w:r w:rsidR="00C821C2" w:rsidRPr="00501526">
        <w:rPr>
          <w:iCs/>
        </w:rPr>
        <w:t>s in adults</w:t>
      </w:r>
      <w:r w:rsidR="0067162E" w:rsidRPr="00501526">
        <w:rPr>
          <w:iCs/>
        </w:rPr>
        <w:t xml:space="preserve">, </w:t>
      </w:r>
      <w:r w:rsidR="00920A47" w:rsidRPr="00501526">
        <w:rPr>
          <w:iCs/>
        </w:rPr>
        <w:t xml:space="preserve">and the magnitude of benefit was uncertain, </w:t>
      </w:r>
      <w:r w:rsidR="00187344">
        <w:rPr>
          <w:iCs/>
        </w:rPr>
        <w:t xml:space="preserve">the evaluation and the ESC considered that </w:t>
      </w:r>
      <w:r w:rsidR="0067162E" w:rsidRPr="00501526">
        <w:rPr>
          <w:iCs/>
        </w:rPr>
        <w:t xml:space="preserve">a cost utility analysis </w:t>
      </w:r>
      <w:r w:rsidR="008F31C2" w:rsidRPr="00501526">
        <w:rPr>
          <w:iCs/>
        </w:rPr>
        <w:t xml:space="preserve">may </w:t>
      </w:r>
      <w:r w:rsidR="0067162E" w:rsidRPr="00501526">
        <w:rPr>
          <w:iCs/>
        </w:rPr>
        <w:t xml:space="preserve">be inappropriate. </w:t>
      </w:r>
    </w:p>
    <w:p w14:paraId="14C1E8F9" w14:textId="6861D3BB" w:rsidR="00275C5A" w:rsidRPr="00501526" w:rsidRDefault="00CC22EF" w:rsidP="0067162E">
      <w:pPr>
        <w:pStyle w:val="3-BodyText"/>
        <w:rPr>
          <w:b/>
          <w:bCs/>
          <w:iCs/>
        </w:rPr>
      </w:pPr>
      <w:r w:rsidRPr="00501526">
        <w:rPr>
          <w:iCs/>
        </w:rPr>
        <w:t xml:space="preserve">This model </w:t>
      </w:r>
      <w:r w:rsidR="00CB7368" w:rsidRPr="00501526">
        <w:rPr>
          <w:iCs/>
        </w:rPr>
        <w:t>us</w:t>
      </w:r>
      <w:r w:rsidRPr="00501526">
        <w:rPr>
          <w:iCs/>
        </w:rPr>
        <w:t xml:space="preserve">ed the same structure as the concurrent pegvaliase submission </w:t>
      </w:r>
      <w:r w:rsidR="00754925">
        <w:rPr>
          <w:iCs/>
        </w:rPr>
        <w:t xml:space="preserve">model </w:t>
      </w:r>
      <w:r w:rsidR="005543F2" w:rsidRPr="00501526">
        <w:rPr>
          <w:iCs/>
        </w:rPr>
        <w:t xml:space="preserve">and </w:t>
      </w:r>
      <w:r w:rsidR="00DF688F" w:rsidRPr="00501526">
        <w:rPr>
          <w:iCs/>
        </w:rPr>
        <w:t xml:space="preserve">was </w:t>
      </w:r>
      <w:r w:rsidRPr="00501526">
        <w:rPr>
          <w:iCs/>
        </w:rPr>
        <w:t>calculated in the same file</w:t>
      </w:r>
      <w:r w:rsidR="009A418A">
        <w:rPr>
          <w:iCs/>
        </w:rPr>
        <w:t xml:space="preserve"> (also refer to 5.09 pegvaliase </w:t>
      </w:r>
      <w:r w:rsidR="00F3104E">
        <w:rPr>
          <w:iCs/>
        </w:rPr>
        <w:t>PSD</w:t>
      </w:r>
      <w:r w:rsidR="009A418A">
        <w:rPr>
          <w:iCs/>
        </w:rPr>
        <w:t>, July 2022 PBAC meeting)</w:t>
      </w:r>
      <w:r w:rsidRPr="00501526">
        <w:rPr>
          <w:iCs/>
        </w:rPr>
        <w:t xml:space="preserve">. </w:t>
      </w:r>
    </w:p>
    <w:p w14:paraId="0564198E" w14:textId="42B5DAFC" w:rsidR="00CC22EF" w:rsidRPr="00501526" w:rsidRDefault="00CC22EF" w:rsidP="00641FB3">
      <w:pPr>
        <w:pStyle w:val="3-BodyText"/>
        <w:rPr>
          <w:b/>
          <w:bCs/>
          <w:iCs/>
          <w:color w:val="000000" w:themeColor="text1"/>
        </w:rPr>
      </w:pPr>
      <w:r w:rsidRPr="00501526">
        <w:rPr>
          <w:iCs/>
          <w:snapToGrid/>
          <w:color w:val="000000" w:themeColor="text1"/>
        </w:rPr>
        <w:t>The model structure, key inputs and rationale are presented in</w:t>
      </w:r>
      <w:r w:rsidRPr="00501526">
        <w:rPr>
          <w:iCs/>
        </w:rPr>
        <w:t xml:space="preserve"> </w:t>
      </w:r>
      <w:r w:rsidRPr="00501526">
        <w:rPr>
          <w:iCs/>
        </w:rPr>
        <w:fldChar w:fldCharType="begin"/>
      </w:r>
      <w:r w:rsidRPr="00501526">
        <w:rPr>
          <w:iCs/>
        </w:rPr>
        <w:instrText xml:space="preserve"> REF _Ref101896380 \h  \* MERGEFORMAT </w:instrText>
      </w:r>
      <w:r w:rsidRPr="00501526">
        <w:rPr>
          <w:iCs/>
        </w:rPr>
      </w:r>
      <w:r w:rsidRPr="00501526">
        <w:rPr>
          <w:iCs/>
        </w:rPr>
        <w:fldChar w:fldCharType="separate"/>
      </w:r>
      <w:r w:rsidR="0035299E" w:rsidRPr="0035299E">
        <w:t>Table 9</w:t>
      </w:r>
      <w:r w:rsidRPr="00501526">
        <w:rPr>
          <w:iCs/>
        </w:rPr>
        <w:fldChar w:fldCharType="end"/>
      </w:r>
      <w:r w:rsidRPr="00501526">
        <w:rPr>
          <w:iCs/>
        </w:rPr>
        <w:t>.</w:t>
      </w:r>
    </w:p>
    <w:p w14:paraId="15A9AFA4" w14:textId="2CD8E760" w:rsidR="00275C5A" w:rsidRPr="00501526" w:rsidRDefault="00275C5A" w:rsidP="00641FB3">
      <w:pPr>
        <w:pStyle w:val="TableFigureHeading"/>
        <w:rPr>
          <w:rStyle w:val="CommentReference"/>
          <w:b/>
          <w:iCs/>
          <w:szCs w:val="24"/>
        </w:rPr>
      </w:pPr>
      <w:bookmarkStart w:id="44" w:name="_Ref101896380"/>
      <w:r w:rsidRPr="00501526">
        <w:rPr>
          <w:rStyle w:val="CommentReference"/>
          <w:b/>
          <w:iCs/>
          <w:szCs w:val="24"/>
        </w:rPr>
        <w:lastRenderedPageBreak/>
        <w:t xml:space="preserve">Table </w:t>
      </w:r>
      <w:r w:rsidR="00CC22EF" w:rsidRPr="00501526">
        <w:rPr>
          <w:rStyle w:val="CommentReference"/>
          <w:b/>
          <w:iCs/>
          <w:szCs w:val="24"/>
        </w:rPr>
        <w:fldChar w:fldCharType="begin"/>
      </w:r>
      <w:r w:rsidR="00CC22EF" w:rsidRPr="00501526">
        <w:rPr>
          <w:rStyle w:val="CommentReference"/>
          <w:b/>
          <w:iCs/>
          <w:szCs w:val="24"/>
        </w:rPr>
        <w:instrText xml:space="preserve"> SEQ Table \* MERGEFORMAT </w:instrText>
      </w:r>
      <w:r w:rsidR="00CC22EF" w:rsidRPr="00501526">
        <w:rPr>
          <w:rStyle w:val="CommentReference"/>
          <w:b/>
          <w:iCs/>
          <w:szCs w:val="24"/>
        </w:rPr>
        <w:fldChar w:fldCharType="separate"/>
      </w:r>
      <w:r w:rsidR="0035299E">
        <w:rPr>
          <w:rStyle w:val="CommentReference"/>
          <w:b/>
          <w:iCs/>
          <w:noProof/>
          <w:szCs w:val="24"/>
        </w:rPr>
        <w:t>9</w:t>
      </w:r>
      <w:r w:rsidR="00CC22EF" w:rsidRPr="00501526">
        <w:rPr>
          <w:rStyle w:val="CommentReference"/>
          <w:b/>
          <w:iCs/>
          <w:szCs w:val="24"/>
        </w:rPr>
        <w:fldChar w:fldCharType="end"/>
      </w:r>
      <w:bookmarkEnd w:id="44"/>
      <w:r w:rsidRPr="00501526">
        <w:rPr>
          <w:rStyle w:val="CommentReference"/>
          <w:b/>
          <w:iCs/>
          <w:szCs w:val="24"/>
        </w:rPr>
        <w:t>: Summary of model structure</w:t>
      </w:r>
      <w:r w:rsidR="00184B0E" w:rsidRPr="00501526">
        <w:rPr>
          <w:rStyle w:val="CommentReference"/>
          <w:b/>
          <w:iCs/>
          <w:szCs w:val="24"/>
        </w:rPr>
        <w:t>, key inputs</w:t>
      </w:r>
      <w:r w:rsidRPr="00501526">
        <w:rPr>
          <w:rStyle w:val="CommentReference"/>
          <w:b/>
          <w:iCs/>
          <w:szCs w:val="24"/>
        </w:rPr>
        <w:t xml:space="preserve"> and rationale</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04"/>
        <w:gridCol w:w="6491"/>
      </w:tblGrid>
      <w:tr w:rsidR="0085315F" w:rsidRPr="00501526" w14:paraId="48BB958D" w14:textId="77777777" w:rsidTr="00A227FA">
        <w:trPr>
          <w:tblHeader/>
        </w:trPr>
        <w:tc>
          <w:tcPr>
            <w:tcW w:w="1392" w:type="pct"/>
            <w:shd w:val="clear" w:color="auto" w:fill="auto"/>
            <w:vAlign w:val="center"/>
          </w:tcPr>
          <w:p w14:paraId="29C3D629" w14:textId="77777777" w:rsidR="00275C5A" w:rsidRPr="00501526" w:rsidRDefault="00275C5A" w:rsidP="00641FB3">
            <w:pPr>
              <w:pStyle w:val="In-tableHeading"/>
              <w:rPr>
                <w:iCs/>
                <w:lang w:val="en-AU"/>
              </w:rPr>
            </w:pPr>
            <w:r w:rsidRPr="00501526">
              <w:rPr>
                <w:iCs/>
                <w:lang w:val="en-AU"/>
              </w:rPr>
              <w:t>Component</w:t>
            </w:r>
          </w:p>
        </w:tc>
        <w:tc>
          <w:tcPr>
            <w:tcW w:w="3608" w:type="pct"/>
            <w:shd w:val="clear" w:color="auto" w:fill="auto"/>
            <w:vAlign w:val="center"/>
          </w:tcPr>
          <w:p w14:paraId="58FBA37B" w14:textId="77777777" w:rsidR="00275C5A" w:rsidRPr="00501526" w:rsidRDefault="00275C5A" w:rsidP="00641FB3">
            <w:pPr>
              <w:pStyle w:val="In-tableHeading"/>
              <w:rPr>
                <w:iCs/>
                <w:lang w:val="en-AU"/>
              </w:rPr>
            </w:pPr>
            <w:r w:rsidRPr="00501526">
              <w:rPr>
                <w:iCs/>
                <w:lang w:val="en-AU"/>
              </w:rPr>
              <w:t>Summary</w:t>
            </w:r>
          </w:p>
        </w:tc>
      </w:tr>
      <w:tr w:rsidR="0085315F" w:rsidRPr="00501526" w14:paraId="7476B2FD" w14:textId="77777777" w:rsidTr="00A227FA">
        <w:tc>
          <w:tcPr>
            <w:tcW w:w="1392" w:type="pct"/>
            <w:shd w:val="clear" w:color="auto" w:fill="auto"/>
            <w:vAlign w:val="center"/>
          </w:tcPr>
          <w:p w14:paraId="5FA8442E" w14:textId="27CD0EEA" w:rsidR="000A6039" w:rsidRPr="00501526" w:rsidRDefault="000A6039" w:rsidP="00BB00B3">
            <w:pPr>
              <w:pStyle w:val="TableText0"/>
              <w:rPr>
                <w:iCs/>
              </w:rPr>
            </w:pPr>
            <w:r w:rsidRPr="00501526">
              <w:rPr>
                <w:iCs/>
              </w:rPr>
              <w:t>Treatments</w:t>
            </w:r>
          </w:p>
        </w:tc>
        <w:tc>
          <w:tcPr>
            <w:tcW w:w="3608" w:type="pct"/>
            <w:shd w:val="clear" w:color="auto" w:fill="auto"/>
            <w:vAlign w:val="center"/>
          </w:tcPr>
          <w:p w14:paraId="554C8AD3" w14:textId="1C6D6ED0" w:rsidR="000A6039" w:rsidRPr="00501526" w:rsidRDefault="00CE1F6B" w:rsidP="00BB00B3">
            <w:pPr>
              <w:pStyle w:val="TableText0"/>
              <w:rPr>
                <w:iCs/>
              </w:rPr>
            </w:pPr>
            <w:r w:rsidRPr="00501526">
              <w:rPr>
                <w:iCs/>
              </w:rPr>
              <w:t>Sapropterin in combination with Phe restricted diet versus Phe restricted diet alone</w:t>
            </w:r>
          </w:p>
        </w:tc>
      </w:tr>
      <w:tr w:rsidR="002437DE" w:rsidRPr="00501526" w14:paraId="35143438" w14:textId="77777777" w:rsidTr="002437DE">
        <w:tc>
          <w:tcPr>
            <w:tcW w:w="1392" w:type="pct"/>
            <w:shd w:val="clear" w:color="auto" w:fill="EAF1DD" w:themeFill="accent3" w:themeFillTint="33"/>
            <w:vAlign w:val="center"/>
          </w:tcPr>
          <w:p w14:paraId="7368C112" w14:textId="4F310FF1" w:rsidR="002437DE" w:rsidRPr="00501526" w:rsidRDefault="002437DE" w:rsidP="002437DE">
            <w:pPr>
              <w:pStyle w:val="TableText0"/>
              <w:rPr>
                <w:iCs/>
              </w:rPr>
            </w:pPr>
            <w:r w:rsidRPr="00501526">
              <w:rPr>
                <w:iCs/>
              </w:rPr>
              <w:t>Time horizon</w:t>
            </w:r>
          </w:p>
        </w:tc>
        <w:tc>
          <w:tcPr>
            <w:tcW w:w="3608" w:type="pct"/>
            <w:shd w:val="clear" w:color="auto" w:fill="EAF1DD" w:themeFill="accent3" w:themeFillTint="33"/>
            <w:vAlign w:val="center"/>
          </w:tcPr>
          <w:p w14:paraId="14C3C2C8" w14:textId="283D7BC6" w:rsidR="002437DE" w:rsidRPr="00501526" w:rsidRDefault="002437DE" w:rsidP="002437DE">
            <w:pPr>
              <w:pStyle w:val="TableText0"/>
              <w:rPr>
                <w:iCs/>
              </w:rPr>
            </w:pPr>
            <w:r w:rsidRPr="00501526">
              <w:rPr>
                <w:iCs/>
              </w:rPr>
              <w:t>Lifetime (up to 100 years of age) in the model base-case vs 5 years in the key clinical studies</w:t>
            </w:r>
          </w:p>
        </w:tc>
      </w:tr>
      <w:tr w:rsidR="002437DE" w:rsidRPr="00501526" w14:paraId="05395CE5" w14:textId="77777777" w:rsidTr="002437DE">
        <w:tc>
          <w:tcPr>
            <w:tcW w:w="1392" w:type="pct"/>
            <w:shd w:val="clear" w:color="auto" w:fill="EAF1DD" w:themeFill="accent3" w:themeFillTint="33"/>
            <w:vAlign w:val="center"/>
          </w:tcPr>
          <w:p w14:paraId="0F6D7063" w14:textId="59C231FF" w:rsidR="002437DE" w:rsidRPr="00501526" w:rsidRDefault="002437DE" w:rsidP="002437DE">
            <w:pPr>
              <w:pStyle w:val="TableText0"/>
              <w:rPr>
                <w:iCs/>
              </w:rPr>
            </w:pPr>
            <w:r w:rsidRPr="00501526">
              <w:rPr>
                <w:iCs/>
              </w:rPr>
              <w:t>Outcomes</w:t>
            </w:r>
          </w:p>
        </w:tc>
        <w:tc>
          <w:tcPr>
            <w:tcW w:w="3608" w:type="pct"/>
            <w:shd w:val="clear" w:color="auto" w:fill="EAF1DD" w:themeFill="accent3" w:themeFillTint="33"/>
            <w:vAlign w:val="center"/>
          </w:tcPr>
          <w:p w14:paraId="747D47D3" w14:textId="0A04E007" w:rsidR="002437DE" w:rsidRPr="00501526" w:rsidRDefault="002437DE" w:rsidP="002437DE">
            <w:pPr>
              <w:pStyle w:val="TableText0"/>
              <w:rPr>
                <w:iCs/>
              </w:rPr>
            </w:pPr>
            <w:r w:rsidRPr="00501526">
              <w:rPr>
                <w:iCs/>
              </w:rPr>
              <w:t>Responders and quality adjusted life years gained</w:t>
            </w:r>
          </w:p>
        </w:tc>
      </w:tr>
      <w:tr w:rsidR="0085315F" w:rsidRPr="00501526" w14:paraId="29120B3F" w14:textId="77777777" w:rsidTr="00AE0B82">
        <w:tc>
          <w:tcPr>
            <w:tcW w:w="1392" w:type="pct"/>
            <w:shd w:val="clear" w:color="auto" w:fill="EAF1DD" w:themeFill="accent3" w:themeFillTint="33"/>
            <w:vAlign w:val="center"/>
          </w:tcPr>
          <w:p w14:paraId="1AAC94CB" w14:textId="77777777" w:rsidR="00275C5A" w:rsidRPr="00501526" w:rsidRDefault="00275C5A" w:rsidP="00BB00B3">
            <w:pPr>
              <w:pStyle w:val="TableText0"/>
              <w:rPr>
                <w:iCs/>
              </w:rPr>
            </w:pPr>
            <w:r w:rsidRPr="00501526">
              <w:rPr>
                <w:iCs/>
              </w:rPr>
              <w:t>Methods used to generate results</w:t>
            </w:r>
          </w:p>
        </w:tc>
        <w:tc>
          <w:tcPr>
            <w:tcW w:w="3608" w:type="pct"/>
            <w:shd w:val="clear" w:color="auto" w:fill="EAF1DD" w:themeFill="accent3" w:themeFillTint="33"/>
            <w:vAlign w:val="center"/>
          </w:tcPr>
          <w:p w14:paraId="69D4F042" w14:textId="01EE265E" w:rsidR="00275C5A" w:rsidRPr="00501526" w:rsidRDefault="00CE1F6B" w:rsidP="00BB00B3">
            <w:pPr>
              <w:pStyle w:val="TableText0"/>
              <w:rPr>
                <w:iCs/>
              </w:rPr>
            </w:pPr>
            <w:r w:rsidRPr="00501526">
              <w:rPr>
                <w:iCs/>
              </w:rPr>
              <w:t>Microsimulation model</w:t>
            </w:r>
            <w:r w:rsidR="0057707D" w:rsidRPr="00501526">
              <w:rPr>
                <w:iCs/>
              </w:rPr>
              <w:t xml:space="preserve"> using @Risk and Microsoft Excel</w:t>
            </w:r>
            <w:r w:rsidR="006D5FE4" w:rsidRPr="00501526">
              <w:rPr>
                <w:iCs/>
              </w:rPr>
              <w:t xml:space="preserve"> (5,000 iterations)</w:t>
            </w:r>
          </w:p>
        </w:tc>
      </w:tr>
      <w:tr w:rsidR="002437DE" w:rsidRPr="00501526" w14:paraId="3A5DEB96" w14:textId="77777777" w:rsidTr="002437DE">
        <w:tc>
          <w:tcPr>
            <w:tcW w:w="1392" w:type="pct"/>
            <w:shd w:val="clear" w:color="auto" w:fill="EAF1DD" w:themeFill="accent3" w:themeFillTint="33"/>
            <w:vAlign w:val="center"/>
          </w:tcPr>
          <w:p w14:paraId="4163F6D2" w14:textId="7EE4C8AC" w:rsidR="002437DE" w:rsidRPr="00501526" w:rsidRDefault="002437DE" w:rsidP="002437DE">
            <w:pPr>
              <w:pStyle w:val="TableText0"/>
              <w:rPr>
                <w:iCs/>
              </w:rPr>
            </w:pPr>
            <w:r w:rsidRPr="00501526">
              <w:rPr>
                <w:iCs/>
              </w:rPr>
              <w:t>Health states</w:t>
            </w:r>
          </w:p>
        </w:tc>
        <w:tc>
          <w:tcPr>
            <w:tcW w:w="3608" w:type="pct"/>
            <w:shd w:val="clear" w:color="auto" w:fill="EAF1DD" w:themeFill="accent3" w:themeFillTint="33"/>
            <w:vAlign w:val="center"/>
          </w:tcPr>
          <w:p w14:paraId="3300A244" w14:textId="29F36A7E" w:rsidR="002437DE" w:rsidRPr="00501526" w:rsidRDefault="002437DE" w:rsidP="002437DE">
            <w:pPr>
              <w:pStyle w:val="TableText0"/>
              <w:rPr>
                <w:iCs/>
              </w:rPr>
            </w:pPr>
            <w:r w:rsidRPr="00501526">
              <w:rPr>
                <w:iCs/>
              </w:rPr>
              <w:t>‘Responder’, ‘non-responder’, ‘Phe-restricted diet’ and ‘dead’. Responder defined as achieving either ≤360 µmol/L or ADHD-RS inattention subscale reduction of ≥5 from baseline by 2 years</w:t>
            </w:r>
          </w:p>
        </w:tc>
      </w:tr>
      <w:tr w:rsidR="002437DE" w:rsidRPr="00501526" w14:paraId="11252EF9" w14:textId="77777777" w:rsidTr="002437DE">
        <w:tc>
          <w:tcPr>
            <w:tcW w:w="1392" w:type="pct"/>
            <w:shd w:val="clear" w:color="auto" w:fill="EAF1DD" w:themeFill="accent3" w:themeFillTint="33"/>
            <w:vAlign w:val="center"/>
          </w:tcPr>
          <w:p w14:paraId="6D25BD5F" w14:textId="7A492EEC" w:rsidR="002437DE" w:rsidRPr="00501526" w:rsidRDefault="002437DE" w:rsidP="002437DE">
            <w:pPr>
              <w:pStyle w:val="TableText0"/>
              <w:rPr>
                <w:iCs/>
              </w:rPr>
            </w:pPr>
            <w:r w:rsidRPr="00501526">
              <w:rPr>
                <w:iCs/>
              </w:rPr>
              <w:t>Cycle length</w:t>
            </w:r>
          </w:p>
        </w:tc>
        <w:tc>
          <w:tcPr>
            <w:tcW w:w="3608" w:type="pct"/>
            <w:shd w:val="clear" w:color="auto" w:fill="EAF1DD" w:themeFill="accent3" w:themeFillTint="33"/>
            <w:vAlign w:val="center"/>
          </w:tcPr>
          <w:p w14:paraId="5BDEE5DD" w14:textId="649A1B0E" w:rsidR="002437DE" w:rsidRPr="00501526" w:rsidRDefault="002437DE" w:rsidP="002437DE">
            <w:pPr>
              <w:pStyle w:val="TableText0"/>
              <w:rPr>
                <w:iCs/>
              </w:rPr>
            </w:pPr>
            <w:r w:rsidRPr="00501526">
              <w:rPr>
                <w:iCs/>
              </w:rPr>
              <w:t>1 week</w:t>
            </w:r>
          </w:p>
        </w:tc>
      </w:tr>
      <w:tr w:rsidR="0085315F" w:rsidRPr="00501526" w14:paraId="6EFF7035" w14:textId="77777777" w:rsidTr="00754925">
        <w:trPr>
          <w:trHeight w:val="3613"/>
        </w:trPr>
        <w:tc>
          <w:tcPr>
            <w:tcW w:w="1392" w:type="pct"/>
            <w:shd w:val="clear" w:color="auto" w:fill="auto"/>
            <w:vAlign w:val="center"/>
          </w:tcPr>
          <w:p w14:paraId="77A45407" w14:textId="1EA1B1BC" w:rsidR="00081E63" w:rsidRPr="00501526" w:rsidRDefault="00275C5A" w:rsidP="00BB00B3">
            <w:pPr>
              <w:pStyle w:val="TableText0"/>
              <w:rPr>
                <w:iCs/>
              </w:rPr>
            </w:pPr>
            <w:r w:rsidRPr="00501526">
              <w:rPr>
                <w:iCs/>
              </w:rPr>
              <w:t>Transition probabilities</w:t>
            </w:r>
          </w:p>
        </w:tc>
        <w:tc>
          <w:tcPr>
            <w:tcW w:w="3608" w:type="pct"/>
            <w:shd w:val="clear" w:color="auto" w:fill="auto"/>
            <w:vAlign w:val="center"/>
          </w:tcPr>
          <w:p w14:paraId="4A130C31" w14:textId="67C0CC81" w:rsidR="00275C5A" w:rsidRPr="00501526" w:rsidRDefault="00657AA2" w:rsidP="00657AA2">
            <w:pPr>
              <w:pStyle w:val="TableText0"/>
              <w:rPr>
                <w:iCs/>
              </w:rPr>
            </w:pPr>
            <w:r w:rsidRPr="00501526">
              <w:rPr>
                <w:iCs/>
                <w:u w:val="single"/>
              </w:rPr>
              <w:t>Response Rate:</w:t>
            </w:r>
            <w:r w:rsidRPr="00501526">
              <w:rPr>
                <w:iCs/>
              </w:rPr>
              <w:t xml:space="preserve"> Proportion of patients that achieved ≥ 30% reduction </w:t>
            </w:r>
            <w:r w:rsidR="00257492" w:rsidRPr="00501526">
              <w:rPr>
                <w:iCs/>
              </w:rPr>
              <w:t xml:space="preserve">from baseline </w:t>
            </w:r>
            <w:r w:rsidRPr="00501526">
              <w:rPr>
                <w:iCs/>
              </w:rPr>
              <w:t>in blood Phe</w:t>
            </w:r>
          </w:p>
          <w:p w14:paraId="7C613F50" w14:textId="77777777" w:rsidR="00DF1CCE" w:rsidRPr="00501526" w:rsidRDefault="00657AA2" w:rsidP="00657AA2">
            <w:pPr>
              <w:pStyle w:val="TableText0"/>
              <w:rPr>
                <w:iCs/>
              </w:rPr>
            </w:pPr>
            <w:r w:rsidRPr="00501526">
              <w:rPr>
                <w:iCs/>
                <w:u w:val="single"/>
              </w:rPr>
              <w:t>Blood Phe progression over time:</w:t>
            </w:r>
            <w:r w:rsidRPr="00501526">
              <w:rPr>
                <w:iCs/>
              </w:rPr>
              <w:t xml:space="preserve"> </w:t>
            </w:r>
          </w:p>
          <w:p w14:paraId="644F0962" w14:textId="4D76F72F" w:rsidR="00111D5B" w:rsidRPr="00501526" w:rsidRDefault="00DF1CCE" w:rsidP="00657AA2">
            <w:pPr>
              <w:pStyle w:val="TableText0"/>
              <w:rPr>
                <w:iCs/>
              </w:rPr>
            </w:pPr>
            <w:r w:rsidRPr="00501526">
              <w:rPr>
                <w:iCs/>
              </w:rPr>
              <w:t xml:space="preserve">Responders: </w:t>
            </w:r>
            <w:r w:rsidR="00657AA2" w:rsidRPr="00501526">
              <w:rPr>
                <w:iCs/>
              </w:rPr>
              <w:t xml:space="preserve">change from baseline in the first week </w:t>
            </w:r>
            <w:r w:rsidRPr="00501526">
              <w:rPr>
                <w:iCs/>
              </w:rPr>
              <w:t xml:space="preserve">with a </w:t>
            </w:r>
            <w:r w:rsidR="00C51A29" w:rsidRPr="00501526">
              <w:rPr>
                <w:iCs/>
              </w:rPr>
              <w:t xml:space="preserve">mean </w:t>
            </w:r>
            <w:r w:rsidR="00990F2B" w:rsidRPr="00501526">
              <w:rPr>
                <w:iCs/>
              </w:rPr>
              <w:t xml:space="preserve">39% decrease, range </w:t>
            </w:r>
            <w:r w:rsidR="00EE6015" w:rsidRPr="00501526">
              <w:rPr>
                <w:iCs/>
              </w:rPr>
              <w:t>30</w:t>
            </w:r>
            <w:r w:rsidR="00990F2B" w:rsidRPr="00501526">
              <w:rPr>
                <w:iCs/>
              </w:rPr>
              <w:t>-49%</w:t>
            </w:r>
            <w:r w:rsidRPr="00501526">
              <w:rPr>
                <w:iCs/>
              </w:rPr>
              <w:t xml:space="preserve"> </w:t>
            </w:r>
            <w:r w:rsidR="00111D5B" w:rsidRPr="00501526">
              <w:rPr>
                <w:iCs/>
              </w:rPr>
              <w:t xml:space="preserve">based on a </w:t>
            </w:r>
            <w:r w:rsidR="00EE6437" w:rsidRPr="00501526">
              <w:rPr>
                <w:iCs/>
              </w:rPr>
              <w:t xml:space="preserve">log normal </w:t>
            </w:r>
            <w:r w:rsidR="00111D5B" w:rsidRPr="00501526">
              <w:rPr>
                <w:iCs/>
              </w:rPr>
              <w:t>distribution</w:t>
            </w:r>
            <w:r w:rsidR="00EE6437" w:rsidRPr="00501526">
              <w:rPr>
                <w:iCs/>
              </w:rPr>
              <w:t xml:space="preserve">. Informed by </w:t>
            </w:r>
            <w:r w:rsidR="00111D5B" w:rsidRPr="00501526">
              <w:rPr>
                <w:iCs/>
              </w:rPr>
              <w:t>post hoc analysis of 22 adult patients who reported at least one reading of &gt;30% decrease from baseline in the first 28 days of treatment in PKUDOS, with a lower floor of 30% assumed (actual change in Phe estimated to be 0.61 (95% CI 0.51, 0.72) in post hoc analysis</w:t>
            </w:r>
            <w:r w:rsidR="005A3661" w:rsidRPr="00501526">
              <w:rPr>
                <w:iCs/>
              </w:rPr>
              <w:t>)</w:t>
            </w:r>
            <w:r w:rsidR="00111D5B" w:rsidRPr="00501526">
              <w:rPr>
                <w:iCs/>
              </w:rPr>
              <w:t xml:space="preserve">. Blood Phe remains constant till death. </w:t>
            </w:r>
          </w:p>
          <w:p w14:paraId="2F46A82C" w14:textId="4843FEB4" w:rsidR="001C278C" w:rsidRPr="00501526" w:rsidRDefault="00111D5B" w:rsidP="00657AA2">
            <w:pPr>
              <w:pStyle w:val="TableText0"/>
              <w:rPr>
                <w:iCs/>
              </w:rPr>
            </w:pPr>
            <w:r w:rsidRPr="00501526">
              <w:rPr>
                <w:iCs/>
              </w:rPr>
              <w:t>N</w:t>
            </w:r>
            <w:r w:rsidR="00657AA2" w:rsidRPr="00501526">
              <w:rPr>
                <w:iCs/>
              </w:rPr>
              <w:t>on-responders</w:t>
            </w:r>
            <w:r w:rsidR="0066738D" w:rsidRPr="00501526">
              <w:rPr>
                <w:iCs/>
              </w:rPr>
              <w:t xml:space="preserve"> </w:t>
            </w:r>
            <w:r w:rsidR="005A3661" w:rsidRPr="00501526">
              <w:rPr>
                <w:iCs/>
              </w:rPr>
              <w:t xml:space="preserve">assumed to have a decrease of </w:t>
            </w:r>
            <w:r w:rsidR="0066738D" w:rsidRPr="00501526">
              <w:rPr>
                <w:iCs/>
              </w:rPr>
              <w:t>62 µmol/L</w:t>
            </w:r>
            <w:r w:rsidR="005A3661" w:rsidRPr="00501526">
              <w:rPr>
                <w:iCs/>
              </w:rPr>
              <w:t xml:space="preserve"> for one cycle before moving back to baseline Phe from cycle 2 onwards</w:t>
            </w:r>
            <w:r w:rsidR="001C278C" w:rsidRPr="00501526">
              <w:rPr>
                <w:iCs/>
              </w:rPr>
              <w:t>, with n</w:t>
            </w:r>
            <w:r w:rsidR="00657AA2" w:rsidRPr="00501526">
              <w:rPr>
                <w:iCs/>
              </w:rPr>
              <w:t xml:space="preserve">o further changes in blood Phe levels in all weeks thereafter. </w:t>
            </w:r>
          </w:p>
          <w:p w14:paraId="5B04A4B2" w14:textId="362D7D72" w:rsidR="00657AA2" w:rsidRPr="00501526" w:rsidRDefault="00657AA2" w:rsidP="00657AA2">
            <w:pPr>
              <w:pStyle w:val="TableText0"/>
              <w:rPr>
                <w:iCs/>
              </w:rPr>
            </w:pPr>
            <w:r w:rsidRPr="00501526">
              <w:rPr>
                <w:iCs/>
              </w:rPr>
              <w:t xml:space="preserve">Phe restricted diet alone: </w:t>
            </w:r>
            <w:r w:rsidR="003E4FB9" w:rsidRPr="00501526">
              <w:rPr>
                <w:iCs/>
              </w:rPr>
              <w:t xml:space="preserve">no </w:t>
            </w:r>
            <w:r w:rsidRPr="00501526">
              <w:rPr>
                <w:iCs/>
              </w:rPr>
              <w:t xml:space="preserve">change from baseline in the first week </w:t>
            </w:r>
            <w:r w:rsidR="00805648" w:rsidRPr="00501526">
              <w:rPr>
                <w:iCs/>
              </w:rPr>
              <w:t xml:space="preserve">or </w:t>
            </w:r>
            <w:r w:rsidRPr="00501526">
              <w:rPr>
                <w:iCs/>
              </w:rPr>
              <w:t xml:space="preserve">in </w:t>
            </w:r>
            <w:r w:rsidR="00805648" w:rsidRPr="00501526">
              <w:rPr>
                <w:iCs/>
              </w:rPr>
              <w:t xml:space="preserve">any </w:t>
            </w:r>
            <w:r w:rsidRPr="00501526">
              <w:rPr>
                <w:iCs/>
              </w:rPr>
              <w:t>weeks thereafter</w:t>
            </w:r>
          </w:p>
          <w:p w14:paraId="76387578" w14:textId="4C88CDBF" w:rsidR="00657AA2" w:rsidRPr="00501526" w:rsidRDefault="00657AA2" w:rsidP="00657AA2">
            <w:pPr>
              <w:pStyle w:val="TableText0"/>
              <w:rPr>
                <w:iCs/>
              </w:rPr>
            </w:pPr>
            <w:r w:rsidRPr="00501526">
              <w:rPr>
                <w:iCs/>
                <w:u w:val="single"/>
              </w:rPr>
              <w:t>Overall survival</w:t>
            </w:r>
            <w:r w:rsidRPr="00501526">
              <w:rPr>
                <w:iCs/>
              </w:rPr>
              <w:t xml:space="preserve"> </w:t>
            </w:r>
            <w:r w:rsidR="00754925">
              <w:rPr>
                <w:iCs/>
              </w:rPr>
              <w:t>(a</w:t>
            </w:r>
            <w:r w:rsidRPr="00501526">
              <w:rPr>
                <w:iCs/>
              </w:rPr>
              <w:t>ll</w:t>
            </w:r>
            <w:r w:rsidR="00754925">
              <w:rPr>
                <w:iCs/>
              </w:rPr>
              <w:t>)</w:t>
            </w:r>
            <w:r w:rsidRPr="00501526">
              <w:rPr>
                <w:iCs/>
              </w:rPr>
              <w:t>: General population mortality</w:t>
            </w:r>
          </w:p>
        </w:tc>
      </w:tr>
      <w:tr w:rsidR="002437DE" w:rsidRPr="00501526" w14:paraId="0EF92D0C" w14:textId="77777777" w:rsidTr="002437DE">
        <w:tc>
          <w:tcPr>
            <w:tcW w:w="1392" w:type="pct"/>
            <w:shd w:val="clear" w:color="auto" w:fill="EAF1DD" w:themeFill="accent3" w:themeFillTint="33"/>
          </w:tcPr>
          <w:p w14:paraId="7171B654" w14:textId="598D4805" w:rsidR="002437DE" w:rsidRPr="00501526" w:rsidRDefault="002437DE" w:rsidP="002437DE">
            <w:pPr>
              <w:pStyle w:val="TableText0"/>
              <w:rPr>
                <w:iCs/>
              </w:rPr>
            </w:pPr>
            <w:r w:rsidRPr="00501526">
              <w:rPr>
                <w:iCs/>
              </w:rPr>
              <w:t>Health related quality of life</w:t>
            </w:r>
          </w:p>
        </w:tc>
        <w:tc>
          <w:tcPr>
            <w:tcW w:w="3608" w:type="pct"/>
            <w:shd w:val="clear" w:color="auto" w:fill="EAF1DD" w:themeFill="accent3" w:themeFillTint="33"/>
          </w:tcPr>
          <w:p w14:paraId="326CB219" w14:textId="1C10D716" w:rsidR="002437DE" w:rsidRPr="00501526" w:rsidRDefault="002437DE" w:rsidP="002437DE">
            <w:pPr>
              <w:pStyle w:val="TableText0"/>
              <w:rPr>
                <w:iCs/>
                <w:u w:val="single"/>
              </w:rPr>
            </w:pPr>
            <w:r w:rsidRPr="00501526">
              <w:rPr>
                <w:iCs/>
              </w:rPr>
              <w:t>TTO direct elicitation with Swedish general population preference weights. Utility values for health states from the utility study were applied to blood-Phe categories assumed by the submission to correspond to the given health states.</w:t>
            </w:r>
          </w:p>
        </w:tc>
      </w:tr>
    </w:tbl>
    <w:p w14:paraId="213DED56" w14:textId="08A8A8D7" w:rsidR="003270E4" w:rsidRPr="00501526" w:rsidRDefault="003270E4" w:rsidP="00BB00B3">
      <w:pPr>
        <w:pStyle w:val="TableFigureFooter"/>
        <w:rPr>
          <w:iCs/>
        </w:rPr>
      </w:pPr>
      <w:r w:rsidRPr="00501526">
        <w:rPr>
          <w:iCs/>
        </w:rPr>
        <w:t xml:space="preserve">Source: </w:t>
      </w:r>
      <w:r w:rsidR="00657AA2" w:rsidRPr="00501526">
        <w:rPr>
          <w:iCs/>
        </w:rPr>
        <w:t>Table 3.1-1, p260 of the submission.</w:t>
      </w:r>
    </w:p>
    <w:p w14:paraId="4961F049" w14:textId="68554A13" w:rsidR="002437DE" w:rsidRPr="00501526" w:rsidRDefault="002437DE" w:rsidP="00BB00B3">
      <w:pPr>
        <w:pStyle w:val="TableFigureFooter"/>
        <w:rPr>
          <w:iCs/>
        </w:rPr>
      </w:pPr>
      <w:r w:rsidRPr="00501526">
        <w:rPr>
          <w:iCs/>
        </w:rPr>
        <w:t>Green shading indicates</w:t>
      </w:r>
      <w:r w:rsidR="00B079BC" w:rsidRPr="00501526">
        <w:rPr>
          <w:iCs/>
        </w:rPr>
        <w:t xml:space="preserve"> components that are the same as in the pegvaliase </w:t>
      </w:r>
      <w:r w:rsidR="00A0759B" w:rsidRPr="00501526">
        <w:rPr>
          <w:iCs/>
        </w:rPr>
        <w:t>model</w:t>
      </w:r>
      <w:r w:rsidR="009A418A">
        <w:rPr>
          <w:iCs/>
        </w:rPr>
        <w:t xml:space="preserve"> (Item 5.09)</w:t>
      </w:r>
    </w:p>
    <w:p w14:paraId="4F9BF95E" w14:textId="6270EEAD" w:rsidR="00A742F2" w:rsidRPr="00754925" w:rsidRDefault="00754925" w:rsidP="00754925">
      <w:pPr>
        <w:pStyle w:val="3-BodyText"/>
        <w:rPr>
          <w:iCs/>
        </w:rPr>
      </w:pPr>
      <w:r>
        <w:rPr>
          <w:iCs/>
        </w:rPr>
        <w:t>T</w:t>
      </w:r>
      <w:r w:rsidR="00A742F2" w:rsidRPr="00501526">
        <w:rPr>
          <w:iCs/>
        </w:rPr>
        <w:t>he ESC considered that there was a lack of clinical data available to support the microsimulation approach undertaken</w:t>
      </w:r>
      <w:r w:rsidR="007F0BB7" w:rsidRPr="00501526">
        <w:rPr>
          <w:iCs/>
        </w:rPr>
        <w:t xml:space="preserve">, with </w:t>
      </w:r>
      <w:r w:rsidR="001A5170" w:rsidRPr="00501526">
        <w:rPr>
          <w:iCs/>
        </w:rPr>
        <w:t xml:space="preserve">a </w:t>
      </w:r>
      <w:r w:rsidR="007F0BB7" w:rsidRPr="00501526">
        <w:rPr>
          <w:iCs/>
        </w:rPr>
        <w:t>lifetime horizon</w:t>
      </w:r>
      <w:r w:rsidR="00A742F2" w:rsidRPr="00501526">
        <w:rPr>
          <w:iCs/>
        </w:rPr>
        <w:t xml:space="preserve">. </w:t>
      </w:r>
      <w:r>
        <w:rPr>
          <w:iCs/>
        </w:rPr>
        <w:t>D</w:t>
      </w:r>
      <w:r w:rsidRPr="00754925">
        <w:rPr>
          <w:iCs/>
        </w:rPr>
        <w:t>ue to the complex approach to modelling and general paucity of data, the ESC considered the economic model was highly uncertain and not informative for decision-making purposes.</w:t>
      </w:r>
    </w:p>
    <w:p w14:paraId="127BB726" w14:textId="13350AB8" w:rsidR="00C954AD" w:rsidRPr="00501526" w:rsidRDefault="00C954AD" w:rsidP="00BB00B3">
      <w:pPr>
        <w:pStyle w:val="3-BodyText"/>
        <w:rPr>
          <w:iCs/>
        </w:rPr>
      </w:pPr>
      <w:r w:rsidRPr="00501526">
        <w:rPr>
          <w:iCs/>
        </w:rPr>
        <w:t xml:space="preserve">The </w:t>
      </w:r>
      <w:r w:rsidR="004B263A" w:rsidRPr="00501526">
        <w:rPr>
          <w:iCs/>
        </w:rPr>
        <w:t xml:space="preserve">key differences between the pegvaliase and the sapropterin models was in the </w:t>
      </w:r>
      <w:r w:rsidR="000F3C3F" w:rsidRPr="00501526">
        <w:rPr>
          <w:iCs/>
        </w:rPr>
        <w:t>estimation</w:t>
      </w:r>
      <w:r w:rsidR="004B263A" w:rsidRPr="00501526">
        <w:rPr>
          <w:iCs/>
        </w:rPr>
        <w:t xml:space="preserve"> of blood-Phe changes. In the sapropterin model, patients </w:t>
      </w:r>
      <w:r w:rsidR="00754925">
        <w:rPr>
          <w:iCs/>
        </w:rPr>
        <w:t>were</w:t>
      </w:r>
      <w:r w:rsidR="00754925" w:rsidRPr="00501526">
        <w:rPr>
          <w:iCs/>
        </w:rPr>
        <w:t xml:space="preserve"> </w:t>
      </w:r>
      <w:r w:rsidR="00A46FA8" w:rsidRPr="00501526">
        <w:rPr>
          <w:iCs/>
        </w:rPr>
        <w:t xml:space="preserve">assumed to only have one blood-Phe change (depending on if they are a sapropterin responder or not) or no change if they are treated with </w:t>
      </w:r>
      <w:r w:rsidR="00CB7368" w:rsidRPr="00501526">
        <w:rPr>
          <w:iCs/>
        </w:rPr>
        <w:t xml:space="preserve">a </w:t>
      </w:r>
      <w:r w:rsidR="00A46FA8" w:rsidRPr="00501526">
        <w:rPr>
          <w:iCs/>
        </w:rPr>
        <w:t>Phe-restricted diet only. However</w:t>
      </w:r>
      <w:r w:rsidR="00954CE9" w:rsidRPr="00501526">
        <w:rPr>
          <w:iCs/>
        </w:rPr>
        <w:t>,</w:t>
      </w:r>
      <w:r w:rsidR="00A46FA8" w:rsidRPr="00501526">
        <w:rPr>
          <w:iCs/>
        </w:rPr>
        <w:t xml:space="preserve"> in the pegvaliase model</w:t>
      </w:r>
      <w:r w:rsidR="00954CE9" w:rsidRPr="00501526">
        <w:rPr>
          <w:iCs/>
        </w:rPr>
        <w:t>,</w:t>
      </w:r>
      <w:r w:rsidR="00A46FA8" w:rsidRPr="00501526">
        <w:rPr>
          <w:iCs/>
        </w:rPr>
        <w:t xml:space="preserve"> patients in the pegvali</w:t>
      </w:r>
      <w:r w:rsidR="00293E31" w:rsidRPr="00501526">
        <w:rPr>
          <w:iCs/>
        </w:rPr>
        <w:t>a</w:t>
      </w:r>
      <w:r w:rsidR="00A46FA8" w:rsidRPr="00501526">
        <w:rPr>
          <w:iCs/>
        </w:rPr>
        <w:t xml:space="preserve">se treatment arm experience a lowering of blood-Phe each cycle they remain on treatment </w:t>
      </w:r>
      <w:r w:rsidR="007741F2" w:rsidRPr="00501526">
        <w:rPr>
          <w:iCs/>
        </w:rPr>
        <w:t xml:space="preserve">(based on an estimated equation) </w:t>
      </w:r>
      <w:r w:rsidR="00A46FA8" w:rsidRPr="00501526">
        <w:rPr>
          <w:iCs/>
        </w:rPr>
        <w:t xml:space="preserve">until they reach a plateau of </w:t>
      </w:r>
      <w:r w:rsidR="00F3104E" w:rsidRPr="00501526">
        <w:rPr>
          <w:iCs/>
        </w:rPr>
        <w:t>261</w:t>
      </w:r>
      <w:r w:rsidR="00F3104E">
        <w:rPr>
          <w:iCs/>
        </w:rPr>
        <w:t> </w:t>
      </w:r>
      <w:r w:rsidR="00A46FA8" w:rsidRPr="00501526">
        <w:rPr>
          <w:rFonts w:cstheme="minorHAnsi"/>
          <w:iCs/>
        </w:rPr>
        <w:t>µ</w:t>
      </w:r>
      <w:r w:rsidR="00A46FA8" w:rsidRPr="00501526">
        <w:rPr>
          <w:iCs/>
        </w:rPr>
        <w:t>mol/L</w:t>
      </w:r>
      <w:r w:rsidR="001D0D8E" w:rsidRPr="00501526">
        <w:rPr>
          <w:iCs/>
        </w:rPr>
        <w:t xml:space="preserve"> if they were responders, while patients treated with Phe-restricted diet only were assigned a </w:t>
      </w:r>
      <w:r w:rsidR="00AD5364" w:rsidRPr="00501526">
        <w:rPr>
          <w:iCs/>
        </w:rPr>
        <w:t>once off improvement in blood-Phe of 108</w:t>
      </w:r>
      <w:r w:rsidR="00F3104E">
        <w:rPr>
          <w:iCs/>
        </w:rPr>
        <w:t> </w:t>
      </w:r>
      <w:r w:rsidR="00AD5364" w:rsidRPr="00501526">
        <w:rPr>
          <w:rFonts w:cstheme="minorHAnsi"/>
          <w:iCs/>
        </w:rPr>
        <w:t>µ</w:t>
      </w:r>
      <w:r w:rsidR="00AD5364" w:rsidRPr="00501526">
        <w:rPr>
          <w:iCs/>
        </w:rPr>
        <w:t>mol/L at the first cycle</w:t>
      </w:r>
      <w:r w:rsidR="001D0D8E" w:rsidRPr="00501526">
        <w:rPr>
          <w:iCs/>
        </w:rPr>
        <w:t xml:space="preserve">. </w:t>
      </w:r>
      <w:r w:rsidR="00AD5364" w:rsidRPr="00501526">
        <w:rPr>
          <w:iCs/>
        </w:rPr>
        <w:t xml:space="preserve">Different baseline blood-Phe was also used in the two models to account for the different sources of data (PKUDOS in sapropterin and PRISM trials in pegvaliase).  </w:t>
      </w:r>
    </w:p>
    <w:p w14:paraId="22E7FB44" w14:textId="12248075" w:rsidR="00B46F28" w:rsidRPr="00501526" w:rsidRDefault="00431014" w:rsidP="00B46F28">
      <w:pPr>
        <w:pStyle w:val="3-BodyText"/>
        <w:rPr>
          <w:iCs/>
        </w:rPr>
      </w:pPr>
      <w:r w:rsidRPr="00501526">
        <w:rPr>
          <w:iCs/>
        </w:rPr>
        <w:t xml:space="preserve">A </w:t>
      </w:r>
      <w:r w:rsidR="00B96FE1" w:rsidRPr="00501526">
        <w:rPr>
          <w:iCs/>
        </w:rPr>
        <w:t xml:space="preserve">key issue with the sapropterin model was that no </w:t>
      </w:r>
      <w:r w:rsidR="00443340" w:rsidRPr="00501526">
        <w:rPr>
          <w:iCs/>
        </w:rPr>
        <w:t xml:space="preserve">reliable </w:t>
      </w:r>
      <w:r w:rsidR="00B96FE1" w:rsidRPr="00501526">
        <w:rPr>
          <w:iCs/>
        </w:rPr>
        <w:t xml:space="preserve">clinical evidence was presented to quantify </w:t>
      </w:r>
      <w:r w:rsidR="00CB7368" w:rsidRPr="00501526">
        <w:rPr>
          <w:iCs/>
        </w:rPr>
        <w:t xml:space="preserve">a </w:t>
      </w:r>
      <w:r w:rsidR="00B96FE1" w:rsidRPr="00501526">
        <w:rPr>
          <w:iCs/>
        </w:rPr>
        <w:t xml:space="preserve">symptomatic or clinically meaningful benefit in adult </w:t>
      </w:r>
      <w:r w:rsidR="00926C0E" w:rsidRPr="00501526">
        <w:rPr>
          <w:iCs/>
        </w:rPr>
        <w:t>patients</w:t>
      </w:r>
      <w:r w:rsidR="00B96FE1" w:rsidRPr="00501526">
        <w:rPr>
          <w:iCs/>
        </w:rPr>
        <w:t xml:space="preserve"> </w:t>
      </w:r>
      <w:r w:rsidR="00B96FE1" w:rsidRPr="00501526">
        <w:rPr>
          <w:iCs/>
        </w:rPr>
        <w:lastRenderedPageBreak/>
        <w:t xml:space="preserve">initiating sapropterin or even clear benefits associated within specific Phe ranges. </w:t>
      </w:r>
      <w:r w:rsidR="00B46F28" w:rsidRPr="00501526">
        <w:rPr>
          <w:iCs/>
        </w:rPr>
        <w:t>For example, the input</w:t>
      </w:r>
      <w:r w:rsidR="00DF688F" w:rsidRPr="00501526">
        <w:rPr>
          <w:iCs/>
        </w:rPr>
        <w:t>s</w:t>
      </w:r>
      <w:r w:rsidR="00B46F28" w:rsidRPr="00501526">
        <w:rPr>
          <w:iCs/>
        </w:rPr>
        <w:t xml:space="preserve"> for sapropterin response were based on a subset of 22 patients </w:t>
      </w:r>
      <w:r w:rsidR="00BC260B" w:rsidRPr="00501526">
        <w:rPr>
          <w:iCs/>
        </w:rPr>
        <w:t xml:space="preserve">who registered at least one blood Phe reading of &gt;30% decrease from baseline among </w:t>
      </w:r>
      <w:r w:rsidR="00B46F28" w:rsidRPr="00501526">
        <w:rPr>
          <w:iCs/>
        </w:rPr>
        <w:t xml:space="preserve">the 117 patients in the PKUDOS registry (data extracted May 2016) who were aged 18 or older at registration. </w:t>
      </w:r>
    </w:p>
    <w:p w14:paraId="37B4237B" w14:textId="5318D813" w:rsidR="00275C5A" w:rsidRPr="00501526" w:rsidRDefault="009F01FF" w:rsidP="00BB00B3">
      <w:pPr>
        <w:pStyle w:val="3-BodyText"/>
        <w:rPr>
          <w:iCs/>
        </w:rPr>
      </w:pPr>
      <w:r w:rsidRPr="00501526">
        <w:rPr>
          <w:iCs/>
          <w:color w:val="000000" w:themeColor="text1"/>
        </w:rPr>
        <w:t>K</w:t>
      </w:r>
      <w:r w:rsidRPr="00501526">
        <w:rPr>
          <w:iCs/>
        </w:rPr>
        <w:t xml:space="preserve">ey drivers of the model are presented in </w:t>
      </w:r>
      <w:r w:rsidRPr="00501526">
        <w:rPr>
          <w:iCs/>
        </w:rPr>
        <w:fldChar w:fldCharType="begin"/>
      </w:r>
      <w:r w:rsidRPr="00501526">
        <w:rPr>
          <w:iCs/>
        </w:rPr>
        <w:instrText xml:space="preserve"> REF _Ref102422988 \h  \* MERGEFORMAT </w:instrText>
      </w:r>
      <w:r w:rsidRPr="00501526">
        <w:rPr>
          <w:iCs/>
        </w:rPr>
      </w:r>
      <w:r w:rsidRPr="00501526">
        <w:rPr>
          <w:iCs/>
        </w:rPr>
        <w:fldChar w:fldCharType="separate"/>
      </w:r>
      <w:r w:rsidR="0035299E" w:rsidRPr="0035299E">
        <w:t>Table 10</w:t>
      </w:r>
      <w:r w:rsidRPr="00501526">
        <w:rPr>
          <w:iCs/>
        </w:rPr>
        <w:fldChar w:fldCharType="end"/>
      </w:r>
      <w:r w:rsidRPr="00501526">
        <w:rPr>
          <w:iCs/>
        </w:rPr>
        <w:t xml:space="preserve">. </w:t>
      </w:r>
    </w:p>
    <w:p w14:paraId="357B8B7D" w14:textId="034CDD2C" w:rsidR="00891151" w:rsidRPr="00501526" w:rsidRDefault="00891151" w:rsidP="00891151">
      <w:pPr>
        <w:pStyle w:val="TableFigureHeading"/>
        <w:rPr>
          <w:rStyle w:val="CommentReference"/>
          <w:b/>
          <w:iCs/>
          <w:szCs w:val="24"/>
        </w:rPr>
      </w:pPr>
      <w:bookmarkStart w:id="45" w:name="_Ref102422988"/>
      <w:r w:rsidRPr="00501526">
        <w:rPr>
          <w:rStyle w:val="CommentReference"/>
          <w:b/>
          <w:iCs/>
          <w:szCs w:val="24"/>
        </w:rPr>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10</w:t>
      </w:r>
      <w:r w:rsidRPr="00501526">
        <w:rPr>
          <w:rStyle w:val="CommentReference"/>
          <w:b/>
          <w:iCs/>
          <w:szCs w:val="24"/>
        </w:rPr>
        <w:fldChar w:fldCharType="end"/>
      </w:r>
      <w:bookmarkEnd w:id="45"/>
      <w:r w:rsidRPr="00501526">
        <w:rPr>
          <w:rStyle w:val="CommentReference"/>
          <w:b/>
          <w:iCs/>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636"/>
        <w:gridCol w:w="4252"/>
      </w:tblGrid>
      <w:tr w:rsidR="00891151" w:rsidRPr="00501526" w14:paraId="3BA05358" w14:textId="77777777" w:rsidTr="00C235C5">
        <w:trPr>
          <w:tblHeader/>
        </w:trPr>
        <w:tc>
          <w:tcPr>
            <w:tcW w:w="626" w:type="pct"/>
            <w:shd w:val="clear" w:color="auto" w:fill="auto"/>
            <w:vAlign w:val="center"/>
          </w:tcPr>
          <w:p w14:paraId="5FA2F9DB" w14:textId="77777777" w:rsidR="00891151" w:rsidRPr="00501526" w:rsidRDefault="00891151" w:rsidP="00C235C5">
            <w:pPr>
              <w:pStyle w:val="In-tableHeading"/>
              <w:jc w:val="center"/>
              <w:rPr>
                <w:iCs/>
                <w:lang w:val="en-AU"/>
              </w:rPr>
            </w:pPr>
            <w:r w:rsidRPr="00501526">
              <w:rPr>
                <w:iCs/>
                <w:lang w:val="en-AU"/>
              </w:rPr>
              <w:t>Description</w:t>
            </w:r>
          </w:p>
        </w:tc>
        <w:tc>
          <w:tcPr>
            <w:tcW w:w="2016" w:type="pct"/>
            <w:shd w:val="clear" w:color="auto" w:fill="auto"/>
            <w:vAlign w:val="center"/>
          </w:tcPr>
          <w:p w14:paraId="0A582280" w14:textId="77777777" w:rsidR="00891151" w:rsidRPr="00501526" w:rsidRDefault="00891151" w:rsidP="00C235C5">
            <w:pPr>
              <w:pStyle w:val="In-tableHeading"/>
              <w:jc w:val="center"/>
              <w:rPr>
                <w:iCs/>
                <w:lang w:val="en-AU"/>
              </w:rPr>
            </w:pPr>
            <w:r w:rsidRPr="00501526">
              <w:rPr>
                <w:iCs/>
                <w:lang w:val="en-AU"/>
              </w:rPr>
              <w:t>Method/Value</w:t>
            </w:r>
          </w:p>
        </w:tc>
        <w:tc>
          <w:tcPr>
            <w:tcW w:w="2358" w:type="pct"/>
            <w:shd w:val="clear" w:color="auto" w:fill="auto"/>
            <w:vAlign w:val="center"/>
          </w:tcPr>
          <w:p w14:paraId="7230371A" w14:textId="77777777" w:rsidR="00891151" w:rsidRPr="00501526" w:rsidRDefault="00891151" w:rsidP="00C235C5">
            <w:pPr>
              <w:pStyle w:val="In-tableHeading"/>
              <w:jc w:val="center"/>
              <w:rPr>
                <w:iCs/>
                <w:lang w:val="en-AU"/>
              </w:rPr>
            </w:pPr>
            <w:r w:rsidRPr="00501526">
              <w:rPr>
                <w:iCs/>
                <w:lang w:val="en-AU"/>
              </w:rPr>
              <w:t>Impact</w:t>
            </w:r>
          </w:p>
          <w:p w14:paraId="3EBEDFE6" w14:textId="0EE95F38" w:rsidR="00891151" w:rsidRPr="00501526" w:rsidRDefault="00891151" w:rsidP="00C235C5">
            <w:pPr>
              <w:pStyle w:val="In-tableHeading"/>
              <w:jc w:val="center"/>
              <w:rPr>
                <w:iCs/>
                <w:lang w:val="en-AU"/>
              </w:rPr>
            </w:pPr>
            <w:r w:rsidRPr="00501526">
              <w:rPr>
                <w:rFonts w:cs="Arial"/>
                <w:iCs/>
                <w:szCs w:val="20"/>
                <w:lang w:val="en-AU"/>
              </w:rPr>
              <w:t xml:space="preserve">Base </w:t>
            </w:r>
            <w:r w:rsidR="009629AB" w:rsidRPr="00501526">
              <w:rPr>
                <w:rFonts w:cs="Arial"/>
                <w:iCs/>
                <w:szCs w:val="20"/>
                <w:lang w:val="en-AU"/>
              </w:rPr>
              <w:t xml:space="preserve">case: </w:t>
            </w:r>
            <w:r w:rsidR="000D267C" w:rsidRPr="00501526">
              <w:rPr>
                <w:iCs/>
                <w:szCs w:val="20"/>
                <w:lang w:val="en-AU"/>
              </w:rPr>
              <w:t>$</w:t>
            </w:r>
            <w:r w:rsidR="00542E3B" w:rsidRPr="00542E3B">
              <w:rPr>
                <w:iCs/>
                <w:color w:val="000000"/>
                <w:szCs w:val="20"/>
                <w:shd w:val="solid" w:color="000000" w:fill="000000"/>
                <w:lang w:val="en-AU"/>
                <w14:textFill>
                  <w14:solidFill>
                    <w14:srgbClr w14:val="000000">
                      <w14:alpha w14:val="100000"/>
                    </w14:srgbClr>
                  </w14:solidFill>
                </w14:textFill>
              </w:rPr>
              <w:t>|</w:t>
            </w:r>
            <w:r w:rsidR="00C36D0E">
              <w:rPr>
                <w:iCs/>
                <w:szCs w:val="20"/>
                <w:vertAlign w:val="superscript"/>
                <w:lang w:val="en-AU"/>
              </w:rPr>
              <w:t>1</w:t>
            </w:r>
            <w:r w:rsidR="007647F4" w:rsidRPr="00501526">
              <w:rPr>
                <w:iCs/>
                <w:szCs w:val="20"/>
                <w:lang w:val="en-AU"/>
              </w:rPr>
              <w:t>/QALY</w:t>
            </w:r>
          </w:p>
        </w:tc>
      </w:tr>
      <w:tr w:rsidR="00891151" w:rsidRPr="00501526" w14:paraId="5AD8598F" w14:textId="5CF4726D" w:rsidTr="00C235C5">
        <w:tc>
          <w:tcPr>
            <w:tcW w:w="626" w:type="pct"/>
            <w:shd w:val="clear" w:color="auto" w:fill="auto"/>
            <w:vAlign w:val="center"/>
          </w:tcPr>
          <w:p w14:paraId="6D8696B4" w14:textId="7C8CC4E7" w:rsidR="00891151" w:rsidRPr="00501526" w:rsidRDefault="00891151" w:rsidP="00CB7368">
            <w:pPr>
              <w:pStyle w:val="TableText0"/>
              <w:rPr>
                <w:iCs/>
              </w:rPr>
            </w:pPr>
            <w:r w:rsidRPr="00501526">
              <w:rPr>
                <w:iCs/>
              </w:rPr>
              <w:t>Baseline Phe</w:t>
            </w:r>
          </w:p>
        </w:tc>
        <w:tc>
          <w:tcPr>
            <w:tcW w:w="2016" w:type="pct"/>
            <w:shd w:val="clear" w:color="auto" w:fill="auto"/>
            <w:vAlign w:val="center"/>
          </w:tcPr>
          <w:p w14:paraId="5F5066BC" w14:textId="0C795E39" w:rsidR="000408D8" w:rsidRPr="00501526" w:rsidRDefault="00891151" w:rsidP="00C235C5">
            <w:pPr>
              <w:pStyle w:val="TableText0"/>
              <w:rPr>
                <w:iCs/>
              </w:rPr>
            </w:pPr>
            <w:r w:rsidRPr="00501526">
              <w:rPr>
                <w:iCs/>
              </w:rPr>
              <w:t>The model simulated baseline P</w:t>
            </w:r>
            <w:r w:rsidR="009629AB" w:rsidRPr="00501526">
              <w:rPr>
                <w:iCs/>
              </w:rPr>
              <w:t>h</w:t>
            </w:r>
            <w:r w:rsidRPr="00501526">
              <w:rPr>
                <w:iCs/>
              </w:rPr>
              <w:t xml:space="preserve">e using a lognormal distribution based on PKUDOS data. </w:t>
            </w:r>
          </w:p>
        </w:tc>
        <w:tc>
          <w:tcPr>
            <w:tcW w:w="2358" w:type="pct"/>
            <w:shd w:val="clear" w:color="auto" w:fill="auto"/>
            <w:vAlign w:val="center"/>
          </w:tcPr>
          <w:p w14:paraId="2A821124" w14:textId="03A5D956" w:rsidR="00891151" w:rsidRPr="00501526" w:rsidRDefault="000408D8" w:rsidP="00C235C5">
            <w:pPr>
              <w:pStyle w:val="TableText0"/>
              <w:rPr>
                <w:iCs/>
              </w:rPr>
            </w:pPr>
            <w:r w:rsidRPr="00501526">
              <w:rPr>
                <w:iCs/>
              </w:rPr>
              <w:t>As baseline Phe was based on a distribution in the model, probabilistic sensitivity analyses could be used.  The mean ICER, by percentile of baseline Phe, ranged from $</w:t>
            </w:r>
            <w:r w:rsidR="00542E3B" w:rsidRPr="00542E3B">
              <w:rPr>
                <w:iCs/>
                <w:color w:val="000000"/>
                <w:spacing w:val="50"/>
                <w:shd w:val="solid" w:color="000000" w:fill="000000"/>
                <w:fitText w:val="323" w:id="-1435870460"/>
                <w14:textFill>
                  <w14:solidFill>
                    <w14:srgbClr w14:val="000000">
                      <w14:alpha w14:val="100000"/>
                    </w14:srgbClr>
                  </w14:solidFill>
                </w14:textFill>
              </w:rPr>
              <w:t>|||</w:t>
            </w:r>
            <w:r w:rsidR="00542E3B" w:rsidRPr="00542E3B">
              <w:rPr>
                <w:iCs/>
                <w:color w:val="000000"/>
                <w:spacing w:val="3"/>
                <w:shd w:val="solid" w:color="000000" w:fill="000000"/>
                <w:fitText w:val="323" w:id="-1435870460"/>
                <w14:textFill>
                  <w14:solidFill>
                    <w14:srgbClr w14:val="000000">
                      <w14:alpha w14:val="100000"/>
                    </w14:srgbClr>
                  </w14:solidFill>
                </w14:textFill>
              </w:rPr>
              <w:t>|</w:t>
            </w:r>
            <w:r w:rsidR="00C36D0E">
              <w:rPr>
                <w:iCs/>
                <w:vertAlign w:val="superscript"/>
              </w:rPr>
              <w:t>2</w:t>
            </w:r>
            <w:r w:rsidRPr="00501526">
              <w:rPr>
                <w:iCs/>
              </w:rPr>
              <w:t xml:space="preserve"> at the 75</w:t>
            </w:r>
            <w:r w:rsidRPr="00501526">
              <w:rPr>
                <w:iCs/>
                <w:vertAlign w:val="superscript"/>
              </w:rPr>
              <w:t>th</w:t>
            </w:r>
            <w:r w:rsidRPr="00501526">
              <w:rPr>
                <w:iCs/>
              </w:rPr>
              <w:t xml:space="preserve"> percentile to $</w:t>
            </w:r>
            <w:r w:rsidR="00542E3B" w:rsidRPr="00542E3B">
              <w:rPr>
                <w:iCs/>
                <w:color w:val="000000"/>
                <w:spacing w:val="53"/>
                <w:shd w:val="solid" w:color="000000" w:fill="000000"/>
                <w:fitText w:val="332" w:id="-1435870459"/>
                <w14:textFill>
                  <w14:solidFill>
                    <w14:srgbClr w14:val="000000">
                      <w14:alpha w14:val="100000"/>
                    </w14:srgbClr>
                  </w14:solidFill>
                </w14:textFill>
              </w:rPr>
              <w:t>|||</w:t>
            </w:r>
            <w:r w:rsidR="00542E3B" w:rsidRPr="00542E3B">
              <w:rPr>
                <w:iCs/>
                <w:color w:val="000000"/>
                <w:spacing w:val="3"/>
                <w:shd w:val="solid" w:color="000000" w:fill="000000"/>
                <w:fitText w:val="332" w:id="-1435870459"/>
                <w14:textFill>
                  <w14:solidFill>
                    <w14:srgbClr w14:val="000000">
                      <w14:alpha w14:val="100000"/>
                    </w14:srgbClr>
                  </w14:solidFill>
                </w14:textFill>
              </w:rPr>
              <w:t>|</w:t>
            </w:r>
            <w:r w:rsidR="00C36D0E">
              <w:rPr>
                <w:iCs/>
                <w:vertAlign w:val="superscript"/>
              </w:rPr>
              <w:t>3</w:t>
            </w:r>
            <w:r w:rsidRPr="00501526">
              <w:rPr>
                <w:iCs/>
              </w:rPr>
              <w:t xml:space="preserve"> at the 99</w:t>
            </w:r>
            <w:r w:rsidRPr="00501526">
              <w:rPr>
                <w:iCs/>
                <w:vertAlign w:val="superscript"/>
              </w:rPr>
              <w:t>th</w:t>
            </w:r>
            <w:r w:rsidRPr="00501526">
              <w:rPr>
                <w:iCs/>
              </w:rPr>
              <w:t xml:space="preserve"> percentile. </w:t>
            </w:r>
          </w:p>
        </w:tc>
      </w:tr>
      <w:tr w:rsidR="00DD26E1" w:rsidRPr="00501526" w14:paraId="5DD52806" w14:textId="77777777" w:rsidTr="00C235C5">
        <w:tc>
          <w:tcPr>
            <w:tcW w:w="626" w:type="pct"/>
            <w:shd w:val="clear" w:color="auto" w:fill="auto"/>
            <w:vAlign w:val="center"/>
          </w:tcPr>
          <w:p w14:paraId="57FFB6A4" w14:textId="733034B1" w:rsidR="00DD26E1" w:rsidRPr="00501526" w:rsidRDefault="00707C1D" w:rsidP="00CB7368">
            <w:pPr>
              <w:pStyle w:val="TableText0"/>
              <w:rPr>
                <w:iCs/>
              </w:rPr>
            </w:pPr>
            <w:r w:rsidRPr="00501526">
              <w:rPr>
                <w:iCs/>
              </w:rPr>
              <w:t xml:space="preserve">Diet arm </w:t>
            </w:r>
            <w:r w:rsidR="000D7AC9" w:rsidRPr="00501526">
              <w:rPr>
                <w:iCs/>
              </w:rPr>
              <w:t>P</w:t>
            </w:r>
            <w:r w:rsidRPr="00501526">
              <w:rPr>
                <w:iCs/>
              </w:rPr>
              <w:t>he improvement</w:t>
            </w:r>
          </w:p>
        </w:tc>
        <w:tc>
          <w:tcPr>
            <w:tcW w:w="2016" w:type="pct"/>
            <w:shd w:val="clear" w:color="auto" w:fill="auto"/>
            <w:vAlign w:val="center"/>
          </w:tcPr>
          <w:p w14:paraId="080EA8CB" w14:textId="0F624E55" w:rsidR="00DD26E1" w:rsidRPr="00501526" w:rsidRDefault="00707C1D" w:rsidP="00C235C5">
            <w:pPr>
              <w:pStyle w:val="TableText0"/>
              <w:rPr>
                <w:iCs/>
              </w:rPr>
            </w:pPr>
            <w:r w:rsidRPr="00501526">
              <w:rPr>
                <w:iCs/>
              </w:rPr>
              <w:t>A</w:t>
            </w:r>
            <w:r w:rsidR="006C4664" w:rsidRPr="00501526">
              <w:rPr>
                <w:iCs/>
              </w:rPr>
              <w:t>ssumption of no improvement in blood</w:t>
            </w:r>
            <w:r w:rsidR="000D7AC9" w:rsidRPr="00501526">
              <w:rPr>
                <w:iCs/>
              </w:rPr>
              <w:t>-P</w:t>
            </w:r>
            <w:r w:rsidR="006C4664" w:rsidRPr="00501526">
              <w:rPr>
                <w:iCs/>
              </w:rPr>
              <w:t>he for patients treated with diet only</w:t>
            </w:r>
          </w:p>
        </w:tc>
        <w:tc>
          <w:tcPr>
            <w:tcW w:w="2358" w:type="pct"/>
            <w:shd w:val="clear" w:color="auto" w:fill="auto"/>
            <w:vAlign w:val="center"/>
          </w:tcPr>
          <w:p w14:paraId="356E26D9" w14:textId="1B24BA2E" w:rsidR="00DD26E1" w:rsidRPr="00C36D0E" w:rsidRDefault="00707C1D" w:rsidP="00C235C5">
            <w:pPr>
              <w:pStyle w:val="TableText0"/>
              <w:rPr>
                <w:iCs/>
                <w:vertAlign w:val="superscript"/>
              </w:rPr>
            </w:pPr>
            <w:r w:rsidRPr="00501526">
              <w:rPr>
                <w:iCs/>
              </w:rPr>
              <w:t xml:space="preserve">Applying the </w:t>
            </w:r>
            <w:r w:rsidR="000D7AC9" w:rsidRPr="00501526">
              <w:rPr>
                <w:iCs/>
              </w:rPr>
              <w:t>value use</w:t>
            </w:r>
            <w:r w:rsidR="00834C01" w:rsidRPr="00501526">
              <w:rPr>
                <w:iCs/>
              </w:rPr>
              <w:t>d</w:t>
            </w:r>
            <w:r w:rsidR="000D7AC9" w:rsidRPr="00501526">
              <w:rPr>
                <w:iCs/>
              </w:rPr>
              <w:t xml:space="preserve"> in the pegvaliase model </w:t>
            </w:r>
            <w:r w:rsidRPr="00501526">
              <w:rPr>
                <w:iCs/>
              </w:rPr>
              <w:t>which assumed a fixed 108 µmol/L decrease from cycle 1 onwards increased the ICER by 33.65% to $</w:t>
            </w:r>
            <w:r w:rsidR="00542E3B" w:rsidRPr="00542E3B">
              <w:rPr>
                <w:iCs/>
                <w:color w:val="000000"/>
                <w:spacing w:val="53"/>
                <w:shd w:val="solid" w:color="000000" w:fill="000000"/>
                <w:fitText w:val="331" w:id="-1435870458"/>
                <w14:textFill>
                  <w14:solidFill>
                    <w14:srgbClr w14:val="000000">
                      <w14:alpha w14:val="100000"/>
                    </w14:srgbClr>
                  </w14:solidFill>
                </w14:textFill>
              </w:rPr>
              <w:t>|||</w:t>
            </w:r>
            <w:r w:rsidR="00542E3B" w:rsidRPr="00542E3B">
              <w:rPr>
                <w:iCs/>
                <w:color w:val="000000"/>
                <w:spacing w:val="2"/>
                <w:shd w:val="solid" w:color="000000" w:fill="000000"/>
                <w:fitText w:val="331" w:id="-1435870458"/>
                <w14:textFill>
                  <w14:solidFill>
                    <w14:srgbClr w14:val="000000">
                      <w14:alpha w14:val="100000"/>
                    </w14:srgbClr>
                  </w14:solidFill>
                </w14:textFill>
              </w:rPr>
              <w:t>|</w:t>
            </w:r>
            <w:r w:rsidR="00C36D0E">
              <w:rPr>
                <w:iCs/>
                <w:vertAlign w:val="superscript"/>
              </w:rPr>
              <w:t>4</w:t>
            </w:r>
          </w:p>
        </w:tc>
      </w:tr>
      <w:tr w:rsidR="009326BA" w:rsidRPr="00501526" w14:paraId="011AF7F6" w14:textId="77777777" w:rsidTr="00C235C5">
        <w:tc>
          <w:tcPr>
            <w:tcW w:w="626" w:type="pct"/>
            <w:shd w:val="clear" w:color="auto" w:fill="auto"/>
            <w:vAlign w:val="center"/>
          </w:tcPr>
          <w:p w14:paraId="50742333" w14:textId="15B187A4" w:rsidR="009326BA" w:rsidRPr="00501526" w:rsidRDefault="009326BA" w:rsidP="00CB7368">
            <w:pPr>
              <w:pStyle w:val="TableText0"/>
              <w:rPr>
                <w:iCs/>
              </w:rPr>
            </w:pPr>
            <w:r w:rsidRPr="00501526">
              <w:rPr>
                <w:iCs/>
              </w:rPr>
              <w:t>Utility</w:t>
            </w:r>
          </w:p>
        </w:tc>
        <w:tc>
          <w:tcPr>
            <w:tcW w:w="2016" w:type="pct"/>
            <w:shd w:val="clear" w:color="auto" w:fill="auto"/>
            <w:vAlign w:val="center"/>
          </w:tcPr>
          <w:p w14:paraId="12772E54" w14:textId="5AA9CA42" w:rsidR="009326BA" w:rsidRPr="00501526" w:rsidRDefault="00133521" w:rsidP="00C235C5">
            <w:pPr>
              <w:pStyle w:val="TableText0"/>
              <w:rPr>
                <w:iCs/>
              </w:rPr>
            </w:pPr>
            <w:r w:rsidRPr="00501526">
              <w:rPr>
                <w:iCs/>
              </w:rPr>
              <w:t xml:space="preserve">Patients on a partly restricted diet without medical food and no symptoms </w:t>
            </w:r>
            <w:r w:rsidR="00CB7368" w:rsidRPr="00501526">
              <w:rPr>
                <w:iCs/>
              </w:rPr>
              <w:t xml:space="preserve">were </w:t>
            </w:r>
            <w:r w:rsidRPr="00501526">
              <w:rPr>
                <w:iCs/>
              </w:rPr>
              <w:t xml:space="preserve">assumed to have utility of </w:t>
            </w:r>
            <w:r w:rsidR="00EE2268" w:rsidRPr="00501526">
              <w:rPr>
                <w:iCs/>
              </w:rPr>
              <w:t>0.</w:t>
            </w:r>
            <w:r w:rsidRPr="00501526">
              <w:rPr>
                <w:iCs/>
              </w:rPr>
              <w:t xml:space="preserve">775 and </w:t>
            </w:r>
            <w:r w:rsidR="00EE2268" w:rsidRPr="00501526">
              <w:rPr>
                <w:iCs/>
              </w:rPr>
              <w:t>patients with moderate/severe symptoms and restricted diet assumed to have utility of 0.321</w:t>
            </w:r>
          </w:p>
        </w:tc>
        <w:tc>
          <w:tcPr>
            <w:tcW w:w="2358" w:type="pct"/>
            <w:shd w:val="clear" w:color="auto" w:fill="auto"/>
            <w:vAlign w:val="center"/>
          </w:tcPr>
          <w:p w14:paraId="0138F4FB" w14:textId="3C866CFD" w:rsidR="009326BA" w:rsidRPr="00C36D0E" w:rsidRDefault="006C4664" w:rsidP="00C235C5">
            <w:pPr>
              <w:pStyle w:val="TableText0"/>
              <w:rPr>
                <w:iCs/>
                <w:vertAlign w:val="superscript"/>
              </w:rPr>
            </w:pPr>
            <w:r w:rsidRPr="00501526">
              <w:rPr>
                <w:iCs/>
              </w:rPr>
              <w:t xml:space="preserve">Changing </w:t>
            </w:r>
            <w:r w:rsidR="00CB7368" w:rsidRPr="00501526">
              <w:rPr>
                <w:iCs/>
              </w:rPr>
              <w:t xml:space="preserve">the </w:t>
            </w:r>
            <w:r w:rsidRPr="00501526">
              <w:rPr>
                <w:iCs/>
              </w:rPr>
              <w:t>utility for 120-</w:t>
            </w:r>
            <w:r w:rsidR="00C36D0E" w:rsidRPr="00501526">
              <w:rPr>
                <w:iCs/>
              </w:rPr>
              <w:t>360</w:t>
            </w:r>
            <w:r w:rsidR="00C36D0E">
              <w:rPr>
                <w:iCs/>
              </w:rPr>
              <w:t> </w:t>
            </w:r>
            <w:r w:rsidRPr="00501526">
              <w:rPr>
                <w:iCs/>
              </w:rPr>
              <w:t xml:space="preserve">µmol/L to 0.71 (corresponding to </w:t>
            </w:r>
            <w:r w:rsidR="00CB7368" w:rsidRPr="00501526">
              <w:rPr>
                <w:iCs/>
              </w:rPr>
              <w:t xml:space="preserve">the </w:t>
            </w:r>
            <w:r w:rsidRPr="00501526">
              <w:rPr>
                <w:iCs/>
              </w:rPr>
              <w:t xml:space="preserve">utility </w:t>
            </w:r>
            <w:r w:rsidR="00CB7368" w:rsidRPr="00501526">
              <w:rPr>
                <w:iCs/>
              </w:rPr>
              <w:t>for</w:t>
            </w:r>
            <w:r w:rsidRPr="00501526">
              <w:rPr>
                <w:iCs/>
              </w:rPr>
              <w:t xml:space="preserve"> responders in the March 2018 sapropterin submission) and </w:t>
            </w:r>
            <w:r w:rsidR="00834C01" w:rsidRPr="00501526">
              <w:rPr>
                <w:iCs/>
              </w:rPr>
              <w:t>the</w:t>
            </w:r>
            <w:r w:rsidR="00CB7368" w:rsidRPr="00501526">
              <w:rPr>
                <w:iCs/>
              </w:rPr>
              <w:t xml:space="preserve"> </w:t>
            </w:r>
            <w:r w:rsidRPr="00501526">
              <w:rPr>
                <w:iCs/>
              </w:rPr>
              <w:t>utility for &gt;1,</w:t>
            </w:r>
            <w:r w:rsidR="00E30172">
              <w:rPr>
                <w:iCs/>
              </w:rPr>
              <w:t xml:space="preserve"> </w:t>
            </w:r>
            <w:r w:rsidR="00C36D0E" w:rsidRPr="00501526">
              <w:rPr>
                <w:iCs/>
              </w:rPr>
              <w:t>200</w:t>
            </w:r>
            <w:r w:rsidR="00C36D0E">
              <w:rPr>
                <w:iCs/>
              </w:rPr>
              <w:t> </w:t>
            </w:r>
            <w:r w:rsidRPr="00501526">
              <w:rPr>
                <w:iCs/>
              </w:rPr>
              <w:t>µmol/L to 0.37 (corresponding to utility in uncontrolled disease in March 2018 submission) increased the ICER by 18% to $</w:t>
            </w:r>
            <w:r w:rsidR="00542E3B" w:rsidRPr="00542E3B">
              <w:rPr>
                <w:iCs/>
                <w:color w:val="000000"/>
                <w:spacing w:val="53"/>
                <w:shd w:val="solid" w:color="000000" w:fill="000000"/>
                <w:fitText w:val="331" w:id="-1435870457"/>
                <w14:textFill>
                  <w14:solidFill>
                    <w14:srgbClr w14:val="000000">
                      <w14:alpha w14:val="100000"/>
                    </w14:srgbClr>
                  </w14:solidFill>
                </w14:textFill>
              </w:rPr>
              <w:t>|||</w:t>
            </w:r>
            <w:r w:rsidR="00542E3B" w:rsidRPr="00542E3B">
              <w:rPr>
                <w:iCs/>
                <w:color w:val="000000"/>
                <w:spacing w:val="2"/>
                <w:shd w:val="solid" w:color="000000" w:fill="000000"/>
                <w:fitText w:val="331" w:id="-1435870457"/>
                <w14:textFill>
                  <w14:solidFill>
                    <w14:srgbClr w14:val="000000">
                      <w14:alpha w14:val="100000"/>
                    </w14:srgbClr>
                  </w14:solidFill>
                </w14:textFill>
              </w:rPr>
              <w:t>|</w:t>
            </w:r>
            <w:r w:rsidR="00C36D0E">
              <w:rPr>
                <w:iCs/>
                <w:vertAlign w:val="superscript"/>
              </w:rPr>
              <w:t>4</w:t>
            </w:r>
            <w:r w:rsidRPr="00501526">
              <w:rPr>
                <w:iCs/>
              </w:rPr>
              <w:t>)</w:t>
            </w:r>
          </w:p>
        </w:tc>
      </w:tr>
    </w:tbl>
    <w:p w14:paraId="1B99A9FE" w14:textId="3F20BCF6" w:rsidR="00891151" w:rsidRDefault="00891151" w:rsidP="00C36D0E">
      <w:pPr>
        <w:pStyle w:val="TableFigureFooter"/>
        <w:spacing w:after="0"/>
        <w:rPr>
          <w:iCs/>
        </w:rPr>
      </w:pPr>
      <w:r w:rsidRPr="00501526">
        <w:rPr>
          <w:iCs/>
        </w:rPr>
        <w:t xml:space="preserve">Source: Constructed during the evaluation. </w:t>
      </w:r>
    </w:p>
    <w:p w14:paraId="5B218D32" w14:textId="77777777" w:rsidR="00C36D0E" w:rsidRPr="009A6D58" w:rsidRDefault="00C36D0E" w:rsidP="00C36D0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22EECF7" w14:textId="77777777" w:rsidR="00C36D0E" w:rsidRPr="00C36D0E" w:rsidRDefault="00C36D0E" w:rsidP="00C36D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36D0E">
        <w:rPr>
          <w:rFonts w:ascii="Arial Narrow" w:hAnsi="Arial Narrow"/>
          <w:i/>
          <w:sz w:val="18"/>
          <w:szCs w:val="18"/>
        </w:rPr>
        <w:t>$555,000 to &lt; $655,000</w:t>
      </w:r>
    </w:p>
    <w:p w14:paraId="7BE9056B" w14:textId="60CD5709" w:rsidR="00C36D0E" w:rsidRPr="009A6D58" w:rsidRDefault="00C36D0E" w:rsidP="00C36D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36D0E">
        <w:rPr>
          <w:rFonts w:ascii="Arial Narrow" w:hAnsi="Arial Narrow"/>
          <w:i/>
          <w:sz w:val="18"/>
          <w:szCs w:val="18"/>
        </w:rPr>
        <w:t>$255,000 to &lt; $355,000</w:t>
      </w:r>
    </w:p>
    <w:p w14:paraId="3581E5FD" w14:textId="435BE622" w:rsidR="00C36D0E" w:rsidRDefault="00C36D0E" w:rsidP="00C36D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36D0E">
        <w:rPr>
          <w:rFonts w:ascii="Arial Narrow" w:hAnsi="Arial Narrow"/>
          <w:i/>
          <w:sz w:val="18"/>
          <w:szCs w:val="18"/>
        </w:rPr>
        <w:t>&gt; $1,055,000</w:t>
      </w:r>
    </w:p>
    <w:p w14:paraId="65FDF80A" w14:textId="4A86BCBB" w:rsidR="00C36D0E" w:rsidRPr="00501526" w:rsidRDefault="00C36D0E" w:rsidP="00C36D0E">
      <w:pPr>
        <w:spacing w:after="240"/>
        <w:rPr>
          <w:iCs/>
        </w:rPr>
      </w:pPr>
      <w:r>
        <w:rPr>
          <w:rFonts w:ascii="Arial Narrow" w:hAnsi="Arial Narrow"/>
          <w:i/>
          <w:sz w:val="18"/>
          <w:szCs w:val="18"/>
          <w:vertAlign w:val="superscript"/>
        </w:rPr>
        <w:t>4</w:t>
      </w:r>
      <w:r>
        <w:rPr>
          <w:rFonts w:ascii="Arial Narrow" w:hAnsi="Arial Narrow"/>
          <w:i/>
          <w:sz w:val="18"/>
          <w:szCs w:val="18"/>
        </w:rPr>
        <w:t xml:space="preserve"> </w:t>
      </w:r>
      <w:r w:rsidRPr="00C36D0E">
        <w:rPr>
          <w:rFonts w:ascii="Arial Narrow" w:hAnsi="Arial Narrow"/>
          <w:i/>
          <w:sz w:val="18"/>
          <w:szCs w:val="18"/>
        </w:rPr>
        <w:t>$655,000 to &lt; $755,000</w:t>
      </w:r>
    </w:p>
    <w:p w14:paraId="05E38F7E" w14:textId="2FEFAF22" w:rsidR="00FC7508" w:rsidRPr="00501526" w:rsidRDefault="0034260C" w:rsidP="00BB00B3">
      <w:pPr>
        <w:pStyle w:val="3-BodyText"/>
        <w:rPr>
          <w:iCs/>
        </w:rPr>
      </w:pPr>
      <w:bookmarkStart w:id="46" w:name="_Ref108685082"/>
      <w:r w:rsidRPr="00501526">
        <w:rPr>
          <w:iCs/>
        </w:rPr>
        <w:t>R</w:t>
      </w:r>
      <w:r w:rsidR="00FC7508" w:rsidRPr="00501526">
        <w:rPr>
          <w:iCs/>
        </w:rPr>
        <w:t>esponse rate to sapropterin was not a key driver of the model</w:t>
      </w:r>
      <w:r w:rsidR="00C3531B">
        <w:rPr>
          <w:iCs/>
        </w:rPr>
        <w:t xml:space="preserve"> as non</w:t>
      </w:r>
      <w:r w:rsidR="00C3531B">
        <w:rPr>
          <w:iCs/>
        </w:rPr>
        <w:noBreakHyphen/>
        <w:t>responders discontinue treatment after 7 days</w:t>
      </w:r>
      <w:r w:rsidR="00FC7508" w:rsidRPr="00501526">
        <w:rPr>
          <w:iCs/>
        </w:rPr>
        <w:t>. Using a response rate of 10.4% (</w:t>
      </w:r>
      <w:r w:rsidR="006A4932">
        <w:rPr>
          <w:iCs/>
        </w:rPr>
        <w:t>b</w:t>
      </w:r>
      <w:r w:rsidR="00C3531B" w:rsidRPr="00C3531B">
        <w:rPr>
          <w:iCs/>
        </w:rPr>
        <w:t>ased on 12/115 adult patients with baseline Phe ≥</w:t>
      </w:r>
      <w:r w:rsidR="00500FED">
        <w:rPr>
          <w:iCs/>
        </w:rPr>
        <w:t> </w:t>
      </w:r>
      <w:r w:rsidR="00500FED" w:rsidRPr="00C3531B">
        <w:rPr>
          <w:iCs/>
        </w:rPr>
        <w:t>600</w:t>
      </w:r>
      <w:r w:rsidR="00500FED">
        <w:rPr>
          <w:iCs/>
        </w:rPr>
        <w:t> </w:t>
      </w:r>
      <w:r w:rsidR="00C3531B" w:rsidRPr="00C3531B">
        <w:rPr>
          <w:iCs/>
        </w:rPr>
        <w:t>µmol/L who had at least one blood-Phe measurement which was ≥</w:t>
      </w:r>
      <w:r w:rsidR="00500FED">
        <w:rPr>
          <w:iCs/>
        </w:rPr>
        <w:t> </w:t>
      </w:r>
      <w:r w:rsidR="00C3531B" w:rsidRPr="00C3531B">
        <w:rPr>
          <w:iCs/>
        </w:rPr>
        <w:t>30% lower than baseline within the first 7 days of treatment with sapropterin</w:t>
      </w:r>
      <w:r w:rsidR="00C3531B">
        <w:rPr>
          <w:iCs/>
        </w:rPr>
        <w:t xml:space="preserve"> from PKUDOS data</w:t>
      </w:r>
      <w:r w:rsidR="00FC7508" w:rsidRPr="00501526">
        <w:rPr>
          <w:iCs/>
        </w:rPr>
        <w:t xml:space="preserve">) </w:t>
      </w:r>
      <w:r w:rsidR="00FA5533" w:rsidRPr="00501526">
        <w:rPr>
          <w:iCs/>
        </w:rPr>
        <w:t>increased the ICER by only 2.3%</w:t>
      </w:r>
      <w:r w:rsidR="006A4932">
        <w:rPr>
          <w:iCs/>
        </w:rPr>
        <w:t xml:space="preserve"> (compared with using the base case response rate of 23.5%, which was based on the response rate observed at one month)</w:t>
      </w:r>
      <w:r w:rsidRPr="00501526">
        <w:rPr>
          <w:iCs/>
        </w:rPr>
        <w:t xml:space="preserve">. </w:t>
      </w:r>
      <w:r w:rsidR="00357851">
        <w:rPr>
          <w:iCs/>
        </w:rPr>
        <w:t xml:space="preserve">The pre-PBAC response stated </w:t>
      </w:r>
      <w:r w:rsidR="00357851">
        <w:t>there were insufficient data in the PKUDOS registry to reliably estimate the proportion of patients who achieved a response to sapropterin at one week and argued that given the rapid onset of action of sapropterin, the use of the response rate at one month as a proxy for that at one week was reasonable.</w:t>
      </w:r>
      <w:bookmarkEnd w:id="46"/>
      <w:r w:rsidR="00357851">
        <w:t xml:space="preserve"> </w:t>
      </w:r>
    </w:p>
    <w:p w14:paraId="5C81626F" w14:textId="2D582AB9" w:rsidR="00891151" w:rsidRPr="00501526" w:rsidRDefault="00891151" w:rsidP="00BB00B3">
      <w:pPr>
        <w:pStyle w:val="3-BodyText"/>
        <w:rPr>
          <w:iCs/>
        </w:rPr>
      </w:pPr>
      <w:r w:rsidRPr="00501526">
        <w:rPr>
          <w:iCs/>
        </w:rPr>
        <w:t xml:space="preserve">The results </w:t>
      </w:r>
      <w:r w:rsidR="004305CD" w:rsidRPr="00501526">
        <w:rPr>
          <w:iCs/>
        </w:rPr>
        <w:t>of the economic model</w:t>
      </w:r>
      <w:r w:rsidR="005E400C" w:rsidRPr="00501526">
        <w:rPr>
          <w:iCs/>
        </w:rPr>
        <w:t xml:space="preserve"> </w:t>
      </w:r>
      <w:r w:rsidRPr="00501526">
        <w:rPr>
          <w:iCs/>
        </w:rPr>
        <w:t xml:space="preserve">are presented in </w:t>
      </w:r>
      <w:r w:rsidRPr="00501526">
        <w:rPr>
          <w:iCs/>
        </w:rPr>
        <w:fldChar w:fldCharType="begin"/>
      </w:r>
      <w:r w:rsidRPr="00501526">
        <w:rPr>
          <w:iCs/>
        </w:rPr>
        <w:instrText xml:space="preserve"> REF _Ref102424203 \h  \* MERGEFORMAT </w:instrText>
      </w:r>
      <w:r w:rsidRPr="00501526">
        <w:rPr>
          <w:iCs/>
        </w:rPr>
      </w:r>
      <w:r w:rsidRPr="00501526">
        <w:rPr>
          <w:iCs/>
        </w:rPr>
        <w:fldChar w:fldCharType="separate"/>
      </w:r>
      <w:r w:rsidR="0035299E" w:rsidRPr="0035299E">
        <w:t>Table 11</w:t>
      </w:r>
      <w:r w:rsidRPr="00501526">
        <w:rPr>
          <w:iCs/>
        </w:rPr>
        <w:fldChar w:fldCharType="end"/>
      </w:r>
      <w:r w:rsidRPr="00501526">
        <w:rPr>
          <w:iCs/>
        </w:rPr>
        <w:t>.</w:t>
      </w:r>
    </w:p>
    <w:p w14:paraId="63D487B8" w14:textId="24313FE3" w:rsidR="00D110BD" w:rsidRPr="00501526" w:rsidRDefault="005A373D" w:rsidP="00BB00B3">
      <w:pPr>
        <w:pStyle w:val="TableFigureHeading"/>
        <w:rPr>
          <w:iCs/>
        </w:rPr>
      </w:pPr>
      <w:bookmarkStart w:id="47" w:name="_Ref102424203"/>
      <w:r w:rsidRPr="00501526">
        <w:rPr>
          <w:rStyle w:val="CommentReference"/>
          <w:b/>
          <w:iCs/>
          <w:szCs w:val="24"/>
        </w:rPr>
        <w:lastRenderedPageBreak/>
        <w:t xml:space="preserve">Table </w:t>
      </w:r>
      <w:r w:rsidR="00CA35AC" w:rsidRPr="00501526">
        <w:rPr>
          <w:rStyle w:val="CommentReference"/>
          <w:b/>
          <w:iCs/>
          <w:szCs w:val="24"/>
        </w:rPr>
        <w:fldChar w:fldCharType="begin"/>
      </w:r>
      <w:r w:rsidR="00CA35AC" w:rsidRPr="00501526">
        <w:rPr>
          <w:rStyle w:val="CommentReference"/>
          <w:b/>
          <w:iCs/>
          <w:szCs w:val="24"/>
        </w:rPr>
        <w:instrText xml:space="preserve"> SEQ Table \* MERGEFORMAT </w:instrText>
      </w:r>
      <w:r w:rsidR="00CA35AC" w:rsidRPr="00501526">
        <w:rPr>
          <w:rStyle w:val="CommentReference"/>
          <w:b/>
          <w:iCs/>
          <w:szCs w:val="24"/>
        </w:rPr>
        <w:fldChar w:fldCharType="separate"/>
      </w:r>
      <w:r w:rsidR="0035299E">
        <w:rPr>
          <w:rStyle w:val="CommentReference"/>
          <w:b/>
          <w:iCs/>
          <w:noProof/>
          <w:szCs w:val="24"/>
        </w:rPr>
        <w:t>11</w:t>
      </w:r>
      <w:r w:rsidR="00CA35AC" w:rsidRPr="00501526">
        <w:rPr>
          <w:rStyle w:val="CommentReference"/>
          <w:b/>
          <w:iCs/>
          <w:szCs w:val="24"/>
        </w:rPr>
        <w:fldChar w:fldCharType="end"/>
      </w:r>
      <w:bookmarkEnd w:id="47"/>
      <w:r w:rsidR="00CA35AC" w:rsidRPr="00501526">
        <w:rPr>
          <w:rStyle w:val="CommentReference"/>
          <w:b/>
          <w:iCs/>
          <w:szCs w:val="24"/>
        </w:rPr>
        <w:t>:</w:t>
      </w:r>
      <w:r w:rsidRPr="00501526">
        <w:rPr>
          <w:rStyle w:val="CommentReference"/>
          <w:b/>
          <w:iCs/>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5A373D" w:rsidRPr="00501526" w14:paraId="39DC606E" w14:textId="77777777" w:rsidTr="006B35E6">
        <w:trPr>
          <w:cantSplit/>
          <w:tblHeader/>
        </w:trPr>
        <w:tc>
          <w:tcPr>
            <w:tcW w:w="1529" w:type="pct"/>
            <w:vAlign w:val="center"/>
          </w:tcPr>
          <w:p w14:paraId="1F47FCAE" w14:textId="77777777" w:rsidR="005A373D" w:rsidRPr="00501526" w:rsidRDefault="005A373D" w:rsidP="00BB00B3">
            <w:pPr>
              <w:pStyle w:val="In-tableHeading"/>
              <w:rPr>
                <w:iCs/>
                <w:lang w:val="en-AU"/>
              </w:rPr>
            </w:pPr>
            <w:r w:rsidRPr="00501526">
              <w:rPr>
                <w:iCs/>
                <w:lang w:val="en-AU"/>
              </w:rPr>
              <w:t>Step and component</w:t>
            </w:r>
          </w:p>
        </w:tc>
        <w:tc>
          <w:tcPr>
            <w:tcW w:w="1359" w:type="pct"/>
            <w:vAlign w:val="center"/>
          </w:tcPr>
          <w:p w14:paraId="27B572FC" w14:textId="26D9F0D7" w:rsidR="005A373D" w:rsidRPr="00501526" w:rsidRDefault="002D2806" w:rsidP="00BB00B3">
            <w:pPr>
              <w:pStyle w:val="In-tableHeading"/>
              <w:jc w:val="center"/>
              <w:rPr>
                <w:iCs/>
                <w:lang w:val="en-AU"/>
              </w:rPr>
            </w:pPr>
            <w:r w:rsidRPr="00501526">
              <w:rPr>
                <w:iCs/>
                <w:lang w:val="en-AU"/>
              </w:rPr>
              <w:t xml:space="preserve">Sapropterin </w:t>
            </w:r>
          </w:p>
        </w:tc>
        <w:tc>
          <w:tcPr>
            <w:tcW w:w="1274" w:type="pct"/>
            <w:vAlign w:val="center"/>
          </w:tcPr>
          <w:p w14:paraId="7708E3DE" w14:textId="44550DCA" w:rsidR="005A373D" w:rsidRPr="00501526" w:rsidRDefault="002D2806" w:rsidP="00BB00B3">
            <w:pPr>
              <w:pStyle w:val="In-tableHeading"/>
              <w:jc w:val="center"/>
              <w:rPr>
                <w:iCs/>
                <w:lang w:val="en-AU"/>
              </w:rPr>
            </w:pPr>
            <w:r w:rsidRPr="00501526">
              <w:rPr>
                <w:iCs/>
                <w:lang w:val="en-AU"/>
              </w:rPr>
              <w:t xml:space="preserve">Phe </w:t>
            </w:r>
            <w:r w:rsidR="008734A0" w:rsidRPr="00501526">
              <w:rPr>
                <w:iCs/>
                <w:lang w:val="en-AU"/>
              </w:rPr>
              <w:t>restricted diet</w:t>
            </w:r>
            <w:r w:rsidRPr="00501526">
              <w:rPr>
                <w:iCs/>
                <w:lang w:val="en-AU"/>
              </w:rPr>
              <w:t xml:space="preserve"> alone</w:t>
            </w:r>
          </w:p>
        </w:tc>
        <w:tc>
          <w:tcPr>
            <w:tcW w:w="838" w:type="pct"/>
            <w:vAlign w:val="center"/>
          </w:tcPr>
          <w:p w14:paraId="2B1AAFF0" w14:textId="77777777" w:rsidR="005A373D" w:rsidRPr="00501526" w:rsidRDefault="005A373D" w:rsidP="00BB00B3">
            <w:pPr>
              <w:pStyle w:val="In-tableHeading"/>
              <w:jc w:val="center"/>
              <w:rPr>
                <w:iCs/>
                <w:lang w:val="en-AU"/>
              </w:rPr>
            </w:pPr>
            <w:r w:rsidRPr="00501526">
              <w:rPr>
                <w:iCs/>
                <w:lang w:val="en-AU"/>
              </w:rPr>
              <w:t>Increment</w:t>
            </w:r>
          </w:p>
        </w:tc>
      </w:tr>
      <w:tr w:rsidR="005A373D" w:rsidRPr="00501526" w14:paraId="10BD669F" w14:textId="77777777" w:rsidTr="006B35E6">
        <w:trPr>
          <w:cantSplit/>
        </w:trPr>
        <w:tc>
          <w:tcPr>
            <w:tcW w:w="5000" w:type="pct"/>
            <w:gridSpan w:val="4"/>
            <w:vAlign w:val="center"/>
          </w:tcPr>
          <w:p w14:paraId="566C386C" w14:textId="340C13DC" w:rsidR="005A373D" w:rsidRPr="00492F05" w:rsidRDefault="005A373D" w:rsidP="00BB00B3">
            <w:pPr>
              <w:pStyle w:val="In-tableHeading"/>
              <w:rPr>
                <w:iCs/>
                <w:lang w:val="en-AU"/>
              </w:rPr>
            </w:pPr>
            <w:r w:rsidRPr="00492F05">
              <w:rPr>
                <w:iCs/>
                <w:lang w:val="en-AU"/>
              </w:rPr>
              <w:t xml:space="preserve">Step 1: </w:t>
            </w:r>
            <w:r w:rsidR="002D2806" w:rsidRPr="00492F05">
              <w:rPr>
                <w:iCs/>
                <w:lang w:val="en-AU"/>
              </w:rPr>
              <w:t>Response rate with time horizon 1 week</w:t>
            </w:r>
          </w:p>
        </w:tc>
      </w:tr>
      <w:tr w:rsidR="002D2806" w:rsidRPr="00501526" w14:paraId="2B77DE7D" w14:textId="77777777" w:rsidTr="006B35E6">
        <w:trPr>
          <w:cantSplit/>
        </w:trPr>
        <w:tc>
          <w:tcPr>
            <w:tcW w:w="1529" w:type="pct"/>
            <w:vAlign w:val="center"/>
          </w:tcPr>
          <w:p w14:paraId="4D169E01" w14:textId="77777777" w:rsidR="002D2806" w:rsidRPr="00501526" w:rsidRDefault="002D2806" w:rsidP="002D2806">
            <w:pPr>
              <w:pStyle w:val="TableText0"/>
              <w:rPr>
                <w:rFonts w:ascii="Times" w:hAnsi="Times"/>
                <w:iCs/>
              </w:rPr>
            </w:pPr>
            <w:r w:rsidRPr="00501526">
              <w:rPr>
                <w:iCs/>
              </w:rPr>
              <w:t>Costs</w:t>
            </w:r>
          </w:p>
        </w:tc>
        <w:tc>
          <w:tcPr>
            <w:tcW w:w="1359" w:type="pct"/>
            <w:vAlign w:val="center"/>
          </w:tcPr>
          <w:p w14:paraId="77B867B3" w14:textId="249B3A57"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1274" w:type="pct"/>
            <w:vAlign w:val="center"/>
          </w:tcPr>
          <w:p w14:paraId="786F27F9" w14:textId="72E1284D" w:rsidR="002D2806" w:rsidRPr="00492F05" w:rsidRDefault="002D2806" w:rsidP="002D2806">
            <w:pPr>
              <w:pStyle w:val="TableText0"/>
              <w:jc w:val="center"/>
              <w:rPr>
                <w:rFonts w:ascii="Times" w:hAnsi="Times"/>
                <w:iCs/>
              </w:rPr>
            </w:pPr>
            <w:r w:rsidRPr="00492F05">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838" w:type="pct"/>
            <w:vAlign w:val="center"/>
          </w:tcPr>
          <w:p w14:paraId="5B5D75AA" w14:textId="27783876"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r>
      <w:tr w:rsidR="002D2806" w:rsidRPr="00501526" w14:paraId="4924A24D" w14:textId="77777777" w:rsidTr="006B35E6">
        <w:trPr>
          <w:cantSplit/>
        </w:trPr>
        <w:tc>
          <w:tcPr>
            <w:tcW w:w="1529" w:type="pct"/>
            <w:vAlign w:val="center"/>
          </w:tcPr>
          <w:p w14:paraId="309F322F" w14:textId="6C4CD6AF" w:rsidR="002D2806" w:rsidRPr="00501526" w:rsidRDefault="002D2806" w:rsidP="002D2806">
            <w:pPr>
              <w:pStyle w:val="TableText0"/>
              <w:rPr>
                <w:rFonts w:ascii="Times" w:hAnsi="Times"/>
                <w:iCs/>
              </w:rPr>
            </w:pPr>
            <w:r w:rsidRPr="00501526">
              <w:rPr>
                <w:iCs/>
              </w:rPr>
              <w:t>Responder</w:t>
            </w:r>
          </w:p>
        </w:tc>
        <w:tc>
          <w:tcPr>
            <w:tcW w:w="1359" w:type="pct"/>
            <w:vAlign w:val="center"/>
          </w:tcPr>
          <w:p w14:paraId="66550791" w14:textId="3360CCA8" w:rsidR="002D2806" w:rsidRPr="00501526" w:rsidRDefault="002D2806" w:rsidP="002D2806">
            <w:pPr>
              <w:pStyle w:val="TableText0"/>
              <w:jc w:val="center"/>
              <w:rPr>
                <w:rFonts w:ascii="Times" w:hAnsi="Times"/>
                <w:iCs/>
              </w:rPr>
            </w:pPr>
            <w:r w:rsidRPr="00501526">
              <w:rPr>
                <w:rFonts w:cs="Calibri"/>
                <w:iCs/>
                <w:szCs w:val="20"/>
              </w:rPr>
              <w:t>23.46%</w:t>
            </w:r>
          </w:p>
        </w:tc>
        <w:tc>
          <w:tcPr>
            <w:tcW w:w="1274" w:type="pct"/>
            <w:vAlign w:val="center"/>
          </w:tcPr>
          <w:p w14:paraId="6710455A" w14:textId="1C177DDD" w:rsidR="002D2806" w:rsidRPr="00492F05" w:rsidRDefault="002D2806" w:rsidP="002D2806">
            <w:pPr>
              <w:pStyle w:val="TableText0"/>
              <w:jc w:val="center"/>
              <w:rPr>
                <w:rFonts w:ascii="Times" w:hAnsi="Times"/>
                <w:iCs/>
              </w:rPr>
            </w:pPr>
            <w:r w:rsidRPr="00492F05">
              <w:rPr>
                <w:rFonts w:cs="Calibri"/>
                <w:iCs/>
                <w:szCs w:val="20"/>
              </w:rPr>
              <w:t>0.00</w:t>
            </w:r>
          </w:p>
        </w:tc>
        <w:tc>
          <w:tcPr>
            <w:tcW w:w="838" w:type="pct"/>
            <w:vAlign w:val="center"/>
          </w:tcPr>
          <w:p w14:paraId="76417B50" w14:textId="729E94C7" w:rsidR="002D2806" w:rsidRPr="00501526" w:rsidRDefault="002D2806" w:rsidP="002D2806">
            <w:pPr>
              <w:pStyle w:val="TableText0"/>
              <w:jc w:val="center"/>
              <w:rPr>
                <w:iCs/>
              </w:rPr>
            </w:pPr>
            <w:r w:rsidRPr="00501526">
              <w:rPr>
                <w:rFonts w:cs="Calibri"/>
                <w:iCs/>
                <w:szCs w:val="20"/>
              </w:rPr>
              <w:t>23.46%</w:t>
            </w:r>
          </w:p>
        </w:tc>
      </w:tr>
      <w:tr w:rsidR="005A373D" w:rsidRPr="00501526" w14:paraId="3C6CE1BE" w14:textId="77777777" w:rsidTr="006B35E6">
        <w:trPr>
          <w:cantSplit/>
        </w:trPr>
        <w:tc>
          <w:tcPr>
            <w:tcW w:w="4162" w:type="pct"/>
            <w:gridSpan w:val="3"/>
            <w:vAlign w:val="center"/>
          </w:tcPr>
          <w:p w14:paraId="1D732FBA" w14:textId="29CE2AE8" w:rsidR="005A373D" w:rsidRPr="00492F05" w:rsidRDefault="005A373D" w:rsidP="00BB00B3">
            <w:pPr>
              <w:pStyle w:val="TableText0"/>
              <w:rPr>
                <w:rFonts w:ascii="Times" w:hAnsi="Times"/>
                <w:iCs/>
              </w:rPr>
            </w:pPr>
            <w:r w:rsidRPr="00492F05">
              <w:rPr>
                <w:iCs/>
              </w:rPr>
              <w:t xml:space="preserve">Incremental cost/extra </w:t>
            </w:r>
            <w:r w:rsidR="0099160E" w:rsidRPr="00492F05">
              <w:rPr>
                <w:iCs/>
              </w:rPr>
              <w:t>responder</w:t>
            </w:r>
            <w:r w:rsidRPr="00492F05">
              <w:rPr>
                <w:iCs/>
              </w:rPr>
              <w:t xml:space="preserve"> gained</w:t>
            </w:r>
          </w:p>
        </w:tc>
        <w:tc>
          <w:tcPr>
            <w:tcW w:w="838" w:type="pct"/>
            <w:vAlign w:val="center"/>
          </w:tcPr>
          <w:p w14:paraId="66FABE8C" w14:textId="5C84B45F" w:rsidR="005A373D" w:rsidRPr="00501526" w:rsidRDefault="002D2806" w:rsidP="00BB00B3">
            <w:pPr>
              <w:pStyle w:val="TableText0"/>
              <w:jc w:val="center"/>
              <w:rPr>
                <w:rFonts w:ascii="Times" w:hAnsi="Times"/>
                <w:iCs/>
              </w:rPr>
            </w:pPr>
            <w:r w:rsidRPr="00501526">
              <w:rPr>
                <w:iCs/>
              </w:rPr>
              <w:t>$</w:t>
            </w:r>
            <w:r w:rsidR="00542E3B" w:rsidRPr="00542E3B">
              <w:rPr>
                <w:iCs/>
                <w:color w:val="000000"/>
                <w:spacing w:val="50"/>
                <w:shd w:val="solid" w:color="000000" w:fill="000000"/>
                <w:fitText w:val="323" w:id="-1435870456"/>
                <w14:textFill>
                  <w14:solidFill>
                    <w14:srgbClr w14:val="000000">
                      <w14:alpha w14:val="100000"/>
                    </w14:srgbClr>
                  </w14:solidFill>
                </w14:textFill>
              </w:rPr>
              <w:t>|||</w:t>
            </w:r>
            <w:r w:rsidR="00542E3B" w:rsidRPr="00542E3B">
              <w:rPr>
                <w:iCs/>
                <w:color w:val="000000"/>
                <w:spacing w:val="3"/>
                <w:shd w:val="solid" w:color="000000" w:fill="000000"/>
                <w:fitText w:val="323" w:id="-1435870456"/>
                <w14:textFill>
                  <w14:solidFill>
                    <w14:srgbClr w14:val="000000">
                      <w14:alpha w14:val="100000"/>
                    </w14:srgbClr>
                  </w14:solidFill>
                </w14:textFill>
              </w:rPr>
              <w:t>|</w:t>
            </w:r>
            <w:r w:rsidR="00204F0E">
              <w:rPr>
                <w:iCs/>
                <w:vertAlign w:val="superscript"/>
              </w:rPr>
              <w:t>1</w:t>
            </w:r>
            <w:r w:rsidRPr="00501526">
              <w:rPr>
                <w:iCs/>
              </w:rPr>
              <w:t>/Responder</w:t>
            </w:r>
          </w:p>
        </w:tc>
      </w:tr>
      <w:tr w:rsidR="005A373D" w:rsidRPr="00501526" w14:paraId="4D2A4C23" w14:textId="77777777" w:rsidTr="006B35E6">
        <w:trPr>
          <w:cantSplit/>
        </w:trPr>
        <w:tc>
          <w:tcPr>
            <w:tcW w:w="5000" w:type="pct"/>
            <w:gridSpan w:val="4"/>
            <w:vAlign w:val="center"/>
          </w:tcPr>
          <w:p w14:paraId="381D0A8B" w14:textId="73355154" w:rsidR="005A373D" w:rsidRPr="00492F05" w:rsidRDefault="005A373D" w:rsidP="00056ECF">
            <w:pPr>
              <w:pStyle w:val="In-tableHeading"/>
              <w:rPr>
                <w:iCs/>
                <w:lang w:val="en-AU"/>
              </w:rPr>
            </w:pPr>
            <w:r w:rsidRPr="00492F05">
              <w:rPr>
                <w:iCs/>
                <w:lang w:val="en-AU"/>
              </w:rPr>
              <w:t xml:space="preserve">Step 2: </w:t>
            </w:r>
            <w:r w:rsidR="002D2806" w:rsidRPr="00492F05">
              <w:rPr>
                <w:iCs/>
                <w:lang w:val="en-AU"/>
              </w:rPr>
              <w:t>including extrapolation, background mortality and transformation to QALYs</w:t>
            </w:r>
          </w:p>
        </w:tc>
      </w:tr>
      <w:tr w:rsidR="002D2806" w:rsidRPr="00501526" w14:paraId="7A9CD9EF" w14:textId="77777777" w:rsidTr="006B35E6">
        <w:trPr>
          <w:cantSplit/>
        </w:trPr>
        <w:tc>
          <w:tcPr>
            <w:tcW w:w="1529" w:type="pct"/>
            <w:vAlign w:val="center"/>
          </w:tcPr>
          <w:p w14:paraId="6AB7CC27" w14:textId="77777777" w:rsidR="002D2806" w:rsidRPr="00501526" w:rsidRDefault="002D2806" w:rsidP="002D2806">
            <w:pPr>
              <w:pStyle w:val="TableText0"/>
              <w:rPr>
                <w:rFonts w:ascii="Times" w:hAnsi="Times"/>
                <w:iCs/>
              </w:rPr>
            </w:pPr>
            <w:r w:rsidRPr="00501526">
              <w:rPr>
                <w:iCs/>
              </w:rPr>
              <w:t>Costs</w:t>
            </w:r>
          </w:p>
        </w:tc>
        <w:tc>
          <w:tcPr>
            <w:tcW w:w="1359" w:type="pct"/>
            <w:vAlign w:val="center"/>
          </w:tcPr>
          <w:p w14:paraId="281FF486" w14:textId="64303AD7"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1274" w:type="pct"/>
            <w:vAlign w:val="center"/>
          </w:tcPr>
          <w:p w14:paraId="6CF471EC" w14:textId="5FF4F9BD" w:rsidR="002D2806" w:rsidRPr="00492F05" w:rsidRDefault="002D2806" w:rsidP="002D2806">
            <w:pPr>
              <w:pStyle w:val="TableText0"/>
              <w:jc w:val="center"/>
              <w:rPr>
                <w:rFonts w:ascii="Times" w:hAnsi="Times"/>
                <w:iCs/>
              </w:rPr>
            </w:pPr>
            <w:r w:rsidRPr="00492F05">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838" w:type="pct"/>
            <w:vAlign w:val="center"/>
          </w:tcPr>
          <w:p w14:paraId="78C3623E" w14:textId="7C45F7EB"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r>
      <w:tr w:rsidR="002D2806" w:rsidRPr="00501526" w14:paraId="07AE3C24" w14:textId="77777777" w:rsidTr="006B35E6">
        <w:trPr>
          <w:cantSplit/>
        </w:trPr>
        <w:tc>
          <w:tcPr>
            <w:tcW w:w="1529" w:type="pct"/>
            <w:vAlign w:val="center"/>
          </w:tcPr>
          <w:p w14:paraId="6E6197F0" w14:textId="4995941E" w:rsidR="002D2806" w:rsidRPr="00501526" w:rsidRDefault="002D2806" w:rsidP="002D2806">
            <w:pPr>
              <w:pStyle w:val="TableText0"/>
              <w:rPr>
                <w:rFonts w:ascii="Times" w:hAnsi="Times"/>
                <w:iCs/>
              </w:rPr>
            </w:pPr>
            <w:r w:rsidRPr="00501526">
              <w:rPr>
                <w:iCs/>
              </w:rPr>
              <w:t>QALY</w:t>
            </w:r>
          </w:p>
        </w:tc>
        <w:tc>
          <w:tcPr>
            <w:tcW w:w="1359" w:type="pct"/>
            <w:vAlign w:val="center"/>
          </w:tcPr>
          <w:p w14:paraId="310EC49B" w14:textId="3569A64F" w:rsidR="002D2806" w:rsidRPr="00501526" w:rsidRDefault="002D2806" w:rsidP="002D2806">
            <w:pPr>
              <w:pStyle w:val="TableText0"/>
              <w:jc w:val="center"/>
              <w:rPr>
                <w:rFonts w:ascii="Times" w:hAnsi="Times"/>
                <w:iCs/>
              </w:rPr>
            </w:pPr>
            <w:r w:rsidRPr="00501526">
              <w:rPr>
                <w:rFonts w:cs="Calibri"/>
                <w:iCs/>
                <w:szCs w:val="20"/>
              </w:rPr>
              <w:t>9.91</w:t>
            </w:r>
          </w:p>
        </w:tc>
        <w:tc>
          <w:tcPr>
            <w:tcW w:w="1274" w:type="pct"/>
            <w:vAlign w:val="center"/>
          </w:tcPr>
          <w:p w14:paraId="1E992FE0" w14:textId="66814864" w:rsidR="002D2806" w:rsidRPr="00492F05" w:rsidRDefault="002D2806" w:rsidP="002D2806">
            <w:pPr>
              <w:pStyle w:val="TableText0"/>
              <w:jc w:val="center"/>
              <w:rPr>
                <w:rFonts w:ascii="Times" w:hAnsi="Times"/>
                <w:iCs/>
              </w:rPr>
            </w:pPr>
            <w:r w:rsidRPr="00492F05">
              <w:rPr>
                <w:rFonts w:cs="Calibri"/>
                <w:iCs/>
                <w:szCs w:val="20"/>
              </w:rPr>
              <w:t>8.86</w:t>
            </w:r>
          </w:p>
        </w:tc>
        <w:tc>
          <w:tcPr>
            <w:tcW w:w="838" w:type="pct"/>
            <w:vAlign w:val="center"/>
          </w:tcPr>
          <w:p w14:paraId="75CE5560" w14:textId="3C66C03E" w:rsidR="002D2806" w:rsidRPr="00501526" w:rsidRDefault="002D2806" w:rsidP="002D2806">
            <w:pPr>
              <w:pStyle w:val="TableText0"/>
              <w:jc w:val="center"/>
              <w:rPr>
                <w:iCs/>
              </w:rPr>
            </w:pPr>
            <w:r w:rsidRPr="00501526">
              <w:rPr>
                <w:rFonts w:cs="Calibri"/>
                <w:iCs/>
                <w:szCs w:val="20"/>
              </w:rPr>
              <w:t>1.05</w:t>
            </w:r>
          </w:p>
        </w:tc>
      </w:tr>
      <w:tr w:rsidR="005A373D" w:rsidRPr="00501526" w14:paraId="3EED6463" w14:textId="77777777" w:rsidTr="006B35E6">
        <w:trPr>
          <w:cantSplit/>
        </w:trPr>
        <w:tc>
          <w:tcPr>
            <w:tcW w:w="4162" w:type="pct"/>
            <w:gridSpan w:val="3"/>
            <w:vAlign w:val="center"/>
          </w:tcPr>
          <w:p w14:paraId="4245D2B9" w14:textId="2805FDBF" w:rsidR="005A373D" w:rsidRPr="00492F05" w:rsidRDefault="005A373D" w:rsidP="00056ECF">
            <w:pPr>
              <w:pStyle w:val="TableText0"/>
              <w:rPr>
                <w:rFonts w:ascii="Times" w:hAnsi="Times"/>
                <w:iCs/>
              </w:rPr>
            </w:pPr>
            <w:r w:rsidRPr="00492F05">
              <w:rPr>
                <w:iCs/>
              </w:rPr>
              <w:t xml:space="preserve">Incremental cost/extra </w:t>
            </w:r>
            <w:r w:rsidR="0099160E" w:rsidRPr="00492F05">
              <w:rPr>
                <w:iCs/>
              </w:rPr>
              <w:t>QALY</w:t>
            </w:r>
            <w:r w:rsidRPr="00492F05">
              <w:rPr>
                <w:iCs/>
              </w:rPr>
              <w:t xml:space="preserve"> gained</w:t>
            </w:r>
          </w:p>
        </w:tc>
        <w:tc>
          <w:tcPr>
            <w:tcW w:w="838" w:type="pct"/>
            <w:vAlign w:val="center"/>
          </w:tcPr>
          <w:p w14:paraId="0BB1CC0A" w14:textId="30B4858B" w:rsidR="005A373D" w:rsidRPr="00501526" w:rsidRDefault="002D2806" w:rsidP="00BB00B3">
            <w:pPr>
              <w:pStyle w:val="TableText0"/>
              <w:jc w:val="center"/>
              <w:rPr>
                <w:rFonts w:ascii="Times" w:hAnsi="Times"/>
                <w:iCs/>
              </w:rPr>
            </w:pPr>
            <w:r w:rsidRPr="00501526">
              <w:rPr>
                <w:iCs/>
              </w:rPr>
              <w:t>$</w:t>
            </w:r>
            <w:r w:rsidR="00542E3B" w:rsidRPr="00542E3B">
              <w:rPr>
                <w:rFonts w:hint="eastAsia"/>
                <w:iCs/>
                <w:color w:val="000000"/>
                <w:w w:val="31"/>
                <w:shd w:val="solid" w:color="000000" w:fill="000000"/>
                <w:fitText w:val="138" w:id="-1435870455"/>
                <w14:textFill>
                  <w14:solidFill>
                    <w14:srgbClr w14:val="000000">
                      <w14:alpha w14:val="100000"/>
                    </w14:srgbClr>
                  </w14:solidFill>
                </w14:textFill>
              </w:rPr>
              <w:t xml:space="preserve">　</w:t>
            </w:r>
            <w:r w:rsidR="00542E3B" w:rsidRPr="00542E3B">
              <w:rPr>
                <w:iCs/>
                <w:color w:val="000000"/>
                <w:w w:val="31"/>
                <w:shd w:val="solid" w:color="000000" w:fill="000000"/>
                <w:fitText w:val="138" w:id="-1435870455"/>
                <w14:textFill>
                  <w14:solidFill>
                    <w14:srgbClr w14:val="000000">
                      <w14:alpha w14:val="100000"/>
                    </w14:srgbClr>
                  </w14:solidFill>
                </w14:textFill>
              </w:rPr>
              <w:t>|</w:t>
            </w:r>
            <w:r w:rsidR="00542E3B" w:rsidRPr="00542E3B">
              <w:rPr>
                <w:rFonts w:hint="eastAsia"/>
                <w:iCs/>
                <w:color w:val="000000"/>
                <w:spacing w:val="2"/>
                <w:w w:val="31"/>
                <w:shd w:val="solid" w:color="000000" w:fill="000000"/>
                <w:fitText w:val="138" w:id="-1435870455"/>
                <w14:textFill>
                  <w14:solidFill>
                    <w14:srgbClr w14:val="000000">
                      <w14:alpha w14:val="100000"/>
                    </w14:srgbClr>
                  </w14:solidFill>
                </w14:textFill>
              </w:rPr>
              <w:t xml:space="preserve">　</w:t>
            </w:r>
            <w:r w:rsidR="00204F0E">
              <w:rPr>
                <w:iCs/>
                <w:vertAlign w:val="superscript"/>
              </w:rPr>
              <w:t>2</w:t>
            </w:r>
            <w:r w:rsidRPr="00501526">
              <w:rPr>
                <w:iCs/>
              </w:rPr>
              <w:t>/QALY</w:t>
            </w:r>
          </w:p>
        </w:tc>
      </w:tr>
      <w:tr w:rsidR="005A373D" w:rsidRPr="00501526" w14:paraId="5990CECE" w14:textId="77777777" w:rsidTr="006B35E6">
        <w:trPr>
          <w:cantSplit/>
        </w:trPr>
        <w:tc>
          <w:tcPr>
            <w:tcW w:w="5000" w:type="pct"/>
            <w:gridSpan w:val="4"/>
            <w:vAlign w:val="center"/>
          </w:tcPr>
          <w:p w14:paraId="3431121E" w14:textId="7D403919" w:rsidR="005A373D" w:rsidRPr="00492F05" w:rsidRDefault="005A373D" w:rsidP="00056ECF">
            <w:pPr>
              <w:pStyle w:val="In-tableHeading"/>
              <w:rPr>
                <w:iCs/>
                <w:lang w:val="en-AU"/>
              </w:rPr>
            </w:pPr>
            <w:r w:rsidRPr="00492F05">
              <w:rPr>
                <w:iCs/>
                <w:lang w:val="en-AU"/>
              </w:rPr>
              <w:t xml:space="preserve">Step 3: </w:t>
            </w:r>
            <w:r w:rsidR="002D2806" w:rsidRPr="00492F05">
              <w:rPr>
                <w:iCs/>
                <w:lang w:val="en-AU"/>
              </w:rPr>
              <w:t>including continuing treatment criteria</w:t>
            </w:r>
          </w:p>
        </w:tc>
      </w:tr>
      <w:tr w:rsidR="002D2806" w:rsidRPr="00501526" w14:paraId="0E3524DE" w14:textId="77777777" w:rsidTr="006B35E6">
        <w:trPr>
          <w:cantSplit/>
        </w:trPr>
        <w:tc>
          <w:tcPr>
            <w:tcW w:w="1529" w:type="pct"/>
            <w:vAlign w:val="center"/>
          </w:tcPr>
          <w:p w14:paraId="235AA0BC" w14:textId="77777777" w:rsidR="002D2806" w:rsidRPr="00501526" w:rsidRDefault="002D2806" w:rsidP="002D2806">
            <w:pPr>
              <w:pStyle w:val="TableText0"/>
              <w:rPr>
                <w:rFonts w:ascii="Times" w:hAnsi="Times"/>
                <w:iCs/>
              </w:rPr>
            </w:pPr>
            <w:r w:rsidRPr="00501526">
              <w:rPr>
                <w:iCs/>
              </w:rPr>
              <w:t>Costs</w:t>
            </w:r>
          </w:p>
        </w:tc>
        <w:tc>
          <w:tcPr>
            <w:tcW w:w="1359" w:type="pct"/>
            <w:vAlign w:val="center"/>
          </w:tcPr>
          <w:p w14:paraId="66D5155A" w14:textId="20DB3D6B"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1274" w:type="pct"/>
            <w:vAlign w:val="center"/>
          </w:tcPr>
          <w:p w14:paraId="17A0FB5C" w14:textId="63F3A998" w:rsidR="002D2806" w:rsidRPr="00492F05" w:rsidRDefault="002D2806" w:rsidP="002D2806">
            <w:pPr>
              <w:pStyle w:val="TableText0"/>
              <w:jc w:val="center"/>
              <w:rPr>
                <w:rFonts w:ascii="Times" w:hAnsi="Times"/>
                <w:iCs/>
              </w:rPr>
            </w:pPr>
            <w:r w:rsidRPr="00492F05">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838" w:type="pct"/>
            <w:vAlign w:val="center"/>
          </w:tcPr>
          <w:p w14:paraId="15D7ADD9" w14:textId="371A8356"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r>
      <w:tr w:rsidR="002D2806" w:rsidRPr="00501526" w14:paraId="202735BA" w14:textId="77777777" w:rsidTr="006B35E6">
        <w:trPr>
          <w:cantSplit/>
        </w:trPr>
        <w:tc>
          <w:tcPr>
            <w:tcW w:w="1529" w:type="pct"/>
            <w:vAlign w:val="center"/>
          </w:tcPr>
          <w:p w14:paraId="27D4139E" w14:textId="44BDBDE4" w:rsidR="002D2806" w:rsidRPr="00501526" w:rsidRDefault="0099160E" w:rsidP="002D2806">
            <w:pPr>
              <w:pStyle w:val="TableText0"/>
              <w:rPr>
                <w:rFonts w:ascii="Times" w:hAnsi="Times"/>
                <w:iCs/>
              </w:rPr>
            </w:pPr>
            <w:r w:rsidRPr="00501526">
              <w:rPr>
                <w:iCs/>
              </w:rPr>
              <w:t>QALY</w:t>
            </w:r>
          </w:p>
        </w:tc>
        <w:tc>
          <w:tcPr>
            <w:tcW w:w="1359" w:type="pct"/>
            <w:vAlign w:val="center"/>
          </w:tcPr>
          <w:p w14:paraId="0E016C5E" w14:textId="74BC02A8" w:rsidR="002D2806" w:rsidRPr="00501526" w:rsidRDefault="002D2806" w:rsidP="002D2806">
            <w:pPr>
              <w:pStyle w:val="TableText0"/>
              <w:jc w:val="center"/>
              <w:rPr>
                <w:rFonts w:ascii="Times" w:hAnsi="Times"/>
                <w:iCs/>
              </w:rPr>
            </w:pPr>
            <w:r w:rsidRPr="00501526">
              <w:rPr>
                <w:rFonts w:cs="Calibri"/>
                <w:iCs/>
                <w:szCs w:val="20"/>
              </w:rPr>
              <w:t>9.57</w:t>
            </w:r>
          </w:p>
        </w:tc>
        <w:tc>
          <w:tcPr>
            <w:tcW w:w="1274" w:type="pct"/>
            <w:vAlign w:val="center"/>
          </w:tcPr>
          <w:p w14:paraId="67A70F10" w14:textId="1574BDA7" w:rsidR="002D2806" w:rsidRPr="00492F05" w:rsidRDefault="002D2806" w:rsidP="002D2806">
            <w:pPr>
              <w:pStyle w:val="TableText0"/>
              <w:jc w:val="center"/>
              <w:rPr>
                <w:rFonts w:ascii="Times" w:hAnsi="Times"/>
                <w:iCs/>
              </w:rPr>
            </w:pPr>
            <w:r w:rsidRPr="00492F05">
              <w:rPr>
                <w:rFonts w:cs="Calibri"/>
                <w:iCs/>
                <w:szCs w:val="20"/>
              </w:rPr>
              <w:t>8.86</w:t>
            </w:r>
          </w:p>
        </w:tc>
        <w:tc>
          <w:tcPr>
            <w:tcW w:w="838" w:type="pct"/>
            <w:vAlign w:val="center"/>
          </w:tcPr>
          <w:p w14:paraId="0EF9CC81" w14:textId="1B2464AB" w:rsidR="002D2806" w:rsidRPr="00501526" w:rsidRDefault="002D2806" w:rsidP="002D2806">
            <w:pPr>
              <w:pStyle w:val="TableText0"/>
              <w:jc w:val="center"/>
              <w:rPr>
                <w:iCs/>
              </w:rPr>
            </w:pPr>
            <w:r w:rsidRPr="00501526">
              <w:rPr>
                <w:rFonts w:cs="Calibri"/>
                <w:iCs/>
                <w:szCs w:val="20"/>
              </w:rPr>
              <w:t>0.71</w:t>
            </w:r>
          </w:p>
        </w:tc>
      </w:tr>
      <w:tr w:rsidR="005A373D" w:rsidRPr="00501526" w14:paraId="10329858" w14:textId="77777777" w:rsidTr="006B35E6">
        <w:trPr>
          <w:cantSplit/>
        </w:trPr>
        <w:tc>
          <w:tcPr>
            <w:tcW w:w="4162" w:type="pct"/>
            <w:gridSpan w:val="3"/>
            <w:vAlign w:val="center"/>
          </w:tcPr>
          <w:p w14:paraId="1B44D147" w14:textId="093D25AC" w:rsidR="005A373D" w:rsidRPr="00492F05" w:rsidRDefault="005A373D" w:rsidP="00056ECF">
            <w:pPr>
              <w:pStyle w:val="TableText0"/>
              <w:rPr>
                <w:rFonts w:ascii="Times" w:hAnsi="Times"/>
                <w:iCs/>
              </w:rPr>
            </w:pPr>
            <w:r w:rsidRPr="00492F05">
              <w:rPr>
                <w:iCs/>
              </w:rPr>
              <w:t xml:space="preserve">Incremental cost/extra </w:t>
            </w:r>
            <w:r w:rsidR="0099160E" w:rsidRPr="00492F05">
              <w:rPr>
                <w:iCs/>
              </w:rPr>
              <w:t>QALY</w:t>
            </w:r>
            <w:r w:rsidRPr="00492F05">
              <w:rPr>
                <w:iCs/>
              </w:rPr>
              <w:t xml:space="preserve"> gained</w:t>
            </w:r>
          </w:p>
        </w:tc>
        <w:tc>
          <w:tcPr>
            <w:tcW w:w="838" w:type="pct"/>
            <w:vAlign w:val="center"/>
          </w:tcPr>
          <w:p w14:paraId="3A1D46D1" w14:textId="7782D035" w:rsidR="005A373D" w:rsidRPr="00501526" w:rsidRDefault="002D2806" w:rsidP="00BB00B3">
            <w:pPr>
              <w:pStyle w:val="TableText0"/>
              <w:jc w:val="center"/>
              <w:rPr>
                <w:rFonts w:ascii="Times" w:hAnsi="Times"/>
                <w:iCs/>
              </w:rPr>
            </w:pPr>
            <w:r w:rsidRPr="00501526">
              <w:rPr>
                <w:rFonts w:cs="Calibri"/>
                <w:iCs/>
                <w:szCs w:val="20"/>
              </w:rPr>
              <w:t>$</w:t>
            </w:r>
            <w:r w:rsidR="00542E3B" w:rsidRPr="00542E3B">
              <w:rPr>
                <w:rFonts w:cs="Calibri" w:hint="eastAsia"/>
                <w:iCs/>
                <w:color w:val="000000"/>
                <w:w w:val="31"/>
                <w:szCs w:val="20"/>
                <w:shd w:val="solid" w:color="000000" w:fill="000000"/>
                <w:fitText w:val="138" w:id="-1435870454"/>
                <w14:textFill>
                  <w14:solidFill>
                    <w14:srgbClr w14:val="000000">
                      <w14:alpha w14:val="100000"/>
                    </w14:srgbClr>
                  </w14:solidFill>
                </w14:textFill>
              </w:rPr>
              <w:t xml:space="preserve">　</w:t>
            </w:r>
            <w:r w:rsidR="00542E3B" w:rsidRPr="00542E3B">
              <w:rPr>
                <w:rFonts w:cs="Calibri"/>
                <w:iCs/>
                <w:color w:val="000000"/>
                <w:w w:val="31"/>
                <w:szCs w:val="20"/>
                <w:shd w:val="solid" w:color="000000" w:fill="000000"/>
                <w:fitText w:val="138" w:id="-1435870454"/>
                <w14:textFill>
                  <w14:solidFill>
                    <w14:srgbClr w14:val="000000">
                      <w14:alpha w14:val="100000"/>
                    </w14:srgbClr>
                  </w14:solidFill>
                </w14:textFill>
              </w:rPr>
              <w:t>|</w:t>
            </w:r>
            <w:r w:rsidR="00542E3B" w:rsidRPr="00542E3B">
              <w:rPr>
                <w:rFonts w:cs="Calibri" w:hint="eastAsia"/>
                <w:iCs/>
                <w:color w:val="000000"/>
                <w:spacing w:val="2"/>
                <w:w w:val="31"/>
                <w:szCs w:val="20"/>
                <w:shd w:val="solid" w:color="000000" w:fill="000000"/>
                <w:fitText w:val="138" w:id="-1435870454"/>
                <w14:textFill>
                  <w14:solidFill>
                    <w14:srgbClr w14:val="000000">
                      <w14:alpha w14:val="100000"/>
                    </w14:srgbClr>
                  </w14:solidFill>
                </w14:textFill>
              </w:rPr>
              <w:t xml:space="preserve">　</w:t>
            </w:r>
            <w:r w:rsidR="00204F0E">
              <w:rPr>
                <w:rFonts w:cs="Calibri"/>
                <w:iCs/>
                <w:szCs w:val="20"/>
                <w:vertAlign w:val="superscript"/>
              </w:rPr>
              <w:t>3</w:t>
            </w:r>
            <w:r w:rsidRPr="00501526">
              <w:rPr>
                <w:rFonts w:cs="Calibri"/>
                <w:iCs/>
                <w:szCs w:val="20"/>
              </w:rPr>
              <w:t>/QALY</w:t>
            </w:r>
          </w:p>
        </w:tc>
      </w:tr>
      <w:tr w:rsidR="005A373D" w:rsidRPr="00501526" w14:paraId="47171FD7" w14:textId="77777777" w:rsidTr="006B35E6">
        <w:trPr>
          <w:cantSplit/>
        </w:trPr>
        <w:tc>
          <w:tcPr>
            <w:tcW w:w="5000" w:type="pct"/>
            <w:gridSpan w:val="4"/>
            <w:vAlign w:val="center"/>
          </w:tcPr>
          <w:p w14:paraId="000B2856" w14:textId="7036D89D" w:rsidR="005A373D" w:rsidRPr="00492F05" w:rsidRDefault="005A373D" w:rsidP="00056ECF">
            <w:pPr>
              <w:pStyle w:val="In-tableHeading"/>
              <w:rPr>
                <w:iCs/>
                <w:lang w:val="en-AU"/>
              </w:rPr>
            </w:pPr>
            <w:r w:rsidRPr="00492F05">
              <w:rPr>
                <w:iCs/>
                <w:lang w:val="en-AU"/>
              </w:rPr>
              <w:t>Step 4</w:t>
            </w:r>
            <w:r w:rsidR="002D2806" w:rsidRPr="00492F05">
              <w:rPr>
                <w:iCs/>
                <w:lang w:val="en-AU"/>
              </w:rPr>
              <w:t>: including all resource use</w:t>
            </w:r>
          </w:p>
        </w:tc>
      </w:tr>
      <w:tr w:rsidR="002D2806" w:rsidRPr="00501526" w14:paraId="57A175D9" w14:textId="77777777" w:rsidTr="006B35E6">
        <w:trPr>
          <w:cantSplit/>
        </w:trPr>
        <w:tc>
          <w:tcPr>
            <w:tcW w:w="1529" w:type="pct"/>
            <w:vAlign w:val="center"/>
          </w:tcPr>
          <w:p w14:paraId="5D2D6893" w14:textId="77777777" w:rsidR="002D2806" w:rsidRPr="00501526" w:rsidRDefault="002D2806" w:rsidP="002D2806">
            <w:pPr>
              <w:pStyle w:val="TableText0"/>
              <w:rPr>
                <w:rFonts w:ascii="Times" w:hAnsi="Times"/>
                <w:iCs/>
              </w:rPr>
            </w:pPr>
            <w:r w:rsidRPr="00501526">
              <w:rPr>
                <w:iCs/>
              </w:rPr>
              <w:t>Costs</w:t>
            </w:r>
          </w:p>
        </w:tc>
        <w:tc>
          <w:tcPr>
            <w:tcW w:w="1359" w:type="pct"/>
            <w:vAlign w:val="center"/>
          </w:tcPr>
          <w:p w14:paraId="3211C557" w14:textId="370AED49"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1274" w:type="pct"/>
            <w:vAlign w:val="center"/>
          </w:tcPr>
          <w:p w14:paraId="6ECC70B2" w14:textId="7CBD46ED" w:rsidR="002D2806" w:rsidRPr="00492F05" w:rsidRDefault="002D2806" w:rsidP="002D2806">
            <w:pPr>
              <w:pStyle w:val="TableText0"/>
              <w:jc w:val="center"/>
              <w:rPr>
                <w:rFonts w:ascii="Times" w:hAnsi="Times"/>
                <w:iCs/>
              </w:rPr>
            </w:pPr>
            <w:r w:rsidRPr="00492F05">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c>
          <w:tcPr>
            <w:tcW w:w="838" w:type="pct"/>
            <w:vAlign w:val="center"/>
          </w:tcPr>
          <w:p w14:paraId="340C518E" w14:textId="78753AC7" w:rsidR="002D2806" w:rsidRPr="00501526" w:rsidRDefault="002D2806" w:rsidP="002D2806">
            <w:pPr>
              <w:pStyle w:val="TableText0"/>
              <w:jc w:val="center"/>
              <w:rPr>
                <w:rFonts w:ascii="Times" w:hAnsi="Times"/>
                <w:iCs/>
              </w:rPr>
            </w:pPr>
            <w:r w:rsidRPr="00501526">
              <w:rPr>
                <w:rFonts w:cs="Calibri"/>
                <w:iCs/>
                <w:szCs w:val="20"/>
              </w:rPr>
              <w:t>$</w:t>
            </w:r>
            <w:r w:rsidR="00542E3B" w:rsidRPr="00542E3B">
              <w:rPr>
                <w:rFonts w:cs="Calibri"/>
                <w:iCs/>
                <w:color w:val="000000"/>
                <w:szCs w:val="20"/>
                <w:shd w:val="solid" w:color="000000" w:fill="000000"/>
                <w14:textFill>
                  <w14:solidFill>
                    <w14:srgbClr w14:val="000000">
                      <w14:alpha w14:val="100000"/>
                    </w14:srgbClr>
                  </w14:solidFill>
                </w14:textFill>
              </w:rPr>
              <w:t>|</w:t>
            </w:r>
          </w:p>
        </w:tc>
      </w:tr>
      <w:tr w:rsidR="002D2806" w:rsidRPr="00501526" w14:paraId="5A95229A" w14:textId="77777777" w:rsidTr="006B35E6">
        <w:trPr>
          <w:cantSplit/>
        </w:trPr>
        <w:tc>
          <w:tcPr>
            <w:tcW w:w="1529" w:type="pct"/>
            <w:vAlign w:val="center"/>
          </w:tcPr>
          <w:p w14:paraId="6832E7B0" w14:textId="0F7D16BC" w:rsidR="002D2806" w:rsidRPr="00501526" w:rsidRDefault="0099160E" w:rsidP="002D2806">
            <w:pPr>
              <w:pStyle w:val="TableText0"/>
              <w:rPr>
                <w:rFonts w:ascii="Times" w:hAnsi="Times"/>
                <w:iCs/>
              </w:rPr>
            </w:pPr>
            <w:r w:rsidRPr="00501526">
              <w:rPr>
                <w:iCs/>
              </w:rPr>
              <w:t>QALY</w:t>
            </w:r>
          </w:p>
        </w:tc>
        <w:tc>
          <w:tcPr>
            <w:tcW w:w="1359" w:type="pct"/>
            <w:vAlign w:val="center"/>
          </w:tcPr>
          <w:p w14:paraId="03EF2D53" w14:textId="45F109EC" w:rsidR="002D2806" w:rsidRPr="00501526" w:rsidRDefault="002D2806" w:rsidP="002D2806">
            <w:pPr>
              <w:pStyle w:val="TableText0"/>
              <w:jc w:val="center"/>
              <w:rPr>
                <w:rFonts w:ascii="Times" w:hAnsi="Times"/>
                <w:iCs/>
              </w:rPr>
            </w:pPr>
            <w:r w:rsidRPr="00501526">
              <w:rPr>
                <w:rFonts w:cs="Calibri"/>
                <w:iCs/>
                <w:szCs w:val="20"/>
              </w:rPr>
              <w:t>9.57</w:t>
            </w:r>
          </w:p>
        </w:tc>
        <w:tc>
          <w:tcPr>
            <w:tcW w:w="1274" w:type="pct"/>
            <w:vAlign w:val="center"/>
          </w:tcPr>
          <w:p w14:paraId="09AA693A" w14:textId="36CD3B0F" w:rsidR="002D2806" w:rsidRPr="00492F05" w:rsidRDefault="002D2806" w:rsidP="002D2806">
            <w:pPr>
              <w:pStyle w:val="TableText0"/>
              <w:jc w:val="center"/>
              <w:rPr>
                <w:rFonts w:ascii="Times" w:hAnsi="Times"/>
                <w:iCs/>
              </w:rPr>
            </w:pPr>
            <w:r w:rsidRPr="00492F05">
              <w:rPr>
                <w:rFonts w:cs="Calibri"/>
                <w:iCs/>
                <w:szCs w:val="20"/>
              </w:rPr>
              <w:t>8.86</w:t>
            </w:r>
          </w:p>
        </w:tc>
        <w:tc>
          <w:tcPr>
            <w:tcW w:w="838" w:type="pct"/>
            <w:vAlign w:val="center"/>
          </w:tcPr>
          <w:p w14:paraId="69937FA7" w14:textId="3F6C4000" w:rsidR="002D2806" w:rsidRPr="00501526" w:rsidRDefault="002D2806" w:rsidP="002D2806">
            <w:pPr>
              <w:pStyle w:val="TableText0"/>
              <w:jc w:val="center"/>
              <w:rPr>
                <w:iCs/>
              </w:rPr>
            </w:pPr>
            <w:r w:rsidRPr="00501526">
              <w:rPr>
                <w:rFonts w:cs="Calibri"/>
                <w:iCs/>
                <w:szCs w:val="20"/>
              </w:rPr>
              <w:t>0.71</w:t>
            </w:r>
          </w:p>
        </w:tc>
      </w:tr>
      <w:tr w:rsidR="005A373D" w:rsidRPr="00501526" w14:paraId="5AAFE149" w14:textId="77777777" w:rsidTr="006B35E6">
        <w:trPr>
          <w:cantSplit/>
        </w:trPr>
        <w:tc>
          <w:tcPr>
            <w:tcW w:w="4162" w:type="pct"/>
            <w:gridSpan w:val="3"/>
            <w:vAlign w:val="center"/>
          </w:tcPr>
          <w:p w14:paraId="265D4E3B" w14:textId="127150B5" w:rsidR="005A373D" w:rsidRPr="00501526" w:rsidRDefault="005A373D" w:rsidP="00056ECF">
            <w:pPr>
              <w:pStyle w:val="TableText0"/>
              <w:rPr>
                <w:rFonts w:ascii="Times" w:hAnsi="Times"/>
                <w:iCs/>
              </w:rPr>
            </w:pPr>
            <w:r w:rsidRPr="00501526">
              <w:rPr>
                <w:iCs/>
              </w:rPr>
              <w:t xml:space="preserve">Incremental cost/extra </w:t>
            </w:r>
            <w:r w:rsidR="0099160E" w:rsidRPr="00501526">
              <w:rPr>
                <w:iCs/>
              </w:rPr>
              <w:t>QALY</w:t>
            </w:r>
            <w:r w:rsidRPr="00501526">
              <w:rPr>
                <w:iCs/>
              </w:rPr>
              <w:t xml:space="preserve"> gained</w:t>
            </w:r>
          </w:p>
        </w:tc>
        <w:tc>
          <w:tcPr>
            <w:tcW w:w="838" w:type="pct"/>
            <w:vAlign w:val="center"/>
          </w:tcPr>
          <w:p w14:paraId="648EF091" w14:textId="227CD05C" w:rsidR="005A373D" w:rsidRPr="00501526" w:rsidRDefault="0099160E" w:rsidP="00BB00B3">
            <w:pPr>
              <w:pStyle w:val="TableText0"/>
              <w:jc w:val="center"/>
              <w:rPr>
                <w:rFonts w:ascii="Times" w:hAnsi="Times"/>
                <w:iCs/>
              </w:rPr>
            </w:pPr>
            <w:r w:rsidRPr="00501526">
              <w:rPr>
                <w:rFonts w:cs="Calibri"/>
                <w:iCs/>
                <w:szCs w:val="20"/>
              </w:rPr>
              <w:t>$</w:t>
            </w:r>
            <w:r w:rsidR="00542E3B" w:rsidRPr="00542E3B">
              <w:rPr>
                <w:rFonts w:cs="Calibri" w:hint="eastAsia"/>
                <w:iCs/>
                <w:color w:val="000000"/>
                <w:w w:val="31"/>
                <w:szCs w:val="20"/>
                <w:shd w:val="solid" w:color="000000" w:fill="000000"/>
                <w:fitText w:val="138" w:id="-1435870453"/>
                <w14:textFill>
                  <w14:solidFill>
                    <w14:srgbClr w14:val="000000">
                      <w14:alpha w14:val="100000"/>
                    </w14:srgbClr>
                  </w14:solidFill>
                </w14:textFill>
              </w:rPr>
              <w:t xml:space="preserve">　</w:t>
            </w:r>
            <w:r w:rsidR="00542E3B" w:rsidRPr="00542E3B">
              <w:rPr>
                <w:rFonts w:cs="Calibri"/>
                <w:iCs/>
                <w:color w:val="000000"/>
                <w:w w:val="31"/>
                <w:szCs w:val="20"/>
                <w:shd w:val="solid" w:color="000000" w:fill="000000"/>
                <w:fitText w:val="138" w:id="-1435870453"/>
                <w14:textFill>
                  <w14:solidFill>
                    <w14:srgbClr w14:val="000000">
                      <w14:alpha w14:val="100000"/>
                    </w14:srgbClr>
                  </w14:solidFill>
                </w14:textFill>
              </w:rPr>
              <w:t>|</w:t>
            </w:r>
            <w:r w:rsidR="00542E3B" w:rsidRPr="00542E3B">
              <w:rPr>
                <w:rFonts w:cs="Calibri" w:hint="eastAsia"/>
                <w:iCs/>
                <w:color w:val="000000"/>
                <w:spacing w:val="2"/>
                <w:w w:val="31"/>
                <w:szCs w:val="20"/>
                <w:shd w:val="solid" w:color="000000" w:fill="000000"/>
                <w:fitText w:val="138" w:id="-1435870453"/>
                <w14:textFill>
                  <w14:solidFill>
                    <w14:srgbClr w14:val="000000">
                      <w14:alpha w14:val="100000"/>
                    </w14:srgbClr>
                  </w14:solidFill>
                </w14:textFill>
              </w:rPr>
              <w:t xml:space="preserve">　</w:t>
            </w:r>
            <w:r w:rsidR="00204F0E">
              <w:rPr>
                <w:rFonts w:cs="Calibri"/>
                <w:iCs/>
                <w:szCs w:val="20"/>
                <w:vertAlign w:val="superscript"/>
              </w:rPr>
              <w:t>3</w:t>
            </w:r>
            <w:r w:rsidRPr="00501526">
              <w:rPr>
                <w:rFonts w:cs="Calibri"/>
                <w:iCs/>
                <w:szCs w:val="20"/>
              </w:rPr>
              <w:t>/QALY</w:t>
            </w:r>
          </w:p>
        </w:tc>
      </w:tr>
    </w:tbl>
    <w:p w14:paraId="7E2D46D5" w14:textId="5B88B41E" w:rsidR="00625DEE" w:rsidRDefault="005A373D" w:rsidP="00500FED">
      <w:pPr>
        <w:pStyle w:val="TableFigureFooter"/>
        <w:spacing w:after="0"/>
        <w:rPr>
          <w:iCs/>
        </w:rPr>
      </w:pPr>
      <w:r w:rsidRPr="00501526">
        <w:rPr>
          <w:iCs/>
        </w:rPr>
        <w:t xml:space="preserve">Source: </w:t>
      </w:r>
      <w:r w:rsidR="0099160E" w:rsidRPr="00501526">
        <w:rPr>
          <w:iCs/>
        </w:rPr>
        <w:t xml:space="preserve">Table 3.8-2, p305, of the submission </w:t>
      </w:r>
    </w:p>
    <w:p w14:paraId="1E546714" w14:textId="77777777" w:rsidR="00500FED" w:rsidRPr="009A6D58" w:rsidRDefault="00500FED" w:rsidP="00500FE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7033964" w14:textId="746466BB" w:rsidR="00500FED" w:rsidRPr="00C36D0E" w:rsidRDefault="00500FED" w:rsidP="00500FE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155A94" w:rsidRPr="00155A94">
        <w:rPr>
          <w:rFonts w:ascii="Arial Narrow" w:hAnsi="Arial Narrow"/>
          <w:i/>
          <w:sz w:val="18"/>
          <w:szCs w:val="18"/>
        </w:rPr>
        <w:t>$5,000 to &lt; $15,000</w:t>
      </w:r>
    </w:p>
    <w:p w14:paraId="41BD83F9" w14:textId="592369C8" w:rsidR="00500FED" w:rsidRPr="009A6D58" w:rsidRDefault="00500FED" w:rsidP="00500FE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04F0E" w:rsidRPr="00C36D0E">
        <w:rPr>
          <w:rFonts w:ascii="Arial Narrow" w:hAnsi="Arial Narrow"/>
          <w:i/>
          <w:sz w:val="18"/>
          <w:szCs w:val="18"/>
        </w:rPr>
        <w:t>&gt; $1,055,000</w:t>
      </w:r>
    </w:p>
    <w:p w14:paraId="2672D4A4" w14:textId="6755C378" w:rsidR="00500FED" w:rsidRPr="00204F0E" w:rsidRDefault="00500FED" w:rsidP="00204F0E">
      <w:pPr>
        <w:spacing w:after="24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04F0E" w:rsidRPr="00C36D0E">
        <w:rPr>
          <w:rFonts w:ascii="Arial Narrow" w:hAnsi="Arial Narrow"/>
          <w:i/>
          <w:sz w:val="18"/>
          <w:szCs w:val="18"/>
        </w:rPr>
        <w:t>$555,000 to &lt; $655,000</w:t>
      </w:r>
    </w:p>
    <w:p w14:paraId="449D9987" w14:textId="000672FE" w:rsidR="00F747FC" w:rsidRPr="00155A94" w:rsidRDefault="00A742F2">
      <w:pPr>
        <w:pStyle w:val="3-BodyText"/>
        <w:rPr>
          <w:iCs/>
        </w:rPr>
      </w:pPr>
      <w:r w:rsidRPr="00155A94">
        <w:rPr>
          <w:iCs/>
        </w:rPr>
        <w:t>The submission calculated the ICER using the mean of the costs and the mean of the QALYs</w:t>
      </w:r>
      <w:r w:rsidR="001A5170" w:rsidRPr="00155A94">
        <w:rPr>
          <w:iCs/>
        </w:rPr>
        <w:t xml:space="preserve"> from the microsimulation. However, the evaluation noted that there was substantial variation in the ICER </w:t>
      </w:r>
      <w:r w:rsidRPr="00155A94">
        <w:rPr>
          <w:iCs/>
        </w:rPr>
        <w:t>(</w:t>
      </w:r>
      <w:r w:rsidR="001A5170" w:rsidRPr="00155A94">
        <w:rPr>
          <w:iCs/>
        </w:rPr>
        <w:t xml:space="preserve">increasing up to </w:t>
      </w:r>
      <w:r w:rsidR="00155A94" w:rsidRPr="00155A94">
        <w:t>&gt; $1,055,000</w:t>
      </w:r>
      <w:r w:rsidRPr="00155A94">
        <w:rPr>
          <w:iCs/>
        </w:rPr>
        <w:t xml:space="preserve">/QALY) </w:t>
      </w:r>
      <w:r w:rsidR="001A5170" w:rsidRPr="00155A94">
        <w:rPr>
          <w:iCs/>
        </w:rPr>
        <w:t xml:space="preserve">when considering the mean of all the ICERs generated in 5,000 iterations of the model. </w:t>
      </w:r>
      <w:r w:rsidRPr="00155A94">
        <w:rPr>
          <w:iCs/>
        </w:rPr>
        <w:t xml:space="preserve">The ESC considered that this indicated the substantial variability and uncertainty in the model outcomes, due to factors such as the limitations of the underlying clinical data. This variability is also indicated in </w:t>
      </w:r>
      <w:r w:rsidRPr="00155A94">
        <w:rPr>
          <w:iCs/>
        </w:rPr>
        <w:fldChar w:fldCharType="begin"/>
      </w:r>
      <w:r w:rsidRPr="00155A94">
        <w:rPr>
          <w:iCs/>
        </w:rPr>
        <w:instrText xml:space="preserve"> REF _Ref103526015 \h  \* MERGEFORMAT </w:instrText>
      </w:r>
      <w:r w:rsidRPr="00155A94">
        <w:rPr>
          <w:iCs/>
        </w:rPr>
      </w:r>
      <w:r w:rsidRPr="00155A94">
        <w:rPr>
          <w:iCs/>
        </w:rPr>
        <w:fldChar w:fldCharType="separate"/>
      </w:r>
      <w:r w:rsidR="0035299E" w:rsidRPr="00155A94">
        <w:rPr>
          <w:iCs/>
        </w:rPr>
        <w:t>Figure 3</w:t>
      </w:r>
      <w:r w:rsidRPr="00155A94">
        <w:rPr>
          <w:iCs/>
        </w:rPr>
        <w:fldChar w:fldCharType="end"/>
      </w:r>
      <w:r w:rsidRPr="00155A94">
        <w:rPr>
          <w:iCs/>
        </w:rPr>
        <w:t xml:space="preserve">, which shows the ICER scatterplot of the model over 5,000 iterations, with each datapoint representing the incremental cost and incremental QALY reported for one iteration (i.e. one patient). </w:t>
      </w:r>
    </w:p>
    <w:p w14:paraId="50136ADE" w14:textId="63DAF8C8" w:rsidR="00B60D24" w:rsidRDefault="00B60D24" w:rsidP="006C3EB4">
      <w:pPr>
        <w:pStyle w:val="Caption"/>
        <w:keepNext/>
        <w:keepLines/>
        <w:spacing w:before="240" w:after="0"/>
        <w:rPr>
          <w:rFonts w:ascii="Arial Narrow" w:hAnsi="Arial Narrow"/>
          <w:iCs/>
          <w:color w:val="auto"/>
          <w:sz w:val="20"/>
          <w:szCs w:val="20"/>
        </w:rPr>
      </w:pPr>
      <w:bookmarkStart w:id="48" w:name="_Ref103526015"/>
      <w:r w:rsidRPr="00501526">
        <w:rPr>
          <w:rFonts w:ascii="Arial Narrow" w:hAnsi="Arial Narrow"/>
          <w:iCs/>
          <w:color w:val="auto"/>
          <w:sz w:val="20"/>
          <w:szCs w:val="20"/>
        </w:rPr>
        <w:lastRenderedPageBreak/>
        <w:t xml:space="preserve">Figure </w:t>
      </w:r>
      <w:r w:rsidRPr="00501526">
        <w:rPr>
          <w:rFonts w:ascii="Arial Narrow" w:hAnsi="Arial Narrow"/>
          <w:iCs/>
          <w:color w:val="auto"/>
          <w:sz w:val="20"/>
          <w:szCs w:val="20"/>
        </w:rPr>
        <w:fldChar w:fldCharType="begin"/>
      </w:r>
      <w:r w:rsidRPr="00501526">
        <w:rPr>
          <w:rFonts w:ascii="Arial Narrow" w:hAnsi="Arial Narrow"/>
          <w:iCs/>
          <w:color w:val="auto"/>
          <w:sz w:val="20"/>
          <w:szCs w:val="20"/>
        </w:rPr>
        <w:instrText xml:space="preserve"> SEQ Figure \* ARABIC </w:instrText>
      </w:r>
      <w:r w:rsidRPr="00501526">
        <w:rPr>
          <w:rFonts w:ascii="Arial Narrow" w:hAnsi="Arial Narrow"/>
          <w:iCs/>
          <w:color w:val="auto"/>
          <w:sz w:val="20"/>
          <w:szCs w:val="20"/>
        </w:rPr>
        <w:fldChar w:fldCharType="separate"/>
      </w:r>
      <w:r w:rsidR="0035299E">
        <w:rPr>
          <w:rFonts w:ascii="Arial Narrow" w:hAnsi="Arial Narrow"/>
          <w:iCs/>
          <w:noProof/>
          <w:color w:val="auto"/>
          <w:sz w:val="20"/>
          <w:szCs w:val="20"/>
        </w:rPr>
        <w:t>3</w:t>
      </w:r>
      <w:r w:rsidRPr="00501526">
        <w:rPr>
          <w:rFonts w:ascii="Arial Narrow" w:hAnsi="Arial Narrow"/>
          <w:iCs/>
          <w:color w:val="auto"/>
          <w:sz w:val="20"/>
          <w:szCs w:val="20"/>
        </w:rPr>
        <w:fldChar w:fldCharType="end"/>
      </w:r>
      <w:bookmarkEnd w:id="48"/>
      <w:r w:rsidR="006C3EB4" w:rsidRPr="00501526">
        <w:rPr>
          <w:rFonts w:ascii="Arial Narrow" w:hAnsi="Arial Narrow"/>
          <w:iCs/>
          <w:color w:val="auto"/>
          <w:sz w:val="20"/>
          <w:szCs w:val="20"/>
        </w:rPr>
        <w:t>:</w:t>
      </w:r>
      <w:r w:rsidRPr="00501526">
        <w:rPr>
          <w:rFonts w:ascii="Arial Narrow" w:hAnsi="Arial Narrow"/>
          <w:iCs/>
          <w:color w:val="auto"/>
          <w:sz w:val="20"/>
          <w:szCs w:val="20"/>
        </w:rPr>
        <w:t xml:space="preserve"> Scatter plot of incremental cost vs incremental QALY over 5,000 iterations</w:t>
      </w:r>
    </w:p>
    <w:p w14:paraId="6286EE51" w14:textId="30400A7C" w:rsidR="00237E06" w:rsidRPr="00237E06" w:rsidRDefault="00237E06" w:rsidP="00237E06">
      <w:r>
        <w:rPr>
          <w:noProof/>
        </w:rPr>
        <mc:AlternateContent>
          <mc:Choice Requires="wps">
            <w:drawing>
              <wp:inline distT="0" distB="0" distL="0" distR="0" wp14:anchorId="06D4BB4C" wp14:editId="42897168">
                <wp:extent cx="4824000" cy="2844000"/>
                <wp:effectExtent l="0" t="0" r="15240" b="13970"/>
                <wp:docPr id="17" name="Rectangle 17" descr="Redacted: Figure 3: Scatter plot of incremental cost vs incremental QALY over 5,000 iterations"/>
                <wp:cNvGraphicFramePr/>
                <a:graphic xmlns:a="http://schemas.openxmlformats.org/drawingml/2006/main">
                  <a:graphicData uri="http://schemas.microsoft.com/office/word/2010/wordprocessingShape">
                    <wps:wsp>
                      <wps:cNvSpPr/>
                      <wps:spPr>
                        <a:xfrm>
                          <a:off x="0" y="0"/>
                          <a:ext cx="4824000" cy="2844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82093" id="Rectangle 17" o:spid="_x0000_s1026" alt="Redacted: Figure 3: Scatter plot of incremental cost vs incremental QALY over 5,000 iterations" style="width:379.85pt;height:22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" fillcolor="black [3200]" strokecolor="black [1600]" strokeweight="2pt">
                <w10:anchorlock/>
              </v:rect>
            </w:pict>
          </mc:Fallback>
        </mc:AlternateContent>
      </w:r>
    </w:p>
    <w:p w14:paraId="6715A90C" w14:textId="6FAD0FD4" w:rsidR="0019492C" w:rsidRDefault="0019492C" w:rsidP="001A41BB">
      <w:pPr>
        <w:pStyle w:val="3-BodyText"/>
        <w:keepNext/>
        <w:keepLines/>
        <w:numPr>
          <w:ilvl w:val="0"/>
          <w:numId w:val="0"/>
        </w:numPr>
        <w:spacing w:after="0"/>
        <w:rPr>
          <w:rFonts w:ascii="Arial Narrow" w:hAnsi="Arial Narrow"/>
          <w:iCs/>
          <w:sz w:val="18"/>
          <w:szCs w:val="18"/>
        </w:rPr>
      </w:pPr>
      <w:r w:rsidRPr="00501526">
        <w:rPr>
          <w:rFonts w:ascii="Arial Narrow" w:hAnsi="Arial Narrow"/>
          <w:iCs/>
          <w:sz w:val="18"/>
          <w:szCs w:val="18"/>
        </w:rPr>
        <w:t>Source: constructed during evaluation</w:t>
      </w:r>
    </w:p>
    <w:p w14:paraId="7B31F01C" w14:textId="77777777" w:rsidR="00924EE8" w:rsidRPr="00501526" w:rsidRDefault="00924EE8" w:rsidP="00924EE8">
      <w:pPr>
        <w:pStyle w:val="3-BodyText"/>
        <w:keepNext/>
        <w:keepLines/>
        <w:numPr>
          <w:ilvl w:val="0"/>
          <w:numId w:val="0"/>
        </w:numPr>
        <w:spacing w:after="0"/>
        <w:ind w:left="720" w:hanging="720"/>
        <w:rPr>
          <w:rFonts w:ascii="Arial Narrow" w:hAnsi="Arial Narrow"/>
          <w:iCs/>
          <w:sz w:val="18"/>
          <w:szCs w:val="18"/>
        </w:rPr>
      </w:pPr>
    </w:p>
    <w:p w14:paraId="70302F87" w14:textId="0B2272D9" w:rsidR="00B82A1B" w:rsidRPr="00501526" w:rsidRDefault="006A4932" w:rsidP="009B33E2">
      <w:pPr>
        <w:pStyle w:val="3-BodyText"/>
        <w:rPr>
          <w:iCs/>
        </w:rPr>
      </w:pPr>
      <w:r>
        <w:rPr>
          <w:iCs/>
        </w:rPr>
        <w:t>T</w:t>
      </w:r>
      <w:r w:rsidR="00006EEE" w:rsidRPr="00501526">
        <w:rPr>
          <w:iCs/>
        </w:rPr>
        <w:t>he scatterplot</w:t>
      </w:r>
      <w:r w:rsidR="00A742F2" w:rsidRPr="00501526">
        <w:rPr>
          <w:iCs/>
        </w:rPr>
        <w:t xml:space="preserve"> appear</w:t>
      </w:r>
      <w:r w:rsidR="00006EEE" w:rsidRPr="00501526">
        <w:rPr>
          <w:iCs/>
        </w:rPr>
        <w:t>s</w:t>
      </w:r>
      <w:r w:rsidR="00A742F2" w:rsidRPr="00501526">
        <w:rPr>
          <w:iCs/>
        </w:rPr>
        <w:t xml:space="preserve"> to show that a substantial number of patients would have an ICER below the base case ICER as reflected by the number of data points to the right of the willingness to pay line set to the base case ICER of </w:t>
      </w:r>
      <w:bookmarkStart w:id="49" w:name="_Hlk113625231"/>
      <w:r w:rsidR="00924EE8" w:rsidRPr="00924EE8">
        <w:rPr>
          <w:iCs/>
        </w:rPr>
        <w:t>$555,000</w:t>
      </w:r>
      <w:r w:rsidR="00924EE8">
        <w:rPr>
          <w:iCs/>
        </w:rPr>
        <w:t> </w:t>
      </w:r>
      <w:r w:rsidR="00924EE8" w:rsidRPr="00924EE8">
        <w:rPr>
          <w:iCs/>
        </w:rPr>
        <w:t>to</w:t>
      </w:r>
      <w:r w:rsidR="00924EE8">
        <w:rPr>
          <w:iCs/>
        </w:rPr>
        <w:t xml:space="preserve"> </w:t>
      </w:r>
      <w:r w:rsidR="00924EE8" w:rsidRPr="00924EE8">
        <w:rPr>
          <w:iCs/>
        </w:rPr>
        <w:t>&lt;</w:t>
      </w:r>
      <w:r w:rsidR="00924EE8">
        <w:rPr>
          <w:iCs/>
        </w:rPr>
        <w:t> </w:t>
      </w:r>
      <w:r w:rsidR="00924EE8" w:rsidRPr="00924EE8">
        <w:rPr>
          <w:iCs/>
        </w:rPr>
        <w:t>$655,000</w:t>
      </w:r>
      <w:bookmarkEnd w:id="49"/>
      <w:r w:rsidR="00A742F2" w:rsidRPr="00501526">
        <w:rPr>
          <w:iCs/>
        </w:rPr>
        <w:t>/QALY</w:t>
      </w:r>
      <w:r>
        <w:rPr>
          <w:iCs/>
        </w:rPr>
        <w:t>. However</w:t>
      </w:r>
      <w:r w:rsidR="00A742F2" w:rsidRPr="00501526">
        <w:rPr>
          <w:iCs/>
        </w:rPr>
        <w:t>, of the 5,000 iterations, 965 (19.3%) actually reported an incremental QALY of 0 with a cost of around $</w:t>
      </w:r>
      <w:proofErr w:type="gramStart"/>
      <w:r w:rsidR="00542E3B" w:rsidRPr="009A5ECB">
        <w:rPr>
          <w:iCs/>
          <w:color w:val="000000"/>
          <w:w w:val="15"/>
          <w:shd w:val="solid" w:color="000000" w:fill="000000"/>
          <w:fitText w:val="-20" w:id="-1435870452"/>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2"/>
          <w14:textFill>
            <w14:solidFill>
              <w14:srgbClr w14:val="000000">
                <w14:alpha w14:val="100000"/>
              </w14:srgbClr>
            </w14:solidFill>
          </w14:textFill>
        </w:rPr>
        <w:t>|</w:t>
      </w:r>
      <w:proofErr w:type="gramEnd"/>
      <w:r w:rsidR="00A742F2" w:rsidRPr="00501526">
        <w:rPr>
          <w:iCs/>
        </w:rPr>
        <w:t>, as such, there were actually 4,449 patients (89%) for whom the ICER was higher than the base case ICER in the microsimulation.</w:t>
      </w:r>
      <w:r w:rsidR="00006EEE" w:rsidRPr="00501526">
        <w:rPr>
          <w:iCs/>
        </w:rPr>
        <w:t xml:space="preserve"> </w:t>
      </w:r>
      <w:r w:rsidR="003B54D7" w:rsidRPr="00501526">
        <w:rPr>
          <w:iCs/>
        </w:rPr>
        <w:t xml:space="preserve">The </w:t>
      </w:r>
      <w:r w:rsidR="006454C7" w:rsidRPr="00501526">
        <w:rPr>
          <w:iCs/>
        </w:rPr>
        <w:t xml:space="preserve">large number </w:t>
      </w:r>
      <w:r w:rsidR="003B54D7" w:rsidRPr="00501526">
        <w:rPr>
          <w:iCs/>
        </w:rPr>
        <w:t>of iterations report</w:t>
      </w:r>
      <w:r w:rsidR="0043204B" w:rsidRPr="00501526">
        <w:rPr>
          <w:iCs/>
        </w:rPr>
        <w:t>ing</w:t>
      </w:r>
      <w:r w:rsidR="003B54D7" w:rsidRPr="00501526">
        <w:rPr>
          <w:iCs/>
        </w:rPr>
        <w:t xml:space="preserve"> an incremental QALY gain of 0</w:t>
      </w:r>
      <w:r w:rsidR="00052654" w:rsidRPr="00501526">
        <w:rPr>
          <w:iCs/>
        </w:rPr>
        <w:t xml:space="preserve"> or near 0</w:t>
      </w:r>
      <w:r w:rsidR="003B54D7" w:rsidRPr="00501526">
        <w:rPr>
          <w:iCs/>
        </w:rPr>
        <w:t xml:space="preserve"> was consistent with the assumption that only 23.5% of patients would respond</w:t>
      </w:r>
      <w:r w:rsidR="00E92F2D">
        <w:rPr>
          <w:iCs/>
        </w:rPr>
        <w:t xml:space="preserve"> to sapropterin</w:t>
      </w:r>
      <w:r w:rsidR="003B54D7" w:rsidRPr="00501526">
        <w:rPr>
          <w:iCs/>
        </w:rPr>
        <w:t xml:space="preserve">. </w:t>
      </w:r>
    </w:p>
    <w:p w14:paraId="7EE0F69A" w14:textId="7C3C4100" w:rsidR="00CA66E3" w:rsidRPr="00501526" w:rsidRDefault="00006EEE" w:rsidP="00AD21C8">
      <w:pPr>
        <w:pStyle w:val="3-BodyText"/>
        <w:rPr>
          <w:iCs/>
        </w:rPr>
      </w:pPr>
      <w:bookmarkStart w:id="50" w:name="_Ref108681697"/>
      <w:r w:rsidRPr="00501526">
        <w:rPr>
          <w:iCs/>
        </w:rPr>
        <w:t xml:space="preserve">The submission’s stated ICER of </w:t>
      </w:r>
      <w:r w:rsidR="00113094" w:rsidRPr="00924EE8">
        <w:rPr>
          <w:iCs/>
        </w:rPr>
        <w:t>$555,000</w:t>
      </w:r>
      <w:r w:rsidR="00113094">
        <w:rPr>
          <w:iCs/>
        </w:rPr>
        <w:t> </w:t>
      </w:r>
      <w:r w:rsidR="00113094" w:rsidRPr="00924EE8">
        <w:rPr>
          <w:iCs/>
        </w:rPr>
        <w:t>to</w:t>
      </w:r>
      <w:r w:rsidR="00113094">
        <w:rPr>
          <w:iCs/>
        </w:rPr>
        <w:t xml:space="preserve"> </w:t>
      </w:r>
      <w:r w:rsidR="00113094" w:rsidRPr="00924EE8">
        <w:rPr>
          <w:iCs/>
        </w:rPr>
        <w:t>&lt;</w:t>
      </w:r>
      <w:r w:rsidR="00113094">
        <w:rPr>
          <w:iCs/>
        </w:rPr>
        <w:t> </w:t>
      </w:r>
      <w:r w:rsidR="00113094" w:rsidRPr="00924EE8">
        <w:rPr>
          <w:iCs/>
        </w:rPr>
        <w:t>$655,000</w:t>
      </w:r>
      <w:r w:rsidRPr="00501526">
        <w:rPr>
          <w:iCs/>
        </w:rPr>
        <w:t>/QALY was higher than the ICER previously calculated for adults with non-maternal PKU (</w:t>
      </w:r>
      <w:r w:rsidR="00113094" w:rsidRPr="00924EE8">
        <w:rPr>
          <w:iCs/>
        </w:rPr>
        <w:t>$</w:t>
      </w:r>
      <w:r w:rsidR="00113094">
        <w:rPr>
          <w:iCs/>
        </w:rPr>
        <w:t>3</w:t>
      </w:r>
      <w:r w:rsidR="00113094" w:rsidRPr="00924EE8">
        <w:rPr>
          <w:iCs/>
        </w:rPr>
        <w:t>55,000 to</w:t>
      </w:r>
      <w:r w:rsidR="00113094">
        <w:rPr>
          <w:iCs/>
        </w:rPr>
        <w:t xml:space="preserve"> </w:t>
      </w:r>
      <w:r w:rsidR="00113094" w:rsidRPr="00924EE8">
        <w:rPr>
          <w:iCs/>
        </w:rPr>
        <w:t>&lt; $</w:t>
      </w:r>
      <w:r w:rsidR="00113094">
        <w:rPr>
          <w:iCs/>
        </w:rPr>
        <w:t>4</w:t>
      </w:r>
      <w:r w:rsidR="00113094" w:rsidRPr="00924EE8">
        <w:rPr>
          <w:iCs/>
        </w:rPr>
        <w:t>55,000</w:t>
      </w:r>
      <w:r w:rsidR="00113094">
        <w:rPr>
          <w:iCs/>
        </w:rPr>
        <w:t xml:space="preserve"> </w:t>
      </w:r>
      <w:r w:rsidRPr="00501526">
        <w:rPr>
          <w:iCs/>
        </w:rPr>
        <w:t>/QALY), which the PBAC previously considered was not cost-effective (para 7.3, sapropterin</w:t>
      </w:r>
      <w:r w:rsidR="00E92F2D">
        <w:rPr>
          <w:iCs/>
        </w:rPr>
        <w:t xml:space="preserve"> PSD, </w:t>
      </w:r>
      <w:r w:rsidRPr="00501526">
        <w:rPr>
          <w:iCs/>
        </w:rPr>
        <w:t xml:space="preserve">November 2020 </w:t>
      </w:r>
      <w:r w:rsidR="00E92F2D">
        <w:rPr>
          <w:iCs/>
        </w:rPr>
        <w:t>PBAC meeting</w:t>
      </w:r>
      <w:r w:rsidRPr="00501526">
        <w:rPr>
          <w:iCs/>
        </w:rPr>
        <w:t>).</w:t>
      </w:r>
      <w:bookmarkEnd w:id="50"/>
    </w:p>
    <w:p w14:paraId="5E7ABCA9" w14:textId="77A705AB" w:rsidR="001267E3" w:rsidRPr="00501526" w:rsidRDefault="00625DEE" w:rsidP="001267E3">
      <w:pPr>
        <w:pStyle w:val="3-BodyText"/>
        <w:rPr>
          <w:iCs/>
        </w:rPr>
      </w:pPr>
      <w:bookmarkStart w:id="51" w:name="_Ref108681540"/>
      <w:r w:rsidRPr="00501526">
        <w:rPr>
          <w:iCs/>
        </w:rPr>
        <w:t xml:space="preserve">In the November 2018 submission, the ICER ranged from </w:t>
      </w:r>
      <w:r w:rsidR="00924EE8" w:rsidRPr="00924EE8">
        <w:rPr>
          <w:iCs/>
        </w:rPr>
        <w:t>$45,000 to &lt; $55,000</w:t>
      </w:r>
      <w:r w:rsidRPr="00501526">
        <w:rPr>
          <w:iCs/>
        </w:rPr>
        <w:t xml:space="preserve">/QALY for patients aged less than one year to </w:t>
      </w:r>
      <w:r w:rsidR="00924EE8" w:rsidRPr="00924EE8">
        <w:rPr>
          <w:iCs/>
        </w:rPr>
        <w:t>$455,000 to &lt; $555,000</w:t>
      </w:r>
      <w:r w:rsidRPr="00501526">
        <w:rPr>
          <w:iCs/>
        </w:rPr>
        <w:t xml:space="preserve">/QALY for those aged 17 years. The ICER/QALY was </w:t>
      </w:r>
      <w:r w:rsidR="00924EE8" w:rsidRPr="00924EE8">
        <w:rPr>
          <w:iCs/>
        </w:rPr>
        <w:t>$155,000 to &lt; $255,000</w:t>
      </w:r>
      <w:r w:rsidR="00924EE8">
        <w:rPr>
          <w:iCs/>
        </w:rPr>
        <w:t xml:space="preserve"> </w:t>
      </w:r>
      <w:r w:rsidRPr="00501526">
        <w:rPr>
          <w:iCs/>
        </w:rPr>
        <w:t xml:space="preserve">for a patient who </w:t>
      </w:r>
      <w:r w:rsidR="007B5F36" w:rsidRPr="00501526">
        <w:rPr>
          <w:iCs/>
        </w:rPr>
        <w:t xml:space="preserve">commenced </w:t>
      </w:r>
      <w:r w:rsidRPr="00501526">
        <w:rPr>
          <w:iCs/>
        </w:rPr>
        <w:t xml:space="preserve">sapropterin at birth and </w:t>
      </w:r>
      <w:r w:rsidR="007B5F36" w:rsidRPr="00501526">
        <w:rPr>
          <w:iCs/>
        </w:rPr>
        <w:t xml:space="preserve">continued </w:t>
      </w:r>
      <w:r w:rsidRPr="00501526">
        <w:rPr>
          <w:iCs/>
        </w:rPr>
        <w:t xml:space="preserve">until their 18th birthday (i.e. </w:t>
      </w:r>
      <w:r w:rsidR="00B338DD" w:rsidRPr="00501526">
        <w:rPr>
          <w:iCs/>
        </w:rPr>
        <w:t>18-year</w:t>
      </w:r>
      <w:r w:rsidRPr="00501526">
        <w:rPr>
          <w:iCs/>
        </w:rPr>
        <w:t xml:space="preserve"> time horizon). The ICER generally increased with age (from 0 to 17 years) because the dose of sapropterin is weight-based, however the proportion of patients who </w:t>
      </w:r>
      <w:r w:rsidR="006A4932">
        <w:rPr>
          <w:iCs/>
        </w:rPr>
        <w:t xml:space="preserve">were assumed to be </w:t>
      </w:r>
      <w:r w:rsidRPr="00501526">
        <w:rPr>
          <w:iCs/>
        </w:rPr>
        <w:t xml:space="preserve">well controlled (in </w:t>
      </w:r>
      <w:r w:rsidR="00E92F2D">
        <w:rPr>
          <w:iCs/>
        </w:rPr>
        <w:t>whom</w:t>
      </w:r>
      <w:r w:rsidR="00E92F2D" w:rsidRPr="00501526">
        <w:rPr>
          <w:iCs/>
        </w:rPr>
        <w:t xml:space="preserve"> </w:t>
      </w:r>
      <w:r w:rsidRPr="00501526">
        <w:rPr>
          <w:iCs/>
        </w:rPr>
        <w:t>sapropterin is assumed to be less cost-effective) decreases after the age of 17 (para 6.37</w:t>
      </w:r>
      <w:r w:rsidR="00E92F2D">
        <w:rPr>
          <w:iCs/>
        </w:rPr>
        <w:t>, sapropterin PSD,</w:t>
      </w:r>
      <w:r w:rsidRPr="00501526">
        <w:rPr>
          <w:iCs/>
        </w:rPr>
        <w:t xml:space="preserve"> November 2020 PBAC </w:t>
      </w:r>
      <w:r w:rsidR="00E92F2D">
        <w:rPr>
          <w:iCs/>
        </w:rPr>
        <w:t>meeting</w:t>
      </w:r>
      <w:r w:rsidRPr="00501526">
        <w:rPr>
          <w:iCs/>
        </w:rPr>
        <w:t>)</w:t>
      </w:r>
      <w:r w:rsidR="00413627" w:rsidRPr="00501526">
        <w:rPr>
          <w:iCs/>
        </w:rPr>
        <w:t>.</w:t>
      </w:r>
      <w:bookmarkEnd w:id="51"/>
    </w:p>
    <w:p w14:paraId="286DCD30" w14:textId="37682CFF" w:rsidR="001267E3" w:rsidRPr="00501526" w:rsidRDefault="00D4201B" w:rsidP="001267E3">
      <w:pPr>
        <w:pStyle w:val="3-BodyText"/>
        <w:rPr>
          <w:iCs/>
        </w:rPr>
      </w:pPr>
      <w:r w:rsidRPr="00501526">
        <w:rPr>
          <w:iCs/>
        </w:rPr>
        <w:fldChar w:fldCharType="begin"/>
      </w:r>
      <w:r w:rsidRPr="00501526">
        <w:rPr>
          <w:iCs/>
        </w:rPr>
        <w:instrText xml:space="preserve"> REF _Ref106033780 \h  \* MERGEFORMAT </w:instrText>
      </w:r>
      <w:r w:rsidRPr="00501526">
        <w:rPr>
          <w:iCs/>
        </w:rPr>
      </w:r>
      <w:r w:rsidRPr="00501526">
        <w:rPr>
          <w:iCs/>
        </w:rPr>
        <w:fldChar w:fldCharType="separate"/>
      </w:r>
      <w:r w:rsidR="0035299E" w:rsidRPr="0035299E">
        <w:t>Table 12</w:t>
      </w:r>
      <w:r w:rsidRPr="00501526">
        <w:rPr>
          <w:iCs/>
        </w:rPr>
        <w:fldChar w:fldCharType="end"/>
      </w:r>
      <w:r w:rsidRPr="00501526">
        <w:rPr>
          <w:iCs/>
        </w:rPr>
        <w:t xml:space="preserve"> presents the results of univariate sensitivity analyses. </w:t>
      </w:r>
    </w:p>
    <w:p w14:paraId="28323BC6" w14:textId="4B758CE8" w:rsidR="001267E3" w:rsidRPr="00501526" w:rsidRDefault="00E726F7" w:rsidP="006C27A8">
      <w:pPr>
        <w:keepNext/>
        <w:keepLines/>
        <w:rPr>
          <w:rFonts w:ascii="Arial Narrow" w:hAnsi="Arial Narrow"/>
          <w:b/>
          <w:bCs/>
          <w:iCs/>
          <w:sz w:val="20"/>
          <w:szCs w:val="20"/>
        </w:rPr>
      </w:pPr>
      <w:bookmarkStart w:id="52" w:name="_Ref106033780"/>
      <w:bookmarkStart w:id="53" w:name="_Ref106033775"/>
      <w:r w:rsidRPr="00501526">
        <w:rPr>
          <w:rStyle w:val="TableFigureHeadingChar"/>
          <w:iCs/>
          <w:sz w:val="20"/>
          <w:szCs w:val="20"/>
        </w:rPr>
        <w:lastRenderedPageBreak/>
        <w:t xml:space="preserve">Table </w:t>
      </w:r>
      <w:r w:rsidRPr="00501526">
        <w:rPr>
          <w:rStyle w:val="TableFigureHeadingChar"/>
          <w:iCs/>
          <w:sz w:val="20"/>
          <w:szCs w:val="20"/>
        </w:rPr>
        <w:fldChar w:fldCharType="begin"/>
      </w:r>
      <w:r w:rsidRPr="00501526">
        <w:rPr>
          <w:rStyle w:val="TableFigureHeadingChar"/>
          <w:iCs/>
          <w:sz w:val="20"/>
          <w:szCs w:val="20"/>
        </w:rPr>
        <w:instrText xml:space="preserve"> SEQ Table \* MERGEFORMAT </w:instrText>
      </w:r>
      <w:r w:rsidRPr="00501526">
        <w:rPr>
          <w:rStyle w:val="TableFigureHeadingChar"/>
          <w:iCs/>
          <w:sz w:val="20"/>
          <w:szCs w:val="20"/>
        </w:rPr>
        <w:fldChar w:fldCharType="separate"/>
      </w:r>
      <w:r w:rsidR="0035299E">
        <w:rPr>
          <w:rStyle w:val="TableFigureHeadingChar"/>
          <w:iCs/>
          <w:noProof/>
          <w:sz w:val="20"/>
          <w:szCs w:val="20"/>
        </w:rPr>
        <w:t>12</w:t>
      </w:r>
      <w:r w:rsidRPr="00501526">
        <w:rPr>
          <w:rStyle w:val="TableFigureHeadingChar"/>
          <w:iCs/>
          <w:sz w:val="20"/>
          <w:szCs w:val="20"/>
        </w:rPr>
        <w:fldChar w:fldCharType="end"/>
      </w:r>
      <w:bookmarkEnd w:id="52"/>
      <w:r w:rsidRPr="00501526">
        <w:rPr>
          <w:rStyle w:val="CommentReference"/>
          <w:iCs/>
          <w:szCs w:val="24"/>
        </w:rPr>
        <w:t xml:space="preserve">: </w:t>
      </w:r>
      <w:r w:rsidR="001267E3" w:rsidRPr="00501526">
        <w:rPr>
          <w:rFonts w:ascii="Arial Narrow" w:hAnsi="Arial Narrow"/>
          <w:b/>
          <w:bCs/>
          <w:iCs/>
          <w:sz w:val="20"/>
          <w:szCs w:val="20"/>
        </w:rPr>
        <w:t>Univariate sensitivity analyses conducted by submission and during evaluation (5,000 iterations)</w:t>
      </w:r>
      <w:bookmarkEnd w:id="53"/>
    </w:p>
    <w:tbl>
      <w:tblPr>
        <w:tblStyle w:val="TableGrid"/>
        <w:tblW w:w="0" w:type="auto"/>
        <w:tblLook w:val="04A0" w:firstRow="1" w:lastRow="0" w:firstColumn="1" w:lastColumn="0" w:noHBand="0" w:noVBand="1"/>
      </w:tblPr>
      <w:tblGrid>
        <w:gridCol w:w="3114"/>
        <w:gridCol w:w="1417"/>
        <w:gridCol w:w="1560"/>
        <w:gridCol w:w="1701"/>
        <w:gridCol w:w="1224"/>
      </w:tblGrid>
      <w:tr w:rsidR="001267E3" w:rsidRPr="00501526" w14:paraId="69510112" w14:textId="77777777" w:rsidTr="00C235C5">
        <w:tc>
          <w:tcPr>
            <w:tcW w:w="3114" w:type="dxa"/>
            <w:vAlign w:val="center"/>
          </w:tcPr>
          <w:p w14:paraId="2A2BEC27" w14:textId="77777777" w:rsidR="001267E3" w:rsidRPr="00501526" w:rsidRDefault="001267E3" w:rsidP="006C27A8">
            <w:pPr>
              <w:keepNext/>
              <w:keepLines/>
              <w:rPr>
                <w:rFonts w:ascii="Arial Narrow" w:hAnsi="Arial Narrow"/>
                <w:b/>
                <w:bCs/>
                <w:iCs/>
                <w:sz w:val="20"/>
                <w:szCs w:val="20"/>
              </w:rPr>
            </w:pPr>
            <w:r w:rsidRPr="00501526">
              <w:rPr>
                <w:rFonts w:ascii="Arial Narrow" w:hAnsi="Arial Narrow"/>
                <w:b/>
                <w:bCs/>
                <w:iCs/>
                <w:sz w:val="20"/>
                <w:szCs w:val="20"/>
              </w:rPr>
              <w:t>Scenario</w:t>
            </w:r>
          </w:p>
        </w:tc>
        <w:tc>
          <w:tcPr>
            <w:tcW w:w="1417" w:type="dxa"/>
            <w:vAlign w:val="center"/>
          </w:tcPr>
          <w:p w14:paraId="720F6A1C" w14:textId="77777777" w:rsidR="001267E3" w:rsidRPr="00501526" w:rsidRDefault="001267E3" w:rsidP="006C27A8">
            <w:pPr>
              <w:keepNext/>
              <w:keepLines/>
              <w:jc w:val="center"/>
              <w:rPr>
                <w:rFonts w:ascii="Arial Narrow" w:hAnsi="Arial Narrow"/>
                <w:b/>
                <w:bCs/>
                <w:iCs/>
                <w:sz w:val="20"/>
                <w:szCs w:val="20"/>
              </w:rPr>
            </w:pPr>
            <w:r w:rsidRPr="00501526">
              <w:rPr>
                <w:rFonts w:ascii="Arial Narrow" w:hAnsi="Arial Narrow"/>
                <w:b/>
                <w:bCs/>
                <w:iCs/>
                <w:sz w:val="20"/>
                <w:szCs w:val="20"/>
              </w:rPr>
              <w:t>Incremental Cost</w:t>
            </w:r>
          </w:p>
        </w:tc>
        <w:tc>
          <w:tcPr>
            <w:tcW w:w="1560" w:type="dxa"/>
            <w:vAlign w:val="center"/>
          </w:tcPr>
          <w:p w14:paraId="54669B1F" w14:textId="77777777" w:rsidR="001267E3" w:rsidRPr="00501526" w:rsidRDefault="001267E3" w:rsidP="006C27A8">
            <w:pPr>
              <w:keepNext/>
              <w:keepLines/>
              <w:jc w:val="center"/>
              <w:rPr>
                <w:rFonts w:ascii="Arial Narrow" w:hAnsi="Arial Narrow"/>
                <w:b/>
                <w:bCs/>
                <w:iCs/>
                <w:sz w:val="20"/>
                <w:szCs w:val="20"/>
              </w:rPr>
            </w:pPr>
            <w:r w:rsidRPr="00501526">
              <w:rPr>
                <w:rFonts w:ascii="Arial Narrow" w:hAnsi="Arial Narrow"/>
                <w:b/>
                <w:bCs/>
                <w:iCs/>
                <w:sz w:val="20"/>
                <w:szCs w:val="20"/>
              </w:rPr>
              <w:t>Incremental QALY</w:t>
            </w:r>
          </w:p>
        </w:tc>
        <w:tc>
          <w:tcPr>
            <w:tcW w:w="1701" w:type="dxa"/>
            <w:vAlign w:val="center"/>
          </w:tcPr>
          <w:p w14:paraId="7F59E447" w14:textId="77777777" w:rsidR="001267E3" w:rsidRPr="00501526" w:rsidRDefault="001267E3" w:rsidP="006C27A8">
            <w:pPr>
              <w:keepNext/>
              <w:keepLines/>
              <w:jc w:val="center"/>
              <w:rPr>
                <w:rFonts w:ascii="Arial Narrow" w:hAnsi="Arial Narrow"/>
                <w:b/>
                <w:bCs/>
                <w:iCs/>
                <w:sz w:val="20"/>
                <w:szCs w:val="20"/>
              </w:rPr>
            </w:pPr>
            <w:r w:rsidRPr="00501526">
              <w:rPr>
                <w:rFonts w:ascii="Arial Narrow" w:hAnsi="Arial Narrow"/>
                <w:b/>
                <w:bCs/>
                <w:iCs/>
                <w:sz w:val="20"/>
                <w:szCs w:val="20"/>
              </w:rPr>
              <w:t>Incremental cost per QALY</w:t>
            </w:r>
          </w:p>
        </w:tc>
        <w:tc>
          <w:tcPr>
            <w:tcW w:w="1224" w:type="dxa"/>
            <w:vAlign w:val="center"/>
          </w:tcPr>
          <w:p w14:paraId="369766D6" w14:textId="77777777" w:rsidR="001267E3" w:rsidRPr="00501526" w:rsidRDefault="001267E3" w:rsidP="006C27A8">
            <w:pPr>
              <w:keepNext/>
              <w:keepLines/>
              <w:jc w:val="center"/>
              <w:rPr>
                <w:rFonts w:ascii="Arial Narrow" w:hAnsi="Arial Narrow"/>
                <w:b/>
                <w:bCs/>
                <w:iCs/>
                <w:sz w:val="20"/>
                <w:szCs w:val="20"/>
              </w:rPr>
            </w:pPr>
            <w:r w:rsidRPr="00501526">
              <w:rPr>
                <w:rFonts w:ascii="Arial Narrow" w:hAnsi="Arial Narrow"/>
                <w:b/>
                <w:bCs/>
                <w:iCs/>
                <w:sz w:val="20"/>
                <w:szCs w:val="20"/>
              </w:rPr>
              <w:t>Percentage change</w:t>
            </w:r>
          </w:p>
        </w:tc>
      </w:tr>
      <w:tr w:rsidR="001267E3" w:rsidRPr="00501526" w14:paraId="3BC1C35B" w14:textId="77777777" w:rsidTr="00C235C5">
        <w:tc>
          <w:tcPr>
            <w:tcW w:w="3114" w:type="dxa"/>
          </w:tcPr>
          <w:p w14:paraId="63A30DDE" w14:textId="77777777" w:rsidR="001267E3" w:rsidRPr="00501526" w:rsidRDefault="001267E3" w:rsidP="006C27A8">
            <w:pPr>
              <w:keepNext/>
              <w:keepLines/>
              <w:rPr>
                <w:rFonts w:ascii="Arial Narrow" w:hAnsi="Arial Narrow"/>
                <w:iCs/>
                <w:sz w:val="20"/>
                <w:szCs w:val="20"/>
                <w:vertAlign w:val="superscript"/>
              </w:rPr>
            </w:pPr>
            <w:r w:rsidRPr="00501526">
              <w:rPr>
                <w:rFonts w:ascii="Arial Narrow" w:hAnsi="Arial Narrow"/>
                <w:iCs/>
                <w:sz w:val="20"/>
                <w:szCs w:val="20"/>
              </w:rPr>
              <w:t>Base Case</w:t>
            </w:r>
          </w:p>
        </w:tc>
        <w:tc>
          <w:tcPr>
            <w:tcW w:w="1417" w:type="dxa"/>
            <w:vAlign w:val="center"/>
          </w:tcPr>
          <w:p w14:paraId="0157E0EF" w14:textId="7747166A"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235CD7CA"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0.718</w:t>
            </w:r>
          </w:p>
        </w:tc>
        <w:tc>
          <w:tcPr>
            <w:tcW w:w="1701" w:type="dxa"/>
            <w:vAlign w:val="center"/>
          </w:tcPr>
          <w:p w14:paraId="3BCF253E" w14:textId="4E3656AE" w:rsidR="001267E3" w:rsidRPr="00A01A5C" w:rsidRDefault="001267E3" w:rsidP="006C27A8">
            <w:pPr>
              <w:keepNext/>
              <w:keepLines/>
              <w:jc w:val="center"/>
              <w:rPr>
                <w:rFonts w:ascii="Arial Narrow" w:hAnsi="Arial Narrow"/>
                <w:iCs/>
                <w:sz w:val="20"/>
                <w:szCs w:val="20"/>
                <w:highlight w:val="darkGray"/>
                <w:vertAlign w:val="superscript"/>
              </w:rPr>
            </w:pPr>
            <w:r w:rsidRPr="00A01A5C">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sidRPr="00A01A5C">
              <w:rPr>
                <w:rFonts w:ascii="Arial Narrow" w:hAnsi="Arial Narrow"/>
                <w:iCs/>
                <w:sz w:val="20"/>
                <w:szCs w:val="20"/>
                <w:vertAlign w:val="superscript"/>
              </w:rPr>
              <w:t>1</w:t>
            </w:r>
          </w:p>
        </w:tc>
        <w:tc>
          <w:tcPr>
            <w:tcW w:w="1224" w:type="dxa"/>
            <w:vAlign w:val="center"/>
          </w:tcPr>
          <w:p w14:paraId="14D49E18"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NA</w:t>
            </w:r>
          </w:p>
        </w:tc>
      </w:tr>
      <w:tr w:rsidR="001267E3" w:rsidRPr="00501526" w14:paraId="680FF27F" w14:textId="77777777" w:rsidTr="00C235C5">
        <w:tc>
          <w:tcPr>
            <w:tcW w:w="3114" w:type="dxa"/>
            <w:vAlign w:val="center"/>
          </w:tcPr>
          <w:p w14:paraId="13703C39" w14:textId="77777777" w:rsidR="001267E3" w:rsidRPr="00501526" w:rsidRDefault="001267E3" w:rsidP="006C27A8">
            <w:pPr>
              <w:keepNext/>
              <w:keepLines/>
              <w:rPr>
                <w:rFonts w:ascii="Arial Narrow" w:hAnsi="Arial Narrow"/>
                <w:iCs/>
                <w:sz w:val="20"/>
                <w:szCs w:val="20"/>
              </w:rPr>
            </w:pPr>
            <w:r w:rsidRPr="00501526">
              <w:rPr>
                <w:rFonts w:ascii="Arial Narrow" w:hAnsi="Arial Narrow"/>
                <w:iCs/>
                <w:sz w:val="20"/>
                <w:szCs w:val="20"/>
              </w:rPr>
              <w:t>Discount rate: 0%</w:t>
            </w:r>
          </w:p>
        </w:tc>
        <w:tc>
          <w:tcPr>
            <w:tcW w:w="1417" w:type="dxa"/>
            <w:vAlign w:val="center"/>
          </w:tcPr>
          <w:p w14:paraId="53C31918" w14:textId="2B3ACFBC" w:rsidR="001267E3" w:rsidRPr="00A01A5C" w:rsidRDefault="001267E3" w:rsidP="006C27A8">
            <w:pPr>
              <w:keepNext/>
              <w:keepLines/>
              <w:jc w:val="center"/>
              <w:rPr>
                <w:rFonts w:ascii="Arial Narrow" w:hAnsi="Arial Narrow"/>
                <w:iCs/>
                <w:sz w:val="20"/>
                <w:szCs w:val="20"/>
                <w:highlight w:val="darkGray"/>
              </w:rPr>
            </w:pPr>
            <w:r w:rsidRPr="00A01A5C">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7EA68502"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2.00</w:t>
            </w:r>
          </w:p>
        </w:tc>
        <w:tc>
          <w:tcPr>
            <w:tcW w:w="1701" w:type="dxa"/>
            <w:vAlign w:val="center"/>
          </w:tcPr>
          <w:p w14:paraId="55498F04" w14:textId="2803FD34" w:rsidR="001267E3" w:rsidRPr="00A01A5C" w:rsidRDefault="001267E3" w:rsidP="006C27A8">
            <w:pPr>
              <w:keepNext/>
              <w:keepLines/>
              <w:jc w:val="center"/>
              <w:rPr>
                <w:rFonts w:ascii="Arial Narrow" w:hAnsi="Arial Narrow"/>
                <w:iCs/>
                <w:sz w:val="20"/>
                <w:szCs w:val="20"/>
                <w:highlight w:val="darkGray"/>
              </w:rPr>
            </w:pPr>
            <w:r w:rsidRPr="00A01A5C">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sidRPr="00A01A5C">
              <w:rPr>
                <w:rFonts w:ascii="Arial Narrow" w:hAnsi="Arial Narrow"/>
                <w:iCs/>
                <w:sz w:val="20"/>
                <w:szCs w:val="20"/>
                <w:vertAlign w:val="superscript"/>
              </w:rPr>
              <w:t>1</w:t>
            </w:r>
          </w:p>
        </w:tc>
        <w:tc>
          <w:tcPr>
            <w:tcW w:w="1224" w:type="dxa"/>
            <w:vAlign w:val="center"/>
          </w:tcPr>
          <w:p w14:paraId="02007EDF"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-0.17%</w:t>
            </w:r>
          </w:p>
        </w:tc>
      </w:tr>
      <w:tr w:rsidR="001267E3" w:rsidRPr="00501526" w14:paraId="6B018B9E" w14:textId="77777777" w:rsidTr="00C235C5">
        <w:tc>
          <w:tcPr>
            <w:tcW w:w="3114" w:type="dxa"/>
            <w:vAlign w:val="center"/>
          </w:tcPr>
          <w:p w14:paraId="46D6E8E6" w14:textId="77777777" w:rsidR="001267E3" w:rsidRPr="00501526" w:rsidRDefault="001267E3" w:rsidP="006C27A8">
            <w:pPr>
              <w:keepNext/>
              <w:keepLines/>
              <w:rPr>
                <w:rFonts w:ascii="Arial Narrow" w:hAnsi="Arial Narrow"/>
                <w:iCs/>
                <w:sz w:val="20"/>
                <w:szCs w:val="20"/>
              </w:rPr>
            </w:pPr>
            <w:r w:rsidRPr="00501526">
              <w:rPr>
                <w:rFonts w:ascii="Arial Narrow" w:hAnsi="Arial Narrow"/>
                <w:iCs/>
                <w:sz w:val="20"/>
                <w:szCs w:val="20"/>
              </w:rPr>
              <w:t>Discount rate: 3.5%</w:t>
            </w:r>
          </w:p>
        </w:tc>
        <w:tc>
          <w:tcPr>
            <w:tcW w:w="1417" w:type="dxa"/>
            <w:vAlign w:val="center"/>
          </w:tcPr>
          <w:p w14:paraId="3DB1AC93" w14:textId="4E692296"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64366841"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0.91</w:t>
            </w:r>
          </w:p>
        </w:tc>
        <w:tc>
          <w:tcPr>
            <w:tcW w:w="1701" w:type="dxa"/>
            <w:vAlign w:val="center"/>
          </w:tcPr>
          <w:p w14:paraId="164A7230" w14:textId="09416E64"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sidRPr="00A01A5C">
              <w:rPr>
                <w:rFonts w:ascii="Arial Narrow" w:hAnsi="Arial Narrow"/>
                <w:iCs/>
                <w:sz w:val="20"/>
                <w:szCs w:val="20"/>
                <w:vertAlign w:val="superscript"/>
              </w:rPr>
              <w:t>1</w:t>
            </w:r>
          </w:p>
        </w:tc>
        <w:tc>
          <w:tcPr>
            <w:tcW w:w="1224" w:type="dxa"/>
            <w:vAlign w:val="center"/>
          </w:tcPr>
          <w:p w14:paraId="410B567B"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-0.06%</w:t>
            </w:r>
          </w:p>
        </w:tc>
      </w:tr>
      <w:tr w:rsidR="001267E3" w:rsidRPr="00501526" w14:paraId="46A8C493" w14:textId="77777777" w:rsidTr="00C235C5">
        <w:tc>
          <w:tcPr>
            <w:tcW w:w="3114" w:type="dxa"/>
            <w:vAlign w:val="center"/>
          </w:tcPr>
          <w:p w14:paraId="35560B8F" w14:textId="77777777" w:rsidR="001267E3" w:rsidRPr="00501526" w:rsidRDefault="001267E3" w:rsidP="006C27A8">
            <w:pPr>
              <w:keepNext/>
              <w:keepLines/>
              <w:rPr>
                <w:rFonts w:ascii="Arial Narrow" w:hAnsi="Arial Narrow"/>
                <w:iCs/>
                <w:sz w:val="20"/>
                <w:szCs w:val="20"/>
              </w:rPr>
            </w:pPr>
            <w:r w:rsidRPr="00501526">
              <w:rPr>
                <w:rFonts w:ascii="Arial Narrow" w:hAnsi="Arial Narrow"/>
                <w:iCs/>
                <w:sz w:val="20"/>
                <w:szCs w:val="20"/>
              </w:rPr>
              <w:t>Time horizon 30 years</w:t>
            </w:r>
          </w:p>
        </w:tc>
        <w:tc>
          <w:tcPr>
            <w:tcW w:w="1417" w:type="dxa"/>
            <w:vAlign w:val="center"/>
          </w:tcPr>
          <w:p w14:paraId="41063ACD" w14:textId="12B6F715"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270A99C0"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0.60</w:t>
            </w:r>
          </w:p>
        </w:tc>
        <w:tc>
          <w:tcPr>
            <w:tcW w:w="1701" w:type="dxa"/>
            <w:vAlign w:val="center"/>
          </w:tcPr>
          <w:p w14:paraId="5CB914F8" w14:textId="7D699A8C"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sidRPr="00A01A5C">
              <w:rPr>
                <w:rFonts w:ascii="Arial Narrow" w:hAnsi="Arial Narrow"/>
                <w:iCs/>
                <w:sz w:val="20"/>
                <w:szCs w:val="20"/>
                <w:vertAlign w:val="superscript"/>
              </w:rPr>
              <w:t>1</w:t>
            </w:r>
          </w:p>
        </w:tc>
        <w:tc>
          <w:tcPr>
            <w:tcW w:w="1224" w:type="dxa"/>
            <w:vAlign w:val="center"/>
          </w:tcPr>
          <w:p w14:paraId="43664D1A"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+0.04%</w:t>
            </w:r>
          </w:p>
        </w:tc>
      </w:tr>
      <w:tr w:rsidR="001267E3" w:rsidRPr="00501526" w14:paraId="6B4350A6" w14:textId="77777777" w:rsidTr="00C235C5">
        <w:tc>
          <w:tcPr>
            <w:tcW w:w="3114" w:type="dxa"/>
          </w:tcPr>
          <w:p w14:paraId="538A04FB" w14:textId="77777777" w:rsidR="001267E3" w:rsidRPr="00501526" w:rsidRDefault="001267E3" w:rsidP="006C27A8">
            <w:pPr>
              <w:keepNext/>
              <w:keepLines/>
              <w:rPr>
                <w:rFonts w:ascii="Arial Narrow" w:hAnsi="Arial Narrow"/>
                <w:iCs/>
                <w:sz w:val="20"/>
                <w:szCs w:val="20"/>
                <w:vertAlign w:val="superscript"/>
              </w:rPr>
            </w:pPr>
            <w:r w:rsidRPr="00501526">
              <w:rPr>
                <w:rFonts w:ascii="Arial Narrow" w:hAnsi="Arial Narrow"/>
                <w:iCs/>
                <w:sz w:val="20"/>
                <w:szCs w:val="20"/>
              </w:rPr>
              <w:t>Use March 2018 Utility *</w:t>
            </w:r>
          </w:p>
        </w:tc>
        <w:tc>
          <w:tcPr>
            <w:tcW w:w="1417" w:type="dxa"/>
            <w:vAlign w:val="center"/>
          </w:tcPr>
          <w:p w14:paraId="70EDF942" w14:textId="4A32A76A"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74803E47"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0.603</w:t>
            </w:r>
          </w:p>
        </w:tc>
        <w:tc>
          <w:tcPr>
            <w:tcW w:w="1701" w:type="dxa"/>
            <w:vAlign w:val="center"/>
          </w:tcPr>
          <w:p w14:paraId="76E219CF" w14:textId="04DD819A"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Pr>
                <w:rFonts w:ascii="Arial Narrow" w:hAnsi="Arial Narrow"/>
                <w:iCs/>
                <w:sz w:val="20"/>
                <w:szCs w:val="20"/>
                <w:vertAlign w:val="superscript"/>
              </w:rPr>
              <w:t>2</w:t>
            </w:r>
          </w:p>
        </w:tc>
        <w:tc>
          <w:tcPr>
            <w:tcW w:w="1224" w:type="dxa"/>
            <w:vAlign w:val="center"/>
          </w:tcPr>
          <w:p w14:paraId="5B050951"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+18%</w:t>
            </w:r>
          </w:p>
        </w:tc>
      </w:tr>
      <w:tr w:rsidR="001267E3" w:rsidRPr="00501526" w14:paraId="45618D48" w14:textId="77777777" w:rsidTr="00C235C5">
        <w:tc>
          <w:tcPr>
            <w:tcW w:w="3114" w:type="dxa"/>
          </w:tcPr>
          <w:p w14:paraId="1079E38C" w14:textId="77777777" w:rsidR="001267E3" w:rsidRPr="00501526" w:rsidRDefault="001267E3" w:rsidP="006C27A8">
            <w:pPr>
              <w:keepNext/>
              <w:keepLines/>
              <w:rPr>
                <w:rFonts w:ascii="Arial Narrow" w:hAnsi="Arial Narrow"/>
                <w:iCs/>
                <w:sz w:val="20"/>
                <w:szCs w:val="20"/>
                <w:vertAlign w:val="superscript"/>
              </w:rPr>
            </w:pPr>
            <w:r w:rsidRPr="00501526">
              <w:rPr>
                <w:rFonts w:ascii="Arial Narrow" w:hAnsi="Arial Narrow"/>
                <w:iCs/>
                <w:sz w:val="20"/>
                <w:szCs w:val="20"/>
              </w:rPr>
              <w:t>Response rate (10.4%) ^</w:t>
            </w:r>
          </w:p>
        </w:tc>
        <w:tc>
          <w:tcPr>
            <w:tcW w:w="1417" w:type="dxa"/>
            <w:vAlign w:val="center"/>
          </w:tcPr>
          <w:p w14:paraId="2F1B336C" w14:textId="66D23189"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41908D9A"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0.309</w:t>
            </w:r>
          </w:p>
        </w:tc>
        <w:tc>
          <w:tcPr>
            <w:tcW w:w="1701" w:type="dxa"/>
            <w:vAlign w:val="center"/>
          </w:tcPr>
          <w:p w14:paraId="61951ED7" w14:textId="16E71EC1"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sidRPr="00A01A5C">
              <w:rPr>
                <w:rFonts w:ascii="Arial Narrow" w:hAnsi="Arial Narrow"/>
                <w:iCs/>
                <w:sz w:val="20"/>
                <w:szCs w:val="20"/>
                <w:vertAlign w:val="superscript"/>
              </w:rPr>
              <w:t>1</w:t>
            </w:r>
          </w:p>
        </w:tc>
        <w:tc>
          <w:tcPr>
            <w:tcW w:w="1224" w:type="dxa"/>
            <w:vAlign w:val="center"/>
          </w:tcPr>
          <w:p w14:paraId="30CD0C67"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+2.3%</w:t>
            </w:r>
          </w:p>
        </w:tc>
      </w:tr>
      <w:tr w:rsidR="001267E3" w:rsidRPr="00501526" w14:paraId="61FB9A43" w14:textId="77777777" w:rsidTr="00C235C5">
        <w:tc>
          <w:tcPr>
            <w:tcW w:w="3114" w:type="dxa"/>
          </w:tcPr>
          <w:p w14:paraId="4A75D008" w14:textId="77777777" w:rsidR="001267E3" w:rsidRPr="00501526" w:rsidRDefault="001267E3" w:rsidP="006C27A8">
            <w:pPr>
              <w:keepNext/>
              <w:keepLines/>
              <w:rPr>
                <w:rFonts w:ascii="Arial Narrow" w:hAnsi="Arial Narrow"/>
                <w:iCs/>
                <w:sz w:val="20"/>
                <w:szCs w:val="20"/>
                <w:vertAlign w:val="superscript"/>
              </w:rPr>
            </w:pPr>
            <w:r w:rsidRPr="00501526">
              <w:rPr>
                <w:rFonts w:ascii="Arial Narrow" w:hAnsi="Arial Narrow"/>
                <w:iCs/>
                <w:sz w:val="20"/>
                <w:szCs w:val="20"/>
              </w:rPr>
              <w:t xml:space="preserve">Increase blood Phe decrease for diet to 108 µmol/L </w:t>
            </w:r>
            <w:r w:rsidRPr="00501526">
              <w:rPr>
                <w:rFonts w:ascii="Arial Narrow" w:hAnsi="Arial Narrow"/>
                <w:iCs/>
                <w:sz w:val="20"/>
                <w:szCs w:val="20"/>
                <w:vertAlign w:val="superscript"/>
              </w:rPr>
              <w:t>#</w:t>
            </w:r>
          </w:p>
        </w:tc>
        <w:tc>
          <w:tcPr>
            <w:tcW w:w="1417" w:type="dxa"/>
            <w:vAlign w:val="center"/>
          </w:tcPr>
          <w:p w14:paraId="24BAAAAF" w14:textId="70FAE844"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560" w:type="dxa"/>
            <w:vAlign w:val="center"/>
          </w:tcPr>
          <w:p w14:paraId="2832C501"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0.529</w:t>
            </w:r>
          </w:p>
        </w:tc>
        <w:tc>
          <w:tcPr>
            <w:tcW w:w="1701" w:type="dxa"/>
            <w:vAlign w:val="center"/>
          </w:tcPr>
          <w:p w14:paraId="3EBC9181" w14:textId="21A8F936"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w:t>
            </w:r>
            <w:r w:rsidR="00542E3B" w:rsidRPr="00542E3B">
              <w:rPr>
                <w:rFonts w:ascii="Arial Narrow" w:hAnsi="Arial Narrow"/>
                <w:iCs/>
                <w:color w:val="000000"/>
                <w:sz w:val="20"/>
                <w:szCs w:val="20"/>
                <w:shd w:val="solid" w:color="000000" w:fill="000000"/>
                <w14:textFill>
                  <w14:solidFill>
                    <w14:srgbClr w14:val="000000">
                      <w14:alpha w14:val="100000"/>
                    </w14:srgbClr>
                  </w14:solidFill>
                </w14:textFill>
              </w:rPr>
              <w:t>|</w:t>
            </w:r>
            <w:r w:rsidR="00A01A5C">
              <w:rPr>
                <w:rFonts w:ascii="Arial Narrow" w:hAnsi="Arial Narrow"/>
                <w:iCs/>
                <w:sz w:val="20"/>
                <w:szCs w:val="20"/>
                <w:vertAlign w:val="superscript"/>
              </w:rPr>
              <w:t>2</w:t>
            </w:r>
          </w:p>
        </w:tc>
        <w:tc>
          <w:tcPr>
            <w:tcW w:w="1224" w:type="dxa"/>
            <w:vAlign w:val="center"/>
          </w:tcPr>
          <w:p w14:paraId="6326C90B" w14:textId="77777777" w:rsidR="001267E3" w:rsidRPr="00501526" w:rsidRDefault="001267E3" w:rsidP="006C27A8">
            <w:pPr>
              <w:keepNext/>
              <w:keepLines/>
              <w:jc w:val="center"/>
              <w:rPr>
                <w:rFonts w:ascii="Arial Narrow" w:hAnsi="Arial Narrow"/>
                <w:iCs/>
                <w:sz w:val="20"/>
                <w:szCs w:val="20"/>
              </w:rPr>
            </w:pPr>
            <w:r w:rsidRPr="00501526">
              <w:rPr>
                <w:rFonts w:ascii="Arial Narrow" w:hAnsi="Arial Narrow"/>
                <w:iCs/>
                <w:sz w:val="20"/>
                <w:szCs w:val="20"/>
              </w:rPr>
              <w:t>+33.65%</w:t>
            </w:r>
          </w:p>
        </w:tc>
      </w:tr>
    </w:tbl>
    <w:p w14:paraId="0C59F26E" w14:textId="77777777" w:rsidR="001267E3" w:rsidRPr="00501526" w:rsidRDefault="001267E3" w:rsidP="006C27A8">
      <w:pPr>
        <w:keepNext/>
        <w:keepLines/>
        <w:rPr>
          <w:rFonts w:ascii="Arial Narrow" w:hAnsi="Arial Narrow"/>
          <w:iCs/>
          <w:sz w:val="18"/>
          <w:szCs w:val="18"/>
        </w:rPr>
      </w:pPr>
      <w:r w:rsidRPr="00501526">
        <w:rPr>
          <w:rFonts w:ascii="Arial Narrow" w:hAnsi="Arial Narrow"/>
          <w:iCs/>
          <w:sz w:val="18"/>
          <w:szCs w:val="18"/>
        </w:rPr>
        <w:t>* Changed utility for 120-360 µmol/L to 0.71 (corresponding to utility in responders in the March 2018 sapropterin submission) and utility for &gt;1,200 µmol/L to 0.37 (corresponding to utility in uncontrolled disease in March 2018 submission)</w:t>
      </w:r>
    </w:p>
    <w:p w14:paraId="71B623A0" w14:textId="0486FB23" w:rsidR="001267E3" w:rsidRPr="00501526" w:rsidRDefault="001267E3" w:rsidP="006C27A8">
      <w:pPr>
        <w:keepNext/>
        <w:keepLines/>
        <w:rPr>
          <w:rFonts w:ascii="Arial Narrow" w:hAnsi="Arial Narrow"/>
          <w:iCs/>
          <w:sz w:val="18"/>
          <w:szCs w:val="18"/>
        </w:rPr>
      </w:pPr>
      <w:r w:rsidRPr="00501526">
        <w:rPr>
          <w:rFonts w:ascii="Arial Narrow" w:hAnsi="Arial Narrow"/>
          <w:iCs/>
          <w:sz w:val="18"/>
          <w:szCs w:val="18"/>
        </w:rPr>
        <w:t>^ Based on 12/115 adult patients with baseline Phe ≥600 µmol/L who had at least one blood-Phe measurement which was ≥30% lower than baseline within the first 7 days of treatment with sapropterin, consistent with the PBS indication for trialling sapropterin</w:t>
      </w:r>
      <w:r w:rsidR="00C3531B">
        <w:rPr>
          <w:rFonts w:ascii="Arial Narrow" w:hAnsi="Arial Narrow"/>
          <w:iCs/>
          <w:sz w:val="18"/>
          <w:szCs w:val="18"/>
        </w:rPr>
        <w:t>.</w:t>
      </w:r>
    </w:p>
    <w:p w14:paraId="73819DC5" w14:textId="70D21116" w:rsidR="001267E3" w:rsidRPr="00501526" w:rsidRDefault="001267E3" w:rsidP="006C27A8">
      <w:pPr>
        <w:keepNext/>
        <w:keepLines/>
        <w:rPr>
          <w:rFonts w:ascii="Arial Narrow" w:hAnsi="Arial Narrow"/>
          <w:iCs/>
          <w:sz w:val="18"/>
          <w:szCs w:val="18"/>
        </w:rPr>
      </w:pPr>
      <w:r w:rsidRPr="00501526">
        <w:rPr>
          <w:rFonts w:ascii="Arial Narrow" w:hAnsi="Arial Narrow"/>
          <w:iCs/>
          <w:sz w:val="18"/>
          <w:szCs w:val="18"/>
        </w:rPr>
        <w:t xml:space="preserve"># </w:t>
      </w:r>
      <w:r w:rsidR="00397875" w:rsidRPr="00501526">
        <w:rPr>
          <w:rFonts w:ascii="Arial Narrow" w:hAnsi="Arial Narrow"/>
          <w:iCs/>
          <w:sz w:val="18"/>
          <w:szCs w:val="18"/>
        </w:rPr>
        <w:t xml:space="preserve">As used in </w:t>
      </w:r>
      <w:r w:rsidRPr="00501526">
        <w:rPr>
          <w:rFonts w:ascii="Arial Narrow" w:hAnsi="Arial Narrow"/>
          <w:iCs/>
          <w:sz w:val="18"/>
          <w:szCs w:val="18"/>
        </w:rPr>
        <w:t>pegvaliase model</w:t>
      </w:r>
    </w:p>
    <w:p w14:paraId="4A7B962E" w14:textId="77777777" w:rsidR="001267E3" w:rsidRPr="00501526" w:rsidRDefault="001267E3" w:rsidP="006C27A8">
      <w:pPr>
        <w:keepNext/>
        <w:keepLines/>
        <w:rPr>
          <w:rFonts w:ascii="Arial Narrow" w:hAnsi="Arial Narrow"/>
          <w:iCs/>
          <w:sz w:val="18"/>
          <w:szCs w:val="18"/>
        </w:rPr>
      </w:pPr>
      <w:r w:rsidRPr="00501526">
        <w:rPr>
          <w:rFonts w:ascii="Arial Narrow" w:hAnsi="Arial Narrow"/>
          <w:iCs/>
          <w:sz w:val="18"/>
          <w:szCs w:val="18"/>
        </w:rPr>
        <w:t xml:space="preserve">Source: Table 3.9-1, p308 of the submission and constructed during evaluation </w:t>
      </w:r>
    </w:p>
    <w:p w14:paraId="000D971E" w14:textId="77777777" w:rsidR="00A01A5C" w:rsidRPr="009A6D58" w:rsidRDefault="00A01A5C" w:rsidP="00A01A5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46B16AB" w14:textId="77777777" w:rsidR="00A01A5C" w:rsidRPr="00204F0E" w:rsidRDefault="00A01A5C" w:rsidP="00A01A5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36D0E">
        <w:rPr>
          <w:rFonts w:ascii="Arial Narrow" w:hAnsi="Arial Narrow"/>
          <w:i/>
          <w:sz w:val="18"/>
          <w:szCs w:val="18"/>
        </w:rPr>
        <w:t>$555,000 to &lt; $655,000</w:t>
      </w:r>
    </w:p>
    <w:p w14:paraId="742F98BF" w14:textId="2DD0890F" w:rsidR="007214AA" w:rsidRPr="001A41BB" w:rsidRDefault="00A01A5C" w:rsidP="001A41BB">
      <w:pPr>
        <w:spacing w:after="240"/>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C36D0E">
        <w:rPr>
          <w:rFonts w:ascii="Arial Narrow" w:hAnsi="Arial Narrow"/>
          <w:i/>
          <w:sz w:val="18"/>
          <w:szCs w:val="18"/>
        </w:rPr>
        <w:t>$</w:t>
      </w:r>
      <w:r>
        <w:rPr>
          <w:rFonts w:ascii="Arial Narrow" w:hAnsi="Arial Narrow"/>
          <w:i/>
          <w:sz w:val="18"/>
          <w:szCs w:val="18"/>
        </w:rPr>
        <w:t>6</w:t>
      </w:r>
      <w:r w:rsidRPr="00C36D0E">
        <w:rPr>
          <w:rFonts w:ascii="Arial Narrow" w:hAnsi="Arial Narrow"/>
          <w:i/>
          <w:sz w:val="18"/>
          <w:szCs w:val="18"/>
        </w:rPr>
        <w:t>55,000 to &lt; $</w:t>
      </w:r>
      <w:r>
        <w:rPr>
          <w:rFonts w:ascii="Arial Narrow" w:hAnsi="Arial Narrow"/>
          <w:i/>
          <w:sz w:val="18"/>
          <w:szCs w:val="18"/>
        </w:rPr>
        <w:t>7</w:t>
      </w:r>
      <w:r w:rsidRPr="00C36D0E">
        <w:rPr>
          <w:rFonts w:ascii="Arial Narrow" w:hAnsi="Arial Narrow"/>
          <w:i/>
          <w:sz w:val="18"/>
          <w:szCs w:val="18"/>
        </w:rPr>
        <w:t>55,000</w:t>
      </w:r>
    </w:p>
    <w:p w14:paraId="0696A933" w14:textId="28AEADCA" w:rsidR="007214AA" w:rsidRPr="00501526" w:rsidRDefault="00D4201B" w:rsidP="00633D93">
      <w:pPr>
        <w:pStyle w:val="3-BodyText"/>
        <w:rPr>
          <w:iCs/>
        </w:rPr>
      </w:pPr>
      <w:r w:rsidRPr="00501526">
        <w:rPr>
          <w:iCs/>
        </w:rPr>
        <w:t>P</w:t>
      </w:r>
      <w:r w:rsidR="00E726F7" w:rsidRPr="00501526">
        <w:rPr>
          <w:rFonts w:cstheme="minorHAnsi"/>
          <w:iCs/>
        </w:rPr>
        <w:t xml:space="preserve">robabilistic sensitivity analyses </w:t>
      </w:r>
      <w:r w:rsidR="00E863D1" w:rsidRPr="00501526">
        <w:rPr>
          <w:rFonts w:cstheme="minorHAnsi"/>
          <w:iCs/>
        </w:rPr>
        <w:t xml:space="preserve">around baseline age, Phe and </w:t>
      </w:r>
      <w:r w:rsidR="00BD0DD8" w:rsidRPr="00501526">
        <w:rPr>
          <w:rFonts w:cstheme="minorHAnsi"/>
          <w:iCs/>
        </w:rPr>
        <w:t xml:space="preserve">the assumed blood-Phe decrease for sapropterin responders </w:t>
      </w:r>
      <w:r w:rsidR="00186C14" w:rsidRPr="00501526">
        <w:rPr>
          <w:rFonts w:cstheme="minorHAnsi"/>
          <w:iCs/>
        </w:rPr>
        <w:t>indicate that b</w:t>
      </w:r>
      <w:r w:rsidR="00BD0DD8" w:rsidRPr="00501526">
        <w:rPr>
          <w:rFonts w:cstheme="minorHAnsi"/>
          <w:iCs/>
        </w:rPr>
        <w:t xml:space="preserve">aseline Phe </w:t>
      </w:r>
      <w:r w:rsidR="00186C14" w:rsidRPr="00501526">
        <w:rPr>
          <w:rFonts w:cstheme="minorHAnsi"/>
          <w:iCs/>
        </w:rPr>
        <w:t>is</w:t>
      </w:r>
      <w:r w:rsidR="00BD0DD8" w:rsidRPr="00501526">
        <w:rPr>
          <w:rFonts w:cstheme="minorHAnsi"/>
          <w:iCs/>
        </w:rPr>
        <w:t xml:space="preserve"> a key driver of the model</w:t>
      </w:r>
      <w:r w:rsidR="007214AA" w:rsidRPr="00501526">
        <w:rPr>
          <w:rFonts w:cstheme="minorHAnsi"/>
          <w:iCs/>
        </w:rPr>
        <w:t xml:space="preserve">. </w:t>
      </w:r>
      <w:r w:rsidR="00F8079F" w:rsidRPr="00501526">
        <w:rPr>
          <w:rFonts w:cstheme="minorHAnsi"/>
          <w:iCs/>
        </w:rPr>
        <w:t>For example, using the 25th percentiles of baseline Phe, with a value of 839.</w:t>
      </w:r>
      <w:r w:rsidR="00357851" w:rsidRPr="00501526">
        <w:rPr>
          <w:rFonts w:cstheme="minorHAnsi"/>
          <w:iCs/>
        </w:rPr>
        <w:t>22</w:t>
      </w:r>
      <w:r w:rsidR="00357851">
        <w:rPr>
          <w:rFonts w:cstheme="minorHAnsi"/>
          <w:iCs/>
        </w:rPr>
        <w:t> </w:t>
      </w:r>
      <w:r w:rsidR="00F8079F" w:rsidRPr="00501526">
        <w:rPr>
          <w:rFonts w:cstheme="minorHAnsi"/>
          <w:iCs/>
        </w:rPr>
        <w:t>µmol/L, increased the ICER by 154%.</w:t>
      </w:r>
    </w:p>
    <w:p w14:paraId="68F7CF05" w14:textId="7993B562" w:rsidR="00D4201B" w:rsidRDefault="00D4201B" w:rsidP="00D4201B">
      <w:pPr>
        <w:pStyle w:val="3-BodyText"/>
        <w:rPr>
          <w:iCs/>
        </w:rPr>
      </w:pPr>
      <w:r w:rsidRPr="00501526">
        <w:rPr>
          <w:iCs/>
        </w:rPr>
        <w:t xml:space="preserve">The ESC considered that the univariate sensitivity analyses (which adjust assumptions using the existing model structure) did not adequately demonstrate the substantial uncertainty with the model, given the issues with the underlying data and the model structure. </w:t>
      </w:r>
    </w:p>
    <w:p w14:paraId="32A261E5" w14:textId="14B80543" w:rsidR="00B6103A" w:rsidRPr="00080391" w:rsidRDefault="00B6103A" w:rsidP="00D4201B">
      <w:pPr>
        <w:pStyle w:val="3-BodyText"/>
        <w:rPr>
          <w:iCs/>
        </w:rPr>
      </w:pPr>
      <w:r w:rsidRPr="00080391">
        <w:rPr>
          <w:iCs/>
        </w:rPr>
        <w:t xml:space="preserve">The PBAC noted that a </w:t>
      </w:r>
      <w:r w:rsidRPr="0045211C">
        <w:rPr>
          <w:iCs/>
        </w:rPr>
        <w:t>30</w:t>
      </w:r>
      <w:r w:rsidRPr="00080391">
        <w:rPr>
          <w:iCs/>
        </w:rPr>
        <w:t xml:space="preserve">% reduction in the price of sapropterin would be required to reduce the ICER to </w:t>
      </w:r>
      <w:r w:rsidR="00080391" w:rsidRPr="00924EE8">
        <w:rPr>
          <w:iCs/>
        </w:rPr>
        <w:t>$</w:t>
      </w:r>
      <w:r w:rsidR="00080391">
        <w:rPr>
          <w:iCs/>
        </w:rPr>
        <w:t>3</w:t>
      </w:r>
      <w:r w:rsidR="00080391" w:rsidRPr="00924EE8">
        <w:rPr>
          <w:iCs/>
        </w:rPr>
        <w:t>55,000 to &lt; $</w:t>
      </w:r>
      <w:r w:rsidR="00080391">
        <w:rPr>
          <w:iCs/>
        </w:rPr>
        <w:t>4</w:t>
      </w:r>
      <w:r w:rsidR="00080391" w:rsidRPr="00924EE8">
        <w:rPr>
          <w:iCs/>
        </w:rPr>
        <w:t>55,000</w:t>
      </w:r>
      <w:r w:rsidR="00080391">
        <w:rPr>
          <w:iCs/>
        </w:rPr>
        <w:t xml:space="preserve"> </w:t>
      </w:r>
      <w:r w:rsidRPr="00080391">
        <w:rPr>
          <w:iCs/>
        </w:rPr>
        <w:t xml:space="preserve">/QALY and a </w:t>
      </w:r>
      <w:r w:rsidRPr="0045211C">
        <w:rPr>
          <w:iCs/>
        </w:rPr>
        <w:t>50</w:t>
      </w:r>
      <w:r w:rsidRPr="00080391">
        <w:rPr>
          <w:iCs/>
        </w:rPr>
        <w:t xml:space="preserve">% price reduction would be required to reduce the ICER to </w:t>
      </w:r>
      <w:r w:rsidR="00080391" w:rsidRPr="00924EE8">
        <w:rPr>
          <w:iCs/>
        </w:rPr>
        <w:t>$</w:t>
      </w:r>
      <w:r w:rsidR="00080391">
        <w:rPr>
          <w:iCs/>
        </w:rPr>
        <w:t>2</w:t>
      </w:r>
      <w:r w:rsidR="00080391" w:rsidRPr="00924EE8">
        <w:rPr>
          <w:iCs/>
        </w:rPr>
        <w:t>55,000 to &lt; $</w:t>
      </w:r>
      <w:r w:rsidR="00080391">
        <w:rPr>
          <w:iCs/>
        </w:rPr>
        <w:t>3</w:t>
      </w:r>
      <w:r w:rsidR="00080391" w:rsidRPr="00924EE8">
        <w:rPr>
          <w:iCs/>
        </w:rPr>
        <w:t>55,000</w:t>
      </w:r>
      <w:r w:rsidR="00080391">
        <w:rPr>
          <w:iCs/>
        </w:rPr>
        <w:t xml:space="preserve"> </w:t>
      </w:r>
      <w:r w:rsidRPr="00080391">
        <w:rPr>
          <w:iCs/>
        </w:rPr>
        <w:t>/QALY.</w:t>
      </w:r>
    </w:p>
    <w:p w14:paraId="472842D7" w14:textId="34288AB1" w:rsidR="00C25D9C" w:rsidRPr="00501526" w:rsidRDefault="00C25D9C" w:rsidP="00BB732D">
      <w:pPr>
        <w:pStyle w:val="4-SubsectionHeading"/>
      </w:pPr>
      <w:bookmarkStart w:id="54" w:name="_Toc22897646"/>
      <w:bookmarkStart w:id="55" w:name="_Toc103766833"/>
      <w:r w:rsidRPr="00501526">
        <w:lastRenderedPageBreak/>
        <w:t>Drug</w:t>
      </w:r>
      <w:r w:rsidR="0025014B" w:rsidRPr="00501526">
        <w:t xml:space="preserve"> </w:t>
      </w:r>
      <w:r w:rsidRPr="00501526">
        <w:t>cost/patient/</w:t>
      </w:r>
      <w:bookmarkEnd w:id="54"/>
      <w:r w:rsidR="0025014B" w:rsidRPr="00501526">
        <w:t>year</w:t>
      </w:r>
      <w:r w:rsidR="00870562" w:rsidRPr="00501526">
        <w:t>: $</w:t>
      </w:r>
      <w:bookmarkEnd w:id="55"/>
      <w:r w:rsidR="00542E3B" w:rsidRPr="00542E3B">
        <w:rPr>
          <w:color w:val="000000"/>
          <w:spacing w:val="0"/>
          <w:w w:val="48"/>
          <w:kern w:val="0"/>
          <w:shd w:val="solid" w:color="000000" w:fill="000000"/>
          <w:fitText w:val="581" w:id="-1435870451"/>
          <w14:textFill>
            <w14:solidFill>
              <w14:srgbClr w14:val="000000">
                <w14:alpha w14:val="100000"/>
              </w14:srgbClr>
            </w14:solidFill>
          </w14:textFill>
        </w:rPr>
        <w:t>||||  |||</w:t>
      </w:r>
      <w:r w:rsidR="00542E3B" w:rsidRPr="00542E3B">
        <w:rPr>
          <w:color w:val="000000"/>
          <w:spacing w:val="9"/>
          <w:w w:val="48"/>
          <w:kern w:val="0"/>
          <w:shd w:val="solid" w:color="000000" w:fill="000000"/>
          <w:fitText w:val="581" w:id="-1435870451"/>
          <w14:textFill>
            <w14:solidFill>
              <w14:srgbClr w14:val="000000">
                <w14:alpha w14:val="100000"/>
              </w14:srgbClr>
            </w14:solidFill>
          </w14:textFill>
        </w:rPr>
        <w:t>|</w:t>
      </w:r>
    </w:p>
    <w:p w14:paraId="0529A649" w14:textId="62145F43" w:rsidR="00494207" w:rsidRPr="00501526" w:rsidRDefault="00CA35AC" w:rsidP="00C94053">
      <w:pPr>
        <w:pStyle w:val="TableFigureHeading"/>
        <w:rPr>
          <w:rStyle w:val="CommentReference"/>
          <w:b/>
          <w:iCs/>
          <w:szCs w:val="24"/>
        </w:rPr>
      </w:pPr>
      <w:r w:rsidRPr="00501526">
        <w:rPr>
          <w:rStyle w:val="CommentReference"/>
          <w:b/>
          <w:iCs/>
          <w:szCs w:val="24"/>
        </w:rPr>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13</w:t>
      </w:r>
      <w:r w:rsidRPr="00501526">
        <w:rPr>
          <w:rStyle w:val="CommentReference"/>
          <w:b/>
          <w:iCs/>
          <w:szCs w:val="24"/>
        </w:rPr>
        <w:fldChar w:fldCharType="end"/>
      </w:r>
      <w:r w:rsidRPr="00501526">
        <w:rPr>
          <w:rStyle w:val="CommentReference"/>
          <w:b/>
          <w:iCs/>
          <w:szCs w:val="24"/>
        </w:rPr>
        <w:t xml:space="preserve">: </w:t>
      </w:r>
      <w:r w:rsidR="00494207" w:rsidRPr="00501526">
        <w:rPr>
          <w:rStyle w:val="CommentReference"/>
          <w:b/>
          <w:iCs/>
          <w:szCs w:val="24"/>
        </w:rPr>
        <w:t>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9"/>
        <w:gridCol w:w="2472"/>
        <w:gridCol w:w="2514"/>
        <w:gridCol w:w="2512"/>
      </w:tblGrid>
      <w:tr w:rsidR="0085315F" w:rsidRPr="00501526" w14:paraId="231D534E" w14:textId="77777777" w:rsidTr="00E702A3">
        <w:trPr>
          <w:cantSplit/>
          <w:tblHeader/>
          <w:jc w:val="center"/>
        </w:trPr>
        <w:tc>
          <w:tcPr>
            <w:tcW w:w="842" w:type="pct"/>
            <w:shd w:val="clear" w:color="auto" w:fill="auto"/>
            <w:vAlign w:val="center"/>
          </w:tcPr>
          <w:p w14:paraId="29DCE76F" w14:textId="77777777" w:rsidR="007562BA" w:rsidRPr="00501526" w:rsidRDefault="007562BA" w:rsidP="00C94053">
            <w:pPr>
              <w:pStyle w:val="In-tableHeading"/>
              <w:jc w:val="center"/>
              <w:rPr>
                <w:iCs/>
                <w:lang w:val="en-AU"/>
              </w:rPr>
            </w:pPr>
          </w:p>
        </w:tc>
        <w:tc>
          <w:tcPr>
            <w:tcW w:w="1371" w:type="pct"/>
            <w:shd w:val="clear" w:color="auto" w:fill="auto"/>
            <w:vAlign w:val="center"/>
          </w:tcPr>
          <w:p w14:paraId="1AA7478C" w14:textId="57817FFD" w:rsidR="007562BA" w:rsidRPr="00501526" w:rsidRDefault="009629AB" w:rsidP="00C94053">
            <w:pPr>
              <w:pStyle w:val="In-tableHeading"/>
              <w:jc w:val="center"/>
              <w:rPr>
                <w:iCs/>
                <w:lang w:val="en-AU"/>
              </w:rPr>
            </w:pPr>
            <w:r w:rsidRPr="00501526">
              <w:rPr>
                <w:iCs/>
                <w:lang w:val="en-AU"/>
              </w:rPr>
              <w:t>Lilienstein</w:t>
            </w:r>
            <w:r w:rsidR="007562BA" w:rsidRPr="00501526">
              <w:rPr>
                <w:iCs/>
                <w:lang w:val="en-AU"/>
              </w:rPr>
              <w:t xml:space="preserve"> (2018) </w:t>
            </w:r>
          </w:p>
        </w:tc>
        <w:tc>
          <w:tcPr>
            <w:tcW w:w="1394" w:type="pct"/>
            <w:shd w:val="clear" w:color="auto" w:fill="auto"/>
            <w:vAlign w:val="center"/>
          </w:tcPr>
          <w:p w14:paraId="1E707E82" w14:textId="77777777" w:rsidR="007562BA" w:rsidRPr="00501526" w:rsidRDefault="007562BA" w:rsidP="00C94053">
            <w:pPr>
              <w:pStyle w:val="In-tableHeading"/>
              <w:jc w:val="center"/>
              <w:rPr>
                <w:iCs/>
                <w:lang w:val="en-AU"/>
              </w:rPr>
            </w:pPr>
            <w:r w:rsidRPr="00501526">
              <w:rPr>
                <w:iCs/>
                <w:lang w:val="en-AU"/>
              </w:rPr>
              <w:t>Model</w:t>
            </w:r>
          </w:p>
        </w:tc>
        <w:tc>
          <w:tcPr>
            <w:tcW w:w="1393" w:type="pct"/>
            <w:shd w:val="clear" w:color="auto" w:fill="auto"/>
            <w:vAlign w:val="center"/>
          </w:tcPr>
          <w:p w14:paraId="5CB200FD" w14:textId="77777777" w:rsidR="007562BA" w:rsidRPr="00501526" w:rsidRDefault="007562BA" w:rsidP="00C94053">
            <w:pPr>
              <w:pStyle w:val="In-tableHeading"/>
              <w:jc w:val="center"/>
              <w:rPr>
                <w:iCs/>
                <w:lang w:val="en-AU"/>
              </w:rPr>
            </w:pPr>
            <w:r w:rsidRPr="00501526">
              <w:rPr>
                <w:iCs/>
                <w:lang w:val="en-AU"/>
              </w:rPr>
              <w:t>Financial estimates</w:t>
            </w:r>
          </w:p>
        </w:tc>
      </w:tr>
      <w:tr w:rsidR="008C076E" w:rsidRPr="00501526" w14:paraId="77C6AF22" w14:textId="77777777" w:rsidTr="00E702A3">
        <w:trPr>
          <w:cantSplit/>
          <w:jc w:val="center"/>
        </w:trPr>
        <w:tc>
          <w:tcPr>
            <w:tcW w:w="5000" w:type="pct"/>
            <w:gridSpan w:val="4"/>
            <w:shd w:val="clear" w:color="auto" w:fill="D9D9D9" w:themeFill="background1" w:themeFillShade="D9"/>
            <w:vAlign w:val="center"/>
          </w:tcPr>
          <w:p w14:paraId="4DA3B644" w14:textId="59B3BF31" w:rsidR="00657EB7" w:rsidRPr="00501526" w:rsidRDefault="00657EB7" w:rsidP="00330AED">
            <w:pPr>
              <w:pStyle w:val="TableText0"/>
              <w:rPr>
                <w:b/>
                <w:iCs/>
              </w:rPr>
            </w:pPr>
            <w:r w:rsidRPr="00501526">
              <w:rPr>
                <w:b/>
                <w:iCs/>
              </w:rPr>
              <w:t>With RSA</w:t>
            </w:r>
          </w:p>
        </w:tc>
      </w:tr>
      <w:tr w:rsidR="006D0445" w:rsidRPr="00501526" w14:paraId="78867D2F" w14:textId="77777777" w:rsidTr="00E702A3">
        <w:trPr>
          <w:cantSplit/>
          <w:jc w:val="center"/>
        </w:trPr>
        <w:tc>
          <w:tcPr>
            <w:tcW w:w="842" w:type="pct"/>
            <w:shd w:val="clear" w:color="auto" w:fill="auto"/>
            <w:vAlign w:val="center"/>
          </w:tcPr>
          <w:p w14:paraId="37119441" w14:textId="77777777" w:rsidR="007562BA" w:rsidRPr="00501526" w:rsidRDefault="007562BA" w:rsidP="00C94053">
            <w:pPr>
              <w:pStyle w:val="TableText0"/>
              <w:rPr>
                <w:iCs/>
              </w:rPr>
            </w:pPr>
            <w:r w:rsidRPr="00501526">
              <w:rPr>
                <w:iCs/>
              </w:rPr>
              <w:t>Mean dose</w:t>
            </w:r>
          </w:p>
        </w:tc>
        <w:tc>
          <w:tcPr>
            <w:tcW w:w="1371" w:type="pct"/>
            <w:shd w:val="clear" w:color="auto" w:fill="auto"/>
            <w:vAlign w:val="center"/>
          </w:tcPr>
          <w:p w14:paraId="38714EF1" w14:textId="7932D564" w:rsidR="007562BA" w:rsidRPr="00501526" w:rsidRDefault="007562BA" w:rsidP="00C94053">
            <w:pPr>
              <w:pStyle w:val="TableText0"/>
              <w:jc w:val="center"/>
              <w:rPr>
                <w:iCs/>
              </w:rPr>
            </w:pPr>
            <w:r w:rsidRPr="00501526">
              <w:rPr>
                <w:iCs/>
              </w:rPr>
              <w:t>18.7</w:t>
            </w:r>
            <w:r w:rsidR="00AD21C8" w:rsidRPr="00501526">
              <w:rPr>
                <w:iCs/>
              </w:rPr>
              <w:t xml:space="preserve"> </w:t>
            </w:r>
            <w:r w:rsidRPr="00501526">
              <w:rPr>
                <w:iCs/>
              </w:rPr>
              <w:t>mg/kg/day</w:t>
            </w:r>
          </w:p>
        </w:tc>
        <w:tc>
          <w:tcPr>
            <w:tcW w:w="2787" w:type="pct"/>
            <w:gridSpan w:val="2"/>
            <w:vMerge w:val="restart"/>
            <w:shd w:val="clear" w:color="auto" w:fill="auto"/>
            <w:vAlign w:val="center"/>
          </w:tcPr>
          <w:p w14:paraId="2F6DDF81" w14:textId="5B3FCCBD" w:rsidR="007562BA" w:rsidRPr="00501526" w:rsidRDefault="007562BA" w:rsidP="00C94053">
            <w:pPr>
              <w:pStyle w:val="TableText0"/>
              <w:jc w:val="center"/>
              <w:rPr>
                <w:iCs/>
              </w:rPr>
            </w:pPr>
            <w:r w:rsidRPr="00501526">
              <w:rPr>
                <w:iCs/>
              </w:rPr>
              <w:t>20</w:t>
            </w:r>
            <w:r w:rsidR="00AD21C8" w:rsidRPr="00501526">
              <w:rPr>
                <w:iCs/>
              </w:rPr>
              <w:t xml:space="preserve"> </w:t>
            </w:r>
            <w:r w:rsidRPr="00501526">
              <w:rPr>
                <w:iCs/>
              </w:rPr>
              <w:t>mg/kg/day</w:t>
            </w:r>
          </w:p>
          <w:p w14:paraId="25242D82" w14:textId="48093507" w:rsidR="007562BA" w:rsidRPr="00501526" w:rsidRDefault="00542E3B" w:rsidP="00C94053">
            <w:pPr>
              <w:pStyle w:val="TableText0"/>
              <w:jc w:val="center"/>
              <w:rPr>
                <w:iCs/>
                <w:vertAlign w:val="superscript"/>
              </w:rPr>
            </w:pPr>
            <w:r w:rsidRPr="00542E3B">
              <w:rPr>
                <w:iCs/>
                <w:color w:val="000000"/>
                <w:shd w:val="solid" w:color="000000" w:fill="000000"/>
                <w14:textFill>
                  <w14:solidFill>
                    <w14:srgbClr w14:val="000000">
                      <w14:alpha w14:val="100000"/>
                    </w14:srgbClr>
                  </w14:solidFill>
                </w14:textFill>
              </w:rPr>
              <w:t>|</w:t>
            </w:r>
            <w:r w:rsidR="00870562" w:rsidRPr="00501526">
              <w:rPr>
                <w:iCs/>
              </w:rPr>
              <w:t xml:space="preserve">kg </w:t>
            </w:r>
            <w:r w:rsidR="007562BA" w:rsidRPr="00501526">
              <w:rPr>
                <w:iCs/>
                <w:vertAlign w:val="superscript"/>
              </w:rPr>
              <w:t>a</w:t>
            </w:r>
          </w:p>
          <w:p w14:paraId="66F6EB36" w14:textId="3C5D19E5" w:rsidR="007562BA" w:rsidRPr="00501526" w:rsidRDefault="00542E3B" w:rsidP="00C94053">
            <w:pPr>
              <w:pStyle w:val="TableText0"/>
              <w:jc w:val="center"/>
              <w:rPr>
                <w:iCs/>
              </w:rPr>
            </w:pPr>
            <w:r w:rsidRPr="00542E3B">
              <w:rPr>
                <w:iCs/>
                <w:color w:val="000000"/>
                <w:shd w:val="solid" w:color="000000" w:fill="000000"/>
                <w14:textFill>
                  <w14:solidFill>
                    <w14:srgbClr w14:val="000000">
                      <w14:alpha w14:val="100000"/>
                    </w14:srgbClr>
                  </w14:solidFill>
                </w14:textFill>
              </w:rPr>
              <w:t>|</w:t>
            </w:r>
            <w:r w:rsidR="00AD21C8" w:rsidRPr="00501526">
              <w:rPr>
                <w:iCs/>
              </w:rPr>
              <w:t xml:space="preserve"> </w:t>
            </w:r>
            <w:r w:rsidR="007562BA" w:rsidRPr="00501526">
              <w:rPr>
                <w:iCs/>
              </w:rPr>
              <w:t>mg/day</w:t>
            </w:r>
          </w:p>
        </w:tc>
      </w:tr>
      <w:tr w:rsidR="006D0445" w:rsidRPr="00501526" w14:paraId="7205353E" w14:textId="77777777" w:rsidTr="00E702A3">
        <w:trPr>
          <w:cantSplit/>
          <w:jc w:val="center"/>
        </w:trPr>
        <w:tc>
          <w:tcPr>
            <w:tcW w:w="842" w:type="pct"/>
            <w:shd w:val="clear" w:color="auto" w:fill="auto"/>
            <w:vAlign w:val="center"/>
          </w:tcPr>
          <w:p w14:paraId="2061B8E4" w14:textId="3398CE71" w:rsidR="007562BA" w:rsidRPr="00501526" w:rsidRDefault="007562BA" w:rsidP="00C94053">
            <w:pPr>
              <w:pStyle w:val="TableText0"/>
              <w:rPr>
                <w:iCs/>
              </w:rPr>
            </w:pPr>
            <w:r w:rsidRPr="00501526">
              <w:rPr>
                <w:iCs/>
              </w:rPr>
              <w:t>Mean weight</w:t>
            </w:r>
          </w:p>
        </w:tc>
        <w:tc>
          <w:tcPr>
            <w:tcW w:w="1371" w:type="pct"/>
            <w:shd w:val="clear" w:color="auto" w:fill="auto"/>
            <w:vAlign w:val="center"/>
          </w:tcPr>
          <w:p w14:paraId="5FFEB601" w14:textId="7DF4BED0" w:rsidR="007562BA" w:rsidRPr="00501526" w:rsidRDefault="007562BA" w:rsidP="00C94053">
            <w:pPr>
              <w:pStyle w:val="TableText0"/>
              <w:jc w:val="center"/>
              <w:rPr>
                <w:iCs/>
              </w:rPr>
            </w:pPr>
            <w:r w:rsidRPr="00501526">
              <w:rPr>
                <w:iCs/>
              </w:rPr>
              <w:t>NR</w:t>
            </w:r>
          </w:p>
        </w:tc>
        <w:tc>
          <w:tcPr>
            <w:tcW w:w="2787" w:type="pct"/>
            <w:gridSpan w:val="2"/>
            <w:vMerge/>
            <w:shd w:val="clear" w:color="auto" w:fill="auto"/>
            <w:vAlign w:val="center"/>
          </w:tcPr>
          <w:p w14:paraId="12819E8E" w14:textId="131AA15D" w:rsidR="007562BA" w:rsidRPr="00501526" w:rsidRDefault="007562BA" w:rsidP="00C94053">
            <w:pPr>
              <w:pStyle w:val="TableText0"/>
              <w:jc w:val="center"/>
              <w:rPr>
                <w:iCs/>
                <w:vertAlign w:val="superscript"/>
              </w:rPr>
            </w:pPr>
          </w:p>
        </w:tc>
      </w:tr>
      <w:tr w:rsidR="006D0445" w:rsidRPr="00501526" w14:paraId="43A032AE" w14:textId="77777777" w:rsidTr="00E702A3">
        <w:trPr>
          <w:cantSplit/>
          <w:jc w:val="center"/>
        </w:trPr>
        <w:tc>
          <w:tcPr>
            <w:tcW w:w="842" w:type="pct"/>
            <w:shd w:val="clear" w:color="auto" w:fill="auto"/>
            <w:vAlign w:val="center"/>
          </w:tcPr>
          <w:p w14:paraId="6DB9232C" w14:textId="71E675D9" w:rsidR="007562BA" w:rsidRPr="00501526" w:rsidRDefault="007562BA" w:rsidP="00C94053">
            <w:pPr>
              <w:pStyle w:val="TableText0"/>
              <w:rPr>
                <w:iCs/>
              </w:rPr>
            </w:pPr>
            <w:r w:rsidRPr="00501526">
              <w:rPr>
                <w:iCs/>
              </w:rPr>
              <w:t>Total dose</w:t>
            </w:r>
          </w:p>
        </w:tc>
        <w:tc>
          <w:tcPr>
            <w:tcW w:w="1371" w:type="pct"/>
            <w:shd w:val="clear" w:color="auto" w:fill="auto"/>
            <w:vAlign w:val="center"/>
          </w:tcPr>
          <w:p w14:paraId="72873B7A" w14:textId="5C976586" w:rsidR="007562BA" w:rsidRPr="00501526" w:rsidRDefault="007562BA" w:rsidP="00C94053">
            <w:pPr>
              <w:pStyle w:val="TableText0"/>
              <w:jc w:val="center"/>
              <w:rPr>
                <w:iCs/>
              </w:rPr>
            </w:pPr>
            <w:r w:rsidRPr="00501526">
              <w:rPr>
                <w:iCs/>
              </w:rPr>
              <w:t>NR</w:t>
            </w:r>
          </w:p>
        </w:tc>
        <w:tc>
          <w:tcPr>
            <w:tcW w:w="2787" w:type="pct"/>
            <w:gridSpan w:val="2"/>
            <w:vMerge/>
            <w:shd w:val="clear" w:color="auto" w:fill="auto"/>
            <w:vAlign w:val="center"/>
          </w:tcPr>
          <w:p w14:paraId="62016064" w14:textId="2F3685DC" w:rsidR="007562BA" w:rsidRPr="00501526" w:rsidRDefault="007562BA" w:rsidP="00C94053">
            <w:pPr>
              <w:pStyle w:val="TableText0"/>
              <w:jc w:val="center"/>
              <w:rPr>
                <w:iCs/>
              </w:rPr>
            </w:pPr>
          </w:p>
        </w:tc>
      </w:tr>
      <w:tr w:rsidR="006D0445" w:rsidRPr="00501526" w14:paraId="03F982AB" w14:textId="77777777" w:rsidTr="00E702A3">
        <w:trPr>
          <w:cantSplit/>
          <w:jc w:val="center"/>
        </w:trPr>
        <w:tc>
          <w:tcPr>
            <w:tcW w:w="5000" w:type="pct"/>
            <w:gridSpan w:val="4"/>
            <w:shd w:val="clear" w:color="auto" w:fill="auto"/>
            <w:vAlign w:val="center"/>
          </w:tcPr>
          <w:p w14:paraId="0747F5B7" w14:textId="77777777" w:rsidR="007562BA" w:rsidRPr="00501526" w:rsidRDefault="007562BA" w:rsidP="00B91A36">
            <w:pPr>
              <w:pStyle w:val="TableText0"/>
              <w:rPr>
                <w:b/>
                <w:iCs/>
              </w:rPr>
            </w:pPr>
            <w:r w:rsidRPr="00501526">
              <w:rPr>
                <w:iCs/>
              </w:rPr>
              <w:t>Responsiveness testing</w:t>
            </w:r>
          </w:p>
        </w:tc>
      </w:tr>
      <w:tr w:rsidR="006D0445" w:rsidRPr="00501526" w14:paraId="732EC7C2" w14:textId="77777777" w:rsidTr="00E702A3">
        <w:trPr>
          <w:cantSplit/>
          <w:jc w:val="center"/>
        </w:trPr>
        <w:tc>
          <w:tcPr>
            <w:tcW w:w="842" w:type="pct"/>
            <w:shd w:val="clear" w:color="auto" w:fill="auto"/>
            <w:vAlign w:val="center"/>
          </w:tcPr>
          <w:p w14:paraId="53E2BC94" w14:textId="5F4F257E" w:rsidR="007562BA" w:rsidRPr="00501526" w:rsidRDefault="007562BA" w:rsidP="00C94053">
            <w:pPr>
              <w:pStyle w:val="TableText0"/>
              <w:rPr>
                <w:iCs/>
              </w:rPr>
            </w:pPr>
            <w:r w:rsidRPr="00501526">
              <w:rPr>
                <w:iCs/>
              </w:rPr>
              <w:t xml:space="preserve">Duration </w:t>
            </w:r>
          </w:p>
        </w:tc>
        <w:tc>
          <w:tcPr>
            <w:tcW w:w="1371" w:type="pct"/>
            <w:shd w:val="clear" w:color="auto" w:fill="auto"/>
            <w:vAlign w:val="center"/>
          </w:tcPr>
          <w:p w14:paraId="3C6965BD" w14:textId="1C0BF135" w:rsidR="007562BA" w:rsidRPr="00501526" w:rsidRDefault="007562BA" w:rsidP="00C94053">
            <w:pPr>
              <w:pStyle w:val="TableText0"/>
              <w:jc w:val="center"/>
              <w:rPr>
                <w:iCs/>
              </w:rPr>
            </w:pPr>
            <w:r w:rsidRPr="00501526">
              <w:rPr>
                <w:iCs/>
              </w:rPr>
              <w:t>7 -28 days</w:t>
            </w:r>
          </w:p>
        </w:tc>
        <w:tc>
          <w:tcPr>
            <w:tcW w:w="2787" w:type="pct"/>
            <w:gridSpan w:val="2"/>
            <w:shd w:val="clear" w:color="auto" w:fill="auto"/>
            <w:vAlign w:val="center"/>
          </w:tcPr>
          <w:p w14:paraId="2D75BA1D" w14:textId="5D8DCC06" w:rsidR="007562BA" w:rsidRPr="00501526" w:rsidRDefault="007562BA" w:rsidP="00C94053">
            <w:pPr>
              <w:pStyle w:val="TableText0"/>
              <w:jc w:val="center"/>
              <w:rPr>
                <w:iCs/>
              </w:rPr>
            </w:pPr>
            <w:r w:rsidRPr="00501526">
              <w:rPr>
                <w:iCs/>
              </w:rPr>
              <w:t>7 days</w:t>
            </w:r>
          </w:p>
        </w:tc>
      </w:tr>
      <w:tr w:rsidR="006D0445" w:rsidRPr="00501526" w14:paraId="20ED530B" w14:textId="77777777" w:rsidTr="00E702A3">
        <w:trPr>
          <w:cantSplit/>
          <w:trHeight w:val="143"/>
          <w:jc w:val="center"/>
        </w:trPr>
        <w:tc>
          <w:tcPr>
            <w:tcW w:w="842" w:type="pct"/>
            <w:shd w:val="clear" w:color="auto" w:fill="auto"/>
            <w:vAlign w:val="center"/>
          </w:tcPr>
          <w:p w14:paraId="5A7D5A80" w14:textId="755D12BB" w:rsidR="007562BA" w:rsidRPr="00501526" w:rsidRDefault="007562BA" w:rsidP="00C94053">
            <w:pPr>
              <w:pStyle w:val="TableText0"/>
              <w:rPr>
                <w:iCs/>
              </w:rPr>
            </w:pPr>
            <w:r w:rsidRPr="00501526">
              <w:rPr>
                <w:iCs/>
              </w:rPr>
              <w:t>Cost per patient</w:t>
            </w:r>
            <w:r w:rsidR="00221F28" w:rsidRPr="00501526">
              <w:rPr>
                <w:iCs/>
                <w:vertAlign w:val="superscript"/>
              </w:rPr>
              <w:t xml:space="preserve"> b</w:t>
            </w:r>
          </w:p>
        </w:tc>
        <w:tc>
          <w:tcPr>
            <w:tcW w:w="1371" w:type="pct"/>
            <w:shd w:val="clear" w:color="auto" w:fill="auto"/>
            <w:vAlign w:val="center"/>
          </w:tcPr>
          <w:p w14:paraId="1605C608" w14:textId="66033CDC" w:rsidR="007562BA" w:rsidRPr="00501526" w:rsidRDefault="007562BA" w:rsidP="00C94053">
            <w:pPr>
              <w:pStyle w:val="TableText0"/>
              <w:jc w:val="center"/>
              <w:rPr>
                <w:iCs/>
              </w:rPr>
            </w:pPr>
            <w:r w:rsidRPr="00501526">
              <w:rPr>
                <w:iCs/>
              </w:rPr>
              <w:t>NC</w:t>
            </w:r>
          </w:p>
        </w:tc>
        <w:tc>
          <w:tcPr>
            <w:tcW w:w="2787" w:type="pct"/>
            <w:gridSpan w:val="2"/>
            <w:shd w:val="clear" w:color="auto" w:fill="auto"/>
            <w:vAlign w:val="center"/>
          </w:tcPr>
          <w:p w14:paraId="47B79D20" w14:textId="576AF086" w:rsidR="007562BA" w:rsidRPr="00501526" w:rsidRDefault="007562BA" w:rsidP="00C94053">
            <w:pPr>
              <w:pStyle w:val="TableText0"/>
              <w:jc w:val="center"/>
              <w:rPr>
                <w:iCs/>
                <w:vertAlign w:val="superscript"/>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r>
      <w:tr w:rsidR="006D0445" w:rsidRPr="00501526" w14:paraId="671B204D" w14:textId="77777777" w:rsidTr="00E702A3">
        <w:trPr>
          <w:cantSplit/>
          <w:trHeight w:val="143"/>
          <w:jc w:val="center"/>
        </w:trPr>
        <w:tc>
          <w:tcPr>
            <w:tcW w:w="5000" w:type="pct"/>
            <w:gridSpan w:val="4"/>
            <w:shd w:val="clear" w:color="auto" w:fill="auto"/>
            <w:vAlign w:val="center"/>
          </w:tcPr>
          <w:p w14:paraId="77878899" w14:textId="77777777" w:rsidR="007562BA" w:rsidRPr="00501526" w:rsidRDefault="007562BA" w:rsidP="002D5367">
            <w:pPr>
              <w:pStyle w:val="TableText0"/>
              <w:rPr>
                <w:b/>
                <w:iCs/>
              </w:rPr>
            </w:pPr>
            <w:r w:rsidRPr="00501526">
              <w:rPr>
                <w:iCs/>
              </w:rPr>
              <w:t>Continuing treatment</w:t>
            </w:r>
          </w:p>
        </w:tc>
      </w:tr>
      <w:tr w:rsidR="006D0445" w:rsidRPr="00501526" w14:paraId="027D5E69" w14:textId="77777777" w:rsidTr="00E702A3">
        <w:trPr>
          <w:cantSplit/>
          <w:jc w:val="center"/>
        </w:trPr>
        <w:tc>
          <w:tcPr>
            <w:tcW w:w="842" w:type="pct"/>
            <w:shd w:val="clear" w:color="auto" w:fill="auto"/>
            <w:vAlign w:val="center"/>
          </w:tcPr>
          <w:p w14:paraId="1654BF3E" w14:textId="3114C770" w:rsidR="007562BA" w:rsidRPr="00501526" w:rsidRDefault="007562BA" w:rsidP="00C94053">
            <w:pPr>
              <w:pStyle w:val="TableText0"/>
              <w:rPr>
                <w:iCs/>
              </w:rPr>
            </w:pPr>
            <w:r w:rsidRPr="00501526">
              <w:rPr>
                <w:iCs/>
              </w:rPr>
              <w:t>Cost/patient/year</w:t>
            </w:r>
            <w:r w:rsidR="00221F28" w:rsidRPr="00501526">
              <w:rPr>
                <w:iCs/>
                <w:vertAlign w:val="superscript"/>
              </w:rPr>
              <w:t xml:space="preserve"> c</w:t>
            </w:r>
          </w:p>
        </w:tc>
        <w:tc>
          <w:tcPr>
            <w:tcW w:w="1371" w:type="pct"/>
            <w:shd w:val="clear" w:color="auto" w:fill="auto"/>
            <w:vAlign w:val="center"/>
          </w:tcPr>
          <w:p w14:paraId="4C395AB4" w14:textId="09B91BD9" w:rsidR="007562BA" w:rsidRPr="00501526" w:rsidRDefault="007562BA" w:rsidP="00C94053">
            <w:pPr>
              <w:pStyle w:val="TableText0"/>
              <w:jc w:val="center"/>
              <w:rPr>
                <w:iCs/>
              </w:rPr>
            </w:pPr>
            <w:r w:rsidRPr="00501526">
              <w:rPr>
                <w:iCs/>
              </w:rPr>
              <w:t>NC</w:t>
            </w:r>
          </w:p>
        </w:tc>
        <w:tc>
          <w:tcPr>
            <w:tcW w:w="2787" w:type="pct"/>
            <w:gridSpan w:val="2"/>
            <w:shd w:val="clear" w:color="auto" w:fill="auto"/>
            <w:vAlign w:val="center"/>
          </w:tcPr>
          <w:p w14:paraId="646CD4B3" w14:textId="4A0CED6E" w:rsidR="007562BA" w:rsidRPr="00501526" w:rsidRDefault="007562BA" w:rsidP="00C94053">
            <w:pPr>
              <w:pStyle w:val="TableText0"/>
              <w:jc w:val="center"/>
              <w:rPr>
                <w:iCs/>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r>
      <w:tr w:rsidR="008C076E" w:rsidRPr="00501526" w14:paraId="3E7B89DD" w14:textId="77777777" w:rsidTr="00E702A3">
        <w:trPr>
          <w:cantSplit/>
          <w:jc w:val="center"/>
        </w:trPr>
        <w:tc>
          <w:tcPr>
            <w:tcW w:w="5000" w:type="pct"/>
            <w:gridSpan w:val="4"/>
            <w:shd w:val="clear" w:color="auto" w:fill="D9D9D9" w:themeFill="background1" w:themeFillShade="D9"/>
            <w:vAlign w:val="center"/>
          </w:tcPr>
          <w:p w14:paraId="085A56C1" w14:textId="669BA445" w:rsidR="00657EB7" w:rsidRPr="00501526" w:rsidRDefault="00657EB7" w:rsidP="00330AED">
            <w:pPr>
              <w:pStyle w:val="TableText0"/>
              <w:rPr>
                <w:b/>
                <w:iCs/>
              </w:rPr>
            </w:pPr>
            <w:r w:rsidRPr="00501526">
              <w:rPr>
                <w:b/>
                <w:iCs/>
              </w:rPr>
              <w:t>Without RSA</w:t>
            </w:r>
          </w:p>
        </w:tc>
      </w:tr>
      <w:tr w:rsidR="0085315F" w:rsidRPr="00501526" w14:paraId="6F1F320A" w14:textId="77777777" w:rsidTr="00E702A3">
        <w:trPr>
          <w:cantSplit/>
          <w:jc w:val="center"/>
        </w:trPr>
        <w:tc>
          <w:tcPr>
            <w:tcW w:w="842" w:type="pct"/>
            <w:vMerge w:val="restart"/>
            <w:shd w:val="clear" w:color="auto" w:fill="auto"/>
            <w:vAlign w:val="center"/>
          </w:tcPr>
          <w:p w14:paraId="6D950831" w14:textId="19CF4FBB" w:rsidR="00221F28" w:rsidRPr="00501526" w:rsidRDefault="00221F28" w:rsidP="0041402F">
            <w:pPr>
              <w:pStyle w:val="TableText0"/>
              <w:rPr>
                <w:iCs/>
              </w:rPr>
            </w:pPr>
            <w:r w:rsidRPr="00501526">
              <w:rPr>
                <w:iCs/>
              </w:rPr>
              <w:t>Mean dose</w:t>
            </w:r>
          </w:p>
        </w:tc>
        <w:tc>
          <w:tcPr>
            <w:tcW w:w="1371" w:type="pct"/>
            <w:vMerge w:val="restart"/>
            <w:shd w:val="clear" w:color="auto" w:fill="auto"/>
            <w:vAlign w:val="center"/>
          </w:tcPr>
          <w:p w14:paraId="09681F90" w14:textId="143CBD32" w:rsidR="00221F28" w:rsidRPr="00501526" w:rsidRDefault="00221F28" w:rsidP="0041402F">
            <w:pPr>
              <w:pStyle w:val="TableText0"/>
              <w:jc w:val="center"/>
              <w:rPr>
                <w:iCs/>
              </w:rPr>
            </w:pPr>
            <w:r w:rsidRPr="00501526">
              <w:rPr>
                <w:iCs/>
              </w:rPr>
              <w:t>18.7</w:t>
            </w:r>
            <w:r w:rsidR="00AD21C8" w:rsidRPr="00501526">
              <w:rPr>
                <w:iCs/>
              </w:rPr>
              <w:t xml:space="preserve"> </w:t>
            </w:r>
            <w:r w:rsidRPr="00501526">
              <w:rPr>
                <w:iCs/>
              </w:rPr>
              <w:t>mg/kg/day</w:t>
            </w:r>
          </w:p>
        </w:tc>
        <w:tc>
          <w:tcPr>
            <w:tcW w:w="1394" w:type="pct"/>
            <w:shd w:val="clear" w:color="auto" w:fill="auto"/>
            <w:vAlign w:val="center"/>
          </w:tcPr>
          <w:p w14:paraId="7A8F902E" w14:textId="35BAE031" w:rsidR="00221F28" w:rsidRPr="00501526" w:rsidRDefault="00221F28" w:rsidP="00221F28">
            <w:pPr>
              <w:pStyle w:val="TableText0"/>
              <w:jc w:val="center"/>
              <w:rPr>
                <w:iCs/>
              </w:rPr>
            </w:pPr>
            <w:r w:rsidRPr="00501526">
              <w:rPr>
                <w:iCs/>
              </w:rPr>
              <w:t>Female</w:t>
            </w:r>
          </w:p>
        </w:tc>
        <w:tc>
          <w:tcPr>
            <w:tcW w:w="1393" w:type="pct"/>
            <w:shd w:val="clear" w:color="auto" w:fill="auto"/>
            <w:vAlign w:val="center"/>
          </w:tcPr>
          <w:p w14:paraId="709B2FBE" w14:textId="3BDC1601" w:rsidR="00221F28" w:rsidRPr="00501526" w:rsidRDefault="00221F28" w:rsidP="0041402F">
            <w:pPr>
              <w:pStyle w:val="TableText0"/>
              <w:jc w:val="center"/>
              <w:rPr>
                <w:iCs/>
              </w:rPr>
            </w:pPr>
            <w:r w:rsidRPr="00501526">
              <w:rPr>
                <w:iCs/>
              </w:rPr>
              <w:t>Male</w:t>
            </w:r>
          </w:p>
        </w:tc>
      </w:tr>
      <w:tr w:rsidR="0085315F" w:rsidRPr="00501526" w14:paraId="238EA01B" w14:textId="77777777" w:rsidTr="00E702A3">
        <w:trPr>
          <w:cantSplit/>
          <w:jc w:val="center"/>
        </w:trPr>
        <w:tc>
          <w:tcPr>
            <w:tcW w:w="842" w:type="pct"/>
            <w:vMerge/>
            <w:shd w:val="clear" w:color="auto" w:fill="auto"/>
            <w:vAlign w:val="center"/>
          </w:tcPr>
          <w:p w14:paraId="2358D4E6" w14:textId="5F82038E" w:rsidR="00221F28" w:rsidRPr="00501526" w:rsidRDefault="00221F28" w:rsidP="0041402F">
            <w:pPr>
              <w:pStyle w:val="TableText0"/>
              <w:rPr>
                <w:iCs/>
              </w:rPr>
            </w:pPr>
          </w:p>
        </w:tc>
        <w:tc>
          <w:tcPr>
            <w:tcW w:w="1371" w:type="pct"/>
            <w:vMerge/>
            <w:shd w:val="clear" w:color="auto" w:fill="auto"/>
            <w:vAlign w:val="center"/>
          </w:tcPr>
          <w:p w14:paraId="21EC3E8B" w14:textId="1B9C1746" w:rsidR="00221F28" w:rsidRPr="00501526" w:rsidRDefault="00221F28" w:rsidP="0041402F">
            <w:pPr>
              <w:pStyle w:val="TableText0"/>
              <w:jc w:val="center"/>
              <w:rPr>
                <w:iCs/>
              </w:rPr>
            </w:pPr>
          </w:p>
        </w:tc>
        <w:tc>
          <w:tcPr>
            <w:tcW w:w="2787" w:type="pct"/>
            <w:gridSpan w:val="2"/>
            <w:shd w:val="clear" w:color="auto" w:fill="auto"/>
            <w:vAlign w:val="center"/>
          </w:tcPr>
          <w:p w14:paraId="52D540BA" w14:textId="08028BAB" w:rsidR="00221F28" w:rsidRPr="00501526" w:rsidRDefault="00221F28" w:rsidP="0041402F">
            <w:pPr>
              <w:pStyle w:val="TableText0"/>
              <w:jc w:val="center"/>
              <w:rPr>
                <w:iCs/>
              </w:rPr>
            </w:pPr>
            <w:r w:rsidRPr="00501526">
              <w:rPr>
                <w:iCs/>
              </w:rPr>
              <w:t>20</w:t>
            </w:r>
            <w:r w:rsidR="00AD21C8" w:rsidRPr="00501526">
              <w:rPr>
                <w:iCs/>
              </w:rPr>
              <w:t xml:space="preserve"> </w:t>
            </w:r>
            <w:r w:rsidRPr="00501526">
              <w:rPr>
                <w:iCs/>
              </w:rPr>
              <w:t>mg/kg/day</w:t>
            </w:r>
          </w:p>
        </w:tc>
      </w:tr>
      <w:tr w:rsidR="0085315F" w:rsidRPr="00501526" w14:paraId="3B8F57EE" w14:textId="77777777" w:rsidTr="00E702A3">
        <w:trPr>
          <w:cantSplit/>
          <w:jc w:val="center"/>
        </w:trPr>
        <w:tc>
          <w:tcPr>
            <w:tcW w:w="842" w:type="pct"/>
            <w:shd w:val="clear" w:color="auto" w:fill="auto"/>
            <w:vAlign w:val="center"/>
          </w:tcPr>
          <w:p w14:paraId="41AD790B" w14:textId="77777777" w:rsidR="00221F28" w:rsidRPr="00501526" w:rsidRDefault="00221F28" w:rsidP="0041402F">
            <w:pPr>
              <w:pStyle w:val="TableText0"/>
              <w:rPr>
                <w:iCs/>
              </w:rPr>
            </w:pPr>
            <w:r w:rsidRPr="00501526">
              <w:rPr>
                <w:iCs/>
              </w:rPr>
              <w:t>Mean weight</w:t>
            </w:r>
          </w:p>
        </w:tc>
        <w:tc>
          <w:tcPr>
            <w:tcW w:w="1371" w:type="pct"/>
            <w:shd w:val="clear" w:color="auto" w:fill="auto"/>
            <w:vAlign w:val="center"/>
          </w:tcPr>
          <w:p w14:paraId="37098000" w14:textId="77777777" w:rsidR="00221F28" w:rsidRPr="00501526" w:rsidRDefault="00221F28" w:rsidP="0041402F">
            <w:pPr>
              <w:pStyle w:val="TableText0"/>
              <w:jc w:val="center"/>
              <w:rPr>
                <w:iCs/>
              </w:rPr>
            </w:pPr>
            <w:r w:rsidRPr="00501526">
              <w:rPr>
                <w:iCs/>
              </w:rPr>
              <w:t>NR</w:t>
            </w:r>
          </w:p>
        </w:tc>
        <w:tc>
          <w:tcPr>
            <w:tcW w:w="1394" w:type="pct"/>
            <w:shd w:val="clear" w:color="auto" w:fill="auto"/>
            <w:vAlign w:val="center"/>
          </w:tcPr>
          <w:p w14:paraId="0CE6FAD4" w14:textId="2D96FB8B" w:rsidR="00221F28" w:rsidRPr="00501526" w:rsidRDefault="00221F28" w:rsidP="0041402F">
            <w:pPr>
              <w:pStyle w:val="TableText0"/>
              <w:jc w:val="center"/>
              <w:rPr>
                <w:iCs/>
                <w:vertAlign w:val="superscript"/>
              </w:rPr>
            </w:pPr>
            <w:r w:rsidRPr="00501526">
              <w:rPr>
                <w:iCs/>
              </w:rPr>
              <w:t>71.1</w:t>
            </w:r>
            <w:r w:rsidR="00AD21C8" w:rsidRPr="00501526">
              <w:rPr>
                <w:iCs/>
              </w:rPr>
              <w:t xml:space="preserve"> </w:t>
            </w:r>
            <w:r w:rsidRPr="00501526">
              <w:rPr>
                <w:iCs/>
              </w:rPr>
              <w:t xml:space="preserve">kg </w:t>
            </w:r>
            <w:r w:rsidR="006A7F1F" w:rsidRPr="00501526">
              <w:rPr>
                <w:iCs/>
                <w:vertAlign w:val="superscript"/>
              </w:rPr>
              <w:t>d</w:t>
            </w:r>
          </w:p>
        </w:tc>
        <w:tc>
          <w:tcPr>
            <w:tcW w:w="1393" w:type="pct"/>
            <w:shd w:val="clear" w:color="auto" w:fill="auto"/>
            <w:vAlign w:val="center"/>
          </w:tcPr>
          <w:p w14:paraId="02805426" w14:textId="04117A8C" w:rsidR="00221F28" w:rsidRPr="00501526" w:rsidRDefault="00221F28" w:rsidP="0041402F">
            <w:pPr>
              <w:pStyle w:val="TableText0"/>
              <w:jc w:val="center"/>
              <w:rPr>
                <w:iCs/>
                <w:vertAlign w:val="superscript"/>
              </w:rPr>
            </w:pPr>
            <w:r w:rsidRPr="00501526">
              <w:rPr>
                <w:iCs/>
              </w:rPr>
              <w:t>85.9</w:t>
            </w:r>
            <w:r w:rsidR="00AD21C8" w:rsidRPr="00501526">
              <w:rPr>
                <w:iCs/>
              </w:rPr>
              <w:t xml:space="preserve"> </w:t>
            </w:r>
            <w:r w:rsidRPr="00501526">
              <w:rPr>
                <w:iCs/>
              </w:rPr>
              <w:t>kg</w:t>
            </w:r>
            <w:r w:rsidR="006A7F1F" w:rsidRPr="00501526">
              <w:rPr>
                <w:iCs/>
              </w:rPr>
              <w:t xml:space="preserve"> </w:t>
            </w:r>
            <w:r w:rsidR="006A7F1F" w:rsidRPr="00501526">
              <w:rPr>
                <w:iCs/>
                <w:vertAlign w:val="superscript"/>
              </w:rPr>
              <w:t>d</w:t>
            </w:r>
          </w:p>
        </w:tc>
      </w:tr>
      <w:tr w:rsidR="0085315F" w:rsidRPr="00501526" w14:paraId="6CF31B73" w14:textId="77777777" w:rsidTr="00E702A3">
        <w:trPr>
          <w:cantSplit/>
          <w:jc w:val="center"/>
        </w:trPr>
        <w:tc>
          <w:tcPr>
            <w:tcW w:w="842" w:type="pct"/>
            <w:shd w:val="clear" w:color="auto" w:fill="auto"/>
            <w:vAlign w:val="center"/>
          </w:tcPr>
          <w:p w14:paraId="0C7061FF" w14:textId="77777777" w:rsidR="00221F28" w:rsidRPr="00501526" w:rsidRDefault="00221F28" w:rsidP="00221F28">
            <w:pPr>
              <w:pStyle w:val="TableText0"/>
              <w:rPr>
                <w:iCs/>
              </w:rPr>
            </w:pPr>
            <w:r w:rsidRPr="00501526">
              <w:rPr>
                <w:iCs/>
              </w:rPr>
              <w:t>Total dose</w:t>
            </w:r>
          </w:p>
        </w:tc>
        <w:tc>
          <w:tcPr>
            <w:tcW w:w="1371" w:type="pct"/>
            <w:shd w:val="clear" w:color="auto" w:fill="auto"/>
            <w:vAlign w:val="center"/>
          </w:tcPr>
          <w:p w14:paraId="4E6C3C64" w14:textId="77777777" w:rsidR="00221F28" w:rsidRPr="00501526" w:rsidRDefault="00221F28" w:rsidP="00221F28">
            <w:pPr>
              <w:pStyle w:val="TableText0"/>
              <w:jc w:val="center"/>
              <w:rPr>
                <w:iCs/>
              </w:rPr>
            </w:pPr>
            <w:r w:rsidRPr="00501526">
              <w:rPr>
                <w:iCs/>
              </w:rPr>
              <w:t>NR</w:t>
            </w:r>
          </w:p>
        </w:tc>
        <w:tc>
          <w:tcPr>
            <w:tcW w:w="1394" w:type="pct"/>
            <w:shd w:val="clear" w:color="auto" w:fill="auto"/>
            <w:vAlign w:val="center"/>
          </w:tcPr>
          <w:p w14:paraId="3ABF72FD" w14:textId="36CE5621" w:rsidR="00221F28" w:rsidRPr="00501526" w:rsidRDefault="00221F28" w:rsidP="00221F28">
            <w:pPr>
              <w:pStyle w:val="TableText0"/>
              <w:jc w:val="center"/>
              <w:rPr>
                <w:iCs/>
              </w:rPr>
            </w:pPr>
            <w:r w:rsidRPr="00501526">
              <w:rPr>
                <w:iCs/>
              </w:rPr>
              <w:t>1,422</w:t>
            </w:r>
          </w:p>
        </w:tc>
        <w:tc>
          <w:tcPr>
            <w:tcW w:w="1393" w:type="pct"/>
            <w:shd w:val="clear" w:color="auto" w:fill="auto"/>
            <w:vAlign w:val="center"/>
          </w:tcPr>
          <w:p w14:paraId="2955B07B" w14:textId="45939BB4" w:rsidR="00221F28" w:rsidRPr="00501526" w:rsidRDefault="00221F28" w:rsidP="00221F28">
            <w:pPr>
              <w:pStyle w:val="TableText0"/>
              <w:jc w:val="center"/>
              <w:rPr>
                <w:iCs/>
              </w:rPr>
            </w:pPr>
            <w:r w:rsidRPr="00501526">
              <w:rPr>
                <w:iCs/>
              </w:rPr>
              <w:t>1,718mg</w:t>
            </w:r>
          </w:p>
        </w:tc>
      </w:tr>
      <w:tr w:rsidR="008C076E" w:rsidRPr="00501526" w14:paraId="2B9925D9" w14:textId="77777777" w:rsidTr="00E702A3">
        <w:trPr>
          <w:cantSplit/>
          <w:jc w:val="center"/>
        </w:trPr>
        <w:tc>
          <w:tcPr>
            <w:tcW w:w="5000" w:type="pct"/>
            <w:gridSpan w:val="4"/>
            <w:shd w:val="clear" w:color="auto" w:fill="auto"/>
            <w:vAlign w:val="center"/>
          </w:tcPr>
          <w:p w14:paraId="1E68A0C1" w14:textId="77777777" w:rsidR="00657EB7" w:rsidRPr="00501526" w:rsidRDefault="00657EB7" w:rsidP="0041402F">
            <w:pPr>
              <w:pStyle w:val="TableText0"/>
              <w:rPr>
                <w:b/>
                <w:iCs/>
              </w:rPr>
            </w:pPr>
            <w:r w:rsidRPr="00501526">
              <w:rPr>
                <w:iCs/>
              </w:rPr>
              <w:t>Responsiveness testing</w:t>
            </w:r>
          </w:p>
        </w:tc>
      </w:tr>
      <w:tr w:rsidR="008C076E" w:rsidRPr="00501526" w14:paraId="3EDBFBFD" w14:textId="77777777" w:rsidTr="00E702A3">
        <w:trPr>
          <w:cantSplit/>
          <w:jc w:val="center"/>
        </w:trPr>
        <w:tc>
          <w:tcPr>
            <w:tcW w:w="842" w:type="pct"/>
            <w:shd w:val="clear" w:color="auto" w:fill="auto"/>
            <w:vAlign w:val="center"/>
          </w:tcPr>
          <w:p w14:paraId="285DB049" w14:textId="77777777" w:rsidR="00657EB7" w:rsidRPr="00501526" w:rsidRDefault="00657EB7" w:rsidP="0041402F">
            <w:pPr>
              <w:pStyle w:val="TableText0"/>
              <w:rPr>
                <w:iCs/>
              </w:rPr>
            </w:pPr>
            <w:r w:rsidRPr="00501526">
              <w:rPr>
                <w:iCs/>
              </w:rPr>
              <w:t xml:space="preserve">Duration </w:t>
            </w:r>
          </w:p>
        </w:tc>
        <w:tc>
          <w:tcPr>
            <w:tcW w:w="1371" w:type="pct"/>
            <w:shd w:val="clear" w:color="auto" w:fill="auto"/>
            <w:vAlign w:val="center"/>
          </w:tcPr>
          <w:p w14:paraId="2D4095F2" w14:textId="77777777" w:rsidR="00657EB7" w:rsidRPr="00501526" w:rsidRDefault="00657EB7" w:rsidP="0041402F">
            <w:pPr>
              <w:pStyle w:val="TableText0"/>
              <w:jc w:val="center"/>
              <w:rPr>
                <w:iCs/>
              </w:rPr>
            </w:pPr>
            <w:r w:rsidRPr="00501526">
              <w:rPr>
                <w:iCs/>
              </w:rPr>
              <w:t>7 -28 days</w:t>
            </w:r>
          </w:p>
        </w:tc>
        <w:tc>
          <w:tcPr>
            <w:tcW w:w="2787" w:type="pct"/>
            <w:gridSpan w:val="2"/>
            <w:shd w:val="clear" w:color="auto" w:fill="auto"/>
            <w:vAlign w:val="center"/>
          </w:tcPr>
          <w:p w14:paraId="21C52BF3" w14:textId="77777777" w:rsidR="00657EB7" w:rsidRPr="00501526" w:rsidRDefault="00657EB7" w:rsidP="0041402F">
            <w:pPr>
              <w:pStyle w:val="TableText0"/>
              <w:jc w:val="center"/>
              <w:rPr>
                <w:iCs/>
              </w:rPr>
            </w:pPr>
            <w:r w:rsidRPr="00501526">
              <w:rPr>
                <w:iCs/>
              </w:rPr>
              <w:t>7 days</w:t>
            </w:r>
          </w:p>
        </w:tc>
      </w:tr>
      <w:tr w:rsidR="0085315F" w:rsidRPr="00501526" w14:paraId="0164853F" w14:textId="77777777" w:rsidTr="00E702A3">
        <w:trPr>
          <w:cantSplit/>
          <w:trHeight w:val="143"/>
          <w:jc w:val="center"/>
        </w:trPr>
        <w:tc>
          <w:tcPr>
            <w:tcW w:w="842" w:type="pct"/>
            <w:shd w:val="clear" w:color="auto" w:fill="auto"/>
            <w:vAlign w:val="center"/>
          </w:tcPr>
          <w:p w14:paraId="70FC7CDA" w14:textId="1A1DEDAE" w:rsidR="00221F28" w:rsidRPr="00501526" w:rsidRDefault="00221F28" w:rsidP="0041402F">
            <w:pPr>
              <w:pStyle w:val="TableText0"/>
              <w:rPr>
                <w:iCs/>
              </w:rPr>
            </w:pPr>
            <w:r w:rsidRPr="00501526">
              <w:rPr>
                <w:iCs/>
              </w:rPr>
              <w:t>Cost per patient</w:t>
            </w:r>
            <w:r w:rsidRPr="00501526">
              <w:rPr>
                <w:iCs/>
                <w:vertAlign w:val="superscript"/>
              </w:rPr>
              <w:t xml:space="preserve"> b</w:t>
            </w:r>
          </w:p>
        </w:tc>
        <w:tc>
          <w:tcPr>
            <w:tcW w:w="1371" w:type="pct"/>
            <w:shd w:val="clear" w:color="auto" w:fill="auto"/>
            <w:vAlign w:val="center"/>
          </w:tcPr>
          <w:p w14:paraId="214E9A7A" w14:textId="77777777" w:rsidR="00221F28" w:rsidRPr="00501526" w:rsidRDefault="00221F28" w:rsidP="0041402F">
            <w:pPr>
              <w:pStyle w:val="TableText0"/>
              <w:jc w:val="center"/>
              <w:rPr>
                <w:iCs/>
              </w:rPr>
            </w:pPr>
            <w:r w:rsidRPr="00501526">
              <w:rPr>
                <w:iCs/>
              </w:rPr>
              <w:t>NC</w:t>
            </w:r>
          </w:p>
        </w:tc>
        <w:tc>
          <w:tcPr>
            <w:tcW w:w="1394" w:type="pct"/>
            <w:shd w:val="clear" w:color="auto" w:fill="auto"/>
            <w:vAlign w:val="center"/>
          </w:tcPr>
          <w:p w14:paraId="2BA6E9D4" w14:textId="77DA3F7F" w:rsidR="00221F28" w:rsidRPr="00501526" w:rsidRDefault="0081594D" w:rsidP="0041402F">
            <w:pPr>
              <w:pStyle w:val="TableText0"/>
              <w:jc w:val="center"/>
              <w:rPr>
                <w:iCs/>
                <w:vertAlign w:val="superscript"/>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c>
          <w:tcPr>
            <w:tcW w:w="1393" w:type="pct"/>
            <w:shd w:val="clear" w:color="auto" w:fill="auto"/>
            <w:vAlign w:val="center"/>
          </w:tcPr>
          <w:p w14:paraId="5F8907B8" w14:textId="5989C373" w:rsidR="00221F28" w:rsidRPr="00501526" w:rsidRDefault="0081594D" w:rsidP="0041402F">
            <w:pPr>
              <w:pStyle w:val="TableText0"/>
              <w:jc w:val="center"/>
              <w:rPr>
                <w:iCs/>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r>
      <w:tr w:rsidR="008C076E" w:rsidRPr="00501526" w14:paraId="39DCCF26" w14:textId="77777777" w:rsidTr="00E702A3">
        <w:trPr>
          <w:cantSplit/>
          <w:trHeight w:val="143"/>
          <w:jc w:val="center"/>
        </w:trPr>
        <w:tc>
          <w:tcPr>
            <w:tcW w:w="5000" w:type="pct"/>
            <w:gridSpan w:val="4"/>
            <w:shd w:val="clear" w:color="auto" w:fill="auto"/>
            <w:vAlign w:val="center"/>
          </w:tcPr>
          <w:p w14:paraId="6245FC37" w14:textId="77777777" w:rsidR="00657EB7" w:rsidRPr="00501526" w:rsidRDefault="00657EB7" w:rsidP="0041402F">
            <w:pPr>
              <w:pStyle w:val="TableText0"/>
              <w:rPr>
                <w:b/>
                <w:iCs/>
              </w:rPr>
            </w:pPr>
            <w:r w:rsidRPr="00501526">
              <w:rPr>
                <w:iCs/>
              </w:rPr>
              <w:t>Continuing treatment</w:t>
            </w:r>
          </w:p>
        </w:tc>
      </w:tr>
      <w:tr w:rsidR="0085315F" w:rsidRPr="00501526" w14:paraId="7C3D9A90" w14:textId="77777777" w:rsidTr="00E702A3">
        <w:trPr>
          <w:cantSplit/>
          <w:jc w:val="center"/>
        </w:trPr>
        <w:tc>
          <w:tcPr>
            <w:tcW w:w="842" w:type="pct"/>
            <w:shd w:val="clear" w:color="auto" w:fill="auto"/>
            <w:vAlign w:val="center"/>
          </w:tcPr>
          <w:p w14:paraId="6BAE9BEA" w14:textId="4E5E56B0" w:rsidR="00221F28" w:rsidRPr="00501526" w:rsidRDefault="00221F28" w:rsidP="0041402F">
            <w:pPr>
              <w:pStyle w:val="TableText0"/>
              <w:rPr>
                <w:iCs/>
              </w:rPr>
            </w:pPr>
            <w:r w:rsidRPr="00501526">
              <w:rPr>
                <w:iCs/>
              </w:rPr>
              <w:t>Cost/patient/year</w:t>
            </w:r>
            <w:r w:rsidRPr="00501526">
              <w:rPr>
                <w:iCs/>
                <w:vertAlign w:val="superscript"/>
              </w:rPr>
              <w:t xml:space="preserve"> c</w:t>
            </w:r>
          </w:p>
        </w:tc>
        <w:tc>
          <w:tcPr>
            <w:tcW w:w="1371" w:type="pct"/>
            <w:shd w:val="clear" w:color="auto" w:fill="auto"/>
            <w:vAlign w:val="center"/>
          </w:tcPr>
          <w:p w14:paraId="24A0587F" w14:textId="77777777" w:rsidR="00221F28" w:rsidRPr="00501526" w:rsidRDefault="00221F28" w:rsidP="0041402F">
            <w:pPr>
              <w:pStyle w:val="TableText0"/>
              <w:jc w:val="center"/>
              <w:rPr>
                <w:iCs/>
              </w:rPr>
            </w:pPr>
            <w:r w:rsidRPr="00501526">
              <w:rPr>
                <w:iCs/>
              </w:rPr>
              <w:t>NC</w:t>
            </w:r>
          </w:p>
        </w:tc>
        <w:tc>
          <w:tcPr>
            <w:tcW w:w="1394" w:type="pct"/>
            <w:shd w:val="clear" w:color="auto" w:fill="auto"/>
            <w:vAlign w:val="center"/>
          </w:tcPr>
          <w:p w14:paraId="66F5E1B8" w14:textId="2A3F114D" w:rsidR="00221F28" w:rsidRPr="00501526" w:rsidRDefault="0081594D" w:rsidP="0041402F">
            <w:pPr>
              <w:pStyle w:val="TableText0"/>
              <w:jc w:val="center"/>
              <w:rPr>
                <w:iCs/>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c>
          <w:tcPr>
            <w:tcW w:w="1394" w:type="pct"/>
            <w:shd w:val="clear" w:color="auto" w:fill="auto"/>
            <w:vAlign w:val="center"/>
          </w:tcPr>
          <w:p w14:paraId="366FB69C" w14:textId="205F169F" w:rsidR="00221F28" w:rsidRPr="00501526" w:rsidRDefault="0081594D" w:rsidP="0041402F">
            <w:pPr>
              <w:pStyle w:val="TableText0"/>
              <w:jc w:val="center"/>
              <w:rPr>
                <w:iCs/>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r>
      <w:tr w:rsidR="008C076E" w:rsidRPr="00501526" w14:paraId="3C9C7173" w14:textId="77777777" w:rsidTr="00E702A3">
        <w:trPr>
          <w:cantSplit/>
          <w:jc w:val="center"/>
        </w:trPr>
        <w:tc>
          <w:tcPr>
            <w:tcW w:w="842" w:type="pct"/>
            <w:shd w:val="clear" w:color="auto" w:fill="auto"/>
            <w:vAlign w:val="center"/>
          </w:tcPr>
          <w:p w14:paraId="09AC9237" w14:textId="10A3CC61" w:rsidR="00657EB7" w:rsidRPr="00501526" w:rsidRDefault="0081594D" w:rsidP="00C94053">
            <w:pPr>
              <w:pStyle w:val="TableText0"/>
              <w:rPr>
                <w:iCs/>
              </w:rPr>
            </w:pPr>
            <w:r w:rsidRPr="00501526">
              <w:rPr>
                <w:iCs/>
              </w:rPr>
              <w:t>Weighted cost/patient per year (40% male)</w:t>
            </w:r>
          </w:p>
        </w:tc>
        <w:tc>
          <w:tcPr>
            <w:tcW w:w="1371" w:type="pct"/>
            <w:shd w:val="clear" w:color="auto" w:fill="auto"/>
            <w:vAlign w:val="center"/>
          </w:tcPr>
          <w:p w14:paraId="3C71FDA1" w14:textId="1A7517A3" w:rsidR="00657EB7" w:rsidRPr="00501526" w:rsidRDefault="0081594D" w:rsidP="00C94053">
            <w:pPr>
              <w:pStyle w:val="TableText0"/>
              <w:jc w:val="center"/>
              <w:rPr>
                <w:iCs/>
              </w:rPr>
            </w:pPr>
            <w:r w:rsidRPr="00501526">
              <w:rPr>
                <w:iCs/>
              </w:rPr>
              <w:t>NC</w:t>
            </w:r>
          </w:p>
        </w:tc>
        <w:tc>
          <w:tcPr>
            <w:tcW w:w="2787" w:type="pct"/>
            <w:gridSpan w:val="2"/>
            <w:shd w:val="clear" w:color="auto" w:fill="auto"/>
            <w:vAlign w:val="center"/>
          </w:tcPr>
          <w:p w14:paraId="7C1BE56C" w14:textId="1EB4AED9" w:rsidR="00657EB7" w:rsidRPr="00501526" w:rsidRDefault="0081594D" w:rsidP="0081594D">
            <w:pPr>
              <w:pStyle w:val="Tabletext"/>
              <w:jc w:val="center"/>
              <w:rPr>
                <w:iCs/>
              </w:rPr>
            </w:pPr>
            <w:r w:rsidRPr="00501526">
              <w:rPr>
                <w:iCs/>
              </w:rPr>
              <w:t>$</w:t>
            </w:r>
            <w:r w:rsidR="00542E3B" w:rsidRPr="00542E3B">
              <w:rPr>
                <w:iCs/>
                <w:color w:val="000000"/>
                <w:shd w:val="solid" w:color="000000" w:fill="000000"/>
                <w14:textFill>
                  <w14:solidFill>
                    <w14:srgbClr w14:val="000000">
                      <w14:alpha w14:val="100000"/>
                    </w14:srgbClr>
                  </w14:solidFill>
                </w14:textFill>
              </w:rPr>
              <w:t>|</w:t>
            </w:r>
          </w:p>
        </w:tc>
      </w:tr>
    </w:tbl>
    <w:p w14:paraId="1E9B99BE" w14:textId="402EBFB3" w:rsidR="00494207" w:rsidRPr="00501526" w:rsidRDefault="00494207" w:rsidP="00C94053">
      <w:pPr>
        <w:pStyle w:val="TableFigureFooter"/>
        <w:rPr>
          <w:iCs/>
        </w:rPr>
      </w:pPr>
      <w:r w:rsidRPr="00501526">
        <w:rPr>
          <w:iCs/>
        </w:rPr>
        <w:t>Source: Table 26, pp 156-157 of the trial report, Section 3 workbook, sheet 3a of the utilisation-and-cost-model. Italicised values have been calculated.</w:t>
      </w:r>
      <w:r w:rsidR="007562BA" w:rsidRPr="00501526">
        <w:rPr>
          <w:iCs/>
        </w:rPr>
        <w:t xml:space="preserve"> NC = not calculable; NR = not reported</w:t>
      </w:r>
      <w:r w:rsidR="0081594D" w:rsidRPr="00501526">
        <w:rPr>
          <w:iCs/>
        </w:rPr>
        <w:t>; RSA = Risk Sharing Arrangement</w:t>
      </w:r>
    </w:p>
    <w:p w14:paraId="5265DF52" w14:textId="031F5855" w:rsidR="00494207" w:rsidRPr="00501526" w:rsidRDefault="00494207" w:rsidP="00C94053">
      <w:pPr>
        <w:pStyle w:val="TableFigureFooter"/>
        <w:rPr>
          <w:iCs/>
        </w:rPr>
      </w:pPr>
      <w:r w:rsidRPr="00501526">
        <w:rPr>
          <w:iCs/>
          <w:vertAlign w:val="superscript"/>
        </w:rPr>
        <w:t xml:space="preserve">a </w:t>
      </w:r>
      <w:r w:rsidR="003364F2" w:rsidRPr="00501526">
        <w:rPr>
          <w:iCs/>
        </w:rPr>
        <w:t xml:space="preserve">This was reflective of the </w:t>
      </w:r>
      <w:r w:rsidR="003364F2" w:rsidRPr="00236598">
        <w:rPr>
          <w:iCs/>
        </w:rPr>
        <w:t xml:space="preserve">existing RSA </w:t>
      </w:r>
      <w:r w:rsidR="003364F2" w:rsidRPr="00AD7661">
        <w:rPr>
          <w:iCs/>
        </w:rPr>
        <w:t>patient weight cap.</w:t>
      </w:r>
    </w:p>
    <w:p w14:paraId="108B7EE4" w14:textId="693DDBEB" w:rsidR="00494207" w:rsidRPr="00501526" w:rsidRDefault="00494207" w:rsidP="00C94053">
      <w:pPr>
        <w:pStyle w:val="TableFigureFooter"/>
        <w:rPr>
          <w:iCs/>
        </w:rPr>
      </w:pPr>
      <w:r w:rsidRPr="00501526">
        <w:rPr>
          <w:iCs/>
          <w:vertAlign w:val="superscript"/>
        </w:rPr>
        <w:t xml:space="preserve">b </w:t>
      </w:r>
      <w:r w:rsidR="00B91A36" w:rsidRPr="00501526">
        <w:rPr>
          <w:iCs/>
        </w:rPr>
        <w:t>based on the DPMQ of $</w:t>
      </w:r>
      <w:r w:rsidR="00542E3B" w:rsidRPr="00542E3B">
        <w:rPr>
          <w:iCs/>
          <w:color w:val="000000"/>
          <w:spacing w:val="37"/>
          <w:shd w:val="solid" w:color="000000" w:fill="000000"/>
          <w:fitText w:val="272" w:id="-1435870450"/>
          <w14:textFill>
            <w14:solidFill>
              <w14:srgbClr w14:val="000000">
                <w14:alpha w14:val="100000"/>
              </w14:srgbClr>
            </w14:solidFill>
          </w14:textFill>
        </w:rPr>
        <w:t xml:space="preserve">|  </w:t>
      </w:r>
      <w:r w:rsidR="00542E3B" w:rsidRPr="00542E3B">
        <w:rPr>
          <w:iCs/>
          <w:color w:val="000000"/>
          <w:spacing w:val="3"/>
          <w:shd w:val="solid" w:color="000000" w:fill="000000"/>
          <w:fitText w:val="272" w:id="-1435870450"/>
          <w14:textFill>
            <w14:solidFill>
              <w14:srgbClr w14:val="000000">
                <w14:alpha w14:val="100000"/>
              </w14:srgbClr>
            </w14:solidFill>
          </w14:textFill>
        </w:rPr>
        <w:t>|</w:t>
      </w:r>
      <w:r w:rsidR="00B91A36" w:rsidRPr="00501526">
        <w:rPr>
          <w:iCs/>
        </w:rPr>
        <w:t xml:space="preserve"> for 500</w:t>
      </w:r>
      <w:r w:rsidR="00420E2D">
        <w:rPr>
          <w:iCs/>
        </w:rPr>
        <w:t> </w:t>
      </w:r>
      <w:r w:rsidR="00B91A36" w:rsidRPr="00501526">
        <w:rPr>
          <w:iCs/>
        </w:rPr>
        <w:t>mg of Powder for oral liquid and the DPM</w:t>
      </w:r>
      <w:r w:rsidR="0081594D" w:rsidRPr="00501526">
        <w:rPr>
          <w:iCs/>
        </w:rPr>
        <w:t xml:space="preserve">Q </w:t>
      </w:r>
      <w:r w:rsidR="00B91A36" w:rsidRPr="00501526">
        <w:rPr>
          <w:iCs/>
        </w:rPr>
        <w:t>Of $</w:t>
      </w:r>
      <w:r w:rsidR="00542E3B" w:rsidRPr="00542E3B">
        <w:rPr>
          <w:iCs/>
          <w:color w:val="000000"/>
          <w:spacing w:val="38"/>
          <w:shd w:val="solid" w:color="000000" w:fill="000000"/>
          <w:fitText w:val="273" w:id="-1435870449"/>
          <w14:textFill>
            <w14:solidFill>
              <w14:srgbClr w14:val="000000">
                <w14:alpha w14:val="100000"/>
              </w14:srgbClr>
            </w14:solidFill>
          </w14:textFill>
        </w:rPr>
        <w:t xml:space="preserve">|  </w:t>
      </w:r>
      <w:r w:rsidR="00542E3B" w:rsidRPr="00542E3B">
        <w:rPr>
          <w:iCs/>
          <w:color w:val="000000"/>
          <w:spacing w:val="1"/>
          <w:shd w:val="solid" w:color="000000" w:fill="000000"/>
          <w:fitText w:val="273" w:id="-1435870449"/>
          <w14:textFill>
            <w14:solidFill>
              <w14:srgbClr w14:val="000000">
                <w14:alpha w14:val="100000"/>
              </w14:srgbClr>
            </w14:solidFill>
          </w14:textFill>
        </w:rPr>
        <w:t>|</w:t>
      </w:r>
      <w:r w:rsidR="00B91A36" w:rsidRPr="00501526">
        <w:rPr>
          <w:iCs/>
        </w:rPr>
        <w:t xml:space="preserve"> for the soluble tablet, 100</w:t>
      </w:r>
      <w:r w:rsidR="00420E2D">
        <w:rPr>
          <w:iCs/>
        </w:rPr>
        <w:t> </w:t>
      </w:r>
      <w:r w:rsidR="00B91A36" w:rsidRPr="00501526">
        <w:rPr>
          <w:iCs/>
        </w:rPr>
        <w:t xml:space="preserve">mg, each adjusted for a </w:t>
      </w:r>
      <w:r w:rsidR="000C049F" w:rsidRPr="00501526">
        <w:rPr>
          <w:iCs/>
        </w:rPr>
        <w:t>seven-day</w:t>
      </w:r>
      <w:r w:rsidR="00B91A36" w:rsidRPr="00501526">
        <w:rPr>
          <w:iCs/>
        </w:rPr>
        <w:t xml:space="preserve"> duration.</w:t>
      </w:r>
    </w:p>
    <w:p w14:paraId="640BCE5D" w14:textId="7FCB992F" w:rsidR="002D5367" w:rsidRPr="00501526" w:rsidRDefault="002D5367" w:rsidP="00C94053">
      <w:pPr>
        <w:pStyle w:val="TableFigureFooter"/>
        <w:rPr>
          <w:iCs/>
        </w:rPr>
      </w:pPr>
      <w:r w:rsidRPr="00501526">
        <w:rPr>
          <w:iCs/>
          <w:vertAlign w:val="superscript"/>
        </w:rPr>
        <w:t>c</w:t>
      </w:r>
      <w:r w:rsidR="00420E2D">
        <w:rPr>
          <w:iCs/>
          <w:vertAlign w:val="superscript"/>
        </w:rPr>
        <w:t xml:space="preserve"> </w:t>
      </w:r>
      <w:r w:rsidRPr="00501526">
        <w:rPr>
          <w:iCs/>
        </w:rPr>
        <w:t>Based on the DPMQ of $</w:t>
      </w:r>
      <w:r w:rsidR="00542E3B" w:rsidRPr="00542E3B">
        <w:rPr>
          <w:iCs/>
          <w:color w:val="000000"/>
          <w:spacing w:val="38"/>
          <w:shd w:val="solid" w:color="000000" w:fill="000000"/>
          <w:fitText w:val="273" w:id="-1435870448"/>
          <w14:textFill>
            <w14:solidFill>
              <w14:srgbClr w14:val="000000">
                <w14:alpha w14:val="100000"/>
              </w14:srgbClr>
            </w14:solidFill>
          </w14:textFill>
        </w:rPr>
        <w:t xml:space="preserve">|  </w:t>
      </w:r>
      <w:r w:rsidR="00542E3B" w:rsidRPr="00542E3B">
        <w:rPr>
          <w:iCs/>
          <w:color w:val="000000"/>
          <w:spacing w:val="1"/>
          <w:shd w:val="solid" w:color="000000" w:fill="000000"/>
          <w:fitText w:val="273" w:id="-1435870448"/>
          <w14:textFill>
            <w14:solidFill>
              <w14:srgbClr w14:val="000000">
                <w14:alpha w14:val="100000"/>
              </w14:srgbClr>
            </w14:solidFill>
          </w14:textFill>
        </w:rPr>
        <w:t>|</w:t>
      </w:r>
      <w:r w:rsidRPr="00501526">
        <w:rPr>
          <w:iCs/>
        </w:rPr>
        <w:t xml:space="preserve"> for the Powder for oral liquid, 500</w:t>
      </w:r>
      <w:r w:rsidR="00420E2D">
        <w:rPr>
          <w:iCs/>
        </w:rPr>
        <w:t> </w:t>
      </w:r>
      <w:r w:rsidRPr="00501526">
        <w:rPr>
          <w:iCs/>
        </w:rPr>
        <w:t>mg and the DPMQ of $</w:t>
      </w:r>
      <w:r w:rsidR="00542E3B" w:rsidRPr="00542E3B">
        <w:rPr>
          <w:iCs/>
          <w:color w:val="000000"/>
          <w:spacing w:val="9"/>
          <w:shd w:val="solid" w:color="000000" w:fill="000000"/>
          <w:fitText w:val="281" w:id="-1435870464"/>
          <w14:textFill>
            <w14:solidFill>
              <w14:srgbClr w14:val="000000">
                <w14:alpha w14:val="100000"/>
              </w14:srgbClr>
            </w14:solidFill>
          </w14:textFill>
        </w:rPr>
        <w:t>||  |</w:t>
      </w:r>
      <w:r w:rsidR="00542E3B" w:rsidRPr="00542E3B">
        <w:rPr>
          <w:iCs/>
          <w:color w:val="000000"/>
          <w:spacing w:val="1"/>
          <w:shd w:val="solid" w:color="000000" w:fill="000000"/>
          <w:fitText w:val="281" w:id="-1435870464"/>
          <w14:textFill>
            <w14:solidFill>
              <w14:srgbClr w14:val="000000">
                <w14:alpha w14:val="100000"/>
              </w14:srgbClr>
            </w14:solidFill>
          </w14:textFill>
        </w:rPr>
        <w:t>|</w:t>
      </w:r>
      <w:r w:rsidRPr="00501526">
        <w:rPr>
          <w:iCs/>
        </w:rPr>
        <w:t>.</w:t>
      </w:r>
    </w:p>
    <w:p w14:paraId="7F395339" w14:textId="6C5616B8" w:rsidR="006A7F1F" w:rsidRPr="00501526" w:rsidRDefault="006A7F1F" w:rsidP="00C94053">
      <w:pPr>
        <w:pStyle w:val="TableFigureFooter"/>
        <w:rPr>
          <w:iCs/>
        </w:rPr>
      </w:pPr>
      <w:r w:rsidRPr="00501526">
        <w:rPr>
          <w:iCs/>
          <w:vertAlign w:val="superscript"/>
        </w:rPr>
        <w:t>d</w:t>
      </w:r>
      <w:r w:rsidRPr="00501526">
        <w:rPr>
          <w:iCs/>
        </w:rPr>
        <w:t xml:space="preserve"> Based on </w:t>
      </w:r>
      <w:r w:rsidR="003C2FFE" w:rsidRPr="00501526">
        <w:rPr>
          <w:iCs/>
        </w:rPr>
        <w:t>Australian Bureau of Statistics, Australian Health Survey: First Results, 2011-2012 - Australia for body weight of persons aged 18+</w:t>
      </w:r>
    </w:p>
    <w:p w14:paraId="72D8DE72" w14:textId="2294F328" w:rsidR="00A649C5" w:rsidRPr="00AD7661" w:rsidRDefault="00A649C5" w:rsidP="00A649C5">
      <w:pPr>
        <w:pStyle w:val="3-BodyText"/>
        <w:rPr>
          <w:iCs/>
        </w:rPr>
      </w:pPr>
      <w:r w:rsidRPr="00AD7661">
        <w:rPr>
          <w:iCs/>
        </w:rPr>
        <w:t>The cost of sapro</w:t>
      </w:r>
      <w:r w:rsidR="00D25D04" w:rsidRPr="00AD7661">
        <w:rPr>
          <w:iCs/>
        </w:rPr>
        <w:t>p</w:t>
      </w:r>
      <w:r w:rsidRPr="00AD7661">
        <w:rPr>
          <w:iCs/>
        </w:rPr>
        <w:t>terin per patient per year calculated in the submission was $</w:t>
      </w:r>
      <w:r w:rsidR="00542E3B" w:rsidRPr="00542E3B">
        <w:rPr>
          <w:iCs/>
          <w:color w:val="000000"/>
          <w:w w:val="61"/>
          <w:shd w:val="solid" w:color="000000" w:fill="000000"/>
          <w:fitText w:val="473" w:id="-1435870463"/>
          <w14:textFill>
            <w14:solidFill>
              <w14:srgbClr w14:val="000000">
                <w14:alpha w14:val="100000"/>
              </w14:srgbClr>
            </w14:solidFill>
          </w14:textFill>
        </w:rPr>
        <w:t>|||  ||</w:t>
      </w:r>
      <w:r w:rsidR="00542E3B" w:rsidRPr="00542E3B">
        <w:rPr>
          <w:iCs/>
          <w:color w:val="000000"/>
          <w:spacing w:val="3"/>
          <w:w w:val="61"/>
          <w:shd w:val="solid" w:color="000000" w:fill="000000"/>
          <w:fitText w:val="473" w:id="-1435870463"/>
          <w14:textFill>
            <w14:solidFill>
              <w14:srgbClr w14:val="000000">
                <w14:alpha w14:val="100000"/>
              </w14:srgbClr>
            </w14:solidFill>
          </w14:textFill>
        </w:rPr>
        <w:t>|</w:t>
      </w:r>
      <w:r w:rsidR="003C5858" w:rsidRPr="00AD7661">
        <w:rPr>
          <w:iCs/>
        </w:rPr>
        <w:t xml:space="preserve"> </w:t>
      </w:r>
      <w:r w:rsidR="00D4201B" w:rsidRPr="00AD7661">
        <w:rPr>
          <w:iCs/>
        </w:rPr>
        <w:t>including</w:t>
      </w:r>
      <w:r w:rsidRPr="00AD7661">
        <w:rPr>
          <w:iCs/>
        </w:rPr>
        <w:t xml:space="preserve"> the </w:t>
      </w:r>
      <w:r w:rsidR="003C5858" w:rsidRPr="00AD7661">
        <w:rPr>
          <w:iCs/>
        </w:rPr>
        <w:t xml:space="preserve">proposed </w:t>
      </w:r>
      <w:r w:rsidRPr="00AD7661">
        <w:rPr>
          <w:iCs/>
        </w:rPr>
        <w:t>RSA</w:t>
      </w:r>
      <w:r w:rsidR="003C5858" w:rsidRPr="00AD7661">
        <w:rPr>
          <w:iCs/>
        </w:rPr>
        <w:t xml:space="preserve">, wherein expenditure caps were based on a maximum patient weight </w:t>
      </w:r>
      <w:r w:rsidRPr="00AD7661">
        <w:rPr>
          <w:iCs/>
        </w:rPr>
        <w:t xml:space="preserve">of </w:t>
      </w:r>
      <w:r w:rsidR="00542E3B" w:rsidRPr="009A5ECB">
        <w:rPr>
          <w:iCs/>
          <w:color w:val="000000"/>
          <w:w w:val="15"/>
          <w:shd w:val="solid" w:color="000000" w:fill="000000"/>
          <w:fitText w:val="-20" w:id="-1435870462"/>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62"/>
          <w14:textFill>
            <w14:solidFill>
              <w14:srgbClr w14:val="000000">
                <w14:alpha w14:val="100000"/>
              </w14:srgbClr>
            </w14:solidFill>
          </w14:textFill>
        </w:rPr>
        <w:t>|</w:t>
      </w:r>
      <w:r w:rsidR="00AD21C8" w:rsidRPr="00AD7661">
        <w:rPr>
          <w:iCs/>
        </w:rPr>
        <w:t xml:space="preserve"> </w:t>
      </w:r>
      <w:r w:rsidRPr="00AD7661">
        <w:rPr>
          <w:iCs/>
        </w:rPr>
        <w:t>kg, a dose of 20</w:t>
      </w:r>
      <w:r w:rsidR="00AD21C8" w:rsidRPr="00AD7661">
        <w:rPr>
          <w:iCs/>
        </w:rPr>
        <w:t xml:space="preserve"> </w:t>
      </w:r>
      <w:r w:rsidRPr="00AD7661">
        <w:rPr>
          <w:iCs/>
        </w:rPr>
        <w:t xml:space="preserve">mg/kg and effective DPMQs of </w:t>
      </w:r>
      <w:r w:rsidR="003A32B2" w:rsidRPr="00AD7661">
        <w:rPr>
          <w:iCs/>
        </w:rPr>
        <w:t>$</w:t>
      </w:r>
      <w:r w:rsidR="00542E3B" w:rsidRPr="009A5ECB">
        <w:rPr>
          <w:iCs/>
          <w:color w:val="000000"/>
          <w:w w:val="15"/>
          <w:shd w:val="solid" w:color="000000" w:fill="000000"/>
          <w:fitText w:val="-20" w:id="-1435870461"/>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61"/>
          <w14:textFill>
            <w14:solidFill>
              <w14:srgbClr w14:val="000000">
                <w14:alpha w14:val="100000"/>
              </w14:srgbClr>
            </w14:solidFill>
          </w14:textFill>
        </w:rPr>
        <w:t>|</w:t>
      </w:r>
      <w:r w:rsidR="003A32B2" w:rsidRPr="00AD7661">
        <w:rPr>
          <w:iCs/>
        </w:rPr>
        <w:t xml:space="preserve"> for the 500</w:t>
      </w:r>
      <w:r w:rsidR="00AD21C8" w:rsidRPr="00AD7661">
        <w:rPr>
          <w:iCs/>
        </w:rPr>
        <w:t> </w:t>
      </w:r>
      <w:r w:rsidR="003A32B2" w:rsidRPr="00AD7661">
        <w:rPr>
          <w:iCs/>
        </w:rPr>
        <w:t xml:space="preserve">mg </w:t>
      </w:r>
      <w:r w:rsidR="001D3486" w:rsidRPr="00AD7661">
        <w:rPr>
          <w:iCs/>
        </w:rPr>
        <w:t xml:space="preserve">preparation </w:t>
      </w:r>
      <w:r w:rsidR="003A32B2" w:rsidRPr="00AD7661">
        <w:rPr>
          <w:iCs/>
        </w:rPr>
        <w:t>and $</w:t>
      </w:r>
      <w:r w:rsidR="00542E3B" w:rsidRPr="009A5ECB">
        <w:rPr>
          <w:iCs/>
          <w:color w:val="000000"/>
          <w:w w:val="15"/>
          <w:shd w:val="solid" w:color="000000" w:fill="000000"/>
          <w:fitText w:val="-20" w:id="-1435870460"/>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60"/>
          <w14:textFill>
            <w14:solidFill>
              <w14:srgbClr w14:val="000000">
                <w14:alpha w14:val="100000"/>
              </w14:srgbClr>
            </w14:solidFill>
          </w14:textFill>
        </w:rPr>
        <w:t>|</w:t>
      </w:r>
      <w:r w:rsidR="00C87FCC" w:rsidRPr="00AD7661">
        <w:rPr>
          <w:iCs/>
        </w:rPr>
        <w:t xml:space="preserve"> for </w:t>
      </w:r>
      <w:r w:rsidR="00275679" w:rsidRPr="00AD7661">
        <w:rPr>
          <w:iCs/>
        </w:rPr>
        <w:t xml:space="preserve">the </w:t>
      </w:r>
      <w:r w:rsidR="00C87FCC" w:rsidRPr="00AD7661">
        <w:rPr>
          <w:iCs/>
        </w:rPr>
        <w:t>100</w:t>
      </w:r>
      <w:r w:rsidR="00AD21C8" w:rsidRPr="00AD7661">
        <w:rPr>
          <w:iCs/>
        </w:rPr>
        <w:t> </w:t>
      </w:r>
      <w:r w:rsidR="00C87FCC" w:rsidRPr="00AD7661">
        <w:rPr>
          <w:iCs/>
        </w:rPr>
        <w:t>mg</w:t>
      </w:r>
      <w:r w:rsidR="001D3486" w:rsidRPr="00AD7661">
        <w:rPr>
          <w:iCs/>
        </w:rPr>
        <w:t xml:space="preserve"> preparation</w:t>
      </w:r>
      <w:r w:rsidR="003A32B2" w:rsidRPr="00AD7661">
        <w:rPr>
          <w:iCs/>
        </w:rPr>
        <w:t>.</w:t>
      </w:r>
    </w:p>
    <w:p w14:paraId="2DFE1D90" w14:textId="729679C4" w:rsidR="000B6B95" w:rsidRPr="000B6B95" w:rsidRDefault="00A649C5" w:rsidP="000B6B95">
      <w:pPr>
        <w:pStyle w:val="3-BodyText"/>
        <w:rPr>
          <w:iCs/>
        </w:rPr>
      </w:pPr>
      <w:r w:rsidRPr="00501526">
        <w:rPr>
          <w:iCs/>
        </w:rPr>
        <w:t xml:space="preserve">The cost of sapropterin per patient per year calculated in the March 2018 PBAC </w:t>
      </w:r>
      <w:r w:rsidR="00113094">
        <w:rPr>
          <w:iCs/>
        </w:rPr>
        <w:t>PSD</w:t>
      </w:r>
      <w:r w:rsidR="00113094" w:rsidRPr="00501526">
        <w:rPr>
          <w:iCs/>
        </w:rPr>
        <w:t xml:space="preserve"> </w:t>
      </w:r>
      <w:r w:rsidRPr="00501526">
        <w:rPr>
          <w:iCs/>
        </w:rPr>
        <w:t>(paragraph 6.62) ranged from $</w:t>
      </w:r>
      <w:r w:rsidR="00542E3B" w:rsidRPr="009A5ECB">
        <w:rPr>
          <w:iCs/>
          <w:color w:val="000000"/>
          <w:w w:val="15"/>
          <w:shd w:val="solid" w:color="000000" w:fill="000000"/>
          <w:fitText w:val="-20" w:id="-1435870459"/>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9"/>
          <w14:textFill>
            <w14:solidFill>
              <w14:srgbClr w14:val="000000">
                <w14:alpha w14:val="100000"/>
              </w14:srgbClr>
            </w14:solidFill>
          </w14:textFill>
        </w:rPr>
        <w:t>|</w:t>
      </w:r>
      <w:r w:rsidRPr="00501526">
        <w:rPr>
          <w:iCs/>
        </w:rPr>
        <w:t xml:space="preserve"> in the </w:t>
      </w:r>
      <w:r w:rsidR="000C049F" w:rsidRPr="00501526">
        <w:rPr>
          <w:iCs/>
        </w:rPr>
        <w:t>0-year-old</w:t>
      </w:r>
      <w:r w:rsidRPr="00501526">
        <w:rPr>
          <w:iCs/>
        </w:rPr>
        <w:t xml:space="preserve"> cohort to $</w:t>
      </w:r>
      <w:r w:rsidR="00542E3B" w:rsidRPr="009A5ECB">
        <w:rPr>
          <w:iCs/>
          <w:color w:val="000000"/>
          <w:w w:val="15"/>
          <w:shd w:val="solid" w:color="000000" w:fill="000000"/>
          <w:fitText w:val="-20" w:id="-1435870458"/>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8"/>
          <w14:textFill>
            <w14:solidFill>
              <w14:srgbClr w14:val="000000">
                <w14:alpha w14:val="100000"/>
              </w14:srgbClr>
            </w14:solidFill>
          </w14:textFill>
        </w:rPr>
        <w:t>|</w:t>
      </w:r>
      <w:r w:rsidRPr="00501526">
        <w:rPr>
          <w:iCs/>
        </w:rPr>
        <w:t xml:space="preserve"> in the ≥</w:t>
      </w:r>
      <w:r w:rsidR="000B0273" w:rsidRPr="00501526">
        <w:rPr>
          <w:iCs/>
        </w:rPr>
        <w:t>18-year-old</w:t>
      </w:r>
      <w:r w:rsidRPr="00501526">
        <w:rPr>
          <w:iCs/>
        </w:rPr>
        <w:t xml:space="preserve"> cohort. These costs were determined by applying the proposed effective sapropterin DPMQ ($</w:t>
      </w:r>
      <w:r w:rsidR="00542E3B" w:rsidRPr="009A5ECB">
        <w:rPr>
          <w:iCs/>
          <w:color w:val="000000"/>
          <w:w w:val="15"/>
          <w:shd w:val="solid" w:color="000000" w:fill="000000"/>
          <w:fitText w:val="-20" w:id="-1435870457"/>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7"/>
          <w14:textFill>
            <w14:solidFill>
              <w14:srgbClr w14:val="000000">
                <w14:alpha w14:val="100000"/>
              </w14:srgbClr>
            </w14:solidFill>
          </w14:textFill>
        </w:rPr>
        <w:t>|</w:t>
      </w:r>
      <w:r w:rsidR="00E7378C" w:rsidRPr="00501526">
        <w:rPr>
          <w:iCs/>
        </w:rPr>
        <w:t>/100</w:t>
      </w:r>
      <w:r w:rsidR="00AD21C8" w:rsidRPr="00501526">
        <w:rPr>
          <w:iCs/>
        </w:rPr>
        <w:t> </w:t>
      </w:r>
      <w:r w:rsidR="00E7378C" w:rsidRPr="00501526">
        <w:rPr>
          <w:iCs/>
        </w:rPr>
        <w:t>mg</w:t>
      </w:r>
      <w:r w:rsidRPr="00501526">
        <w:rPr>
          <w:iCs/>
        </w:rPr>
        <w:t>) to mean weight-by-age data and a mean daily dose of 17.</w:t>
      </w:r>
      <w:r w:rsidR="00113094" w:rsidRPr="00501526">
        <w:rPr>
          <w:iCs/>
        </w:rPr>
        <w:t>4</w:t>
      </w:r>
      <w:r w:rsidR="00113094">
        <w:rPr>
          <w:iCs/>
        </w:rPr>
        <w:t> </w:t>
      </w:r>
      <w:r w:rsidRPr="00501526">
        <w:rPr>
          <w:iCs/>
        </w:rPr>
        <w:t>mg/kg/day.</w:t>
      </w:r>
      <w:r w:rsidR="00C20037" w:rsidRPr="00501526">
        <w:rPr>
          <w:iCs/>
        </w:rPr>
        <w:t xml:space="preserve"> While the cost per pack was proposed to be the same as currently applies in </w:t>
      </w:r>
      <w:r w:rsidR="00DF0710" w:rsidRPr="00501526">
        <w:rPr>
          <w:iCs/>
        </w:rPr>
        <w:t xml:space="preserve">patients aged </w:t>
      </w:r>
      <w:r w:rsidR="00501885" w:rsidRPr="00501526">
        <w:rPr>
          <w:iCs/>
        </w:rPr>
        <w:t>18 years and younger</w:t>
      </w:r>
      <w:r w:rsidR="00C20037" w:rsidRPr="00501526">
        <w:rPr>
          <w:iCs/>
        </w:rPr>
        <w:t>, the cost per patient would be higher in adults due to higher weigh</w:t>
      </w:r>
      <w:r w:rsidR="00501885" w:rsidRPr="00501526">
        <w:rPr>
          <w:iCs/>
        </w:rPr>
        <w:t>t</w:t>
      </w:r>
      <w:r w:rsidR="00C20037" w:rsidRPr="00501526">
        <w:rPr>
          <w:iCs/>
        </w:rPr>
        <w:t>.</w:t>
      </w:r>
      <w:r w:rsidR="006C27A8">
        <w:rPr>
          <w:iCs/>
        </w:rPr>
        <w:t xml:space="preserve"> The pre-PBAC response </w:t>
      </w:r>
      <w:r w:rsidR="00293C3D">
        <w:rPr>
          <w:iCs/>
        </w:rPr>
        <w:t>outlined</w:t>
      </w:r>
      <w:r w:rsidR="006C27A8">
        <w:rPr>
          <w:iCs/>
        </w:rPr>
        <w:t xml:space="preserve"> that </w:t>
      </w:r>
      <w:r w:rsidR="00293C3D">
        <w:rPr>
          <w:iCs/>
        </w:rPr>
        <w:t xml:space="preserve">under </w:t>
      </w:r>
      <w:r w:rsidR="006C27A8">
        <w:t xml:space="preserve">the </w:t>
      </w:r>
      <w:r w:rsidR="00293C3D">
        <w:t>proposed risk sharing arrangement (RSA)</w:t>
      </w:r>
      <w:r w:rsidR="00293C3D" w:rsidRPr="00293C3D">
        <w:t xml:space="preserve"> expenditure caps </w:t>
      </w:r>
      <w:r w:rsidR="00293C3D" w:rsidRPr="00785DCC">
        <w:t xml:space="preserve">are based on utilisation estimates that apply a maximum patient body weight of </w:t>
      </w:r>
      <w:r w:rsidR="00542E3B" w:rsidRPr="009A5ECB">
        <w:rPr>
          <w:color w:val="000000"/>
          <w:w w:val="15"/>
          <w:shd w:val="solid" w:color="000000" w:fill="000000"/>
          <w:fitText w:val="-20" w:id="-1435870456"/>
          <w14:textFill>
            <w14:solidFill>
              <w14:srgbClr w14:val="000000">
                <w14:alpha w14:val="100000"/>
              </w14:srgbClr>
            </w14:solidFill>
          </w14:textFill>
        </w:rPr>
        <w:t xml:space="preserve">|  </w:t>
      </w:r>
      <w:r w:rsidR="00542E3B" w:rsidRPr="009A5ECB">
        <w:rPr>
          <w:color w:val="000000"/>
          <w:spacing w:val="-69"/>
          <w:w w:val="15"/>
          <w:shd w:val="solid" w:color="000000" w:fill="000000"/>
          <w:fitText w:val="-20" w:id="-1435870456"/>
          <w14:textFill>
            <w14:solidFill>
              <w14:srgbClr w14:val="000000">
                <w14:alpha w14:val="100000"/>
              </w14:srgbClr>
            </w14:solidFill>
          </w14:textFill>
        </w:rPr>
        <w:t>|</w:t>
      </w:r>
      <w:r w:rsidR="00293C3D" w:rsidRPr="00785DCC">
        <w:t xml:space="preserve"> kg. </w:t>
      </w:r>
      <w:r w:rsidR="00293C3D">
        <w:t>However, t</w:t>
      </w:r>
      <w:r w:rsidR="008738E4">
        <w:t xml:space="preserve">he PBAC noted that </w:t>
      </w:r>
      <w:r w:rsidR="008214A6">
        <w:t>even with the RSA cap</w:t>
      </w:r>
      <w:r w:rsidR="00736F0D">
        <w:t>,</w:t>
      </w:r>
      <w:r w:rsidR="008214A6">
        <w:t xml:space="preserve"> </w:t>
      </w:r>
      <w:r w:rsidR="008738E4">
        <w:t xml:space="preserve">the cost </w:t>
      </w:r>
      <w:r w:rsidR="008214A6">
        <w:t xml:space="preserve">per patient </w:t>
      </w:r>
      <w:r w:rsidR="008738E4">
        <w:t>for adult patients</w:t>
      </w:r>
      <w:r w:rsidR="008214A6">
        <w:t xml:space="preserve"> is higher than for paediatric patients where the required dose is lower. As noted in paragraphs </w:t>
      </w:r>
      <w:r w:rsidR="008214A6">
        <w:fldChar w:fldCharType="begin"/>
      </w:r>
      <w:r w:rsidR="008214A6">
        <w:instrText xml:space="preserve"> REF _Ref108681697 \r \h </w:instrText>
      </w:r>
      <w:r w:rsidR="008214A6">
        <w:fldChar w:fldCharType="separate"/>
      </w:r>
      <w:r w:rsidR="0035299E">
        <w:t>6.63</w:t>
      </w:r>
      <w:r w:rsidR="008214A6">
        <w:fldChar w:fldCharType="end"/>
      </w:r>
      <w:r w:rsidR="008214A6">
        <w:t xml:space="preserve"> and </w:t>
      </w:r>
      <w:r w:rsidR="008214A6">
        <w:fldChar w:fldCharType="begin"/>
      </w:r>
      <w:r w:rsidR="008214A6">
        <w:instrText xml:space="preserve"> REF _Ref108681540 \r \h </w:instrText>
      </w:r>
      <w:r w:rsidR="008214A6">
        <w:fldChar w:fldCharType="separate"/>
      </w:r>
      <w:r w:rsidR="0035299E">
        <w:t>6.64</w:t>
      </w:r>
      <w:r w:rsidR="008214A6">
        <w:fldChar w:fldCharType="end"/>
      </w:r>
      <w:r w:rsidR="008214A6">
        <w:t xml:space="preserve">, the ICER increases with age and the submission’s stated ICER of </w:t>
      </w:r>
      <w:r w:rsidR="00113094" w:rsidRPr="00113094">
        <w:rPr>
          <w:iCs/>
        </w:rPr>
        <w:t xml:space="preserve">$555,000 to </w:t>
      </w:r>
      <w:r w:rsidR="00113094" w:rsidRPr="00113094">
        <w:rPr>
          <w:iCs/>
        </w:rPr>
        <w:lastRenderedPageBreak/>
        <w:t>&lt; $655,000</w:t>
      </w:r>
      <w:r w:rsidR="008214A6">
        <w:t xml:space="preserve">/QALY </w:t>
      </w:r>
      <w:r w:rsidR="00B3079A">
        <w:t xml:space="preserve">in patients commencing treatment as an adult </w:t>
      </w:r>
      <w:r w:rsidR="008214A6">
        <w:t xml:space="preserve">was </w:t>
      </w:r>
      <w:r w:rsidR="000B6B95">
        <w:t xml:space="preserve">substantially </w:t>
      </w:r>
      <w:r w:rsidR="008214A6">
        <w:t xml:space="preserve">higher than the </w:t>
      </w:r>
      <w:r w:rsidR="000B6B95">
        <w:t>ICER for a patient who commenced sapropterin at birth and continued until 18 years (</w:t>
      </w:r>
      <w:r w:rsidR="00113094" w:rsidRPr="00924EE8">
        <w:rPr>
          <w:iCs/>
        </w:rPr>
        <w:t>$155,000 to &lt; $255,000</w:t>
      </w:r>
      <w:r w:rsidR="000B6B95">
        <w:t>/QALY)</w:t>
      </w:r>
      <w:r w:rsidR="000B6B95">
        <w:rPr>
          <w:iCs/>
        </w:rPr>
        <w:t>.</w:t>
      </w:r>
    </w:p>
    <w:p w14:paraId="4B04D490" w14:textId="33720B6C" w:rsidR="00151BDE" w:rsidRPr="00501526" w:rsidRDefault="00151BDE" w:rsidP="00151BDE">
      <w:pPr>
        <w:pStyle w:val="3-BodyText"/>
        <w:rPr>
          <w:iCs/>
        </w:rPr>
      </w:pPr>
      <w:r w:rsidRPr="00501526">
        <w:rPr>
          <w:iCs/>
        </w:rPr>
        <w:t>Using undiscounted results from the economic model, it was estimated that over a mean duration of 52.67 life years, the annual cost of Phe-free supplements in the sapropterin arm was $</w:t>
      </w:r>
      <w:r w:rsidR="00542E3B" w:rsidRPr="009A5ECB">
        <w:rPr>
          <w:iCs/>
          <w:color w:val="000000"/>
          <w:w w:val="15"/>
          <w:shd w:val="solid" w:color="000000" w:fill="000000"/>
          <w:fitText w:val="-20" w:id="-1435870455"/>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5"/>
          <w14:textFill>
            <w14:solidFill>
              <w14:srgbClr w14:val="000000">
                <w14:alpha w14:val="100000"/>
              </w14:srgbClr>
            </w14:solidFill>
          </w14:textFill>
        </w:rPr>
        <w:t>|</w:t>
      </w:r>
      <w:r w:rsidRPr="00501526">
        <w:rPr>
          <w:iCs/>
        </w:rPr>
        <w:t xml:space="preserve"> ($</w:t>
      </w:r>
      <w:r w:rsidR="00542E3B" w:rsidRPr="009A5ECB">
        <w:rPr>
          <w:iCs/>
          <w:color w:val="000000"/>
          <w:w w:val="15"/>
          <w:shd w:val="solid" w:color="000000" w:fill="000000"/>
          <w:fitText w:val="-20" w:id="-1435870454"/>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4"/>
          <w14:textFill>
            <w14:solidFill>
              <w14:srgbClr w14:val="000000">
                <w14:alpha w14:val="100000"/>
              </w14:srgbClr>
            </w14:solidFill>
          </w14:textFill>
        </w:rPr>
        <w:t>|</w:t>
      </w:r>
      <w:r w:rsidRPr="00501526">
        <w:rPr>
          <w:iCs/>
        </w:rPr>
        <w:t xml:space="preserve"> in total) and in the Phe-restricted diet arm was $</w:t>
      </w:r>
      <w:r w:rsidR="00542E3B" w:rsidRPr="009A5ECB">
        <w:rPr>
          <w:iCs/>
          <w:color w:val="000000"/>
          <w:w w:val="15"/>
          <w:shd w:val="solid" w:color="000000" w:fill="000000"/>
          <w:fitText w:val="-20" w:id="-1435870453"/>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3"/>
          <w14:textFill>
            <w14:solidFill>
              <w14:srgbClr w14:val="000000">
                <w14:alpha w14:val="100000"/>
              </w14:srgbClr>
            </w14:solidFill>
          </w14:textFill>
        </w:rPr>
        <w:t>|</w:t>
      </w:r>
      <w:r w:rsidRPr="00501526">
        <w:rPr>
          <w:iCs/>
        </w:rPr>
        <w:t xml:space="preserve"> ($</w:t>
      </w:r>
      <w:r w:rsidR="00542E3B" w:rsidRPr="009A5ECB">
        <w:rPr>
          <w:iCs/>
          <w:color w:val="000000"/>
          <w:w w:val="15"/>
          <w:shd w:val="solid" w:color="000000" w:fill="000000"/>
          <w:fitText w:val="-20" w:id="-1435870452"/>
          <w14:textFill>
            <w14:solidFill>
              <w14:srgbClr w14:val="000000">
                <w14:alpha w14:val="100000"/>
              </w14:srgbClr>
            </w14:solidFill>
          </w14:textFill>
        </w:rPr>
        <w:t xml:space="preserve">|  </w:t>
      </w:r>
      <w:r w:rsidR="00542E3B" w:rsidRPr="009A5ECB">
        <w:rPr>
          <w:iCs/>
          <w:color w:val="000000"/>
          <w:spacing w:val="-69"/>
          <w:w w:val="15"/>
          <w:shd w:val="solid" w:color="000000" w:fill="000000"/>
          <w:fitText w:val="-20" w:id="-1435870452"/>
          <w14:textFill>
            <w14:solidFill>
              <w14:srgbClr w14:val="000000">
                <w14:alpha w14:val="100000"/>
              </w14:srgbClr>
            </w14:solidFill>
          </w14:textFill>
        </w:rPr>
        <w:t>|</w:t>
      </w:r>
      <w:r w:rsidRPr="00501526">
        <w:rPr>
          <w:iCs/>
        </w:rPr>
        <w:t xml:space="preserve"> in total)</w:t>
      </w:r>
      <w:r w:rsidR="00330AED" w:rsidRPr="00501526">
        <w:rPr>
          <w:iCs/>
        </w:rPr>
        <w:t>.</w:t>
      </w:r>
    </w:p>
    <w:p w14:paraId="268768EF" w14:textId="3626F292" w:rsidR="00B60939" w:rsidRPr="00501526" w:rsidRDefault="00B60939" w:rsidP="002B05A1">
      <w:pPr>
        <w:pStyle w:val="4-SubsectionHeading"/>
      </w:pPr>
      <w:bookmarkStart w:id="56" w:name="_Toc22897647"/>
      <w:bookmarkStart w:id="57" w:name="_Toc103766834"/>
      <w:r w:rsidRPr="00501526">
        <w:t>Estimated PBS usage &amp; financial implications</w:t>
      </w:r>
      <w:bookmarkEnd w:id="56"/>
      <w:bookmarkEnd w:id="57"/>
    </w:p>
    <w:p w14:paraId="16EF4367" w14:textId="083C1DBD" w:rsidR="002B05A1" w:rsidRPr="00501526" w:rsidRDefault="00736F0D" w:rsidP="002B05A1">
      <w:pPr>
        <w:pStyle w:val="3-BodyText"/>
        <w:rPr>
          <w:iCs/>
        </w:rPr>
      </w:pPr>
      <w:r>
        <w:rPr>
          <w:iCs/>
        </w:rPr>
        <w:t>Sapropterin</w:t>
      </w:r>
      <w:r w:rsidR="00C25D9C" w:rsidRPr="00501526">
        <w:rPr>
          <w:iCs/>
        </w:rPr>
        <w:t xml:space="preserve"> </w:t>
      </w:r>
      <w:r w:rsidR="00B201A4" w:rsidRPr="00501526">
        <w:rPr>
          <w:iCs/>
        </w:rPr>
        <w:t>w</w:t>
      </w:r>
      <w:r w:rsidR="00471C44" w:rsidRPr="00501526">
        <w:rPr>
          <w:iCs/>
        </w:rPr>
        <w:t>as</w:t>
      </w:r>
      <w:r w:rsidR="00C25D9C" w:rsidRPr="00501526">
        <w:rPr>
          <w:iCs/>
        </w:rPr>
        <w:t xml:space="preserve"> not considered by DUSC</w:t>
      </w:r>
      <w:r>
        <w:rPr>
          <w:iCs/>
        </w:rPr>
        <w:t>, however DUSC considered the concurrent pegvaliase item (Item 5.09), which used some of the same general epidemiological inputs.</w:t>
      </w:r>
      <w:r w:rsidR="00BC591F" w:rsidRPr="00501526">
        <w:rPr>
          <w:iCs/>
          <w:color w:val="0070C0"/>
        </w:rPr>
        <w:t xml:space="preserve"> </w:t>
      </w:r>
      <w:r w:rsidR="00061430" w:rsidRPr="00501526">
        <w:rPr>
          <w:iCs/>
          <w:color w:val="000000" w:themeColor="text1"/>
        </w:rPr>
        <w:t>The submission took an epidemiological approach to estimating use of sapropterin.</w:t>
      </w:r>
    </w:p>
    <w:p w14:paraId="7D6042D8" w14:textId="22D90975" w:rsidR="00CC143B" w:rsidRPr="00501526" w:rsidRDefault="00061430" w:rsidP="00CC143B">
      <w:pPr>
        <w:pStyle w:val="3-BodyText"/>
        <w:rPr>
          <w:iCs/>
        </w:rPr>
      </w:pPr>
      <w:r w:rsidRPr="00501526">
        <w:rPr>
          <w:iCs/>
        </w:rPr>
        <w:t xml:space="preserve">Key financial inputs for the financial estimates are presented in </w:t>
      </w:r>
      <w:r w:rsidRPr="00501526">
        <w:rPr>
          <w:iCs/>
        </w:rPr>
        <w:fldChar w:fldCharType="begin"/>
      </w:r>
      <w:r w:rsidRPr="00501526">
        <w:rPr>
          <w:iCs/>
        </w:rPr>
        <w:instrText xml:space="preserve"> REF _Ref102332263 \h  \* MERGEFORMAT </w:instrText>
      </w:r>
      <w:r w:rsidRPr="00501526">
        <w:rPr>
          <w:iCs/>
        </w:rPr>
      </w:r>
      <w:r w:rsidRPr="00501526">
        <w:rPr>
          <w:iCs/>
        </w:rPr>
        <w:fldChar w:fldCharType="separate"/>
      </w:r>
      <w:r w:rsidR="0035299E" w:rsidRPr="0035299E">
        <w:t>Table 14</w:t>
      </w:r>
      <w:r w:rsidRPr="00501526">
        <w:rPr>
          <w:iCs/>
        </w:rPr>
        <w:fldChar w:fldCharType="end"/>
      </w:r>
      <w:r w:rsidRPr="00501526">
        <w:rPr>
          <w:iCs/>
        </w:rPr>
        <w:t>.</w:t>
      </w:r>
      <w:r w:rsidR="0081594D" w:rsidRPr="00501526">
        <w:rPr>
          <w:iCs/>
        </w:rPr>
        <w:t xml:space="preserve"> </w:t>
      </w:r>
      <w:bookmarkStart w:id="58" w:name="_Hlk106360344"/>
    </w:p>
    <w:p w14:paraId="3393BCE7" w14:textId="358558AD" w:rsidR="00E42F73" w:rsidRPr="00501526" w:rsidRDefault="00CA35AC" w:rsidP="00136AB4">
      <w:pPr>
        <w:pStyle w:val="TableFigureHeading"/>
        <w:keepLines/>
        <w:widowControl w:val="0"/>
        <w:rPr>
          <w:rStyle w:val="CommentReference"/>
          <w:b/>
          <w:iCs/>
          <w:szCs w:val="24"/>
        </w:rPr>
      </w:pPr>
      <w:bookmarkStart w:id="59" w:name="_Ref102332263"/>
      <w:bookmarkEnd w:id="58"/>
      <w:r w:rsidRPr="00501526">
        <w:rPr>
          <w:rStyle w:val="CommentReference"/>
          <w:b/>
          <w:iCs/>
          <w:szCs w:val="24"/>
        </w:rPr>
        <w:lastRenderedPageBreak/>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14</w:t>
      </w:r>
      <w:r w:rsidRPr="00501526">
        <w:rPr>
          <w:rStyle w:val="CommentReference"/>
          <w:b/>
          <w:iCs/>
          <w:szCs w:val="24"/>
        </w:rPr>
        <w:fldChar w:fldCharType="end"/>
      </w:r>
      <w:bookmarkEnd w:id="59"/>
      <w:r w:rsidRPr="00501526">
        <w:rPr>
          <w:rStyle w:val="CommentReference"/>
          <w:b/>
          <w:iCs/>
          <w:szCs w:val="24"/>
        </w:rPr>
        <w:t xml:space="preserve">: </w:t>
      </w:r>
      <w:r w:rsidR="00E42F73" w:rsidRPr="00501526">
        <w:rPr>
          <w:rStyle w:val="CommentReference"/>
          <w:b/>
          <w:iCs/>
          <w:szCs w:val="24"/>
        </w:rPr>
        <w:t>Key inputs for financial estimates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2970"/>
        <w:gridCol w:w="3799"/>
      </w:tblGrid>
      <w:tr w:rsidR="00F742D7" w:rsidRPr="00501526" w14:paraId="7AFD013A" w14:textId="77777777" w:rsidTr="0081594D">
        <w:trPr>
          <w:tblHeader/>
        </w:trPr>
        <w:tc>
          <w:tcPr>
            <w:tcW w:w="1244" w:type="pct"/>
            <w:shd w:val="clear" w:color="auto" w:fill="auto"/>
            <w:vAlign w:val="center"/>
          </w:tcPr>
          <w:p w14:paraId="45C2C4CE" w14:textId="370E9AAB" w:rsidR="00E42F73" w:rsidRPr="00501526" w:rsidRDefault="004658B5" w:rsidP="00136AB4">
            <w:pPr>
              <w:pStyle w:val="In-tableHeading"/>
              <w:keepLines/>
              <w:widowControl w:val="0"/>
              <w:rPr>
                <w:iCs/>
                <w:lang w:val="en-AU"/>
              </w:rPr>
            </w:pPr>
            <w:r w:rsidRPr="00501526">
              <w:rPr>
                <w:iCs/>
                <w:lang w:val="en-AU"/>
              </w:rPr>
              <w:t>Parameter</w:t>
            </w:r>
          </w:p>
        </w:tc>
        <w:tc>
          <w:tcPr>
            <w:tcW w:w="1648" w:type="pct"/>
            <w:shd w:val="clear" w:color="auto" w:fill="auto"/>
            <w:vAlign w:val="center"/>
          </w:tcPr>
          <w:p w14:paraId="5C04F956" w14:textId="1B49594D" w:rsidR="00E42F73" w:rsidRPr="00501526" w:rsidRDefault="004658B5" w:rsidP="00136AB4">
            <w:pPr>
              <w:pStyle w:val="In-tableHeading"/>
              <w:keepLines/>
              <w:widowControl w:val="0"/>
              <w:jc w:val="center"/>
              <w:rPr>
                <w:iCs/>
                <w:lang w:val="en-AU"/>
              </w:rPr>
            </w:pPr>
            <w:r w:rsidRPr="00501526">
              <w:rPr>
                <w:iCs/>
                <w:lang w:val="en-AU"/>
              </w:rPr>
              <w:t>Value applied</w:t>
            </w:r>
          </w:p>
        </w:tc>
        <w:tc>
          <w:tcPr>
            <w:tcW w:w="2108" w:type="pct"/>
            <w:shd w:val="clear" w:color="auto" w:fill="auto"/>
            <w:vAlign w:val="center"/>
          </w:tcPr>
          <w:p w14:paraId="45DE44AA" w14:textId="22E0F7B1" w:rsidR="00E42F73" w:rsidRPr="00501526" w:rsidRDefault="00EC7BCD" w:rsidP="00136AB4">
            <w:pPr>
              <w:pStyle w:val="In-tableHeading"/>
              <w:keepLines/>
              <w:widowControl w:val="0"/>
              <w:jc w:val="center"/>
              <w:rPr>
                <w:iCs/>
                <w:lang w:val="en-AU"/>
              </w:rPr>
            </w:pPr>
            <w:r w:rsidRPr="00501526">
              <w:rPr>
                <w:iCs/>
                <w:lang w:val="en-AU"/>
              </w:rPr>
              <w:t xml:space="preserve">Source/ </w:t>
            </w:r>
            <w:r w:rsidR="004658B5" w:rsidRPr="00501526">
              <w:rPr>
                <w:iCs/>
                <w:lang w:val="en-AU"/>
              </w:rPr>
              <w:t>Comment</w:t>
            </w:r>
          </w:p>
        </w:tc>
      </w:tr>
      <w:tr w:rsidR="008C076E" w:rsidRPr="00501526" w14:paraId="3396127D" w14:textId="77777777" w:rsidTr="00330AED">
        <w:tc>
          <w:tcPr>
            <w:tcW w:w="1244" w:type="pct"/>
            <w:shd w:val="clear" w:color="auto" w:fill="EAF1DD" w:themeFill="accent3" w:themeFillTint="33"/>
            <w:vAlign w:val="center"/>
          </w:tcPr>
          <w:p w14:paraId="1287017A" w14:textId="41903031" w:rsidR="00334728" w:rsidRPr="00501526" w:rsidRDefault="009464BD" w:rsidP="00136AB4">
            <w:pPr>
              <w:pStyle w:val="TableText0"/>
              <w:keepLines/>
              <w:rPr>
                <w:iCs/>
              </w:rPr>
            </w:pPr>
            <w:r w:rsidRPr="00501526">
              <w:rPr>
                <w:iCs/>
              </w:rPr>
              <w:t>Prevalence of HPA</w:t>
            </w:r>
          </w:p>
        </w:tc>
        <w:tc>
          <w:tcPr>
            <w:tcW w:w="1648" w:type="pct"/>
            <w:shd w:val="clear" w:color="auto" w:fill="EAF1DD" w:themeFill="accent3" w:themeFillTint="33"/>
            <w:vAlign w:val="center"/>
          </w:tcPr>
          <w:p w14:paraId="60505C9E" w14:textId="30274E14" w:rsidR="009464BD" w:rsidRPr="00501526" w:rsidRDefault="009464BD" w:rsidP="00136AB4">
            <w:pPr>
              <w:pStyle w:val="TableText0"/>
              <w:keepLines/>
              <w:jc w:val="center"/>
              <w:rPr>
                <w:iCs/>
              </w:rPr>
            </w:pPr>
            <w:r w:rsidRPr="00501526">
              <w:rPr>
                <w:iCs/>
              </w:rPr>
              <w:t>1 per 11,226</w:t>
            </w:r>
          </w:p>
        </w:tc>
        <w:tc>
          <w:tcPr>
            <w:tcW w:w="2108" w:type="pct"/>
            <w:shd w:val="clear" w:color="auto" w:fill="EAF1DD" w:themeFill="accent3" w:themeFillTint="33"/>
            <w:vAlign w:val="center"/>
          </w:tcPr>
          <w:p w14:paraId="05FDF531" w14:textId="063A8193" w:rsidR="00334728" w:rsidRPr="00501526" w:rsidRDefault="00EC7BCD" w:rsidP="00136AB4">
            <w:pPr>
              <w:pStyle w:val="TableText0"/>
              <w:keepLines/>
              <w:rPr>
                <w:iCs/>
              </w:rPr>
            </w:pPr>
            <w:r w:rsidRPr="00501526">
              <w:rPr>
                <w:iCs/>
              </w:rPr>
              <w:t>Boneh et al. (2006)</w:t>
            </w:r>
            <w:r w:rsidR="00BB7DE4" w:rsidRPr="00501526">
              <w:rPr>
                <w:iCs/>
              </w:rPr>
              <w:t xml:space="preserve">. </w:t>
            </w:r>
            <w:r w:rsidR="00E325C2">
              <w:rPr>
                <w:iCs/>
              </w:rPr>
              <w:t>DUSC noted this was based on old data.</w:t>
            </w:r>
          </w:p>
        </w:tc>
      </w:tr>
      <w:tr w:rsidR="006D0445" w:rsidRPr="00501526" w14:paraId="6B7E6A72" w14:textId="77777777" w:rsidTr="00330AED">
        <w:tc>
          <w:tcPr>
            <w:tcW w:w="1244" w:type="pct"/>
            <w:shd w:val="clear" w:color="auto" w:fill="EAF1DD" w:themeFill="accent3" w:themeFillTint="33"/>
            <w:vAlign w:val="center"/>
          </w:tcPr>
          <w:p w14:paraId="789121B7" w14:textId="35A582DE" w:rsidR="009464BD" w:rsidRPr="00501526" w:rsidRDefault="009464BD" w:rsidP="00136AB4">
            <w:pPr>
              <w:pStyle w:val="TableText0"/>
              <w:keepLines/>
              <w:rPr>
                <w:iCs/>
              </w:rPr>
            </w:pPr>
            <w:r w:rsidRPr="00501526">
              <w:rPr>
                <w:iCs/>
              </w:rPr>
              <w:t>PKU % of HPA</w:t>
            </w:r>
          </w:p>
        </w:tc>
        <w:tc>
          <w:tcPr>
            <w:tcW w:w="1648" w:type="pct"/>
            <w:shd w:val="clear" w:color="auto" w:fill="EAF1DD" w:themeFill="accent3" w:themeFillTint="33"/>
            <w:vAlign w:val="center"/>
          </w:tcPr>
          <w:p w14:paraId="72C75B5E" w14:textId="1F95385B" w:rsidR="009464BD" w:rsidRPr="00501526" w:rsidRDefault="009464BD" w:rsidP="00136AB4">
            <w:pPr>
              <w:pStyle w:val="TableText0"/>
              <w:keepLines/>
              <w:jc w:val="center"/>
              <w:rPr>
                <w:iCs/>
              </w:rPr>
            </w:pPr>
            <w:r w:rsidRPr="00501526">
              <w:rPr>
                <w:iCs/>
              </w:rPr>
              <w:t>98.8%</w:t>
            </w:r>
          </w:p>
        </w:tc>
        <w:tc>
          <w:tcPr>
            <w:tcW w:w="2108" w:type="pct"/>
            <w:shd w:val="clear" w:color="auto" w:fill="EAF1DD" w:themeFill="accent3" w:themeFillTint="33"/>
            <w:vAlign w:val="center"/>
          </w:tcPr>
          <w:p w14:paraId="650928F2" w14:textId="7C773629" w:rsidR="009464BD" w:rsidRPr="00501526" w:rsidRDefault="00EC7BCD" w:rsidP="00136AB4">
            <w:pPr>
              <w:pStyle w:val="TableText0"/>
              <w:keepLines/>
              <w:rPr>
                <w:iCs/>
              </w:rPr>
            </w:pPr>
            <w:r w:rsidRPr="00501526">
              <w:rPr>
                <w:iCs/>
              </w:rPr>
              <w:t>Abadie et al. (2001)</w:t>
            </w:r>
            <w:r w:rsidR="00BB7DE4" w:rsidRPr="00501526">
              <w:rPr>
                <w:iCs/>
              </w:rPr>
              <w:t>.</w:t>
            </w:r>
            <w:r w:rsidR="00E325C2">
              <w:rPr>
                <w:iCs/>
              </w:rPr>
              <w:t xml:space="preserve"> DUSC noted this was based on old data.</w:t>
            </w:r>
          </w:p>
        </w:tc>
      </w:tr>
      <w:tr w:rsidR="006D0445" w:rsidRPr="00501526" w14:paraId="6E45396D" w14:textId="77777777" w:rsidTr="00330AED">
        <w:tc>
          <w:tcPr>
            <w:tcW w:w="1244" w:type="pct"/>
            <w:shd w:val="clear" w:color="auto" w:fill="EAF1DD" w:themeFill="accent3" w:themeFillTint="33"/>
            <w:vAlign w:val="center"/>
          </w:tcPr>
          <w:p w14:paraId="20B5D553" w14:textId="4436BF06" w:rsidR="009464BD" w:rsidRPr="00501526" w:rsidRDefault="009464BD" w:rsidP="00136AB4">
            <w:pPr>
              <w:pStyle w:val="TableText0"/>
              <w:keepLines/>
              <w:rPr>
                <w:iCs/>
              </w:rPr>
            </w:pPr>
            <w:r w:rsidRPr="00501526">
              <w:rPr>
                <w:iCs/>
              </w:rPr>
              <w:t>Patients (%) under routine follow-up for PKU</w:t>
            </w:r>
          </w:p>
        </w:tc>
        <w:tc>
          <w:tcPr>
            <w:tcW w:w="1648" w:type="pct"/>
            <w:shd w:val="clear" w:color="auto" w:fill="EAF1DD" w:themeFill="accent3" w:themeFillTint="33"/>
            <w:vAlign w:val="center"/>
          </w:tcPr>
          <w:p w14:paraId="7AC5951C" w14:textId="1C24816B" w:rsidR="009464BD" w:rsidRPr="00501526" w:rsidRDefault="009464BD" w:rsidP="00136AB4">
            <w:pPr>
              <w:pStyle w:val="TableText0"/>
              <w:keepLines/>
              <w:jc w:val="center"/>
              <w:rPr>
                <w:iCs/>
              </w:rPr>
            </w:pPr>
            <w:r w:rsidRPr="00501526">
              <w:rPr>
                <w:iCs/>
              </w:rPr>
              <w:t>70.0%</w:t>
            </w:r>
          </w:p>
        </w:tc>
        <w:tc>
          <w:tcPr>
            <w:tcW w:w="2108" w:type="pct"/>
            <w:shd w:val="clear" w:color="auto" w:fill="EAF1DD" w:themeFill="accent3" w:themeFillTint="33"/>
            <w:vAlign w:val="center"/>
          </w:tcPr>
          <w:p w14:paraId="08F649B6" w14:textId="42A2E06C" w:rsidR="009464BD" w:rsidRPr="00501526" w:rsidRDefault="00EC7BCD" w:rsidP="00136AB4">
            <w:pPr>
              <w:pStyle w:val="TableText0"/>
              <w:keepLines/>
              <w:rPr>
                <w:iCs/>
              </w:rPr>
            </w:pPr>
            <w:r w:rsidRPr="00501526">
              <w:rPr>
                <w:iCs/>
              </w:rPr>
              <w:t>Assumption</w:t>
            </w:r>
            <w:r w:rsidR="0017714E" w:rsidRPr="00501526">
              <w:rPr>
                <w:iCs/>
              </w:rPr>
              <w:t>.</w:t>
            </w:r>
          </w:p>
        </w:tc>
      </w:tr>
      <w:tr w:rsidR="006D0445" w:rsidRPr="00501526" w14:paraId="696A8A2F" w14:textId="77777777" w:rsidTr="00330AED">
        <w:tc>
          <w:tcPr>
            <w:tcW w:w="1244" w:type="pct"/>
            <w:shd w:val="clear" w:color="auto" w:fill="EAF1DD" w:themeFill="accent3" w:themeFillTint="33"/>
            <w:vAlign w:val="center"/>
          </w:tcPr>
          <w:p w14:paraId="0152C8AA" w14:textId="0E6ABB2F" w:rsidR="00EC7BCD" w:rsidRPr="00501526" w:rsidRDefault="00EC7BCD" w:rsidP="00136AB4">
            <w:pPr>
              <w:pStyle w:val="TableText0"/>
              <w:keepLines/>
              <w:rPr>
                <w:iCs/>
              </w:rPr>
            </w:pPr>
            <w:r w:rsidRPr="00501526">
              <w:rPr>
                <w:iCs/>
              </w:rPr>
              <w:t>Patients (%) with blood Phe levels &gt; 600 µmol/L</w:t>
            </w:r>
          </w:p>
        </w:tc>
        <w:tc>
          <w:tcPr>
            <w:tcW w:w="1648" w:type="pct"/>
            <w:shd w:val="clear" w:color="auto" w:fill="EAF1DD" w:themeFill="accent3" w:themeFillTint="33"/>
            <w:vAlign w:val="center"/>
          </w:tcPr>
          <w:p w14:paraId="5FE8DC6D" w14:textId="02524C6A" w:rsidR="00EC7BCD" w:rsidRPr="00501526" w:rsidRDefault="00EC7BCD" w:rsidP="00136AB4">
            <w:pPr>
              <w:pStyle w:val="TableText0"/>
              <w:keepLines/>
              <w:jc w:val="center"/>
              <w:rPr>
                <w:iCs/>
              </w:rPr>
            </w:pPr>
            <w:r w:rsidRPr="00501526">
              <w:rPr>
                <w:iCs/>
              </w:rPr>
              <w:t>49.92%</w:t>
            </w:r>
          </w:p>
        </w:tc>
        <w:tc>
          <w:tcPr>
            <w:tcW w:w="2108" w:type="pct"/>
            <w:shd w:val="clear" w:color="auto" w:fill="EAF1DD" w:themeFill="accent3" w:themeFillTint="33"/>
            <w:vAlign w:val="center"/>
          </w:tcPr>
          <w:p w14:paraId="035D240F" w14:textId="003B397F" w:rsidR="00EC7BCD" w:rsidRPr="00501526" w:rsidRDefault="00EC7BCD" w:rsidP="00136AB4">
            <w:pPr>
              <w:pStyle w:val="TableText0"/>
              <w:keepLines/>
              <w:rPr>
                <w:iCs/>
              </w:rPr>
            </w:pPr>
            <w:r w:rsidRPr="00501526">
              <w:rPr>
                <w:iCs/>
              </w:rPr>
              <w:t xml:space="preserve">Literature search. Across 21 studies included in the submission’s literature </w:t>
            </w:r>
            <w:r w:rsidR="008734A0" w:rsidRPr="00501526">
              <w:rPr>
                <w:iCs/>
              </w:rPr>
              <w:t>search,</w:t>
            </w:r>
            <w:r w:rsidRPr="00501526">
              <w:rPr>
                <w:iCs/>
              </w:rPr>
              <w:t xml:space="preserve"> the average proportion of patients with blood Phe levels was 49.92% (range: 28% - 100%; median: 75%)</w:t>
            </w:r>
            <w:r w:rsidR="006C3EB4" w:rsidRPr="00501526">
              <w:rPr>
                <w:iCs/>
              </w:rPr>
              <w:t>.</w:t>
            </w:r>
            <w:r w:rsidR="006C7321" w:rsidRPr="00501526">
              <w:rPr>
                <w:iCs/>
              </w:rPr>
              <w:t xml:space="preserve"> </w:t>
            </w:r>
            <w:r w:rsidR="00E325C2">
              <w:rPr>
                <w:iCs/>
              </w:rPr>
              <w:t xml:space="preserve">DUSC considered this was </w:t>
            </w:r>
            <w:r w:rsidR="00E325C2" w:rsidRPr="00E325C2">
              <w:rPr>
                <w:iCs/>
              </w:rPr>
              <w:t xml:space="preserve">highly uncertain due to the large range in reported values across the studies.  </w:t>
            </w:r>
          </w:p>
        </w:tc>
      </w:tr>
      <w:tr w:rsidR="00005209" w:rsidRPr="00501526" w14:paraId="3A99D9A4" w14:textId="77777777" w:rsidTr="00330AED">
        <w:tc>
          <w:tcPr>
            <w:tcW w:w="1244" w:type="pct"/>
            <w:shd w:val="clear" w:color="auto" w:fill="EAF1DD" w:themeFill="accent3" w:themeFillTint="33"/>
            <w:vAlign w:val="center"/>
          </w:tcPr>
          <w:p w14:paraId="2FBBDC67" w14:textId="4FF39426" w:rsidR="00EC7BCD" w:rsidRPr="00501526" w:rsidRDefault="00EC7BCD" w:rsidP="00136AB4">
            <w:pPr>
              <w:pStyle w:val="TableText0"/>
              <w:keepLines/>
              <w:rPr>
                <w:iCs/>
              </w:rPr>
            </w:pPr>
            <w:r w:rsidRPr="00501526">
              <w:rPr>
                <w:iCs/>
              </w:rPr>
              <w:t>Patients (%) achieving response to sapropterin</w:t>
            </w:r>
          </w:p>
        </w:tc>
        <w:tc>
          <w:tcPr>
            <w:tcW w:w="1648" w:type="pct"/>
            <w:shd w:val="clear" w:color="auto" w:fill="EAF1DD" w:themeFill="accent3" w:themeFillTint="33"/>
            <w:vAlign w:val="center"/>
          </w:tcPr>
          <w:p w14:paraId="550316FC" w14:textId="753A4F24" w:rsidR="00EC7BCD" w:rsidRPr="00501526" w:rsidRDefault="00EC7BCD" w:rsidP="00136AB4">
            <w:pPr>
              <w:pStyle w:val="TableText0"/>
              <w:keepLines/>
              <w:jc w:val="center"/>
              <w:rPr>
                <w:iCs/>
              </w:rPr>
            </w:pPr>
            <w:r w:rsidRPr="00501526">
              <w:rPr>
                <w:iCs/>
              </w:rPr>
              <w:t>23.48%</w:t>
            </w:r>
          </w:p>
        </w:tc>
        <w:tc>
          <w:tcPr>
            <w:tcW w:w="2108" w:type="pct"/>
            <w:shd w:val="clear" w:color="auto" w:fill="EAF1DD" w:themeFill="accent3" w:themeFillTint="33"/>
            <w:vAlign w:val="center"/>
          </w:tcPr>
          <w:p w14:paraId="7295AAE5" w14:textId="68278FF8" w:rsidR="00EC7BCD" w:rsidRPr="00501526" w:rsidRDefault="00EC7BCD" w:rsidP="00136AB4">
            <w:pPr>
              <w:pStyle w:val="TableText0"/>
              <w:keepLines/>
              <w:rPr>
                <w:iCs/>
              </w:rPr>
            </w:pPr>
            <w:r w:rsidRPr="00501526">
              <w:rPr>
                <w:iCs/>
              </w:rPr>
              <w:t>Additional analyses of PKUDOS</w:t>
            </w:r>
            <w:r w:rsidR="00136AB4" w:rsidRPr="00501526">
              <w:rPr>
                <w:iCs/>
              </w:rPr>
              <w:t>.</w:t>
            </w:r>
          </w:p>
        </w:tc>
      </w:tr>
      <w:tr w:rsidR="00F742D7" w:rsidRPr="00501526" w14:paraId="512A8938" w14:textId="77777777" w:rsidTr="0081594D">
        <w:tc>
          <w:tcPr>
            <w:tcW w:w="1244" w:type="pct"/>
            <w:shd w:val="clear" w:color="auto" w:fill="auto"/>
            <w:vAlign w:val="center"/>
          </w:tcPr>
          <w:p w14:paraId="1F4C70A3" w14:textId="39735373" w:rsidR="00EC7BCD" w:rsidRPr="00501526" w:rsidRDefault="00EC7BCD" w:rsidP="00136AB4">
            <w:pPr>
              <w:pStyle w:val="Tabletext"/>
              <w:keepNext/>
              <w:keepLines/>
              <w:widowControl w:val="0"/>
              <w:rPr>
                <w:iCs/>
              </w:rPr>
            </w:pPr>
            <w:r w:rsidRPr="00501526">
              <w:rPr>
                <w:iCs/>
              </w:rPr>
              <w:t>Body weight (kg)</w:t>
            </w:r>
          </w:p>
        </w:tc>
        <w:tc>
          <w:tcPr>
            <w:tcW w:w="1648" w:type="pct"/>
            <w:shd w:val="clear" w:color="auto" w:fill="auto"/>
            <w:vAlign w:val="center"/>
          </w:tcPr>
          <w:p w14:paraId="1759DE37" w14:textId="77777777" w:rsidR="00EC7BCD" w:rsidRPr="00501526" w:rsidRDefault="00EC7BCD" w:rsidP="00136AB4">
            <w:pPr>
              <w:pStyle w:val="Tabletext"/>
              <w:keepNext/>
              <w:keepLines/>
              <w:widowControl w:val="0"/>
              <w:jc w:val="center"/>
              <w:rPr>
                <w:iCs/>
              </w:rPr>
            </w:pPr>
            <w:r w:rsidRPr="00501526">
              <w:rPr>
                <w:iCs/>
              </w:rPr>
              <w:t>Sapropterin</w:t>
            </w:r>
          </w:p>
          <w:p w14:paraId="6DAE931C" w14:textId="30F2D16F" w:rsidR="00EC7BCD" w:rsidRPr="00501526" w:rsidRDefault="00EC7BCD" w:rsidP="00136AB4">
            <w:pPr>
              <w:pStyle w:val="Tabletext"/>
              <w:keepNext/>
              <w:keepLines/>
              <w:widowControl w:val="0"/>
              <w:jc w:val="center"/>
              <w:rPr>
                <w:iCs/>
              </w:rPr>
            </w:pPr>
            <w:r w:rsidRPr="00501526">
              <w:rPr>
                <w:iCs/>
              </w:rPr>
              <w:t>Males: 85.9 kg</w:t>
            </w:r>
          </w:p>
          <w:p w14:paraId="5D4E7CAD" w14:textId="6E596AF6" w:rsidR="00EC7BCD" w:rsidRPr="00501526" w:rsidRDefault="00EC7BCD" w:rsidP="00136AB4">
            <w:pPr>
              <w:pStyle w:val="Tabletext"/>
              <w:keepNext/>
              <w:keepLines/>
              <w:widowControl w:val="0"/>
              <w:jc w:val="center"/>
              <w:rPr>
                <w:iCs/>
              </w:rPr>
            </w:pPr>
            <w:r w:rsidRPr="00501526">
              <w:rPr>
                <w:iCs/>
              </w:rPr>
              <w:t>Females: 71.1 kg</w:t>
            </w:r>
          </w:p>
          <w:p w14:paraId="2711DB15" w14:textId="77777777" w:rsidR="00EC7BCD" w:rsidRPr="00501526" w:rsidRDefault="00EC7BCD" w:rsidP="00136AB4">
            <w:pPr>
              <w:pStyle w:val="Tabletext"/>
              <w:keepNext/>
              <w:keepLines/>
              <w:widowControl w:val="0"/>
              <w:jc w:val="center"/>
              <w:rPr>
                <w:iCs/>
              </w:rPr>
            </w:pPr>
          </w:p>
          <w:p w14:paraId="5289CDB1" w14:textId="41B16C4E" w:rsidR="00EC7BCD" w:rsidRPr="00501526" w:rsidRDefault="00EC7BCD" w:rsidP="00136AB4">
            <w:pPr>
              <w:pStyle w:val="Tabletext"/>
              <w:keepNext/>
              <w:keepLines/>
              <w:widowControl w:val="0"/>
              <w:jc w:val="center"/>
              <w:rPr>
                <w:iCs/>
              </w:rPr>
            </w:pPr>
            <w:r w:rsidRPr="00785DCC">
              <w:rPr>
                <w:iCs/>
              </w:rPr>
              <w:t xml:space="preserve">Capped at </w:t>
            </w:r>
            <w:r w:rsidR="00542E3B" w:rsidRPr="00542E3B">
              <w:rPr>
                <w:iCs/>
                <w:color w:val="000000"/>
                <w:spacing w:val="214"/>
                <w:shd w:val="solid" w:color="000000" w:fill="000000"/>
                <w:fitText w:val="300" w:id="-1435870451"/>
                <w14:textFill>
                  <w14:solidFill>
                    <w14:srgbClr w14:val="000000">
                      <w14:alpha w14:val="100000"/>
                    </w14:srgbClr>
                  </w14:solidFill>
                </w14:textFill>
              </w:rPr>
              <w:t>|</w:t>
            </w:r>
            <w:r w:rsidR="00542E3B" w:rsidRPr="00542E3B">
              <w:rPr>
                <w:iCs/>
                <w:color w:val="000000"/>
                <w:spacing w:val="1"/>
                <w:shd w:val="solid" w:color="000000" w:fill="000000"/>
                <w:fitText w:val="300" w:id="-1435870451"/>
                <w14:textFill>
                  <w14:solidFill>
                    <w14:srgbClr w14:val="000000">
                      <w14:alpha w14:val="100000"/>
                    </w14:srgbClr>
                  </w14:solidFill>
                </w14:textFill>
              </w:rPr>
              <w:t>|</w:t>
            </w:r>
            <w:r w:rsidRPr="00785DCC">
              <w:rPr>
                <w:iCs/>
              </w:rPr>
              <w:t xml:space="preserve"> kg </w:t>
            </w:r>
            <w:r w:rsidR="00B3079A" w:rsidRPr="00785DCC">
              <w:rPr>
                <w:iCs/>
              </w:rPr>
              <w:t>consistent with the proposed</w:t>
            </w:r>
            <w:r w:rsidRPr="00785DCC">
              <w:rPr>
                <w:iCs/>
              </w:rPr>
              <w:t xml:space="preserve"> risk sharing arrangement</w:t>
            </w:r>
          </w:p>
        </w:tc>
        <w:tc>
          <w:tcPr>
            <w:tcW w:w="2108" w:type="pct"/>
            <w:shd w:val="clear" w:color="auto" w:fill="auto"/>
            <w:vAlign w:val="center"/>
          </w:tcPr>
          <w:p w14:paraId="0B7D3CD2" w14:textId="77777777" w:rsidR="00EC7BCD" w:rsidRPr="00501526" w:rsidRDefault="00EC7BCD" w:rsidP="00136AB4">
            <w:pPr>
              <w:pStyle w:val="Tabletext"/>
              <w:keepNext/>
              <w:keepLines/>
              <w:widowControl w:val="0"/>
              <w:rPr>
                <w:iCs/>
              </w:rPr>
            </w:pPr>
            <w:r w:rsidRPr="00501526">
              <w:rPr>
                <w:iCs/>
              </w:rPr>
              <w:t>Australian Bureau of Statistics, Australian Health Survey: First Results, 2011-2012 – Australia</w:t>
            </w:r>
          </w:p>
          <w:p w14:paraId="5E92EFD2" w14:textId="31946657" w:rsidR="00EC7BCD" w:rsidRPr="00501526" w:rsidRDefault="00EC7BCD" w:rsidP="00136AB4">
            <w:pPr>
              <w:pStyle w:val="Tabletext"/>
              <w:keepNext/>
              <w:keepLines/>
              <w:widowControl w:val="0"/>
              <w:rPr>
                <w:iCs/>
              </w:rPr>
            </w:pPr>
          </w:p>
          <w:p w14:paraId="2526E276" w14:textId="77777777" w:rsidR="00A649C5" w:rsidRPr="00501526" w:rsidRDefault="00A649C5" w:rsidP="00136AB4">
            <w:pPr>
              <w:pStyle w:val="Tabletext"/>
              <w:keepNext/>
              <w:keepLines/>
              <w:widowControl w:val="0"/>
              <w:rPr>
                <w:iCs/>
              </w:rPr>
            </w:pPr>
          </w:p>
          <w:p w14:paraId="0BA4ED26" w14:textId="1AF5DB03" w:rsidR="00EC7BCD" w:rsidRPr="00501526" w:rsidRDefault="00EC7BCD" w:rsidP="00136AB4">
            <w:pPr>
              <w:pStyle w:val="Tabletext"/>
              <w:keepNext/>
              <w:keepLines/>
              <w:widowControl w:val="0"/>
              <w:rPr>
                <w:iCs/>
              </w:rPr>
            </w:pPr>
            <w:r w:rsidRPr="00501526">
              <w:rPr>
                <w:iCs/>
              </w:rPr>
              <w:t>Proposed by sponsor</w:t>
            </w:r>
          </w:p>
        </w:tc>
      </w:tr>
      <w:tr w:rsidR="00F742D7" w:rsidRPr="00501526" w14:paraId="18F4FF1F" w14:textId="77777777" w:rsidTr="0081594D">
        <w:tc>
          <w:tcPr>
            <w:tcW w:w="1244" w:type="pct"/>
            <w:shd w:val="clear" w:color="auto" w:fill="auto"/>
            <w:vAlign w:val="center"/>
          </w:tcPr>
          <w:p w14:paraId="09A388E2" w14:textId="3EB9A37A" w:rsidR="009464BD" w:rsidRPr="00501526" w:rsidRDefault="00EC7BCD" w:rsidP="00136AB4">
            <w:pPr>
              <w:pStyle w:val="TableText0"/>
              <w:keepLines/>
              <w:widowControl w:val="0"/>
              <w:rPr>
                <w:iCs/>
              </w:rPr>
            </w:pPr>
            <w:r w:rsidRPr="00501526">
              <w:rPr>
                <w:iCs/>
              </w:rPr>
              <w:t>Uptake rates</w:t>
            </w:r>
          </w:p>
        </w:tc>
        <w:tc>
          <w:tcPr>
            <w:tcW w:w="1648" w:type="pct"/>
            <w:shd w:val="clear" w:color="auto" w:fill="auto"/>
            <w:vAlign w:val="center"/>
          </w:tcPr>
          <w:p w14:paraId="61C6F202" w14:textId="55C932B4" w:rsidR="00EC7BCD" w:rsidRPr="00501526" w:rsidRDefault="00542E3B" w:rsidP="00136AB4">
            <w:pPr>
              <w:pStyle w:val="TableText0"/>
              <w:keepLines/>
              <w:widowControl w:val="0"/>
              <w:jc w:val="center"/>
              <w:rPr>
                <w:iCs/>
              </w:rPr>
            </w:pPr>
            <w:r w:rsidRPr="00542E3B">
              <w:rPr>
                <w:iCs/>
                <w:color w:val="000000"/>
                <w:spacing w:val="99"/>
                <w:shd w:val="solid" w:color="000000" w:fill="000000"/>
                <w:fitText w:val="185" w:id="-1435870450"/>
                <w14:textFill>
                  <w14:solidFill>
                    <w14:srgbClr w14:val="000000">
                      <w14:alpha w14:val="100000"/>
                    </w14:srgbClr>
                  </w14:solidFill>
                </w14:textFill>
              </w:rPr>
              <w:t>|</w:t>
            </w:r>
            <w:r w:rsidRPr="00542E3B">
              <w:rPr>
                <w:iCs/>
                <w:color w:val="000000"/>
                <w:spacing w:val="1"/>
                <w:shd w:val="solid" w:color="000000" w:fill="000000"/>
                <w:fitText w:val="185" w:id="-1435870450"/>
                <w14:textFill>
                  <w14:solidFill>
                    <w14:srgbClr w14:val="000000">
                      <w14:alpha w14:val="100000"/>
                    </w14:srgbClr>
                  </w14:solidFill>
                </w14:textFill>
              </w:rPr>
              <w:t>|</w:t>
            </w:r>
            <w:r w:rsidR="00EC7BCD" w:rsidRPr="00501526">
              <w:rPr>
                <w:iCs/>
              </w:rPr>
              <w:t xml:space="preserve">% increasing by </w:t>
            </w:r>
            <w:r w:rsidRPr="00542E3B">
              <w:rPr>
                <w:iCs/>
                <w:color w:val="000000"/>
                <w:spacing w:val="160"/>
                <w:shd w:val="solid" w:color="000000" w:fill="000000"/>
                <w:fitText w:val="246" w:id="-1435870449"/>
                <w14:textFill>
                  <w14:solidFill>
                    <w14:srgbClr w14:val="000000">
                      <w14:alpha w14:val="100000"/>
                    </w14:srgbClr>
                  </w14:solidFill>
                </w14:textFill>
              </w:rPr>
              <w:t>|</w:t>
            </w:r>
            <w:r w:rsidRPr="00542E3B">
              <w:rPr>
                <w:iCs/>
                <w:color w:val="000000"/>
                <w:spacing w:val="1"/>
                <w:shd w:val="solid" w:color="000000" w:fill="000000"/>
                <w:fitText w:val="246" w:id="-1435870449"/>
                <w14:textFill>
                  <w14:solidFill>
                    <w14:srgbClr w14:val="000000">
                      <w14:alpha w14:val="100000"/>
                    </w14:srgbClr>
                  </w14:solidFill>
                </w14:textFill>
              </w:rPr>
              <w:t>|</w:t>
            </w:r>
            <w:r w:rsidR="00EC7BCD" w:rsidRPr="00501526">
              <w:rPr>
                <w:iCs/>
              </w:rPr>
              <w:t xml:space="preserve">% each year to </w:t>
            </w:r>
            <w:r w:rsidRPr="00542E3B">
              <w:rPr>
                <w:iCs/>
                <w:color w:val="000000"/>
                <w:shd w:val="solid" w:color="000000" w:fill="000000"/>
                <w14:textFill>
                  <w14:solidFill>
                    <w14:srgbClr w14:val="000000">
                      <w14:alpha w14:val="100000"/>
                    </w14:srgbClr>
                  </w14:solidFill>
                </w14:textFill>
              </w:rPr>
              <w:t>|</w:t>
            </w:r>
            <w:r w:rsidR="00EC7BCD" w:rsidRPr="00501526">
              <w:rPr>
                <w:iCs/>
              </w:rPr>
              <w:t>% in 2027</w:t>
            </w:r>
          </w:p>
        </w:tc>
        <w:tc>
          <w:tcPr>
            <w:tcW w:w="2108" w:type="pct"/>
            <w:shd w:val="clear" w:color="auto" w:fill="auto"/>
            <w:vAlign w:val="center"/>
          </w:tcPr>
          <w:p w14:paraId="283F2180" w14:textId="4E69F3EB" w:rsidR="009464BD" w:rsidRPr="00501526" w:rsidRDefault="00EC7BCD" w:rsidP="00136AB4">
            <w:pPr>
              <w:pStyle w:val="TableText0"/>
              <w:keepLines/>
              <w:widowControl w:val="0"/>
              <w:rPr>
                <w:iCs/>
              </w:rPr>
            </w:pPr>
            <w:r w:rsidRPr="00501526">
              <w:rPr>
                <w:iCs/>
              </w:rPr>
              <w:t>Assumption</w:t>
            </w:r>
          </w:p>
        </w:tc>
      </w:tr>
      <w:tr w:rsidR="00F742D7" w:rsidRPr="00501526" w14:paraId="0C865763" w14:textId="77777777" w:rsidTr="0081594D">
        <w:tc>
          <w:tcPr>
            <w:tcW w:w="1244" w:type="pct"/>
            <w:shd w:val="clear" w:color="auto" w:fill="auto"/>
            <w:vAlign w:val="center"/>
          </w:tcPr>
          <w:p w14:paraId="49D0440C" w14:textId="2F5A5387" w:rsidR="00EC7BCD" w:rsidRPr="00501526" w:rsidRDefault="00EC7BCD" w:rsidP="00136AB4">
            <w:pPr>
              <w:pStyle w:val="Tabletext"/>
              <w:keepNext/>
              <w:keepLines/>
              <w:widowControl w:val="0"/>
              <w:rPr>
                <w:iCs/>
              </w:rPr>
            </w:pPr>
            <w:r w:rsidRPr="00501526">
              <w:rPr>
                <w:iCs/>
              </w:rPr>
              <w:t>Duration of treatment and persistence</w:t>
            </w:r>
          </w:p>
        </w:tc>
        <w:tc>
          <w:tcPr>
            <w:tcW w:w="1648" w:type="pct"/>
            <w:shd w:val="clear" w:color="auto" w:fill="auto"/>
            <w:vAlign w:val="center"/>
          </w:tcPr>
          <w:p w14:paraId="673DBE00" w14:textId="77777777" w:rsidR="00EC7BCD" w:rsidRPr="00501526" w:rsidRDefault="00EC7BCD" w:rsidP="00136AB4">
            <w:pPr>
              <w:pStyle w:val="Tabletext"/>
              <w:keepNext/>
              <w:keepLines/>
              <w:widowControl w:val="0"/>
              <w:jc w:val="center"/>
              <w:rPr>
                <w:iCs/>
              </w:rPr>
            </w:pPr>
            <w:r w:rsidRPr="00501526">
              <w:rPr>
                <w:iCs/>
              </w:rPr>
              <w:t>Patients (%) with full year of treatment</w:t>
            </w:r>
          </w:p>
          <w:p w14:paraId="46AEEF03" w14:textId="1B9C0E61" w:rsidR="00EC7BCD" w:rsidRPr="00501526" w:rsidRDefault="00EC7BCD" w:rsidP="00136AB4">
            <w:pPr>
              <w:pStyle w:val="Tabletext"/>
              <w:keepNext/>
              <w:keepLines/>
              <w:widowControl w:val="0"/>
              <w:jc w:val="center"/>
              <w:rPr>
                <w:iCs/>
              </w:rPr>
            </w:pPr>
            <w:r w:rsidRPr="00501526">
              <w:rPr>
                <w:iCs/>
              </w:rPr>
              <w:t>Year 1:      24.92%</w:t>
            </w:r>
          </w:p>
          <w:p w14:paraId="4014228D" w14:textId="4CE05E1A" w:rsidR="00EC7BCD" w:rsidRPr="00501526" w:rsidRDefault="00EC7BCD" w:rsidP="00136AB4">
            <w:pPr>
              <w:pStyle w:val="Tabletext"/>
              <w:keepNext/>
              <w:keepLines/>
              <w:widowControl w:val="0"/>
              <w:jc w:val="center"/>
              <w:rPr>
                <w:iCs/>
              </w:rPr>
            </w:pPr>
            <w:r w:rsidRPr="00501526">
              <w:rPr>
                <w:iCs/>
              </w:rPr>
              <w:t>Year 2:      23.44%</w:t>
            </w:r>
          </w:p>
          <w:p w14:paraId="5F7E5A9B" w14:textId="5686F47E" w:rsidR="00EC7BCD" w:rsidRPr="00501526" w:rsidRDefault="00EC7BCD" w:rsidP="00136AB4">
            <w:pPr>
              <w:pStyle w:val="Tabletext"/>
              <w:keepNext/>
              <w:keepLines/>
              <w:widowControl w:val="0"/>
              <w:jc w:val="center"/>
              <w:rPr>
                <w:iCs/>
              </w:rPr>
            </w:pPr>
            <w:r w:rsidRPr="00501526">
              <w:rPr>
                <w:iCs/>
              </w:rPr>
              <w:t>Year 3:      23.44%</w:t>
            </w:r>
          </w:p>
          <w:p w14:paraId="0D66CEEB" w14:textId="125E78F1" w:rsidR="00EC7BCD" w:rsidRPr="00501526" w:rsidRDefault="00EC7BCD" w:rsidP="00136AB4">
            <w:pPr>
              <w:pStyle w:val="Tabletext"/>
              <w:keepNext/>
              <w:keepLines/>
              <w:widowControl w:val="0"/>
              <w:jc w:val="center"/>
              <w:rPr>
                <w:iCs/>
              </w:rPr>
            </w:pPr>
            <w:r w:rsidRPr="00501526">
              <w:rPr>
                <w:iCs/>
              </w:rPr>
              <w:t>Year 4:      23.42%</w:t>
            </w:r>
          </w:p>
          <w:p w14:paraId="3C1CC259" w14:textId="4D526FFF" w:rsidR="00EC7BCD" w:rsidRPr="00501526" w:rsidRDefault="00EC7BCD" w:rsidP="00136AB4">
            <w:pPr>
              <w:pStyle w:val="Tabletext"/>
              <w:keepNext/>
              <w:keepLines/>
              <w:widowControl w:val="0"/>
              <w:jc w:val="center"/>
              <w:rPr>
                <w:iCs/>
              </w:rPr>
            </w:pPr>
            <w:r w:rsidRPr="00501526">
              <w:rPr>
                <w:iCs/>
              </w:rPr>
              <w:t>Year 5:      23.38%</w:t>
            </w:r>
          </w:p>
          <w:p w14:paraId="55CF5673" w14:textId="6E9F572F" w:rsidR="00EC7BCD" w:rsidRPr="00501526" w:rsidRDefault="00EC7BCD" w:rsidP="00136AB4">
            <w:pPr>
              <w:pStyle w:val="Tabletext"/>
              <w:keepNext/>
              <w:keepLines/>
              <w:widowControl w:val="0"/>
              <w:jc w:val="center"/>
              <w:rPr>
                <w:iCs/>
              </w:rPr>
            </w:pPr>
            <w:r w:rsidRPr="00501526">
              <w:rPr>
                <w:iCs/>
              </w:rPr>
              <w:t>Year 6:      23.37%</w:t>
            </w:r>
          </w:p>
        </w:tc>
        <w:tc>
          <w:tcPr>
            <w:tcW w:w="2108" w:type="pct"/>
            <w:shd w:val="clear" w:color="auto" w:fill="auto"/>
            <w:vAlign w:val="center"/>
          </w:tcPr>
          <w:p w14:paraId="0E346EAB" w14:textId="678E0AAC" w:rsidR="00EC7BCD" w:rsidRPr="00501526" w:rsidRDefault="00136AB4" w:rsidP="00136AB4">
            <w:pPr>
              <w:pStyle w:val="Tabletext"/>
              <w:keepNext/>
              <w:keepLines/>
              <w:widowControl w:val="0"/>
              <w:rPr>
                <w:iCs/>
              </w:rPr>
            </w:pPr>
            <w:r w:rsidRPr="00501526">
              <w:rPr>
                <w:iCs/>
              </w:rPr>
              <w:t>The p</w:t>
            </w:r>
            <w:r w:rsidR="00EC7BCD" w:rsidRPr="00501526">
              <w:rPr>
                <w:iCs/>
              </w:rPr>
              <w:t xml:space="preserve">roportion of </w:t>
            </w:r>
            <w:r w:rsidR="00C3531B">
              <w:rPr>
                <w:iCs/>
              </w:rPr>
              <w:t xml:space="preserve">initiating </w:t>
            </w:r>
            <w:r w:rsidR="00EC7BCD" w:rsidRPr="00501526">
              <w:rPr>
                <w:iCs/>
              </w:rPr>
              <w:t xml:space="preserve">patients </w:t>
            </w:r>
            <w:r w:rsidR="00C3531B">
              <w:rPr>
                <w:iCs/>
              </w:rPr>
              <w:t>who</w:t>
            </w:r>
            <w:r w:rsidR="00C3531B" w:rsidRPr="00501526">
              <w:rPr>
                <w:iCs/>
              </w:rPr>
              <w:t xml:space="preserve"> </w:t>
            </w:r>
            <w:r w:rsidR="00EC7BCD" w:rsidRPr="00501526">
              <w:rPr>
                <w:iCs/>
              </w:rPr>
              <w:t>remain on treatment in each year was derived from the economic model</w:t>
            </w:r>
            <w:r w:rsidR="00A649C5" w:rsidRPr="00501526">
              <w:rPr>
                <w:iCs/>
              </w:rPr>
              <w:t>.</w:t>
            </w:r>
            <w:r w:rsidR="00B662D1" w:rsidRPr="00501526">
              <w:rPr>
                <w:iCs/>
              </w:rPr>
              <w:t xml:space="preserve"> These proportions were generally consistent with </w:t>
            </w:r>
            <w:r w:rsidR="007818C6">
              <w:rPr>
                <w:iCs/>
              </w:rPr>
              <w:t xml:space="preserve">the proportion of initial </w:t>
            </w:r>
            <w:r w:rsidR="00B662D1" w:rsidRPr="00501526">
              <w:rPr>
                <w:iCs/>
              </w:rPr>
              <w:t>respon</w:t>
            </w:r>
            <w:r w:rsidR="007818C6">
              <w:rPr>
                <w:iCs/>
              </w:rPr>
              <w:t>ders to sapropterin</w:t>
            </w:r>
            <w:r w:rsidR="00C3531B">
              <w:rPr>
                <w:iCs/>
              </w:rPr>
              <w:t xml:space="preserve"> and indicate that the majority of sapropterin responders remain on treatment</w:t>
            </w:r>
            <w:r w:rsidR="00B662D1" w:rsidRPr="00501526">
              <w:rPr>
                <w:iCs/>
              </w:rPr>
              <w:t>.</w:t>
            </w:r>
            <w:r w:rsidR="0068437B">
              <w:rPr>
                <w:iCs/>
              </w:rPr>
              <w:t xml:space="preserve"> However the proportion of responders remains uncertain.</w:t>
            </w:r>
          </w:p>
        </w:tc>
      </w:tr>
      <w:tr w:rsidR="00F742D7" w:rsidRPr="00501526" w14:paraId="341E1B45" w14:textId="77777777" w:rsidTr="0081594D">
        <w:tc>
          <w:tcPr>
            <w:tcW w:w="1244" w:type="pct"/>
            <w:shd w:val="clear" w:color="auto" w:fill="auto"/>
          </w:tcPr>
          <w:p w14:paraId="75ADFCA4" w14:textId="77777777" w:rsidR="00801748" w:rsidRPr="00501526" w:rsidRDefault="00801748" w:rsidP="00136AB4">
            <w:pPr>
              <w:pStyle w:val="Tabletext"/>
              <w:keepNext/>
              <w:keepLines/>
              <w:rPr>
                <w:iCs/>
              </w:rPr>
            </w:pPr>
            <w:r w:rsidRPr="00501526">
              <w:rPr>
                <w:iCs/>
              </w:rPr>
              <w:t>Net change in the number of Phe free supplement prescriptions per patient newly initiating treatment per year</w:t>
            </w:r>
          </w:p>
        </w:tc>
        <w:tc>
          <w:tcPr>
            <w:tcW w:w="1648" w:type="pct"/>
            <w:shd w:val="clear" w:color="auto" w:fill="auto"/>
          </w:tcPr>
          <w:p w14:paraId="2EC21BE3" w14:textId="77777777" w:rsidR="00801748" w:rsidRPr="00501526" w:rsidRDefault="00801748" w:rsidP="00136AB4">
            <w:pPr>
              <w:pStyle w:val="Tabletext"/>
              <w:keepNext/>
              <w:keepLines/>
              <w:rPr>
                <w:iCs/>
              </w:rPr>
            </w:pPr>
            <w:r w:rsidRPr="00501526">
              <w:rPr>
                <w:iCs/>
              </w:rPr>
              <w:t>Sapropterin</w:t>
            </w:r>
          </w:p>
          <w:p w14:paraId="67B49420" w14:textId="1F109707" w:rsidR="00801748" w:rsidRPr="00501526" w:rsidRDefault="00801748" w:rsidP="00136AB4">
            <w:pPr>
              <w:pStyle w:val="Tabletext"/>
              <w:keepNext/>
              <w:keepLines/>
              <w:rPr>
                <w:iCs/>
              </w:rPr>
            </w:pPr>
            <w:r w:rsidRPr="00501526">
              <w:rPr>
                <w:iCs/>
              </w:rPr>
              <w:t xml:space="preserve">   PKU C.10    PKU C.15       PKU C.20</w:t>
            </w:r>
          </w:p>
          <w:p w14:paraId="15A38677" w14:textId="77777777" w:rsidR="00801748" w:rsidRPr="00501526" w:rsidRDefault="00801748" w:rsidP="00136AB4">
            <w:pPr>
              <w:pStyle w:val="Tabletext"/>
              <w:keepNext/>
              <w:keepLines/>
              <w:rPr>
                <w:iCs/>
              </w:rPr>
            </w:pPr>
            <w:r w:rsidRPr="00501526">
              <w:rPr>
                <w:iCs/>
              </w:rPr>
              <w:t>Yr 1:    -0.55            0.69              0.03</w:t>
            </w:r>
          </w:p>
          <w:p w14:paraId="3D6A39DB" w14:textId="77777777" w:rsidR="00801748" w:rsidRPr="00501526" w:rsidRDefault="00801748" w:rsidP="00136AB4">
            <w:pPr>
              <w:pStyle w:val="Tabletext"/>
              <w:keepNext/>
              <w:keepLines/>
              <w:rPr>
                <w:iCs/>
              </w:rPr>
            </w:pPr>
            <w:r w:rsidRPr="00501526">
              <w:rPr>
                <w:iCs/>
              </w:rPr>
              <w:t>Yr 2:    -0.55            0.70              0.03</w:t>
            </w:r>
          </w:p>
          <w:p w14:paraId="2F3A49FF" w14:textId="77777777" w:rsidR="00801748" w:rsidRPr="00501526" w:rsidRDefault="00801748" w:rsidP="00136AB4">
            <w:pPr>
              <w:pStyle w:val="Tabletext"/>
              <w:keepNext/>
              <w:keepLines/>
              <w:rPr>
                <w:iCs/>
              </w:rPr>
            </w:pPr>
            <w:r w:rsidRPr="00501526">
              <w:rPr>
                <w:iCs/>
              </w:rPr>
              <w:t>Yr 3:    -0.55            0.70              0.03</w:t>
            </w:r>
          </w:p>
          <w:p w14:paraId="6A358165" w14:textId="77777777" w:rsidR="00801748" w:rsidRPr="00501526" w:rsidRDefault="00801748" w:rsidP="00136AB4">
            <w:pPr>
              <w:pStyle w:val="Tabletext"/>
              <w:keepNext/>
              <w:keepLines/>
              <w:rPr>
                <w:iCs/>
              </w:rPr>
            </w:pPr>
            <w:r w:rsidRPr="00501526">
              <w:rPr>
                <w:iCs/>
              </w:rPr>
              <w:t>Yr 4:    -0.55            0.69              0.03</w:t>
            </w:r>
          </w:p>
          <w:p w14:paraId="21B1DDA7" w14:textId="77777777" w:rsidR="00801748" w:rsidRPr="00501526" w:rsidRDefault="00801748" w:rsidP="00136AB4">
            <w:pPr>
              <w:pStyle w:val="Tabletext"/>
              <w:keepNext/>
              <w:keepLines/>
              <w:rPr>
                <w:iCs/>
              </w:rPr>
            </w:pPr>
            <w:r w:rsidRPr="00501526">
              <w:rPr>
                <w:iCs/>
              </w:rPr>
              <w:t>Yr 5:    -0.55            0.69              0.03</w:t>
            </w:r>
          </w:p>
          <w:p w14:paraId="3F9120F7" w14:textId="77777777" w:rsidR="00801748" w:rsidRPr="00501526" w:rsidRDefault="00801748" w:rsidP="00136AB4">
            <w:pPr>
              <w:pStyle w:val="Tabletext"/>
              <w:keepNext/>
              <w:keepLines/>
              <w:rPr>
                <w:iCs/>
              </w:rPr>
            </w:pPr>
            <w:r w:rsidRPr="00501526">
              <w:rPr>
                <w:iCs/>
              </w:rPr>
              <w:t>Yr 6:    -0.55            0.69              0.03</w:t>
            </w:r>
          </w:p>
          <w:p w14:paraId="4CD9BAF5" w14:textId="6C2DAF85" w:rsidR="00801748" w:rsidRPr="00501526" w:rsidRDefault="00801748" w:rsidP="00136AB4">
            <w:pPr>
              <w:pStyle w:val="Tabletext"/>
              <w:keepNext/>
              <w:keepLines/>
              <w:rPr>
                <w:iCs/>
              </w:rPr>
            </w:pPr>
          </w:p>
        </w:tc>
        <w:tc>
          <w:tcPr>
            <w:tcW w:w="2108" w:type="pct"/>
            <w:shd w:val="clear" w:color="auto" w:fill="auto"/>
          </w:tcPr>
          <w:p w14:paraId="57E62B75" w14:textId="6685E5D1" w:rsidR="00801748" w:rsidRPr="00501526" w:rsidRDefault="00801748" w:rsidP="00136AB4">
            <w:pPr>
              <w:pStyle w:val="Tabletext"/>
              <w:keepNext/>
              <w:keepLines/>
              <w:rPr>
                <w:iCs/>
              </w:rPr>
            </w:pPr>
            <w:r w:rsidRPr="00501526">
              <w:rPr>
                <w:iCs/>
              </w:rPr>
              <w:t>Differences in number of prescriptions for Phe free supplements per patient newly initiating treatment in each year from economic model.</w:t>
            </w:r>
            <w:r w:rsidR="00541290" w:rsidRPr="00501526">
              <w:rPr>
                <w:iCs/>
              </w:rPr>
              <w:t xml:space="preserve"> It was unclear why patients </w:t>
            </w:r>
            <w:r w:rsidR="00A1417C" w:rsidRPr="00501526">
              <w:rPr>
                <w:iCs/>
              </w:rPr>
              <w:t xml:space="preserve">treated with sapropterin </w:t>
            </w:r>
            <w:r w:rsidR="00541290" w:rsidRPr="00501526">
              <w:rPr>
                <w:iCs/>
              </w:rPr>
              <w:t xml:space="preserve">would </w:t>
            </w:r>
            <w:r w:rsidR="00A1417C" w:rsidRPr="00501526">
              <w:rPr>
                <w:iCs/>
              </w:rPr>
              <w:t xml:space="preserve">also </w:t>
            </w:r>
            <w:r w:rsidR="00541290" w:rsidRPr="00501526">
              <w:rPr>
                <w:iCs/>
              </w:rPr>
              <w:t xml:space="preserve">increase </w:t>
            </w:r>
            <w:r w:rsidR="00A1417C" w:rsidRPr="00501526">
              <w:rPr>
                <w:iCs/>
              </w:rPr>
              <w:t xml:space="preserve">the </w:t>
            </w:r>
            <w:r w:rsidR="00541290" w:rsidRPr="00501526">
              <w:rPr>
                <w:iCs/>
              </w:rPr>
              <w:t>use of PKU Coolers 15 and 20</w:t>
            </w:r>
            <w:r w:rsidR="007818C6">
              <w:rPr>
                <w:iCs/>
              </w:rPr>
              <w:t>. O</w:t>
            </w:r>
            <w:r w:rsidR="00541290" w:rsidRPr="00501526">
              <w:rPr>
                <w:iCs/>
              </w:rPr>
              <w:t>verall, the estimates calculated a net increase in use of Phe diet supplements associated with sapropterin listing</w:t>
            </w:r>
            <w:r w:rsidR="007818C6">
              <w:rPr>
                <w:iCs/>
              </w:rPr>
              <w:t xml:space="preserve"> which appears counterintuitive</w:t>
            </w:r>
            <w:r w:rsidR="00541290" w:rsidRPr="00501526">
              <w:rPr>
                <w:iCs/>
              </w:rPr>
              <w:t xml:space="preserve">.  </w:t>
            </w:r>
          </w:p>
        </w:tc>
      </w:tr>
      <w:tr w:rsidR="00F742D7" w:rsidRPr="00501526" w14:paraId="1E255782" w14:textId="77777777" w:rsidTr="0081594D">
        <w:tc>
          <w:tcPr>
            <w:tcW w:w="1244" w:type="pct"/>
            <w:shd w:val="clear" w:color="auto" w:fill="auto"/>
            <w:vAlign w:val="center"/>
          </w:tcPr>
          <w:p w14:paraId="675E3F87" w14:textId="049B1370" w:rsidR="00F163C7" w:rsidRPr="00501526" w:rsidRDefault="00B7001B" w:rsidP="00136AB4">
            <w:pPr>
              <w:pStyle w:val="Tabletext"/>
              <w:keepNext/>
              <w:keepLines/>
              <w:widowControl w:val="0"/>
              <w:rPr>
                <w:iCs/>
              </w:rPr>
            </w:pPr>
            <w:r w:rsidRPr="00501526">
              <w:rPr>
                <w:iCs/>
              </w:rPr>
              <w:t>Net change in the number of specialist, dietician, and blood Phe levels tests per patient newly initiating treatment per year</w:t>
            </w:r>
          </w:p>
        </w:tc>
        <w:tc>
          <w:tcPr>
            <w:tcW w:w="1648" w:type="pct"/>
            <w:shd w:val="clear" w:color="auto" w:fill="auto"/>
            <w:vAlign w:val="center"/>
          </w:tcPr>
          <w:p w14:paraId="659F051A" w14:textId="08D811B6" w:rsidR="00F163C7" w:rsidRPr="00501526" w:rsidRDefault="00EC33F0" w:rsidP="00136AB4">
            <w:pPr>
              <w:pStyle w:val="Tabletext"/>
              <w:keepNext/>
              <w:keepLines/>
              <w:widowControl w:val="0"/>
              <w:jc w:val="center"/>
              <w:rPr>
                <w:iCs/>
              </w:rPr>
            </w:pPr>
            <w:r w:rsidRPr="00501526">
              <w:rPr>
                <w:iCs/>
              </w:rPr>
              <w:t>0.77 additional specialist</w:t>
            </w:r>
            <w:r w:rsidR="00442ECF" w:rsidRPr="00501526">
              <w:rPr>
                <w:iCs/>
              </w:rPr>
              <w:t xml:space="preserve"> visit (MBS item 116)</w:t>
            </w:r>
          </w:p>
          <w:p w14:paraId="544E0138" w14:textId="616E7106" w:rsidR="00442ECF" w:rsidRPr="00501526" w:rsidRDefault="00442ECF" w:rsidP="00136AB4">
            <w:pPr>
              <w:pStyle w:val="Tabletext"/>
              <w:keepNext/>
              <w:keepLines/>
              <w:widowControl w:val="0"/>
              <w:jc w:val="center"/>
              <w:rPr>
                <w:iCs/>
              </w:rPr>
            </w:pPr>
            <w:r w:rsidRPr="00501526">
              <w:rPr>
                <w:iCs/>
              </w:rPr>
              <w:t>0.77 additional dietician visit (MBS item 10954)</w:t>
            </w:r>
          </w:p>
          <w:p w14:paraId="25B81747" w14:textId="6CA6206B" w:rsidR="00442ECF" w:rsidRPr="00501526" w:rsidRDefault="00442ECF" w:rsidP="00136AB4">
            <w:pPr>
              <w:pStyle w:val="Tabletext"/>
              <w:keepNext/>
              <w:keepLines/>
              <w:widowControl w:val="0"/>
              <w:jc w:val="center"/>
              <w:rPr>
                <w:iCs/>
              </w:rPr>
            </w:pPr>
            <w:r w:rsidRPr="00501526">
              <w:rPr>
                <w:iCs/>
              </w:rPr>
              <w:t>0.76 additional blood Phe test (MBS item 66757)</w:t>
            </w:r>
          </w:p>
        </w:tc>
        <w:tc>
          <w:tcPr>
            <w:tcW w:w="2108" w:type="pct"/>
            <w:shd w:val="clear" w:color="auto" w:fill="auto"/>
            <w:vAlign w:val="center"/>
          </w:tcPr>
          <w:p w14:paraId="2261D497" w14:textId="2EE6D8D0" w:rsidR="00F163C7" w:rsidRPr="00501526" w:rsidRDefault="00F8312A" w:rsidP="00AD21C8">
            <w:pPr>
              <w:pStyle w:val="Tabletext"/>
              <w:keepNext/>
              <w:keepLines/>
              <w:widowControl w:val="0"/>
              <w:rPr>
                <w:iCs/>
              </w:rPr>
            </w:pPr>
            <w:r w:rsidRPr="00501526">
              <w:rPr>
                <w:iCs/>
              </w:rPr>
              <w:t xml:space="preserve">The </w:t>
            </w:r>
            <w:r w:rsidR="007818C6">
              <w:rPr>
                <w:iCs/>
              </w:rPr>
              <w:t>financial estimates assumed</w:t>
            </w:r>
            <w:r w:rsidRPr="00501526">
              <w:rPr>
                <w:iCs/>
              </w:rPr>
              <w:t xml:space="preserve"> differences</w:t>
            </w:r>
            <w:r w:rsidR="00853BF5" w:rsidRPr="00501526">
              <w:rPr>
                <w:iCs/>
              </w:rPr>
              <w:t xml:space="preserve"> in </w:t>
            </w:r>
            <w:r w:rsidR="00293C3D">
              <w:rPr>
                <w:iCs/>
              </w:rPr>
              <w:t xml:space="preserve">the </w:t>
            </w:r>
            <w:r w:rsidR="00853BF5" w:rsidRPr="00501526">
              <w:rPr>
                <w:iCs/>
              </w:rPr>
              <w:t>number of visits and test</w:t>
            </w:r>
            <w:r w:rsidR="007818C6">
              <w:rPr>
                <w:iCs/>
              </w:rPr>
              <w:t>s</w:t>
            </w:r>
            <w:r w:rsidR="00853BF5" w:rsidRPr="00501526">
              <w:rPr>
                <w:iCs/>
              </w:rPr>
              <w:t xml:space="preserve"> per patient newly initiating treatment in each year</w:t>
            </w:r>
            <w:r w:rsidRPr="00501526">
              <w:rPr>
                <w:iCs/>
              </w:rPr>
              <w:t xml:space="preserve">. In the discussion of the economic evaluation, the submission considered an equal frequency of specialist and dietician visits across all treatments. </w:t>
            </w:r>
          </w:p>
        </w:tc>
      </w:tr>
    </w:tbl>
    <w:p w14:paraId="220DA9D9" w14:textId="26DA5343" w:rsidR="007925DF" w:rsidRPr="00501526" w:rsidRDefault="00E42F73" w:rsidP="00CC143B">
      <w:pPr>
        <w:pStyle w:val="TableFigureFooter"/>
        <w:keepNext/>
        <w:keepLines/>
        <w:widowControl w:val="0"/>
        <w:rPr>
          <w:iCs/>
        </w:rPr>
      </w:pPr>
      <w:r w:rsidRPr="00501526">
        <w:rPr>
          <w:iCs/>
        </w:rPr>
        <w:t xml:space="preserve">Source: </w:t>
      </w:r>
      <w:r w:rsidR="00A8112C" w:rsidRPr="00501526">
        <w:rPr>
          <w:iCs/>
        </w:rPr>
        <w:t>Table 4.1-1, pp310-313 of the submission.</w:t>
      </w:r>
    </w:p>
    <w:p w14:paraId="5A210D34" w14:textId="48969112" w:rsidR="0035299E" w:rsidRPr="00501526" w:rsidRDefault="00330AED" w:rsidP="001A41BB">
      <w:pPr>
        <w:pStyle w:val="TableFigureFooter"/>
        <w:rPr>
          <w:iCs/>
        </w:rPr>
      </w:pPr>
      <w:r w:rsidRPr="00501526">
        <w:rPr>
          <w:iCs/>
        </w:rPr>
        <w:t xml:space="preserve">Green shading indicates components that are the same as in the pegvaliase </w:t>
      </w:r>
      <w:r w:rsidR="00D4201B" w:rsidRPr="00501526">
        <w:rPr>
          <w:iCs/>
        </w:rPr>
        <w:t>submission</w:t>
      </w:r>
      <w:r w:rsidR="00EA1A58" w:rsidRPr="00501526">
        <w:rPr>
          <w:iCs/>
        </w:rPr>
        <w:fldChar w:fldCharType="begin"/>
      </w:r>
      <w:r w:rsidR="00EA1A58" w:rsidRPr="00501526">
        <w:rPr>
          <w:iCs/>
        </w:rPr>
        <w:instrText xml:space="preserve"> REF _Ref102224615 \h  \* MERGEFORMAT </w:instrText>
      </w:r>
      <w:r w:rsidR="00EA1A58" w:rsidRPr="00501526">
        <w:rPr>
          <w:iCs/>
        </w:rPr>
      </w:r>
      <w:r w:rsidR="00EA1A58" w:rsidRPr="00501526">
        <w:rPr>
          <w:iCs/>
        </w:rPr>
        <w:fldChar w:fldCharType="separate"/>
      </w:r>
    </w:p>
    <w:p w14:paraId="1CB0BAD8" w14:textId="6304D8A4" w:rsidR="00EA1A58" w:rsidRPr="00501526" w:rsidRDefault="0035299E" w:rsidP="00C235C5">
      <w:pPr>
        <w:pStyle w:val="3-BodyText"/>
        <w:rPr>
          <w:iCs/>
        </w:rPr>
      </w:pPr>
      <w:r w:rsidRPr="0035299E">
        <w:t>Table 15</w:t>
      </w:r>
      <w:r w:rsidR="00EA1A58" w:rsidRPr="00501526">
        <w:rPr>
          <w:iCs/>
        </w:rPr>
        <w:fldChar w:fldCharType="end"/>
      </w:r>
      <w:r w:rsidR="00EA1A58" w:rsidRPr="00501526">
        <w:rPr>
          <w:iCs/>
        </w:rPr>
        <w:t xml:space="preserve"> presents the estimation of the eligible and treated</w:t>
      </w:r>
      <w:r w:rsidR="00A81E8E" w:rsidRPr="00501526">
        <w:rPr>
          <w:iCs/>
        </w:rPr>
        <w:t xml:space="preserve"> adult</w:t>
      </w:r>
      <w:r w:rsidR="00EA1A58" w:rsidRPr="00501526">
        <w:rPr>
          <w:iCs/>
        </w:rPr>
        <w:t xml:space="preserve"> population.</w:t>
      </w:r>
      <w:r w:rsidR="00EA1A58" w:rsidRPr="00501526">
        <w:rPr>
          <w:iCs/>
          <w:color w:val="0066FF"/>
        </w:rPr>
        <w:t xml:space="preserve"> </w:t>
      </w:r>
      <w:bookmarkStart w:id="60" w:name="_Ref102224615"/>
    </w:p>
    <w:p w14:paraId="1AAA0B56" w14:textId="3D47577F" w:rsidR="00CA35AC" w:rsidRPr="00501526" w:rsidRDefault="00CA35AC" w:rsidP="00CC143B">
      <w:pPr>
        <w:keepNext/>
        <w:keepLines/>
        <w:widowControl w:val="0"/>
        <w:rPr>
          <w:iCs/>
        </w:rPr>
      </w:pPr>
      <w:r w:rsidRPr="00501526">
        <w:rPr>
          <w:rStyle w:val="CommentReference"/>
          <w:iCs/>
          <w:szCs w:val="24"/>
        </w:rPr>
        <w:lastRenderedPageBreak/>
        <w:t xml:space="preserve">Table </w:t>
      </w:r>
      <w:r w:rsidRPr="00501526">
        <w:rPr>
          <w:rStyle w:val="CommentReference"/>
          <w:iCs/>
          <w:szCs w:val="24"/>
        </w:rPr>
        <w:fldChar w:fldCharType="begin"/>
      </w:r>
      <w:r w:rsidRPr="00501526">
        <w:rPr>
          <w:rStyle w:val="CommentReference"/>
          <w:iCs/>
          <w:szCs w:val="24"/>
        </w:rPr>
        <w:instrText xml:space="preserve"> SEQ Table \* MERGEFORMAT </w:instrText>
      </w:r>
      <w:r w:rsidRPr="00501526">
        <w:rPr>
          <w:rStyle w:val="CommentReference"/>
          <w:iCs/>
          <w:szCs w:val="24"/>
        </w:rPr>
        <w:fldChar w:fldCharType="separate"/>
      </w:r>
      <w:r w:rsidR="0035299E">
        <w:rPr>
          <w:rStyle w:val="CommentReference"/>
          <w:iCs/>
          <w:noProof/>
          <w:szCs w:val="24"/>
        </w:rPr>
        <w:t>15</w:t>
      </w:r>
      <w:r w:rsidRPr="00501526">
        <w:rPr>
          <w:rStyle w:val="CommentReference"/>
          <w:iCs/>
          <w:szCs w:val="24"/>
        </w:rPr>
        <w:fldChar w:fldCharType="end"/>
      </w:r>
      <w:bookmarkEnd w:id="60"/>
      <w:r w:rsidRPr="00501526">
        <w:rPr>
          <w:rStyle w:val="CommentReference"/>
          <w:iCs/>
          <w:szCs w:val="24"/>
        </w:rPr>
        <w:t>: Sapropterin eligible population</w:t>
      </w:r>
    </w:p>
    <w:tbl>
      <w:tblPr>
        <w:tblStyle w:val="TableGrid"/>
        <w:tblW w:w="0" w:type="auto"/>
        <w:tblLook w:val="04A0" w:firstRow="1" w:lastRow="0" w:firstColumn="1" w:lastColumn="0" w:noHBand="0" w:noVBand="1"/>
      </w:tblPr>
      <w:tblGrid>
        <w:gridCol w:w="2034"/>
        <w:gridCol w:w="1127"/>
        <w:gridCol w:w="1171"/>
        <w:gridCol w:w="1171"/>
        <w:gridCol w:w="1171"/>
        <w:gridCol w:w="1171"/>
        <w:gridCol w:w="1171"/>
      </w:tblGrid>
      <w:tr w:rsidR="00CA35AC" w:rsidRPr="00501526" w14:paraId="1D10A41F" w14:textId="77777777" w:rsidTr="00CA35AC">
        <w:tc>
          <w:tcPr>
            <w:tcW w:w="2034" w:type="dxa"/>
          </w:tcPr>
          <w:p w14:paraId="3D16767D" w14:textId="77777777" w:rsidR="00CA35AC" w:rsidRPr="00501526" w:rsidRDefault="00CA35AC" w:rsidP="00CC143B">
            <w:pPr>
              <w:pStyle w:val="Tabletext"/>
              <w:keepNext/>
              <w:keepLines/>
              <w:widowControl w:val="0"/>
              <w:rPr>
                <w:b/>
                <w:bCs/>
                <w:iCs/>
                <w:szCs w:val="20"/>
              </w:rPr>
            </w:pPr>
          </w:p>
        </w:tc>
        <w:tc>
          <w:tcPr>
            <w:tcW w:w="1127" w:type="dxa"/>
          </w:tcPr>
          <w:p w14:paraId="21CC611E" w14:textId="77777777" w:rsidR="00CA35AC" w:rsidRPr="00501526" w:rsidRDefault="00CA35AC" w:rsidP="00CC143B">
            <w:pPr>
              <w:pStyle w:val="Tabletext"/>
              <w:keepNext/>
              <w:keepLines/>
              <w:widowControl w:val="0"/>
              <w:jc w:val="center"/>
              <w:rPr>
                <w:b/>
                <w:bCs/>
                <w:iCs/>
                <w:szCs w:val="20"/>
              </w:rPr>
            </w:pPr>
            <w:r w:rsidRPr="00501526">
              <w:rPr>
                <w:b/>
                <w:bCs/>
                <w:iCs/>
                <w:szCs w:val="20"/>
              </w:rPr>
              <w:t>Year 1</w:t>
            </w:r>
          </w:p>
        </w:tc>
        <w:tc>
          <w:tcPr>
            <w:tcW w:w="1171" w:type="dxa"/>
          </w:tcPr>
          <w:p w14:paraId="38B68F38" w14:textId="77777777" w:rsidR="00CA35AC" w:rsidRPr="00501526" w:rsidRDefault="00CA35AC" w:rsidP="00CC143B">
            <w:pPr>
              <w:pStyle w:val="Tabletext"/>
              <w:keepNext/>
              <w:keepLines/>
              <w:widowControl w:val="0"/>
              <w:jc w:val="center"/>
              <w:rPr>
                <w:b/>
                <w:bCs/>
                <w:iCs/>
                <w:szCs w:val="20"/>
              </w:rPr>
            </w:pPr>
            <w:r w:rsidRPr="00501526">
              <w:rPr>
                <w:b/>
                <w:bCs/>
                <w:iCs/>
                <w:szCs w:val="20"/>
              </w:rPr>
              <w:t>Year 2</w:t>
            </w:r>
          </w:p>
        </w:tc>
        <w:tc>
          <w:tcPr>
            <w:tcW w:w="1171" w:type="dxa"/>
          </w:tcPr>
          <w:p w14:paraId="4EA13095" w14:textId="77777777" w:rsidR="00CA35AC" w:rsidRPr="00501526" w:rsidRDefault="00CA35AC" w:rsidP="00CC143B">
            <w:pPr>
              <w:pStyle w:val="Tabletext"/>
              <w:keepNext/>
              <w:keepLines/>
              <w:widowControl w:val="0"/>
              <w:jc w:val="center"/>
              <w:rPr>
                <w:b/>
                <w:bCs/>
                <w:iCs/>
                <w:szCs w:val="20"/>
              </w:rPr>
            </w:pPr>
            <w:r w:rsidRPr="00501526">
              <w:rPr>
                <w:b/>
                <w:bCs/>
                <w:iCs/>
                <w:szCs w:val="20"/>
              </w:rPr>
              <w:t>Year 3</w:t>
            </w:r>
          </w:p>
        </w:tc>
        <w:tc>
          <w:tcPr>
            <w:tcW w:w="1171" w:type="dxa"/>
          </w:tcPr>
          <w:p w14:paraId="18D1AAC9" w14:textId="77777777" w:rsidR="00CA35AC" w:rsidRPr="00501526" w:rsidRDefault="00CA35AC" w:rsidP="00CC143B">
            <w:pPr>
              <w:pStyle w:val="Tabletext"/>
              <w:keepNext/>
              <w:keepLines/>
              <w:widowControl w:val="0"/>
              <w:jc w:val="center"/>
              <w:rPr>
                <w:b/>
                <w:bCs/>
                <w:iCs/>
                <w:szCs w:val="20"/>
              </w:rPr>
            </w:pPr>
            <w:r w:rsidRPr="00501526">
              <w:rPr>
                <w:b/>
                <w:bCs/>
                <w:iCs/>
                <w:szCs w:val="20"/>
              </w:rPr>
              <w:t>Year 4</w:t>
            </w:r>
          </w:p>
        </w:tc>
        <w:tc>
          <w:tcPr>
            <w:tcW w:w="1171" w:type="dxa"/>
          </w:tcPr>
          <w:p w14:paraId="3E918EA7" w14:textId="77777777" w:rsidR="00CA35AC" w:rsidRPr="00501526" w:rsidRDefault="00CA35AC" w:rsidP="00CC143B">
            <w:pPr>
              <w:pStyle w:val="Tabletext"/>
              <w:keepNext/>
              <w:keepLines/>
              <w:widowControl w:val="0"/>
              <w:jc w:val="center"/>
              <w:rPr>
                <w:b/>
                <w:bCs/>
                <w:iCs/>
                <w:szCs w:val="20"/>
              </w:rPr>
            </w:pPr>
            <w:r w:rsidRPr="00501526">
              <w:rPr>
                <w:b/>
                <w:bCs/>
                <w:iCs/>
                <w:szCs w:val="20"/>
              </w:rPr>
              <w:t>Year 5</w:t>
            </w:r>
          </w:p>
        </w:tc>
        <w:tc>
          <w:tcPr>
            <w:tcW w:w="1171" w:type="dxa"/>
          </w:tcPr>
          <w:p w14:paraId="711A67E5" w14:textId="77777777" w:rsidR="00CA35AC" w:rsidRPr="00501526" w:rsidRDefault="00CA35AC" w:rsidP="00CC143B">
            <w:pPr>
              <w:pStyle w:val="Tabletext"/>
              <w:keepNext/>
              <w:keepLines/>
              <w:widowControl w:val="0"/>
              <w:jc w:val="center"/>
              <w:rPr>
                <w:b/>
                <w:bCs/>
                <w:iCs/>
                <w:szCs w:val="20"/>
              </w:rPr>
            </w:pPr>
            <w:r w:rsidRPr="00501526">
              <w:rPr>
                <w:b/>
                <w:bCs/>
                <w:iCs/>
                <w:szCs w:val="20"/>
              </w:rPr>
              <w:t>Year 6</w:t>
            </w:r>
          </w:p>
        </w:tc>
      </w:tr>
      <w:tr w:rsidR="00CA35AC" w:rsidRPr="00501526" w14:paraId="7A4EE478" w14:textId="77777777" w:rsidTr="00CA35AC">
        <w:tc>
          <w:tcPr>
            <w:tcW w:w="9016" w:type="dxa"/>
            <w:gridSpan w:val="7"/>
          </w:tcPr>
          <w:p w14:paraId="2274EA58" w14:textId="77777777" w:rsidR="00CA35AC" w:rsidRPr="00501526" w:rsidRDefault="00CA35AC" w:rsidP="00CC143B">
            <w:pPr>
              <w:pStyle w:val="Tabletext"/>
              <w:keepNext/>
              <w:keepLines/>
              <w:widowControl w:val="0"/>
              <w:rPr>
                <w:b/>
                <w:bCs/>
                <w:iCs/>
                <w:szCs w:val="20"/>
              </w:rPr>
            </w:pPr>
            <w:r w:rsidRPr="00501526">
              <w:rPr>
                <w:b/>
                <w:bCs/>
                <w:iCs/>
                <w:szCs w:val="20"/>
              </w:rPr>
              <w:t xml:space="preserve">Sapropterin – Prevalent eligible population </w:t>
            </w:r>
          </w:p>
        </w:tc>
      </w:tr>
      <w:tr w:rsidR="00CA35AC" w:rsidRPr="00501526" w14:paraId="3C4055E7" w14:textId="77777777" w:rsidTr="00CA35AC">
        <w:tc>
          <w:tcPr>
            <w:tcW w:w="2034" w:type="dxa"/>
          </w:tcPr>
          <w:p w14:paraId="3F9FB9C4" w14:textId="77777777" w:rsidR="00CA35AC" w:rsidRPr="00501526" w:rsidRDefault="00CA35AC" w:rsidP="00CC143B">
            <w:pPr>
              <w:pStyle w:val="Tabletext"/>
              <w:keepNext/>
              <w:keepLines/>
              <w:widowControl w:val="0"/>
              <w:rPr>
                <w:iCs/>
                <w:szCs w:val="20"/>
              </w:rPr>
            </w:pPr>
            <w:r w:rsidRPr="00501526">
              <w:rPr>
                <w:iCs/>
                <w:szCs w:val="20"/>
              </w:rPr>
              <w:t>Aged ≥ 18 years</w:t>
            </w:r>
          </w:p>
        </w:tc>
        <w:tc>
          <w:tcPr>
            <w:tcW w:w="1127" w:type="dxa"/>
          </w:tcPr>
          <w:p w14:paraId="6DA67CE0" w14:textId="444B4D70" w:rsidR="00CA35AC" w:rsidRPr="00501526" w:rsidRDefault="00CA35AC" w:rsidP="00CC143B">
            <w:pPr>
              <w:pStyle w:val="Tabletext"/>
              <w:keepNext/>
              <w:keepLines/>
              <w:widowControl w:val="0"/>
              <w:jc w:val="center"/>
              <w:rPr>
                <w:iCs/>
                <w:szCs w:val="20"/>
              </w:rPr>
            </w:pPr>
            <w:r w:rsidRPr="00501526">
              <w:rPr>
                <w:iCs/>
                <w:szCs w:val="20"/>
              </w:rPr>
              <w:t>20,757,917</w:t>
            </w:r>
          </w:p>
        </w:tc>
        <w:tc>
          <w:tcPr>
            <w:tcW w:w="1171" w:type="dxa"/>
          </w:tcPr>
          <w:p w14:paraId="27119410" w14:textId="17E68E0B" w:rsidR="00CA35AC" w:rsidRPr="00501526" w:rsidRDefault="00CA35AC" w:rsidP="00CC143B">
            <w:pPr>
              <w:pStyle w:val="Tabletext"/>
              <w:keepNext/>
              <w:keepLines/>
              <w:widowControl w:val="0"/>
              <w:jc w:val="center"/>
              <w:rPr>
                <w:iCs/>
                <w:szCs w:val="20"/>
              </w:rPr>
            </w:pPr>
            <w:r w:rsidRPr="00501526">
              <w:rPr>
                <w:iCs/>
                <w:szCs w:val="20"/>
              </w:rPr>
              <w:t>21,082,471</w:t>
            </w:r>
          </w:p>
        </w:tc>
        <w:tc>
          <w:tcPr>
            <w:tcW w:w="1171" w:type="dxa"/>
          </w:tcPr>
          <w:p w14:paraId="6869F8DC" w14:textId="02E3F2FF" w:rsidR="00CA35AC" w:rsidRPr="00501526" w:rsidRDefault="00CA35AC" w:rsidP="00CC143B">
            <w:pPr>
              <w:pStyle w:val="Tabletext"/>
              <w:keepNext/>
              <w:keepLines/>
              <w:widowControl w:val="0"/>
              <w:jc w:val="center"/>
              <w:rPr>
                <w:iCs/>
                <w:szCs w:val="20"/>
              </w:rPr>
            </w:pPr>
            <w:r w:rsidRPr="00501526">
              <w:rPr>
                <w:iCs/>
                <w:szCs w:val="20"/>
              </w:rPr>
              <w:t>21,411,852</w:t>
            </w:r>
          </w:p>
        </w:tc>
        <w:tc>
          <w:tcPr>
            <w:tcW w:w="1171" w:type="dxa"/>
          </w:tcPr>
          <w:p w14:paraId="447D01F6" w14:textId="7DEDE08C" w:rsidR="00CA35AC" w:rsidRPr="00501526" w:rsidRDefault="00CA35AC" w:rsidP="00CC143B">
            <w:pPr>
              <w:pStyle w:val="Tabletext"/>
              <w:keepNext/>
              <w:keepLines/>
              <w:widowControl w:val="0"/>
              <w:jc w:val="center"/>
              <w:rPr>
                <w:iCs/>
                <w:szCs w:val="20"/>
              </w:rPr>
            </w:pPr>
            <w:r w:rsidRPr="00501526">
              <w:rPr>
                <w:iCs/>
                <w:szCs w:val="20"/>
              </w:rPr>
              <w:t>21,744,502</w:t>
            </w:r>
          </w:p>
        </w:tc>
        <w:tc>
          <w:tcPr>
            <w:tcW w:w="1171" w:type="dxa"/>
          </w:tcPr>
          <w:p w14:paraId="0AC125BE" w14:textId="29CC58BE" w:rsidR="00CA35AC" w:rsidRPr="00501526" w:rsidRDefault="00CA35AC" w:rsidP="00CC143B">
            <w:pPr>
              <w:pStyle w:val="Tabletext"/>
              <w:keepNext/>
              <w:keepLines/>
              <w:widowControl w:val="0"/>
              <w:jc w:val="center"/>
              <w:rPr>
                <w:iCs/>
                <w:szCs w:val="20"/>
              </w:rPr>
            </w:pPr>
            <w:r w:rsidRPr="00501526">
              <w:rPr>
                <w:iCs/>
                <w:szCs w:val="20"/>
              </w:rPr>
              <w:t>22,073,220</w:t>
            </w:r>
          </w:p>
        </w:tc>
        <w:tc>
          <w:tcPr>
            <w:tcW w:w="1171" w:type="dxa"/>
          </w:tcPr>
          <w:p w14:paraId="2ED1A8AA" w14:textId="1F754193" w:rsidR="00CA35AC" w:rsidRPr="00501526" w:rsidRDefault="00CA35AC" w:rsidP="00CC143B">
            <w:pPr>
              <w:pStyle w:val="Tabletext"/>
              <w:keepNext/>
              <w:keepLines/>
              <w:widowControl w:val="0"/>
              <w:jc w:val="center"/>
              <w:rPr>
                <w:iCs/>
                <w:szCs w:val="20"/>
              </w:rPr>
            </w:pPr>
            <w:r w:rsidRPr="00501526">
              <w:rPr>
                <w:iCs/>
                <w:szCs w:val="20"/>
              </w:rPr>
              <w:t>22,393,101</w:t>
            </w:r>
          </w:p>
        </w:tc>
      </w:tr>
      <w:tr w:rsidR="00CA35AC" w:rsidRPr="00501526" w14:paraId="46B68F37" w14:textId="77777777" w:rsidTr="00CA35AC">
        <w:tc>
          <w:tcPr>
            <w:tcW w:w="2034" w:type="dxa"/>
          </w:tcPr>
          <w:p w14:paraId="0B2C5816" w14:textId="77777777" w:rsidR="00CA35AC" w:rsidRPr="00501526" w:rsidRDefault="00CA35AC" w:rsidP="00CC143B">
            <w:pPr>
              <w:pStyle w:val="Tabletext"/>
              <w:keepNext/>
              <w:keepLines/>
              <w:widowControl w:val="0"/>
              <w:rPr>
                <w:iCs/>
                <w:szCs w:val="20"/>
              </w:rPr>
            </w:pPr>
            <w:r w:rsidRPr="00501526">
              <w:rPr>
                <w:iCs/>
                <w:szCs w:val="20"/>
              </w:rPr>
              <w:t>HPA (0.0089%)</w:t>
            </w:r>
          </w:p>
        </w:tc>
        <w:tc>
          <w:tcPr>
            <w:tcW w:w="1127" w:type="dxa"/>
          </w:tcPr>
          <w:p w14:paraId="3F3BFD50" w14:textId="1D58F3F3" w:rsidR="00CA35AC" w:rsidRPr="005407BD" w:rsidRDefault="00542E3B" w:rsidP="00CC143B">
            <w:pPr>
              <w:pStyle w:val="Tabletext"/>
              <w:keepNext/>
              <w:keepLines/>
              <w:widowControl w:val="0"/>
              <w:jc w:val="center"/>
              <w:rPr>
                <w:iCs/>
                <w:szCs w:val="20"/>
                <w:highlight w:val="darkGray"/>
                <w:vertAlign w:val="superscript"/>
              </w:rPr>
            </w:pPr>
            <w:r w:rsidRPr="00542E3B">
              <w:rPr>
                <w:rFonts w:cs="Calibri" w:hint="eastAsia"/>
                <w:iCs/>
                <w:color w:val="000000"/>
                <w:w w:val="27"/>
                <w:szCs w:val="20"/>
                <w:shd w:val="solid" w:color="000000" w:fill="000000"/>
                <w:fitText w:val="123" w:id="-1435870448"/>
                <w14:textFill>
                  <w14:solidFill>
                    <w14:srgbClr w14:val="000000">
                      <w14:alpha w14:val="100000"/>
                    </w14:srgbClr>
                  </w14:solidFill>
                </w14:textFill>
              </w:rPr>
              <w:t xml:space="preserve">　</w:t>
            </w:r>
            <w:r w:rsidRPr="00542E3B">
              <w:rPr>
                <w:rFonts w:cs="Calibri"/>
                <w:iCs/>
                <w:color w:val="000000"/>
                <w:w w:val="27"/>
                <w:szCs w:val="20"/>
                <w:shd w:val="solid" w:color="000000" w:fill="000000"/>
                <w:fitText w:val="123" w:id="-1435870448"/>
                <w14:textFill>
                  <w14:solidFill>
                    <w14:srgbClr w14:val="000000">
                      <w14:alpha w14:val="100000"/>
                    </w14:srgbClr>
                  </w14:solidFill>
                </w14:textFill>
              </w:rPr>
              <w:t>|</w:t>
            </w:r>
            <w:r w:rsidRPr="00542E3B">
              <w:rPr>
                <w:rFonts w:cs="Calibri" w:hint="eastAsia"/>
                <w:iCs/>
                <w:color w:val="000000"/>
                <w:spacing w:val="5"/>
                <w:w w:val="27"/>
                <w:szCs w:val="20"/>
                <w:shd w:val="solid" w:color="000000" w:fill="000000"/>
                <w:fitText w:val="123" w:id="-1435870448"/>
                <w14:textFill>
                  <w14:solidFill>
                    <w14:srgbClr w14:val="000000">
                      <w14:alpha w14:val="100000"/>
                    </w14:srgbClr>
                  </w14:solidFill>
                </w14:textFill>
              </w:rPr>
              <w:t xml:space="preserve">　</w:t>
            </w:r>
            <w:r w:rsidR="005407BD" w:rsidRPr="005407BD">
              <w:rPr>
                <w:rFonts w:cs="Calibri"/>
                <w:iCs/>
                <w:color w:val="000000"/>
                <w:szCs w:val="20"/>
                <w:vertAlign w:val="superscript"/>
              </w:rPr>
              <w:t>1</w:t>
            </w:r>
          </w:p>
        </w:tc>
        <w:tc>
          <w:tcPr>
            <w:tcW w:w="1171" w:type="dxa"/>
          </w:tcPr>
          <w:p w14:paraId="7B71BE2D" w14:textId="155E9D9E"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4"/>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4"/>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4"/>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599B590" w14:textId="389ADCC8"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3"/>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3"/>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3"/>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04D740D7" w14:textId="6E7994F8"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2"/>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2"/>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2"/>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0DF1E51" w14:textId="4A7E0647" w:rsidR="00CA35AC" w:rsidRPr="005407BD" w:rsidRDefault="00542E3B" w:rsidP="00CC143B">
            <w:pPr>
              <w:pStyle w:val="Tabletext"/>
              <w:keepNext/>
              <w:keepLines/>
              <w:widowControl w:val="0"/>
              <w:jc w:val="center"/>
              <w:rPr>
                <w:iCs/>
                <w:szCs w:val="20"/>
                <w:highlight w:val="darkGray"/>
              </w:rPr>
            </w:pPr>
            <w:r w:rsidRPr="00542E3B">
              <w:rPr>
                <w:rFonts w:cs="Calibri" w:hint="eastAsia"/>
                <w:iCs/>
                <w:color w:val="000000"/>
                <w:w w:val="22"/>
                <w:szCs w:val="20"/>
                <w:shd w:val="solid" w:color="000000" w:fill="000000"/>
                <w:fitText w:val="100" w:id="-1435870461"/>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1"/>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1"/>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1A9AFBB2" w14:textId="759CC340"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1" w:id="-1435870460"/>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1" w:id="-1435870460"/>
                <w14:textFill>
                  <w14:solidFill>
                    <w14:srgbClr w14:val="000000">
                      <w14:alpha w14:val="100000"/>
                    </w14:srgbClr>
                  </w14:solidFill>
                </w14:textFill>
              </w:rPr>
              <w:t>|</w:t>
            </w:r>
            <w:r w:rsidRPr="00542E3B">
              <w:rPr>
                <w:rFonts w:cs="Calibri" w:hint="eastAsia"/>
                <w:iCs/>
                <w:color w:val="000000"/>
                <w:spacing w:val="4"/>
                <w:w w:val="22"/>
                <w:szCs w:val="20"/>
                <w:shd w:val="solid" w:color="000000" w:fill="000000"/>
                <w:fitText w:val="101" w:id="-1435870460"/>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r>
      <w:tr w:rsidR="00CA35AC" w:rsidRPr="00501526" w14:paraId="27820FF1" w14:textId="77777777" w:rsidTr="00CA35AC">
        <w:tc>
          <w:tcPr>
            <w:tcW w:w="2034" w:type="dxa"/>
          </w:tcPr>
          <w:p w14:paraId="64A1099E" w14:textId="77777777" w:rsidR="00CA35AC" w:rsidRPr="00501526" w:rsidRDefault="00CA35AC" w:rsidP="00CC143B">
            <w:pPr>
              <w:pStyle w:val="Tabletext"/>
              <w:keepNext/>
              <w:keepLines/>
              <w:widowControl w:val="0"/>
              <w:rPr>
                <w:iCs/>
                <w:szCs w:val="20"/>
              </w:rPr>
            </w:pPr>
            <w:r w:rsidRPr="00501526">
              <w:rPr>
                <w:iCs/>
                <w:szCs w:val="20"/>
              </w:rPr>
              <w:t>PKU (98.8%)</w:t>
            </w:r>
          </w:p>
        </w:tc>
        <w:tc>
          <w:tcPr>
            <w:tcW w:w="1127" w:type="dxa"/>
          </w:tcPr>
          <w:p w14:paraId="10FAEE09" w14:textId="1D3A8D68" w:rsidR="00CA35AC" w:rsidRPr="005407BD" w:rsidRDefault="00542E3B" w:rsidP="00CC143B">
            <w:pPr>
              <w:pStyle w:val="Tabletext"/>
              <w:keepNext/>
              <w:keepLines/>
              <w:widowControl w:val="0"/>
              <w:jc w:val="center"/>
              <w:rPr>
                <w:iCs/>
                <w:szCs w:val="20"/>
              </w:rPr>
            </w:pPr>
            <w:r w:rsidRPr="00542E3B">
              <w:rPr>
                <w:rFonts w:cs="Calibri" w:hint="eastAsia"/>
                <w:iCs/>
                <w:color w:val="000000"/>
                <w:w w:val="27"/>
                <w:szCs w:val="20"/>
                <w:shd w:val="solid" w:color="000000" w:fill="000000"/>
                <w:fitText w:val="123" w:id="-1435870459"/>
                <w14:textFill>
                  <w14:solidFill>
                    <w14:srgbClr w14:val="000000">
                      <w14:alpha w14:val="100000"/>
                    </w14:srgbClr>
                  </w14:solidFill>
                </w14:textFill>
              </w:rPr>
              <w:t xml:space="preserve">　</w:t>
            </w:r>
            <w:r w:rsidRPr="00542E3B">
              <w:rPr>
                <w:rFonts w:cs="Calibri"/>
                <w:iCs/>
                <w:color w:val="000000"/>
                <w:w w:val="27"/>
                <w:szCs w:val="20"/>
                <w:shd w:val="solid" w:color="000000" w:fill="000000"/>
                <w:fitText w:val="123" w:id="-1435870459"/>
                <w14:textFill>
                  <w14:solidFill>
                    <w14:srgbClr w14:val="000000">
                      <w14:alpha w14:val="100000"/>
                    </w14:srgbClr>
                  </w14:solidFill>
                </w14:textFill>
              </w:rPr>
              <w:t>|</w:t>
            </w:r>
            <w:r w:rsidRPr="00542E3B">
              <w:rPr>
                <w:rFonts w:cs="Calibri" w:hint="eastAsia"/>
                <w:iCs/>
                <w:color w:val="000000"/>
                <w:spacing w:val="5"/>
                <w:w w:val="27"/>
                <w:szCs w:val="20"/>
                <w:shd w:val="solid" w:color="000000" w:fill="000000"/>
                <w:fitText w:val="123" w:id="-1435870459"/>
                <w14:textFill>
                  <w14:solidFill>
                    <w14:srgbClr w14:val="000000">
                      <w14:alpha w14:val="100000"/>
                    </w14:srgbClr>
                  </w14:solidFill>
                </w14:textFill>
              </w:rPr>
              <w:t xml:space="preserve">　</w:t>
            </w:r>
            <w:r w:rsidR="005407BD" w:rsidRPr="005407BD">
              <w:rPr>
                <w:rFonts w:cs="Calibri"/>
                <w:iCs/>
                <w:color w:val="000000"/>
                <w:szCs w:val="20"/>
                <w:vertAlign w:val="superscript"/>
              </w:rPr>
              <w:t>1</w:t>
            </w:r>
          </w:p>
        </w:tc>
        <w:tc>
          <w:tcPr>
            <w:tcW w:w="1171" w:type="dxa"/>
          </w:tcPr>
          <w:p w14:paraId="058A7783" w14:textId="3E41F83C"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8"/>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8"/>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8"/>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2C177E75" w14:textId="1144D404"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7"/>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7"/>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7"/>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1C5B2C3E" w14:textId="4BE2F7D7"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6"/>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6"/>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6"/>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70BD02EA" w14:textId="340DDF91"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5"/>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5"/>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5"/>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1E25B449" w14:textId="76C05563"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1" w:id="-1435870454"/>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1" w:id="-1435870454"/>
                <w14:textFill>
                  <w14:solidFill>
                    <w14:srgbClr w14:val="000000">
                      <w14:alpha w14:val="100000"/>
                    </w14:srgbClr>
                  </w14:solidFill>
                </w14:textFill>
              </w:rPr>
              <w:t>|</w:t>
            </w:r>
            <w:r w:rsidRPr="00542E3B">
              <w:rPr>
                <w:rFonts w:cs="Calibri" w:hint="eastAsia"/>
                <w:iCs/>
                <w:color w:val="000000"/>
                <w:spacing w:val="4"/>
                <w:w w:val="22"/>
                <w:szCs w:val="20"/>
                <w:shd w:val="solid" w:color="000000" w:fill="000000"/>
                <w:fitText w:val="101" w:id="-1435870454"/>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r>
      <w:tr w:rsidR="00CA35AC" w:rsidRPr="00501526" w14:paraId="49F0C91A" w14:textId="77777777" w:rsidTr="00CA35AC">
        <w:tc>
          <w:tcPr>
            <w:tcW w:w="2034" w:type="dxa"/>
          </w:tcPr>
          <w:p w14:paraId="43AA459A" w14:textId="77777777" w:rsidR="00CA35AC" w:rsidRPr="00501526" w:rsidRDefault="00CA35AC" w:rsidP="00CC143B">
            <w:pPr>
              <w:pStyle w:val="Tabletext"/>
              <w:keepNext/>
              <w:keepLines/>
              <w:widowControl w:val="0"/>
              <w:rPr>
                <w:iCs/>
                <w:szCs w:val="20"/>
              </w:rPr>
            </w:pPr>
            <w:r w:rsidRPr="00501526">
              <w:rPr>
                <w:iCs/>
                <w:szCs w:val="20"/>
              </w:rPr>
              <w:t>Clinic f/u (70%)</w:t>
            </w:r>
          </w:p>
        </w:tc>
        <w:tc>
          <w:tcPr>
            <w:tcW w:w="1127" w:type="dxa"/>
          </w:tcPr>
          <w:p w14:paraId="763CEF7F" w14:textId="669C6B9F" w:rsidR="00CA35AC" w:rsidRPr="005407BD" w:rsidRDefault="00542E3B" w:rsidP="00CC143B">
            <w:pPr>
              <w:pStyle w:val="Tabletext"/>
              <w:keepNext/>
              <w:keepLines/>
              <w:widowControl w:val="0"/>
              <w:jc w:val="center"/>
              <w:rPr>
                <w:iCs/>
                <w:szCs w:val="20"/>
              </w:rPr>
            </w:pPr>
            <w:r w:rsidRPr="00542E3B">
              <w:rPr>
                <w:rFonts w:cs="Calibri" w:hint="eastAsia"/>
                <w:iCs/>
                <w:color w:val="000000"/>
                <w:w w:val="27"/>
                <w:szCs w:val="20"/>
                <w:shd w:val="solid" w:color="000000" w:fill="000000"/>
                <w:fitText w:val="123" w:id="-1435870453"/>
                <w14:textFill>
                  <w14:solidFill>
                    <w14:srgbClr w14:val="000000">
                      <w14:alpha w14:val="100000"/>
                    </w14:srgbClr>
                  </w14:solidFill>
                </w14:textFill>
              </w:rPr>
              <w:t xml:space="preserve">　</w:t>
            </w:r>
            <w:r w:rsidRPr="00542E3B">
              <w:rPr>
                <w:rFonts w:cs="Calibri"/>
                <w:iCs/>
                <w:color w:val="000000"/>
                <w:w w:val="27"/>
                <w:szCs w:val="20"/>
                <w:shd w:val="solid" w:color="000000" w:fill="000000"/>
                <w:fitText w:val="123" w:id="-1435870453"/>
                <w14:textFill>
                  <w14:solidFill>
                    <w14:srgbClr w14:val="000000">
                      <w14:alpha w14:val="100000"/>
                    </w14:srgbClr>
                  </w14:solidFill>
                </w14:textFill>
              </w:rPr>
              <w:t>|</w:t>
            </w:r>
            <w:r w:rsidRPr="00542E3B">
              <w:rPr>
                <w:rFonts w:cs="Calibri" w:hint="eastAsia"/>
                <w:iCs/>
                <w:color w:val="000000"/>
                <w:spacing w:val="5"/>
                <w:w w:val="27"/>
                <w:szCs w:val="20"/>
                <w:shd w:val="solid" w:color="000000" w:fill="000000"/>
                <w:fitText w:val="123" w:id="-1435870453"/>
                <w14:textFill>
                  <w14:solidFill>
                    <w14:srgbClr w14:val="000000">
                      <w14:alpha w14:val="100000"/>
                    </w14:srgbClr>
                  </w14:solidFill>
                </w14:textFill>
              </w:rPr>
              <w:t xml:space="preserve">　</w:t>
            </w:r>
            <w:r w:rsidR="005407BD" w:rsidRPr="005407BD">
              <w:rPr>
                <w:rFonts w:cs="Calibri"/>
                <w:iCs/>
                <w:color w:val="000000"/>
                <w:szCs w:val="20"/>
                <w:vertAlign w:val="superscript"/>
              </w:rPr>
              <w:t>1</w:t>
            </w:r>
          </w:p>
        </w:tc>
        <w:tc>
          <w:tcPr>
            <w:tcW w:w="1171" w:type="dxa"/>
          </w:tcPr>
          <w:p w14:paraId="1ABCD114" w14:textId="6F7BCAB7"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2"/>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2"/>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2"/>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8AD9C25" w14:textId="0A3FDCD7"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1"/>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1"/>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1"/>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174C13E8" w14:textId="3FE3A03A"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50"/>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50"/>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50"/>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CA4644D" w14:textId="2E4961AA"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49"/>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49"/>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49"/>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29A8C094" w14:textId="4759F67E"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1" w:id="-1435870448"/>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1" w:id="-1435870448"/>
                <w14:textFill>
                  <w14:solidFill>
                    <w14:srgbClr w14:val="000000">
                      <w14:alpha w14:val="100000"/>
                    </w14:srgbClr>
                  </w14:solidFill>
                </w14:textFill>
              </w:rPr>
              <w:t>|</w:t>
            </w:r>
            <w:r w:rsidRPr="00542E3B">
              <w:rPr>
                <w:rFonts w:cs="Calibri" w:hint="eastAsia"/>
                <w:iCs/>
                <w:color w:val="000000"/>
                <w:spacing w:val="4"/>
                <w:w w:val="22"/>
                <w:szCs w:val="20"/>
                <w:shd w:val="solid" w:color="000000" w:fill="000000"/>
                <w:fitText w:val="101" w:id="-1435870448"/>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r>
      <w:tr w:rsidR="00CA35AC" w:rsidRPr="00501526" w14:paraId="2B545911" w14:textId="77777777" w:rsidTr="00CA35AC">
        <w:tc>
          <w:tcPr>
            <w:tcW w:w="2034" w:type="dxa"/>
          </w:tcPr>
          <w:p w14:paraId="355FD465" w14:textId="77777777" w:rsidR="00CA35AC" w:rsidRPr="00501526" w:rsidRDefault="00CA35AC" w:rsidP="00CC143B">
            <w:pPr>
              <w:pStyle w:val="Tabletext"/>
              <w:keepNext/>
              <w:keepLines/>
              <w:widowControl w:val="0"/>
              <w:rPr>
                <w:iCs/>
                <w:szCs w:val="20"/>
              </w:rPr>
            </w:pPr>
            <w:r w:rsidRPr="00501526">
              <w:rPr>
                <w:iCs/>
                <w:szCs w:val="20"/>
              </w:rPr>
              <w:t>&gt;600 µmol/L (49.9%)</w:t>
            </w:r>
          </w:p>
        </w:tc>
        <w:tc>
          <w:tcPr>
            <w:tcW w:w="1127" w:type="dxa"/>
          </w:tcPr>
          <w:p w14:paraId="3863FA63" w14:textId="3C2E6110" w:rsidR="00CA35AC" w:rsidRPr="005407BD" w:rsidRDefault="00542E3B" w:rsidP="00CC143B">
            <w:pPr>
              <w:pStyle w:val="Tabletext"/>
              <w:keepNext/>
              <w:keepLines/>
              <w:widowControl w:val="0"/>
              <w:jc w:val="center"/>
              <w:rPr>
                <w:iCs/>
                <w:szCs w:val="20"/>
                <w:highlight w:val="darkGray"/>
              </w:rPr>
            </w:pPr>
            <w:r w:rsidRPr="00542E3B">
              <w:rPr>
                <w:rFonts w:cs="Calibri" w:hint="eastAsia"/>
                <w:iCs/>
                <w:color w:val="000000"/>
                <w:w w:val="27"/>
                <w:szCs w:val="20"/>
                <w:shd w:val="solid" w:color="000000" w:fill="000000"/>
                <w:fitText w:val="123" w:id="-1435870464"/>
                <w14:textFill>
                  <w14:solidFill>
                    <w14:srgbClr w14:val="000000">
                      <w14:alpha w14:val="100000"/>
                    </w14:srgbClr>
                  </w14:solidFill>
                </w14:textFill>
              </w:rPr>
              <w:t xml:space="preserve">　</w:t>
            </w:r>
            <w:r w:rsidRPr="00542E3B">
              <w:rPr>
                <w:rFonts w:cs="Calibri"/>
                <w:iCs/>
                <w:color w:val="000000"/>
                <w:w w:val="27"/>
                <w:szCs w:val="20"/>
                <w:shd w:val="solid" w:color="000000" w:fill="000000"/>
                <w:fitText w:val="123" w:id="-1435870464"/>
                <w14:textFill>
                  <w14:solidFill>
                    <w14:srgbClr w14:val="000000">
                      <w14:alpha w14:val="100000"/>
                    </w14:srgbClr>
                  </w14:solidFill>
                </w14:textFill>
              </w:rPr>
              <w:t>|</w:t>
            </w:r>
            <w:r w:rsidRPr="00542E3B">
              <w:rPr>
                <w:rFonts w:cs="Calibri" w:hint="eastAsia"/>
                <w:iCs/>
                <w:color w:val="000000"/>
                <w:spacing w:val="5"/>
                <w:w w:val="27"/>
                <w:szCs w:val="20"/>
                <w:shd w:val="solid" w:color="000000" w:fill="000000"/>
                <w:fitText w:val="123" w:id="-1435870464"/>
                <w14:textFill>
                  <w14:solidFill>
                    <w14:srgbClr w14:val="000000">
                      <w14:alpha w14:val="100000"/>
                    </w14:srgbClr>
                  </w14:solidFill>
                </w14:textFill>
              </w:rPr>
              <w:t xml:space="preserve">　</w:t>
            </w:r>
            <w:r w:rsidR="005407BD" w:rsidRPr="005407BD">
              <w:rPr>
                <w:rFonts w:cs="Calibri"/>
                <w:iCs/>
                <w:color w:val="000000"/>
                <w:szCs w:val="20"/>
                <w:vertAlign w:val="superscript"/>
              </w:rPr>
              <w:t>1</w:t>
            </w:r>
          </w:p>
        </w:tc>
        <w:tc>
          <w:tcPr>
            <w:tcW w:w="1171" w:type="dxa"/>
          </w:tcPr>
          <w:p w14:paraId="6E897DAE" w14:textId="48D81361"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3"/>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3"/>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3"/>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2BA7749F" w14:textId="3A2171F9"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2"/>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2"/>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2"/>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231CDB4" w14:textId="30D36F8F"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1"/>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1"/>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1"/>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5BAD5957" w14:textId="6C72A732"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0" w:id="-1435870460"/>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0" w:id="-1435870460"/>
                <w14:textFill>
                  <w14:solidFill>
                    <w14:srgbClr w14:val="000000">
                      <w14:alpha w14:val="100000"/>
                    </w14:srgbClr>
                  </w14:solidFill>
                </w14:textFill>
              </w:rPr>
              <w:t>|</w:t>
            </w:r>
            <w:r w:rsidRPr="00542E3B">
              <w:rPr>
                <w:rFonts w:cs="Calibri" w:hint="eastAsia"/>
                <w:iCs/>
                <w:color w:val="000000"/>
                <w:spacing w:val="3"/>
                <w:w w:val="22"/>
                <w:szCs w:val="20"/>
                <w:shd w:val="solid" w:color="000000" w:fill="000000"/>
                <w:fitText w:val="100" w:id="-1435870460"/>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24494E7A" w14:textId="15DEDE1E" w:rsidR="00CA35AC" w:rsidRPr="005407BD" w:rsidRDefault="00542E3B" w:rsidP="00CC143B">
            <w:pPr>
              <w:pStyle w:val="Tabletext"/>
              <w:keepNext/>
              <w:keepLines/>
              <w:widowControl w:val="0"/>
              <w:jc w:val="center"/>
              <w:rPr>
                <w:iCs/>
                <w:szCs w:val="20"/>
              </w:rPr>
            </w:pPr>
            <w:r w:rsidRPr="00542E3B">
              <w:rPr>
                <w:rFonts w:cs="Calibri" w:hint="eastAsia"/>
                <w:iCs/>
                <w:color w:val="000000"/>
                <w:w w:val="22"/>
                <w:szCs w:val="20"/>
                <w:shd w:val="solid" w:color="000000" w:fill="000000"/>
                <w:fitText w:val="101" w:id="-1435870459"/>
                <w14:textFill>
                  <w14:solidFill>
                    <w14:srgbClr w14:val="000000">
                      <w14:alpha w14:val="100000"/>
                    </w14:srgbClr>
                  </w14:solidFill>
                </w14:textFill>
              </w:rPr>
              <w:t xml:space="preserve">　</w:t>
            </w:r>
            <w:r w:rsidRPr="00542E3B">
              <w:rPr>
                <w:rFonts w:cs="Calibri"/>
                <w:iCs/>
                <w:color w:val="000000"/>
                <w:w w:val="22"/>
                <w:szCs w:val="20"/>
                <w:shd w:val="solid" w:color="000000" w:fill="000000"/>
                <w:fitText w:val="101" w:id="-1435870459"/>
                <w14:textFill>
                  <w14:solidFill>
                    <w14:srgbClr w14:val="000000">
                      <w14:alpha w14:val="100000"/>
                    </w14:srgbClr>
                  </w14:solidFill>
                </w14:textFill>
              </w:rPr>
              <w:t>|</w:t>
            </w:r>
            <w:r w:rsidRPr="00542E3B">
              <w:rPr>
                <w:rFonts w:cs="Calibri" w:hint="eastAsia"/>
                <w:iCs/>
                <w:color w:val="000000"/>
                <w:spacing w:val="4"/>
                <w:w w:val="22"/>
                <w:szCs w:val="20"/>
                <w:shd w:val="solid" w:color="000000" w:fill="000000"/>
                <w:fitText w:val="101" w:id="-1435870459"/>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r>
      <w:tr w:rsidR="00CA35AC" w:rsidRPr="00501526" w14:paraId="3235681D" w14:textId="77777777" w:rsidTr="00CA35AC">
        <w:tc>
          <w:tcPr>
            <w:tcW w:w="2034" w:type="dxa"/>
          </w:tcPr>
          <w:p w14:paraId="5DE9A43C" w14:textId="77777777" w:rsidR="00CA35AC" w:rsidRPr="00501526" w:rsidRDefault="00CA35AC" w:rsidP="00CC143B">
            <w:pPr>
              <w:pStyle w:val="Tabletext"/>
              <w:keepNext/>
              <w:keepLines/>
              <w:widowControl w:val="0"/>
              <w:rPr>
                <w:b/>
                <w:bCs/>
                <w:iCs/>
                <w:szCs w:val="20"/>
              </w:rPr>
            </w:pPr>
            <w:r w:rsidRPr="00501526">
              <w:rPr>
                <w:b/>
                <w:bCs/>
                <w:iCs/>
                <w:szCs w:val="20"/>
              </w:rPr>
              <w:t>Eligible population</w:t>
            </w:r>
          </w:p>
        </w:tc>
        <w:tc>
          <w:tcPr>
            <w:tcW w:w="1127" w:type="dxa"/>
          </w:tcPr>
          <w:p w14:paraId="674E8170" w14:textId="04D0142F" w:rsidR="00CA35AC" w:rsidRPr="005407BD" w:rsidRDefault="00542E3B" w:rsidP="00CC143B">
            <w:pPr>
              <w:pStyle w:val="Tabletext"/>
              <w:keepNext/>
              <w:keepLines/>
              <w:widowControl w:val="0"/>
              <w:jc w:val="center"/>
              <w:rPr>
                <w:b/>
                <w:bCs/>
                <w:iCs/>
                <w:szCs w:val="20"/>
              </w:rPr>
            </w:pPr>
            <w:r w:rsidRPr="00542E3B">
              <w:rPr>
                <w:rFonts w:cs="Calibri"/>
                <w:b/>
                <w:bCs/>
                <w:iCs/>
                <w:color w:val="000000"/>
                <w:spacing w:val="70"/>
                <w:szCs w:val="20"/>
                <w:shd w:val="solid" w:color="000000" w:fill="000000"/>
                <w:fitText w:val="162" w:id="-1435870458"/>
                <w14:textFill>
                  <w14:solidFill>
                    <w14:srgbClr w14:val="000000">
                      <w14:alpha w14:val="100000"/>
                    </w14:srgbClr>
                  </w14:solidFill>
                </w14:textFill>
              </w:rPr>
              <w:t>|</w:t>
            </w:r>
            <w:r w:rsidRPr="00542E3B">
              <w:rPr>
                <w:rFonts w:cs="Calibri"/>
                <w:b/>
                <w:bCs/>
                <w:iCs/>
                <w:color w:val="000000"/>
                <w:spacing w:val="1"/>
                <w:szCs w:val="20"/>
                <w:shd w:val="solid" w:color="000000" w:fill="000000"/>
                <w:fitText w:val="162" w:id="-1435870458"/>
                <w14:textFill>
                  <w14:solidFill>
                    <w14:srgbClr w14:val="000000">
                      <w14:alpha w14:val="100000"/>
                    </w14:srgbClr>
                  </w14:solidFill>
                </w14:textFill>
              </w:rPr>
              <w:t>|</w:t>
            </w:r>
            <w:r w:rsidR="005407BD" w:rsidRPr="005407BD">
              <w:rPr>
                <w:rFonts w:cs="Calibri"/>
                <w:iCs/>
                <w:color w:val="000000"/>
                <w:szCs w:val="20"/>
                <w:vertAlign w:val="superscript"/>
              </w:rPr>
              <w:t>1</w:t>
            </w:r>
          </w:p>
        </w:tc>
        <w:tc>
          <w:tcPr>
            <w:tcW w:w="1171" w:type="dxa"/>
          </w:tcPr>
          <w:p w14:paraId="49C89841" w14:textId="3D42F805" w:rsidR="00CA35AC" w:rsidRPr="005407BD" w:rsidRDefault="00542E3B" w:rsidP="00CC143B">
            <w:pPr>
              <w:pStyle w:val="Tabletext"/>
              <w:keepNext/>
              <w:keepLines/>
              <w:widowControl w:val="0"/>
              <w:jc w:val="center"/>
              <w:rPr>
                <w:b/>
                <w:bCs/>
                <w:iCs/>
                <w:szCs w:val="20"/>
              </w:rPr>
            </w:pPr>
            <w:r w:rsidRPr="00542E3B">
              <w:rPr>
                <w:rFonts w:cs="Calibri" w:hint="eastAsia"/>
                <w:b/>
                <w:bCs/>
                <w:iCs/>
                <w:color w:val="000000"/>
                <w:w w:val="32"/>
                <w:szCs w:val="20"/>
                <w:shd w:val="solid" w:color="000000" w:fill="000000"/>
                <w:fitText w:val="146" w:id="-1435870457"/>
                <w14:textFill>
                  <w14:solidFill>
                    <w14:srgbClr w14:val="000000">
                      <w14:alpha w14:val="100000"/>
                    </w14:srgbClr>
                  </w14:solidFill>
                </w14:textFill>
              </w:rPr>
              <w:t xml:space="preserve">　</w:t>
            </w:r>
            <w:r w:rsidRPr="00542E3B">
              <w:rPr>
                <w:rFonts w:cs="Calibri"/>
                <w:b/>
                <w:bCs/>
                <w:iCs/>
                <w:color w:val="000000"/>
                <w:w w:val="32"/>
                <w:szCs w:val="20"/>
                <w:shd w:val="solid" w:color="000000" w:fill="000000"/>
                <w:fitText w:val="146" w:id="-1435870457"/>
                <w14:textFill>
                  <w14:solidFill>
                    <w14:srgbClr w14:val="000000">
                      <w14:alpha w14:val="100000"/>
                    </w14:srgbClr>
                  </w14:solidFill>
                </w14:textFill>
              </w:rPr>
              <w:t>|</w:t>
            </w:r>
            <w:r w:rsidRPr="00542E3B">
              <w:rPr>
                <w:rFonts w:cs="Calibri" w:hint="eastAsia"/>
                <w:b/>
                <w:bCs/>
                <w:iCs/>
                <w:color w:val="000000"/>
                <w:spacing w:val="6"/>
                <w:w w:val="32"/>
                <w:szCs w:val="20"/>
                <w:shd w:val="solid" w:color="000000" w:fill="000000"/>
                <w:fitText w:val="146" w:id="-1435870457"/>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2F85C50A" w14:textId="53F02969" w:rsidR="00CA35AC" w:rsidRPr="005407BD" w:rsidRDefault="00542E3B" w:rsidP="00CC143B">
            <w:pPr>
              <w:pStyle w:val="Tabletext"/>
              <w:keepNext/>
              <w:keepLines/>
              <w:widowControl w:val="0"/>
              <w:jc w:val="center"/>
              <w:rPr>
                <w:b/>
                <w:bCs/>
                <w:iCs/>
                <w:szCs w:val="20"/>
              </w:rPr>
            </w:pPr>
            <w:r w:rsidRPr="00542E3B">
              <w:rPr>
                <w:rFonts w:cs="Calibri" w:hint="eastAsia"/>
                <w:b/>
                <w:bCs/>
                <w:iCs/>
                <w:color w:val="000000"/>
                <w:w w:val="32"/>
                <w:szCs w:val="20"/>
                <w:shd w:val="solid" w:color="000000" w:fill="000000"/>
                <w:fitText w:val="147" w:id="-1435870456"/>
                <w14:textFill>
                  <w14:solidFill>
                    <w14:srgbClr w14:val="000000">
                      <w14:alpha w14:val="100000"/>
                    </w14:srgbClr>
                  </w14:solidFill>
                </w14:textFill>
              </w:rPr>
              <w:t xml:space="preserve">　</w:t>
            </w:r>
            <w:r w:rsidRPr="00542E3B">
              <w:rPr>
                <w:rFonts w:cs="Calibri"/>
                <w:b/>
                <w:bCs/>
                <w:iCs/>
                <w:color w:val="000000"/>
                <w:w w:val="32"/>
                <w:szCs w:val="20"/>
                <w:shd w:val="solid" w:color="000000" w:fill="000000"/>
                <w:fitText w:val="147" w:id="-1435870456"/>
                <w14:textFill>
                  <w14:solidFill>
                    <w14:srgbClr w14:val="000000">
                      <w14:alpha w14:val="100000"/>
                    </w14:srgbClr>
                  </w14:solidFill>
                </w14:textFill>
              </w:rPr>
              <w:t>|</w:t>
            </w:r>
            <w:r w:rsidRPr="00542E3B">
              <w:rPr>
                <w:rFonts w:cs="Calibri" w:hint="eastAsia"/>
                <w:b/>
                <w:bCs/>
                <w:iCs/>
                <w:color w:val="000000"/>
                <w:spacing w:val="7"/>
                <w:w w:val="32"/>
                <w:szCs w:val="20"/>
                <w:shd w:val="solid" w:color="000000" w:fill="000000"/>
                <w:fitText w:val="147" w:id="-1435870456"/>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39E4D8CA" w14:textId="248B25DB" w:rsidR="00CA35AC" w:rsidRPr="005407BD" w:rsidRDefault="00542E3B" w:rsidP="00CC143B">
            <w:pPr>
              <w:pStyle w:val="Tabletext"/>
              <w:keepNext/>
              <w:keepLines/>
              <w:widowControl w:val="0"/>
              <w:jc w:val="center"/>
              <w:rPr>
                <w:b/>
                <w:bCs/>
                <w:iCs/>
                <w:szCs w:val="20"/>
              </w:rPr>
            </w:pPr>
            <w:r w:rsidRPr="00542E3B">
              <w:rPr>
                <w:rFonts w:cs="Calibri" w:hint="eastAsia"/>
                <w:b/>
                <w:bCs/>
                <w:iCs/>
                <w:color w:val="000000"/>
                <w:w w:val="32"/>
                <w:szCs w:val="20"/>
                <w:shd w:val="solid" w:color="000000" w:fill="000000"/>
                <w:fitText w:val="146" w:id="-1435870455"/>
                <w14:textFill>
                  <w14:solidFill>
                    <w14:srgbClr w14:val="000000">
                      <w14:alpha w14:val="100000"/>
                    </w14:srgbClr>
                  </w14:solidFill>
                </w14:textFill>
              </w:rPr>
              <w:t xml:space="preserve">　</w:t>
            </w:r>
            <w:r w:rsidRPr="00542E3B">
              <w:rPr>
                <w:rFonts w:cs="Calibri"/>
                <w:b/>
                <w:bCs/>
                <w:iCs/>
                <w:color w:val="000000"/>
                <w:w w:val="32"/>
                <w:szCs w:val="20"/>
                <w:shd w:val="solid" w:color="000000" w:fill="000000"/>
                <w:fitText w:val="146" w:id="-1435870455"/>
                <w14:textFill>
                  <w14:solidFill>
                    <w14:srgbClr w14:val="000000">
                      <w14:alpha w14:val="100000"/>
                    </w14:srgbClr>
                  </w14:solidFill>
                </w14:textFill>
              </w:rPr>
              <w:t>|</w:t>
            </w:r>
            <w:r w:rsidRPr="00542E3B">
              <w:rPr>
                <w:rFonts w:cs="Calibri" w:hint="eastAsia"/>
                <w:b/>
                <w:bCs/>
                <w:iCs/>
                <w:color w:val="000000"/>
                <w:spacing w:val="6"/>
                <w:w w:val="32"/>
                <w:szCs w:val="20"/>
                <w:shd w:val="solid" w:color="000000" w:fill="000000"/>
                <w:fitText w:val="146" w:id="-1435870455"/>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1B5D9427" w14:textId="30C54ED7" w:rsidR="00CA35AC" w:rsidRPr="005407BD" w:rsidRDefault="00542E3B" w:rsidP="00CC143B">
            <w:pPr>
              <w:pStyle w:val="Tabletext"/>
              <w:keepNext/>
              <w:keepLines/>
              <w:widowControl w:val="0"/>
              <w:jc w:val="center"/>
              <w:rPr>
                <w:b/>
                <w:bCs/>
                <w:iCs/>
                <w:szCs w:val="20"/>
              </w:rPr>
            </w:pPr>
            <w:r w:rsidRPr="00542E3B">
              <w:rPr>
                <w:rFonts w:cs="Calibri" w:hint="eastAsia"/>
                <w:b/>
                <w:bCs/>
                <w:iCs/>
                <w:color w:val="000000"/>
                <w:w w:val="32"/>
                <w:szCs w:val="20"/>
                <w:shd w:val="solid" w:color="000000" w:fill="000000"/>
                <w:fitText w:val="147" w:id="-1435870454"/>
                <w14:textFill>
                  <w14:solidFill>
                    <w14:srgbClr w14:val="000000">
                      <w14:alpha w14:val="100000"/>
                    </w14:srgbClr>
                  </w14:solidFill>
                </w14:textFill>
              </w:rPr>
              <w:t xml:space="preserve">　</w:t>
            </w:r>
            <w:r w:rsidRPr="00542E3B">
              <w:rPr>
                <w:rFonts w:cs="Calibri"/>
                <w:b/>
                <w:bCs/>
                <w:iCs/>
                <w:color w:val="000000"/>
                <w:w w:val="32"/>
                <w:szCs w:val="20"/>
                <w:shd w:val="solid" w:color="000000" w:fill="000000"/>
                <w:fitText w:val="147" w:id="-1435870454"/>
                <w14:textFill>
                  <w14:solidFill>
                    <w14:srgbClr w14:val="000000">
                      <w14:alpha w14:val="100000"/>
                    </w14:srgbClr>
                  </w14:solidFill>
                </w14:textFill>
              </w:rPr>
              <w:t>|</w:t>
            </w:r>
            <w:r w:rsidRPr="00542E3B">
              <w:rPr>
                <w:rFonts w:cs="Calibri" w:hint="eastAsia"/>
                <w:b/>
                <w:bCs/>
                <w:iCs/>
                <w:color w:val="000000"/>
                <w:spacing w:val="7"/>
                <w:w w:val="32"/>
                <w:szCs w:val="20"/>
                <w:shd w:val="solid" w:color="000000" w:fill="000000"/>
                <w:fitText w:val="147" w:id="-1435870454"/>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c>
          <w:tcPr>
            <w:tcW w:w="1171" w:type="dxa"/>
          </w:tcPr>
          <w:p w14:paraId="70095CAE" w14:textId="01A9A691" w:rsidR="00CA35AC" w:rsidRPr="005407BD" w:rsidRDefault="00542E3B" w:rsidP="00CC143B">
            <w:pPr>
              <w:pStyle w:val="Tabletext"/>
              <w:keepNext/>
              <w:keepLines/>
              <w:widowControl w:val="0"/>
              <w:jc w:val="center"/>
              <w:rPr>
                <w:b/>
                <w:bCs/>
                <w:iCs/>
                <w:szCs w:val="20"/>
              </w:rPr>
            </w:pPr>
            <w:r w:rsidRPr="00542E3B">
              <w:rPr>
                <w:rFonts w:cs="Calibri" w:hint="eastAsia"/>
                <w:b/>
                <w:bCs/>
                <w:iCs/>
                <w:color w:val="000000"/>
                <w:w w:val="32"/>
                <w:szCs w:val="20"/>
                <w:shd w:val="solid" w:color="000000" w:fill="000000"/>
                <w:fitText w:val="146" w:id="-1435870453"/>
                <w14:textFill>
                  <w14:solidFill>
                    <w14:srgbClr w14:val="000000">
                      <w14:alpha w14:val="100000"/>
                    </w14:srgbClr>
                  </w14:solidFill>
                </w14:textFill>
              </w:rPr>
              <w:t xml:space="preserve">　</w:t>
            </w:r>
            <w:r w:rsidRPr="00542E3B">
              <w:rPr>
                <w:rFonts w:cs="Calibri"/>
                <w:b/>
                <w:bCs/>
                <w:iCs/>
                <w:color w:val="000000"/>
                <w:w w:val="32"/>
                <w:szCs w:val="20"/>
                <w:shd w:val="solid" w:color="000000" w:fill="000000"/>
                <w:fitText w:val="146" w:id="-1435870453"/>
                <w14:textFill>
                  <w14:solidFill>
                    <w14:srgbClr w14:val="000000">
                      <w14:alpha w14:val="100000"/>
                    </w14:srgbClr>
                  </w14:solidFill>
                </w14:textFill>
              </w:rPr>
              <w:t>|</w:t>
            </w:r>
            <w:r w:rsidRPr="00542E3B">
              <w:rPr>
                <w:rFonts w:cs="Calibri" w:hint="eastAsia"/>
                <w:b/>
                <w:bCs/>
                <w:iCs/>
                <w:color w:val="000000"/>
                <w:spacing w:val="6"/>
                <w:w w:val="32"/>
                <w:szCs w:val="20"/>
                <w:shd w:val="solid" w:color="000000" w:fill="000000"/>
                <w:fitText w:val="146" w:id="-1435870453"/>
                <w14:textFill>
                  <w14:solidFill>
                    <w14:srgbClr w14:val="000000">
                      <w14:alpha w14:val="100000"/>
                    </w14:srgbClr>
                  </w14:solidFill>
                </w14:textFill>
              </w:rPr>
              <w:t xml:space="preserve">　</w:t>
            </w:r>
            <w:r w:rsidR="00244E19" w:rsidRPr="005407BD">
              <w:rPr>
                <w:rFonts w:cs="Calibri"/>
                <w:iCs/>
                <w:color w:val="000000"/>
                <w:szCs w:val="20"/>
                <w:vertAlign w:val="superscript"/>
              </w:rPr>
              <w:t>1</w:t>
            </w:r>
          </w:p>
        </w:tc>
      </w:tr>
      <w:tr w:rsidR="00DD415E" w:rsidRPr="00501526" w14:paraId="236B99D8" w14:textId="77777777" w:rsidTr="00C235C5">
        <w:tc>
          <w:tcPr>
            <w:tcW w:w="2034" w:type="dxa"/>
          </w:tcPr>
          <w:p w14:paraId="7AC2089A" w14:textId="1A9D4036" w:rsidR="00DD415E" w:rsidRPr="00501526" w:rsidRDefault="00DD415E" w:rsidP="00CC143B">
            <w:pPr>
              <w:pStyle w:val="Tabletext"/>
              <w:keepNext/>
              <w:keepLines/>
              <w:widowControl w:val="0"/>
              <w:rPr>
                <w:iCs/>
                <w:szCs w:val="20"/>
              </w:rPr>
            </w:pPr>
            <w:r w:rsidRPr="00501526">
              <w:rPr>
                <w:iCs/>
                <w:szCs w:val="20"/>
              </w:rPr>
              <w:t>Uptake rate</w:t>
            </w:r>
          </w:p>
        </w:tc>
        <w:tc>
          <w:tcPr>
            <w:tcW w:w="1127" w:type="dxa"/>
            <w:vAlign w:val="center"/>
          </w:tcPr>
          <w:p w14:paraId="00D103CB" w14:textId="479B0211" w:rsidR="00DD415E" w:rsidRPr="005407BD" w:rsidRDefault="00542E3B" w:rsidP="00CC143B">
            <w:pPr>
              <w:pStyle w:val="Tabletext"/>
              <w:keepNext/>
              <w:keepLines/>
              <w:widowControl w:val="0"/>
              <w:jc w:val="center"/>
              <w:rPr>
                <w:rFonts w:cs="Calibri"/>
                <w:iCs/>
                <w:color w:val="000000"/>
                <w:szCs w:val="20"/>
              </w:rPr>
            </w:pPr>
            <w:r w:rsidRPr="00542E3B">
              <w:rPr>
                <w:rFonts w:cs="Calibri"/>
                <w:iCs/>
                <w:color w:val="000000"/>
                <w:spacing w:val="83"/>
                <w:szCs w:val="20"/>
                <w:shd w:val="solid" w:color="000000" w:fill="000000"/>
                <w:fitText w:val="169" w:id="-1435870452"/>
                <w14:textFill>
                  <w14:solidFill>
                    <w14:srgbClr w14:val="000000">
                      <w14:alpha w14:val="100000"/>
                    </w14:srgbClr>
                  </w14:solidFill>
                </w14:textFill>
              </w:rPr>
              <w:t>|</w:t>
            </w:r>
            <w:r w:rsidRPr="00542E3B">
              <w:rPr>
                <w:rFonts w:cs="Calibri"/>
                <w:iCs/>
                <w:color w:val="000000"/>
                <w:spacing w:val="1"/>
                <w:szCs w:val="20"/>
                <w:shd w:val="solid" w:color="000000" w:fill="000000"/>
                <w:fitText w:val="169" w:id="-1435870452"/>
                <w14:textFill>
                  <w14:solidFill>
                    <w14:srgbClr w14:val="000000">
                      <w14:alpha w14:val="100000"/>
                    </w14:srgbClr>
                  </w14:solidFill>
                </w14:textFill>
              </w:rPr>
              <w:t>|</w:t>
            </w:r>
            <w:r w:rsidR="00DD415E" w:rsidRPr="005407BD">
              <w:rPr>
                <w:rFonts w:cs="Calibri"/>
                <w:iCs/>
                <w:color w:val="000000"/>
                <w:szCs w:val="20"/>
              </w:rPr>
              <w:t>%</w:t>
            </w:r>
          </w:p>
        </w:tc>
        <w:tc>
          <w:tcPr>
            <w:tcW w:w="1171" w:type="dxa"/>
            <w:vAlign w:val="center"/>
          </w:tcPr>
          <w:p w14:paraId="6D8B425C" w14:textId="245DA25A" w:rsidR="00DD415E" w:rsidRPr="005407BD" w:rsidRDefault="00542E3B" w:rsidP="00CC143B">
            <w:pPr>
              <w:pStyle w:val="Tabletext"/>
              <w:keepNext/>
              <w:keepLines/>
              <w:widowControl w:val="0"/>
              <w:jc w:val="center"/>
              <w:rPr>
                <w:rFonts w:cs="Calibri"/>
                <w:iCs/>
                <w:color w:val="000000"/>
                <w:szCs w:val="20"/>
              </w:rPr>
            </w:pPr>
            <w:r w:rsidRPr="00542E3B">
              <w:rPr>
                <w:rFonts w:cs="Calibri" w:hint="eastAsia"/>
                <w:iCs/>
                <w:color w:val="000000"/>
                <w:w w:val="33"/>
                <w:szCs w:val="20"/>
                <w:shd w:val="solid" w:color="000000" w:fill="000000"/>
                <w:fitText w:val="147" w:id="-1435870451"/>
                <w14:textFill>
                  <w14:solidFill>
                    <w14:srgbClr w14:val="000000">
                      <w14:alpha w14:val="100000"/>
                    </w14:srgbClr>
                  </w14:solidFill>
                </w14:textFill>
              </w:rPr>
              <w:t xml:space="preserve">　</w:t>
            </w:r>
            <w:r w:rsidRPr="00542E3B">
              <w:rPr>
                <w:rFonts w:cs="Calibri"/>
                <w:iCs/>
                <w:color w:val="000000"/>
                <w:w w:val="33"/>
                <w:szCs w:val="20"/>
                <w:shd w:val="solid" w:color="000000" w:fill="000000"/>
                <w:fitText w:val="147" w:id="-1435870451"/>
                <w14:textFill>
                  <w14:solidFill>
                    <w14:srgbClr w14:val="000000">
                      <w14:alpha w14:val="100000"/>
                    </w14:srgbClr>
                  </w14:solidFill>
                </w14:textFill>
              </w:rPr>
              <w:t>|</w:t>
            </w:r>
            <w:r w:rsidRPr="00542E3B">
              <w:rPr>
                <w:rFonts w:cs="Calibri" w:hint="eastAsia"/>
                <w:iCs/>
                <w:color w:val="000000"/>
                <w:spacing w:val="1"/>
                <w:w w:val="33"/>
                <w:szCs w:val="20"/>
                <w:shd w:val="solid" w:color="000000" w:fill="000000"/>
                <w:fitText w:val="147" w:id="-1435870451"/>
                <w14:textFill>
                  <w14:solidFill>
                    <w14:srgbClr w14:val="000000">
                      <w14:alpha w14:val="100000"/>
                    </w14:srgbClr>
                  </w14:solidFill>
                </w14:textFill>
              </w:rPr>
              <w:t xml:space="preserve">　</w:t>
            </w:r>
            <w:r w:rsidR="00DD415E" w:rsidRPr="005407BD">
              <w:rPr>
                <w:rFonts w:cs="Calibri"/>
                <w:iCs/>
                <w:color w:val="000000"/>
                <w:szCs w:val="20"/>
              </w:rPr>
              <w:t>%</w:t>
            </w:r>
          </w:p>
        </w:tc>
        <w:tc>
          <w:tcPr>
            <w:tcW w:w="1171" w:type="dxa"/>
            <w:vAlign w:val="center"/>
          </w:tcPr>
          <w:p w14:paraId="127DA56F" w14:textId="47484840" w:rsidR="00DD415E" w:rsidRPr="005407BD" w:rsidRDefault="00542E3B" w:rsidP="00CC143B">
            <w:pPr>
              <w:pStyle w:val="Tabletext"/>
              <w:keepNext/>
              <w:keepLines/>
              <w:widowControl w:val="0"/>
              <w:jc w:val="center"/>
              <w:rPr>
                <w:rFonts w:cs="Calibri"/>
                <w:iCs/>
                <w:color w:val="000000"/>
                <w:szCs w:val="20"/>
              </w:rPr>
            </w:pPr>
            <w:r w:rsidRPr="00542E3B">
              <w:rPr>
                <w:rFonts w:cs="Calibri" w:hint="eastAsia"/>
                <w:iCs/>
                <w:color w:val="000000"/>
                <w:w w:val="32"/>
                <w:szCs w:val="20"/>
                <w:shd w:val="solid" w:color="000000" w:fill="000000"/>
                <w:fitText w:val="146" w:id="-1435870450"/>
                <w14:textFill>
                  <w14:solidFill>
                    <w14:srgbClr w14:val="000000">
                      <w14:alpha w14:val="100000"/>
                    </w14:srgbClr>
                  </w14:solidFill>
                </w14:textFill>
              </w:rPr>
              <w:t xml:space="preserve">　</w:t>
            </w:r>
            <w:r w:rsidRPr="00542E3B">
              <w:rPr>
                <w:rFonts w:cs="Calibri"/>
                <w:iCs/>
                <w:color w:val="000000"/>
                <w:w w:val="32"/>
                <w:szCs w:val="20"/>
                <w:shd w:val="solid" w:color="000000" w:fill="000000"/>
                <w:fitText w:val="146" w:id="-1435870450"/>
                <w14:textFill>
                  <w14:solidFill>
                    <w14:srgbClr w14:val="000000">
                      <w14:alpha w14:val="100000"/>
                    </w14:srgbClr>
                  </w14:solidFill>
                </w14:textFill>
              </w:rPr>
              <w:t>|</w:t>
            </w:r>
            <w:r w:rsidRPr="00542E3B">
              <w:rPr>
                <w:rFonts w:cs="Calibri" w:hint="eastAsia"/>
                <w:iCs/>
                <w:color w:val="000000"/>
                <w:spacing w:val="7"/>
                <w:w w:val="32"/>
                <w:szCs w:val="20"/>
                <w:shd w:val="solid" w:color="000000" w:fill="000000"/>
                <w:fitText w:val="146" w:id="-1435870450"/>
                <w14:textFill>
                  <w14:solidFill>
                    <w14:srgbClr w14:val="000000">
                      <w14:alpha w14:val="100000"/>
                    </w14:srgbClr>
                  </w14:solidFill>
                </w14:textFill>
              </w:rPr>
              <w:t xml:space="preserve">　</w:t>
            </w:r>
            <w:r w:rsidR="00DD415E" w:rsidRPr="005407BD">
              <w:rPr>
                <w:rFonts w:cs="Calibri"/>
                <w:iCs/>
                <w:color w:val="000000"/>
                <w:szCs w:val="20"/>
              </w:rPr>
              <w:t>%</w:t>
            </w:r>
          </w:p>
        </w:tc>
        <w:tc>
          <w:tcPr>
            <w:tcW w:w="1171" w:type="dxa"/>
            <w:vAlign w:val="center"/>
          </w:tcPr>
          <w:p w14:paraId="79404273" w14:textId="73B6B2D5" w:rsidR="00DD415E" w:rsidRPr="005407BD" w:rsidRDefault="00542E3B" w:rsidP="00CC143B">
            <w:pPr>
              <w:pStyle w:val="Tabletext"/>
              <w:keepNext/>
              <w:keepLines/>
              <w:widowControl w:val="0"/>
              <w:jc w:val="center"/>
              <w:rPr>
                <w:rFonts w:cs="Calibri"/>
                <w:iCs/>
                <w:color w:val="000000"/>
                <w:szCs w:val="20"/>
              </w:rPr>
            </w:pPr>
            <w:r w:rsidRPr="00542E3B">
              <w:rPr>
                <w:rFonts w:cs="Calibri" w:hint="eastAsia"/>
                <w:iCs/>
                <w:color w:val="000000"/>
                <w:w w:val="33"/>
                <w:szCs w:val="20"/>
                <w:shd w:val="solid" w:color="000000" w:fill="000000"/>
                <w:fitText w:val="147" w:id="-1435870449"/>
                <w14:textFill>
                  <w14:solidFill>
                    <w14:srgbClr w14:val="000000">
                      <w14:alpha w14:val="100000"/>
                    </w14:srgbClr>
                  </w14:solidFill>
                </w14:textFill>
              </w:rPr>
              <w:t xml:space="preserve">　</w:t>
            </w:r>
            <w:r w:rsidRPr="00542E3B">
              <w:rPr>
                <w:rFonts w:cs="Calibri"/>
                <w:iCs/>
                <w:color w:val="000000"/>
                <w:w w:val="33"/>
                <w:szCs w:val="20"/>
                <w:shd w:val="solid" w:color="000000" w:fill="000000"/>
                <w:fitText w:val="147" w:id="-1435870449"/>
                <w14:textFill>
                  <w14:solidFill>
                    <w14:srgbClr w14:val="000000">
                      <w14:alpha w14:val="100000"/>
                    </w14:srgbClr>
                  </w14:solidFill>
                </w14:textFill>
              </w:rPr>
              <w:t>|</w:t>
            </w:r>
            <w:r w:rsidRPr="00542E3B">
              <w:rPr>
                <w:rFonts w:cs="Calibri" w:hint="eastAsia"/>
                <w:iCs/>
                <w:color w:val="000000"/>
                <w:spacing w:val="1"/>
                <w:w w:val="33"/>
                <w:szCs w:val="20"/>
                <w:shd w:val="solid" w:color="000000" w:fill="000000"/>
                <w:fitText w:val="147" w:id="-1435870449"/>
                <w14:textFill>
                  <w14:solidFill>
                    <w14:srgbClr w14:val="000000">
                      <w14:alpha w14:val="100000"/>
                    </w14:srgbClr>
                  </w14:solidFill>
                </w14:textFill>
              </w:rPr>
              <w:t xml:space="preserve">　</w:t>
            </w:r>
            <w:r w:rsidR="00DD415E" w:rsidRPr="005407BD">
              <w:rPr>
                <w:rFonts w:cs="Calibri"/>
                <w:iCs/>
                <w:color w:val="000000"/>
                <w:szCs w:val="20"/>
              </w:rPr>
              <w:t>%</w:t>
            </w:r>
          </w:p>
        </w:tc>
        <w:tc>
          <w:tcPr>
            <w:tcW w:w="1171" w:type="dxa"/>
            <w:vAlign w:val="center"/>
          </w:tcPr>
          <w:p w14:paraId="31423FA6" w14:textId="48EE179B" w:rsidR="00DD415E" w:rsidRPr="005407BD" w:rsidRDefault="00542E3B" w:rsidP="00CC143B">
            <w:pPr>
              <w:pStyle w:val="Tabletext"/>
              <w:keepNext/>
              <w:keepLines/>
              <w:widowControl w:val="0"/>
              <w:jc w:val="center"/>
              <w:rPr>
                <w:rFonts w:cs="Calibri"/>
                <w:iCs/>
                <w:color w:val="000000"/>
                <w:szCs w:val="20"/>
              </w:rPr>
            </w:pPr>
            <w:r w:rsidRPr="00542E3B">
              <w:rPr>
                <w:rFonts w:cs="Calibri" w:hint="eastAsia"/>
                <w:iCs/>
                <w:color w:val="000000"/>
                <w:w w:val="32"/>
                <w:szCs w:val="20"/>
                <w:shd w:val="solid" w:color="000000" w:fill="000000"/>
                <w:fitText w:val="146" w:id="-1435870448"/>
                <w14:textFill>
                  <w14:solidFill>
                    <w14:srgbClr w14:val="000000">
                      <w14:alpha w14:val="100000"/>
                    </w14:srgbClr>
                  </w14:solidFill>
                </w14:textFill>
              </w:rPr>
              <w:t xml:space="preserve">　</w:t>
            </w:r>
            <w:r w:rsidRPr="00542E3B">
              <w:rPr>
                <w:rFonts w:cs="Calibri"/>
                <w:iCs/>
                <w:color w:val="000000"/>
                <w:w w:val="32"/>
                <w:szCs w:val="20"/>
                <w:shd w:val="solid" w:color="000000" w:fill="000000"/>
                <w:fitText w:val="146" w:id="-1435870448"/>
                <w14:textFill>
                  <w14:solidFill>
                    <w14:srgbClr w14:val="000000">
                      <w14:alpha w14:val="100000"/>
                    </w14:srgbClr>
                  </w14:solidFill>
                </w14:textFill>
              </w:rPr>
              <w:t>|</w:t>
            </w:r>
            <w:r w:rsidRPr="00542E3B">
              <w:rPr>
                <w:rFonts w:cs="Calibri" w:hint="eastAsia"/>
                <w:iCs/>
                <w:color w:val="000000"/>
                <w:spacing w:val="7"/>
                <w:w w:val="32"/>
                <w:szCs w:val="20"/>
                <w:shd w:val="solid" w:color="000000" w:fill="000000"/>
                <w:fitText w:val="146" w:id="-1435870448"/>
                <w14:textFill>
                  <w14:solidFill>
                    <w14:srgbClr w14:val="000000">
                      <w14:alpha w14:val="100000"/>
                    </w14:srgbClr>
                  </w14:solidFill>
                </w14:textFill>
              </w:rPr>
              <w:t xml:space="preserve">　</w:t>
            </w:r>
            <w:r w:rsidR="00DD415E" w:rsidRPr="005407BD">
              <w:rPr>
                <w:rFonts w:cs="Calibri"/>
                <w:iCs/>
                <w:color w:val="000000"/>
                <w:szCs w:val="20"/>
              </w:rPr>
              <w:t>%</w:t>
            </w:r>
          </w:p>
        </w:tc>
        <w:tc>
          <w:tcPr>
            <w:tcW w:w="1171" w:type="dxa"/>
            <w:vAlign w:val="center"/>
          </w:tcPr>
          <w:p w14:paraId="55907F2C" w14:textId="0EE9CDCC" w:rsidR="00DD415E" w:rsidRPr="005407BD" w:rsidRDefault="00542E3B" w:rsidP="00CC143B">
            <w:pPr>
              <w:pStyle w:val="Tabletext"/>
              <w:keepNext/>
              <w:keepLines/>
              <w:widowControl w:val="0"/>
              <w:jc w:val="center"/>
              <w:rPr>
                <w:rFonts w:cs="Calibri"/>
                <w:iCs/>
                <w:color w:val="000000"/>
                <w:szCs w:val="20"/>
              </w:rPr>
            </w:pPr>
            <w:r w:rsidRPr="00542E3B">
              <w:rPr>
                <w:rFonts w:cs="Calibri" w:hint="eastAsia"/>
                <w:iCs/>
                <w:color w:val="000000"/>
                <w:w w:val="33"/>
                <w:szCs w:val="20"/>
                <w:shd w:val="solid" w:color="000000" w:fill="000000"/>
                <w:fitText w:val="147" w:id="-1435870464"/>
                <w14:textFill>
                  <w14:solidFill>
                    <w14:srgbClr w14:val="000000">
                      <w14:alpha w14:val="100000"/>
                    </w14:srgbClr>
                  </w14:solidFill>
                </w14:textFill>
              </w:rPr>
              <w:t xml:space="preserve">　</w:t>
            </w:r>
            <w:r w:rsidRPr="00542E3B">
              <w:rPr>
                <w:rFonts w:cs="Calibri"/>
                <w:iCs/>
                <w:color w:val="000000"/>
                <w:w w:val="33"/>
                <w:szCs w:val="20"/>
                <w:shd w:val="solid" w:color="000000" w:fill="000000"/>
                <w:fitText w:val="147" w:id="-1435870464"/>
                <w14:textFill>
                  <w14:solidFill>
                    <w14:srgbClr w14:val="000000">
                      <w14:alpha w14:val="100000"/>
                    </w14:srgbClr>
                  </w14:solidFill>
                </w14:textFill>
              </w:rPr>
              <w:t>|</w:t>
            </w:r>
            <w:r w:rsidRPr="00542E3B">
              <w:rPr>
                <w:rFonts w:cs="Calibri" w:hint="eastAsia"/>
                <w:iCs/>
                <w:color w:val="000000"/>
                <w:spacing w:val="1"/>
                <w:w w:val="33"/>
                <w:szCs w:val="20"/>
                <w:shd w:val="solid" w:color="000000" w:fill="000000"/>
                <w:fitText w:val="147" w:id="-1435870464"/>
                <w14:textFill>
                  <w14:solidFill>
                    <w14:srgbClr w14:val="000000">
                      <w14:alpha w14:val="100000"/>
                    </w14:srgbClr>
                  </w14:solidFill>
                </w14:textFill>
              </w:rPr>
              <w:t xml:space="preserve">　</w:t>
            </w:r>
            <w:r w:rsidR="00DD415E" w:rsidRPr="005407BD">
              <w:rPr>
                <w:rFonts w:cs="Calibri"/>
                <w:iCs/>
                <w:color w:val="000000"/>
                <w:szCs w:val="20"/>
              </w:rPr>
              <w:t>%</w:t>
            </w:r>
          </w:p>
        </w:tc>
      </w:tr>
      <w:tr w:rsidR="00DD415E" w:rsidRPr="00501526" w14:paraId="153A2363" w14:textId="77777777" w:rsidTr="00CA35AC">
        <w:tc>
          <w:tcPr>
            <w:tcW w:w="2034" w:type="dxa"/>
          </w:tcPr>
          <w:p w14:paraId="2B8929FC" w14:textId="717357C2" w:rsidR="00DD415E" w:rsidRPr="00501526" w:rsidRDefault="00DD415E" w:rsidP="00CC143B">
            <w:pPr>
              <w:pStyle w:val="Tabletext"/>
              <w:keepNext/>
              <w:keepLines/>
              <w:widowControl w:val="0"/>
              <w:rPr>
                <w:iCs/>
                <w:szCs w:val="20"/>
              </w:rPr>
            </w:pPr>
            <w:r w:rsidRPr="00501526">
              <w:rPr>
                <w:iCs/>
                <w:szCs w:val="20"/>
              </w:rPr>
              <w:t>Treated patients:</w:t>
            </w:r>
          </w:p>
        </w:tc>
        <w:tc>
          <w:tcPr>
            <w:tcW w:w="1127" w:type="dxa"/>
          </w:tcPr>
          <w:p w14:paraId="481C7A4B" w14:textId="77777777" w:rsidR="00DD415E" w:rsidRPr="005407BD" w:rsidRDefault="00DD415E" w:rsidP="00CC143B">
            <w:pPr>
              <w:pStyle w:val="Tabletext"/>
              <w:keepNext/>
              <w:keepLines/>
              <w:widowControl w:val="0"/>
              <w:jc w:val="center"/>
              <w:rPr>
                <w:rFonts w:cs="Calibri"/>
                <w:iCs/>
                <w:color w:val="000000"/>
                <w:szCs w:val="20"/>
              </w:rPr>
            </w:pPr>
          </w:p>
        </w:tc>
        <w:tc>
          <w:tcPr>
            <w:tcW w:w="1171" w:type="dxa"/>
          </w:tcPr>
          <w:p w14:paraId="078C6F9C" w14:textId="77777777" w:rsidR="00DD415E" w:rsidRPr="005407BD" w:rsidRDefault="00DD415E" w:rsidP="00CC143B">
            <w:pPr>
              <w:pStyle w:val="Tabletext"/>
              <w:keepNext/>
              <w:keepLines/>
              <w:widowControl w:val="0"/>
              <w:jc w:val="center"/>
              <w:rPr>
                <w:rFonts w:cs="Calibri"/>
                <w:iCs/>
                <w:color w:val="000000"/>
                <w:szCs w:val="20"/>
              </w:rPr>
            </w:pPr>
          </w:p>
        </w:tc>
        <w:tc>
          <w:tcPr>
            <w:tcW w:w="1171" w:type="dxa"/>
          </w:tcPr>
          <w:p w14:paraId="31A2576A" w14:textId="77777777" w:rsidR="00DD415E" w:rsidRPr="005407BD" w:rsidRDefault="00DD415E" w:rsidP="00CC143B">
            <w:pPr>
              <w:pStyle w:val="Tabletext"/>
              <w:keepNext/>
              <w:keepLines/>
              <w:widowControl w:val="0"/>
              <w:jc w:val="center"/>
              <w:rPr>
                <w:rFonts w:cs="Calibri"/>
                <w:iCs/>
                <w:color w:val="000000"/>
                <w:szCs w:val="20"/>
              </w:rPr>
            </w:pPr>
          </w:p>
        </w:tc>
        <w:tc>
          <w:tcPr>
            <w:tcW w:w="1171" w:type="dxa"/>
          </w:tcPr>
          <w:p w14:paraId="3C0049A3" w14:textId="77777777" w:rsidR="00DD415E" w:rsidRPr="005407BD" w:rsidRDefault="00DD415E" w:rsidP="00CC143B">
            <w:pPr>
              <w:pStyle w:val="Tabletext"/>
              <w:keepNext/>
              <w:keepLines/>
              <w:widowControl w:val="0"/>
              <w:jc w:val="center"/>
              <w:rPr>
                <w:rFonts w:cs="Calibri"/>
                <w:iCs/>
                <w:color w:val="000000"/>
                <w:szCs w:val="20"/>
              </w:rPr>
            </w:pPr>
          </w:p>
        </w:tc>
        <w:tc>
          <w:tcPr>
            <w:tcW w:w="1171" w:type="dxa"/>
          </w:tcPr>
          <w:p w14:paraId="7215BAAB" w14:textId="77777777" w:rsidR="00DD415E" w:rsidRPr="005407BD" w:rsidRDefault="00DD415E" w:rsidP="00CC143B">
            <w:pPr>
              <w:pStyle w:val="Tabletext"/>
              <w:keepNext/>
              <w:keepLines/>
              <w:widowControl w:val="0"/>
              <w:jc w:val="center"/>
              <w:rPr>
                <w:rFonts w:cs="Calibri"/>
                <w:iCs/>
                <w:color w:val="000000"/>
                <w:szCs w:val="20"/>
              </w:rPr>
            </w:pPr>
          </w:p>
        </w:tc>
        <w:tc>
          <w:tcPr>
            <w:tcW w:w="1171" w:type="dxa"/>
          </w:tcPr>
          <w:p w14:paraId="46A724C3" w14:textId="77777777" w:rsidR="00DD415E" w:rsidRPr="005407BD" w:rsidRDefault="00DD415E" w:rsidP="00CC143B">
            <w:pPr>
              <w:pStyle w:val="Tabletext"/>
              <w:keepNext/>
              <w:keepLines/>
              <w:widowControl w:val="0"/>
              <w:jc w:val="center"/>
              <w:rPr>
                <w:rFonts w:cs="Calibri"/>
                <w:iCs/>
                <w:color w:val="000000"/>
                <w:szCs w:val="20"/>
              </w:rPr>
            </w:pPr>
          </w:p>
        </w:tc>
      </w:tr>
      <w:tr w:rsidR="00DD415E" w:rsidRPr="00501526" w14:paraId="1C54B31A" w14:textId="77777777" w:rsidTr="00C235C5">
        <w:tc>
          <w:tcPr>
            <w:tcW w:w="2034" w:type="dxa"/>
          </w:tcPr>
          <w:p w14:paraId="47F72E0B" w14:textId="2C8FACF1" w:rsidR="00DD415E" w:rsidRPr="007D732B" w:rsidRDefault="00DD415E" w:rsidP="00CC143B">
            <w:pPr>
              <w:pStyle w:val="TableText0"/>
              <w:keepLines/>
              <w:widowControl w:val="0"/>
              <w:rPr>
                <w:iCs/>
                <w:vertAlign w:val="superscript"/>
              </w:rPr>
            </w:pPr>
            <w:r w:rsidRPr="00501526">
              <w:rPr>
                <w:iCs/>
              </w:rPr>
              <w:t xml:space="preserve">Initiating </w:t>
            </w:r>
            <w:r w:rsidR="007D732B">
              <w:rPr>
                <w:iCs/>
                <w:vertAlign w:val="superscript"/>
              </w:rPr>
              <w:t>a</w:t>
            </w:r>
          </w:p>
        </w:tc>
        <w:tc>
          <w:tcPr>
            <w:tcW w:w="1127" w:type="dxa"/>
            <w:vAlign w:val="center"/>
          </w:tcPr>
          <w:p w14:paraId="70AE49C3" w14:textId="07B6C783"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7"/>
                <w:shd w:val="solid" w:color="000000" w:fill="000000"/>
                <w:fitText w:val="123" w:id="-1435870463"/>
                <w14:textFill>
                  <w14:solidFill>
                    <w14:srgbClr w14:val="000000">
                      <w14:alpha w14:val="100000"/>
                    </w14:srgbClr>
                  </w14:solidFill>
                </w14:textFill>
              </w:rPr>
              <w:t xml:space="preserve">　</w:t>
            </w:r>
            <w:r w:rsidRPr="00542E3B">
              <w:rPr>
                <w:rFonts w:cs="Calibri"/>
                <w:iCs/>
                <w:color w:val="000000"/>
                <w:w w:val="27"/>
                <w:shd w:val="solid" w:color="000000" w:fill="000000"/>
                <w:fitText w:val="123" w:id="-1435870463"/>
                <w14:textFill>
                  <w14:solidFill>
                    <w14:srgbClr w14:val="000000">
                      <w14:alpha w14:val="100000"/>
                    </w14:srgbClr>
                  </w14:solidFill>
                </w14:textFill>
              </w:rPr>
              <w:t>|</w:t>
            </w:r>
            <w:r w:rsidRPr="00542E3B">
              <w:rPr>
                <w:rFonts w:cs="Calibri" w:hint="eastAsia"/>
                <w:iCs/>
                <w:color w:val="000000"/>
                <w:spacing w:val="5"/>
                <w:w w:val="27"/>
                <w:shd w:val="solid" w:color="000000" w:fill="000000"/>
                <w:fitText w:val="123" w:id="-1435870463"/>
                <w14:textFill>
                  <w14:solidFill>
                    <w14:srgbClr w14:val="000000">
                      <w14:alpha w14:val="100000"/>
                    </w14:srgbClr>
                  </w14:solidFill>
                </w14:textFill>
              </w:rPr>
              <w:t xml:space="preserve">　</w:t>
            </w:r>
            <w:r w:rsidR="005407BD">
              <w:rPr>
                <w:rFonts w:cs="Calibri"/>
                <w:iCs/>
                <w:color w:val="000000"/>
                <w:szCs w:val="20"/>
                <w:vertAlign w:val="superscript"/>
              </w:rPr>
              <w:t>2</w:t>
            </w:r>
          </w:p>
        </w:tc>
        <w:tc>
          <w:tcPr>
            <w:tcW w:w="1171" w:type="dxa"/>
            <w:vAlign w:val="center"/>
          </w:tcPr>
          <w:p w14:paraId="6950C203" w14:textId="483D3BF5"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62"/>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62"/>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62"/>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5A2FD6D0" w14:textId="2151BBD9"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61"/>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61"/>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61"/>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7850CEB6" w14:textId="3D7BC396"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60"/>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60"/>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60"/>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4F172490" w14:textId="6E9822BB"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59"/>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59"/>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59"/>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45E2794F" w14:textId="4F2273C9"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1" w:id="-1435870458"/>
                <w14:textFill>
                  <w14:solidFill>
                    <w14:srgbClr w14:val="000000">
                      <w14:alpha w14:val="100000"/>
                    </w14:srgbClr>
                  </w14:solidFill>
                </w14:textFill>
              </w:rPr>
              <w:t xml:space="preserve">　</w:t>
            </w:r>
            <w:r w:rsidRPr="00542E3B">
              <w:rPr>
                <w:rFonts w:cs="Calibri"/>
                <w:iCs/>
                <w:color w:val="000000"/>
                <w:w w:val="22"/>
                <w:shd w:val="solid" w:color="000000" w:fill="000000"/>
                <w:fitText w:val="101" w:id="-1435870458"/>
                <w14:textFill>
                  <w14:solidFill>
                    <w14:srgbClr w14:val="000000">
                      <w14:alpha w14:val="100000"/>
                    </w14:srgbClr>
                  </w14:solidFill>
                </w14:textFill>
              </w:rPr>
              <w:t>|</w:t>
            </w:r>
            <w:r w:rsidRPr="00542E3B">
              <w:rPr>
                <w:rFonts w:cs="Calibri" w:hint="eastAsia"/>
                <w:iCs/>
                <w:color w:val="000000"/>
                <w:spacing w:val="4"/>
                <w:w w:val="22"/>
                <w:shd w:val="solid" w:color="000000" w:fill="000000"/>
                <w:fitText w:val="101" w:id="-1435870458"/>
                <w14:textFill>
                  <w14:solidFill>
                    <w14:srgbClr w14:val="000000">
                      <w14:alpha w14:val="100000"/>
                    </w14:srgbClr>
                  </w14:solidFill>
                </w14:textFill>
              </w:rPr>
              <w:t xml:space="preserve">　</w:t>
            </w:r>
            <w:r w:rsidR="00244E19">
              <w:rPr>
                <w:rFonts w:cs="Calibri"/>
                <w:iCs/>
                <w:color w:val="000000"/>
                <w:szCs w:val="20"/>
                <w:vertAlign w:val="superscript"/>
              </w:rPr>
              <w:t>2</w:t>
            </w:r>
          </w:p>
        </w:tc>
      </w:tr>
      <w:tr w:rsidR="00DD415E" w:rsidRPr="00501526" w14:paraId="62B0035D" w14:textId="77777777" w:rsidTr="00C235C5">
        <w:tc>
          <w:tcPr>
            <w:tcW w:w="2034" w:type="dxa"/>
          </w:tcPr>
          <w:p w14:paraId="25E661BD" w14:textId="7B453B05" w:rsidR="00DD415E" w:rsidRPr="00501526" w:rsidRDefault="00DD415E" w:rsidP="00CC143B">
            <w:pPr>
              <w:pStyle w:val="TableText0"/>
              <w:keepLines/>
              <w:widowControl w:val="0"/>
              <w:rPr>
                <w:iCs/>
              </w:rPr>
            </w:pPr>
            <w:r w:rsidRPr="00501526">
              <w:rPr>
                <w:iCs/>
              </w:rPr>
              <w:t xml:space="preserve">Continuing </w:t>
            </w:r>
          </w:p>
        </w:tc>
        <w:tc>
          <w:tcPr>
            <w:tcW w:w="1127" w:type="dxa"/>
            <w:vAlign w:val="center"/>
          </w:tcPr>
          <w:p w14:paraId="12406096" w14:textId="0B4C9CBC"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7"/>
                <w:shd w:val="solid" w:color="000000" w:fill="000000"/>
                <w:fitText w:val="123" w:id="-1435870457"/>
                <w14:textFill>
                  <w14:solidFill>
                    <w14:srgbClr w14:val="000000">
                      <w14:alpha w14:val="100000"/>
                    </w14:srgbClr>
                  </w14:solidFill>
                </w14:textFill>
              </w:rPr>
              <w:t xml:space="preserve">　</w:t>
            </w:r>
            <w:r w:rsidRPr="00542E3B">
              <w:rPr>
                <w:rFonts w:cs="Calibri"/>
                <w:iCs/>
                <w:color w:val="000000"/>
                <w:w w:val="27"/>
                <w:shd w:val="solid" w:color="000000" w:fill="000000"/>
                <w:fitText w:val="123" w:id="-1435870457"/>
                <w14:textFill>
                  <w14:solidFill>
                    <w14:srgbClr w14:val="000000">
                      <w14:alpha w14:val="100000"/>
                    </w14:srgbClr>
                  </w14:solidFill>
                </w14:textFill>
              </w:rPr>
              <w:t>|</w:t>
            </w:r>
            <w:r w:rsidRPr="00542E3B">
              <w:rPr>
                <w:rFonts w:cs="Calibri" w:hint="eastAsia"/>
                <w:iCs/>
                <w:color w:val="000000"/>
                <w:spacing w:val="5"/>
                <w:w w:val="27"/>
                <w:shd w:val="solid" w:color="000000" w:fill="000000"/>
                <w:fitText w:val="123" w:id="-1435870457"/>
                <w14:textFill>
                  <w14:solidFill>
                    <w14:srgbClr w14:val="000000">
                      <w14:alpha w14:val="100000"/>
                    </w14:srgbClr>
                  </w14:solidFill>
                </w14:textFill>
              </w:rPr>
              <w:t xml:space="preserve">　</w:t>
            </w:r>
            <w:r w:rsidR="005407BD">
              <w:rPr>
                <w:rFonts w:cs="Calibri"/>
                <w:iCs/>
                <w:color w:val="000000"/>
                <w:szCs w:val="20"/>
                <w:vertAlign w:val="superscript"/>
              </w:rPr>
              <w:t>2</w:t>
            </w:r>
          </w:p>
        </w:tc>
        <w:tc>
          <w:tcPr>
            <w:tcW w:w="1171" w:type="dxa"/>
            <w:vAlign w:val="center"/>
          </w:tcPr>
          <w:p w14:paraId="4AC61490" w14:textId="4D028A70"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56"/>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56"/>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56"/>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2C0FA963" w14:textId="1B96FDF9"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55"/>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55"/>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55"/>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6FE202F8" w14:textId="766AA71C"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54"/>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54"/>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54"/>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4C98D349" w14:textId="3FB1D4DD"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0" w:id="-1435870453"/>
                <w14:textFill>
                  <w14:solidFill>
                    <w14:srgbClr w14:val="000000">
                      <w14:alpha w14:val="100000"/>
                    </w14:srgbClr>
                  </w14:solidFill>
                </w14:textFill>
              </w:rPr>
              <w:t xml:space="preserve">　</w:t>
            </w:r>
            <w:r w:rsidRPr="00542E3B">
              <w:rPr>
                <w:rFonts w:cs="Calibri"/>
                <w:iCs/>
                <w:color w:val="000000"/>
                <w:w w:val="22"/>
                <w:shd w:val="solid" w:color="000000" w:fill="000000"/>
                <w:fitText w:val="100" w:id="-1435870453"/>
                <w14:textFill>
                  <w14:solidFill>
                    <w14:srgbClr w14:val="000000">
                      <w14:alpha w14:val="100000"/>
                    </w14:srgbClr>
                  </w14:solidFill>
                </w14:textFill>
              </w:rPr>
              <w:t>|</w:t>
            </w:r>
            <w:r w:rsidRPr="00542E3B">
              <w:rPr>
                <w:rFonts w:cs="Calibri" w:hint="eastAsia"/>
                <w:iCs/>
                <w:color w:val="000000"/>
                <w:spacing w:val="3"/>
                <w:w w:val="22"/>
                <w:shd w:val="solid" w:color="000000" w:fill="000000"/>
                <w:fitText w:val="100" w:id="-1435870453"/>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1DEE86A4" w14:textId="6735608B" w:rsidR="00DD415E" w:rsidRPr="005407BD" w:rsidRDefault="00542E3B" w:rsidP="00CC143B">
            <w:pPr>
              <w:pStyle w:val="TableText0"/>
              <w:keepLines/>
              <w:widowControl w:val="0"/>
              <w:jc w:val="center"/>
              <w:rPr>
                <w:rFonts w:cs="Calibri"/>
                <w:iCs/>
                <w:color w:val="000000"/>
              </w:rPr>
            </w:pPr>
            <w:r w:rsidRPr="00542E3B">
              <w:rPr>
                <w:rFonts w:cs="Calibri" w:hint="eastAsia"/>
                <w:iCs/>
                <w:color w:val="000000"/>
                <w:w w:val="22"/>
                <w:shd w:val="solid" w:color="000000" w:fill="000000"/>
                <w:fitText w:val="101" w:id="-1435870452"/>
                <w14:textFill>
                  <w14:solidFill>
                    <w14:srgbClr w14:val="000000">
                      <w14:alpha w14:val="100000"/>
                    </w14:srgbClr>
                  </w14:solidFill>
                </w14:textFill>
              </w:rPr>
              <w:t xml:space="preserve">　</w:t>
            </w:r>
            <w:r w:rsidRPr="00542E3B">
              <w:rPr>
                <w:rFonts w:cs="Calibri"/>
                <w:iCs/>
                <w:color w:val="000000"/>
                <w:w w:val="22"/>
                <w:shd w:val="solid" w:color="000000" w:fill="000000"/>
                <w:fitText w:val="101" w:id="-1435870452"/>
                <w14:textFill>
                  <w14:solidFill>
                    <w14:srgbClr w14:val="000000">
                      <w14:alpha w14:val="100000"/>
                    </w14:srgbClr>
                  </w14:solidFill>
                </w14:textFill>
              </w:rPr>
              <w:t>|</w:t>
            </w:r>
            <w:r w:rsidRPr="00542E3B">
              <w:rPr>
                <w:rFonts w:cs="Calibri" w:hint="eastAsia"/>
                <w:iCs/>
                <w:color w:val="000000"/>
                <w:spacing w:val="4"/>
                <w:w w:val="22"/>
                <w:shd w:val="solid" w:color="000000" w:fill="000000"/>
                <w:fitText w:val="101" w:id="-1435870452"/>
                <w14:textFill>
                  <w14:solidFill>
                    <w14:srgbClr w14:val="000000">
                      <w14:alpha w14:val="100000"/>
                    </w14:srgbClr>
                  </w14:solidFill>
                </w14:textFill>
              </w:rPr>
              <w:t xml:space="preserve">　</w:t>
            </w:r>
            <w:r w:rsidR="00244E19">
              <w:rPr>
                <w:rFonts w:cs="Calibri"/>
                <w:iCs/>
                <w:color w:val="000000"/>
                <w:szCs w:val="20"/>
                <w:vertAlign w:val="superscript"/>
              </w:rPr>
              <w:t>2</w:t>
            </w:r>
          </w:p>
        </w:tc>
      </w:tr>
      <w:tr w:rsidR="00DD415E" w:rsidRPr="00501526" w14:paraId="7EC8414C" w14:textId="77777777" w:rsidTr="00C235C5">
        <w:tc>
          <w:tcPr>
            <w:tcW w:w="2034" w:type="dxa"/>
          </w:tcPr>
          <w:p w14:paraId="4BA41A95" w14:textId="29F622A8" w:rsidR="00DD415E" w:rsidRPr="00501526" w:rsidRDefault="00DD415E" w:rsidP="00CC143B">
            <w:pPr>
              <w:pStyle w:val="TableText0"/>
              <w:keepLines/>
              <w:widowControl w:val="0"/>
              <w:rPr>
                <w:b/>
                <w:bCs w:val="0"/>
                <w:iCs/>
              </w:rPr>
            </w:pPr>
            <w:r w:rsidRPr="00501526">
              <w:rPr>
                <w:b/>
                <w:bCs w:val="0"/>
                <w:iCs/>
              </w:rPr>
              <w:t>Total treated</w:t>
            </w:r>
          </w:p>
        </w:tc>
        <w:tc>
          <w:tcPr>
            <w:tcW w:w="1127" w:type="dxa"/>
            <w:vAlign w:val="center"/>
          </w:tcPr>
          <w:p w14:paraId="719CA117" w14:textId="02F0D689" w:rsidR="00DD415E" w:rsidRPr="005407BD" w:rsidRDefault="00542E3B" w:rsidP="00CC143B">
            <w:pPr>
              <w:pStyle w:val="TableText0"/>
              <w:keepLines/>
              <w:widowControl w:val="0"/>
              <w:jc w:val="center"/>
              <w:rPr>
                <w:rFonts w:cs="Calibri"/>
                <w:b/>
                <w:bCs w:val="0"/>
                <w:iCs/>
                <w:color w:val="000000"/>
              </w:rPr>
            </w:pPr>
            <w:r w:rsidRPr="00542E3B">
              <w:rPr>
                <w:rFonts w:cs="Calibri"/>
                <w:b/>
                <w:bCs w:val="0"/>
                <w:iCs/>
                <w:color w:val="000000"/>
                <w:spacing w:val="70"/>
                <w:shd w:val="solid" w:color="000000" w:fill="000000"/>
                <w:fitText w:val="162" w:id="-1435870451"/>
                <w14:textFill>
                  <w14:solidFill>
                    <w14:srgbClr w14:val="000000">
                      <w14:alpha w14:val="100000"/>
                    </w14:srgbClr>
                  </w14:solidFill>
                </w14:textFill>
              </w:rPr>
              <w:t>|</w:t>
            </w:r>
            <w:r w:rsidRPr="00542E3B">
              <w:rPr>
                <w:rFonts w:cs="Calibri"/>
                <w:b/>
                <w:bCs w:val="0"/>
                <w:iCs/>
                <w:color w:val="000000"/>
                <w:spacing w:val="1"/>
                <w:shd w:val="solid" w:color="000000" w:fill="000000"/>
                <w:fitText w:val="162" w:id="-1435870451"/>
                <w14:textFill>
                  <w14:solidFill>
                    <w14:srgbClr w14:val="000000">
                      <w14:alpha w14:val="100000"/>
                    </w14:srgbClr>
                  </w14:solidFill>
                </w14:textFill>
              </w:rPr>
              <w:t>|</w:t>
            </w:r>
            <w:r w:rsidR="005407BD">
              <w:rPr>
                <w:rFonts w:cs="Calibri"/>
                <w:iCs/>
                <w:color w:val="000000"/>
                <w:szCs w:val="20"/>
                <w:vertAlign w:val="superscript"/>
              </w:rPr>
              <w:t>2</w:t>
            </w:r>
          </w:p>
        </w:tc>
        <w:tc>
          <w:tcPr>
            <w:tcW w:w="1171" w:type="dxa"/>
            <w:vAlign w:val="center"/>
          </w:tcPr>
          <w:p w14:paraId="20DCDCD4" w14:textId="49AD6C1B" w:rsidR="00DD415E" w:rsidRPr="005407BD" w:rsidRDefault="00542E3B" w:rsidP="00CC143B">
            <w:pPr>
              <w:pStyle w:val="TableText0"/>
              <w:keepLines/>
              <w:widowControl w:val="0"/>
              <w:jc w:val="center"/>
              <w:rPr>
                <w:rFonts w:cs="Calibri"/>
                <w:b/>
                <w:bCs w:val="0"/>
                <w:iCs/>
                <w:color w:val="000000"/>
              </w:rPr>
            </w:pPr>
            <w:r w:rsidRPr="00542E3B">
              <w:rPr>
                <w:rFonts w:cs="Calibri" w:hint="eastAsia"/>
                <w:b/>
                <w:bCs w:val="0"/>
                <w:iCs/>
                <w:color w:val="000000"/>
                <w:w w:val="32"/>
                <w:shd w:val="solid" w:color="000000" w:fill="000000"/>
                <w:fitText w:val="146" w:id="-1435870450"/>
                <w14:textFill>
                  <w14:solidFill>
                    <w14:srgbClr w14:val="000000">
                      <w14:alpha w14:val="100000"/>
                    </w14:srgbClr>
                  </w14:solidFill>
                </w14:textFill>
              </w:rPr>
              <w:t xml:space="preserve">　</w:t>
            </w:r>
            <w:r w:rsidRPr="00542E3B">
              <w:rPr>
                <w:rFonts w:cs="Calibri"/>
                <w:b/>
                <w:bCs w:val="0"/>
                <w:iCs/>
                <w:color w:val="000000"/>
                <w:w w:val="32"/>
                <w:shd w:val="solid" w:color="000000" w:fill="000000"/>
                <w:fitText w:val="146" w:id="-1435870450"/>
                <w14:textFill>
                  <w14:solidFill>
                    <w14:srgbClr w14:val="000000">
                      <w14:alpha w14:val="100000"/>
                    </w14:srgbClr>
                  </w14:solidFill>
                </w14:textFill>
              </w:rPr>
              <w:t>|</w:t>
            </w:r>
            <w:r w:rsidRPr="00542E3B">
              <w:rPr>
                <w:rFonts w:cs="Calibri" w:hint="eastAsia"/>
                <w:b/>
                <w:bCs w:val="0"/>
                <w:iCs/>
                <w:color w:val="000000"/>
                <w:spacing w:val="6"/>
                <w:w w:val="32"/>
                <w:shd w:val="solid" w:color="000000" w:fill="000000"/>
                <w:fitText w:val="146" w:id="-1435870450"/>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54107307" w14:textId="2062539C" w:rsidR="00DD415E" w:rsidRPr="005407BD" w:rsidRDefault="00542E3B" w:rsidP="00CC143B">
            <w:pPr>
              <w:pStyle w:val="TableText0"/>
              <w:keepLines/>
              <w:widowControl w:val="0"/>
              <w:jc w:val="center"/>
              <w:rPr>
                <w:rFonts w:cs="Calibri"/>
                <w:b/>
                <w:bCs w:val="0"/>
                <w:iCs/>
                <w:color w:val="000000"/>
              </w:rPr>
            </w:pPr>
            <w:r w:rsidRPr="00542E3B">
              <w:rPr>
                <w:rFonts w:cs="Calibri" w:hint="eastAsia"/>
                <w:b/>
                <w:bCs w:val="0"/>
                <w:iCs/>
                <w:color w:val="000000"/>
                <w:w w:val="32"/>
                <w:shd w:val="solid" w:color="000000" w:fill="000000"/>
                <w:fitText w:val="147" w:id="-1435870449"/>
                <w14:textFill>
                  <w14:solidFill>
                    <w14:srgbClr w14:val="000000">
                      <w14:alpha w14:val="100000"/>
                    </w14:srgbClr>
                  </w14:solidFill>
                </w14:textFill>
              </w:rPr>
              <w:t xml:space="preserve">　</w:t>
            </w:r>
            <w:r w:rsidRPr="00542E3B">
              <w:rPr>
                <w:rFonts w:cs="Calibri"/>
                <w:b/>
                <w:bCs w:val="0"/>
                <w:iCs/>
                <w:color w:val="000000"/>
                <w:w w:val="32"/>
                <w:shd w:val="solid" w:color="000000" w:fill="000000"/>
                <w:fitText w:val="147" w:id="-1435870449"/>
                <w14:textFill>
                  <w14:solidFill>
                    <w14:srgbClr w14:val="000000">
                      <w14:alpha w14:val="100000"/>
                    </w14:srgbClr>
                  </w14:solidFill>
                </w14:textFill>
              </w:rPr>
              <w:t>|</w:t>
            </w:r>
            <w:r w:rsidRPr="00542E3B">
              <w:rPr>
                <w:rFonts w:cs="Calibri" w:hint="eastAsia"/>
                <w:b/>
                <w:bCs w:val="0"/>
                <w:iCs/>
                <w:color w:val="000000"/>
                <w:spacing w:val="7"/>
                <w:w w:val="32"/>
                <w:shd w:val="solid" w:color="000000" w:fill="000000"/>
                <w:fitText w:val="147" w:id="-1435870449"/>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1619AE5C" w14:textId="324F6C9A" w:rsidR="00DD415E" w:rsidRPr="005407BD" w:rsidRDefault="00542E3B" w:rsidP="00CC143B">
            <w:pPr>
              <w:pStyle w:val="TableText0"/>
              <w:keepLines/>
              <w:widowControl w:val="0"/>
              <w:jc w:val="center"/>
              <w:rPr>
                <w:rFonts w:cs="Calibri"/>
                <w:b/>
                <w:bCs w:val="0"/>
                <w:iCs/>
                <w:color w:val="000000"/>
              </w:rPr>
            </w:pPr>
            <w:r w:rsidRPr="00542E3B">
              <w:rPr>
                <w:rFonts w:cs="Calibri" w:hint="eastAsia"/>
                <w:b/>
                <w:bCs w:val="0"/>
                <w:iCs/>
                <w:color w:val="000000"/>
                <w:w w:val="32"/>
                <w:shd w:val="solid" w:color="000000" w:fill="000000"/>
                <w:fitText w:val="146" w:id="-1435870448"/>
                <w14:textFill>
                  <w14:solidFill>
                    <w14:srgbClr w14:val="000000">
                      <w14:alpha w14:val="100000"/>
                    </w14:srgbClr>
                  </w14:solidFill>
                </w14:textFill>
              </w:rPr>
              <w:t xml:space="preserve">　</w:t>
            </w:r>
            <w:r w:rsidRPr="00542E3B">
              <w:rPr>
                <w:rFonts w:cs="Calibri"/>
                <w:b/>
                <w:bCs w:val="0"/>
                <w:iCs/>
                <w:color w:val="000000"/>
                <w:w w:val="32"/>
                <w:shd w:val="solid" w:color="000000" w:fill="000000"/>
                <w:fitText w:val="146" w:id="-1435870448"/>
                <w14:textFill>
                  <w14:solidFill>
                    <w14:srgbClr w14:val="000000">
                      <w14:alpha w14:val="100000"/>
                    </w14:srgbClr>
                  </w14:solidFill>
                </w14:textFill>
              </w:rPr>
              <w:t>|</w:t>
            </w:r>
            <w:r w:rsidRPr="00542E3B">
              <w:rPr>
                <w:rFonts w:cs="Calibri" w:hint="eastAsia"/>
                <w:b/>
                <w:bCs w:val="0"/>
                <w:iCs/>
                <w:color w:val="000000"/>
                <w:spacing w:val="6"/>
                <w:w w:val="32"/>
                <w:shd w:val="solid" w:color="000000" w:fill="000000"/>
                <w:fitText w:val="146" w:id="-1435870448"/>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7242B897" w14:textId="5C556C73" w:rsidR="00DD415E" w:rsidRPr="005407BD" w:rsidRDefault="00542E3B" w:rsidP="00CC143B">
            <w:pPr>
              <w:pStyle w:val="TableText0"/>
              <w:keepLines/>
              <w:widowControl w:val="0"/>
              <w:jc w:val="center"/>
              <w:rPr>
                <w:rFonts w:cs="Calibri"/>
                <w:b/>
                <w:bCs w:val="0"/>
                <w:iCs/>
                <w:color w:val="000000"/>
              </w:rPr>
            </w:pPr>
            <w:r w:rsidRPr="00542E3B">
              <w:rPr>
                <w:rFonts w:cs="Calibri" w:hint="eastAsia"/>
                <w:b/>
                <w:bCs w:val="0"/>
                <w:iCs/>
                <w:color w:val="000000"/>
                <w:w w:val="32"/>
                <w:shd w:val="solid" w:color="000000" w:fill="000000"/>
                <w:fitText w:val="147" w:id="-1435870464"/>
                <w14:textFill>
                  <w14:solidFill>
                    <w14:srgbClr w14:val="000000">
                      <w14:alpha w14:val="100000"/>
                    </w14:srgbClr>
                  </w14:solidFill>
                </w14:textFill>
              </w:rPr>
              <w:t xml:space="preserve">　</w:t>
            </w:r>
            <w:r w:rsidRPr="00542E3B">
              <w:rPr>
                <w:rFonts w:cs="Calibri"/>
                <w:b/>
                <w:bCs w:val="0"/>
                <w:iCs/>
                <w:color w:val="000000"/>
                <w:w w:val="32"/>
                <w:shd w:val="solid" w:color="000000" w:fill="000000"/>
                <w:fitText w:val="147" w:id="-1435870464"/>
                <w14:textFill>
                  <w14:solidFill>
                    <w14:srgbClr w14:val="000000">
                      <w14:alpha w14:val="100000"/>
                    </w14:srgbClr>
                  </w14:solidFill>
                </w14:textFill>
              </w:rPr>
              <w:t>|</w:t>
            </w:r>
            <w:r w:rsidRPr="00542E3B">
              <w:rPr>
                <w:rFonts w:cs="Calibri" w:hint="eastAsia"/>
                <w:b/>
                <w:bCs w:val="0"/>
                <w:iCs/>
                <w:color w:val="000000"/>
                <w:spacing w:val="7"/>
                <w:w w:val="32"/>
                <w:shd w:val="solid" w:color="000000" w:fill="000000"/>
                <w:fitText w:val="147" w:id="-1435870464"/>
                <w14:textFill>
                  <w14:solidFill>
                    <w14:srgbClr w14:val="000000">
                      <w14:alpha w14:val="100000"/>
                    </w14:srgbClr>
                  </w14:solidFill>
                </w14:textFill>
              </w:rPr>
              <w:t xml:space="preserve">　</w:t>
            </w:r>
            <w:r w:rsidR="00244E19">
              <w:rPr>
                <w:rFonts w:cs="Calibri"/>
                <w:iCs/>
                <w:color w:val="000000"/>
                <w:szCs w:val="20"/>
                <w:vertAlign w:val="superscript"/>
              </w:rPr>
              <w:t>2</w:t>
            </w:r>
          </w:p>
        </w:tc>
        <w:tc>
          <w:tcPr>
            <w:tcW w:w="1171" w:type="dxa"/>
            <w:vAlign w:val="center"/>
          </w:tcPr>
          <w:p w14:paraId="04B06967" w14:textId="3A89495E" w:rsidR="00DD415E" w:rsidRPr="005407BD" w:rsidRDefault="00542E3B" w:rsidP="00CC143B">
            <w:pPr>
              <w:pStyle w:val="TableText0"/>
              <w:keepLines/>
              <w:widowControl w:val="0"/>
              <w:jc w:val="center"/>
              <w:rPr>
                <w:rFonts w:cs="Calibri"/>
                <w:b/>
                <w:bCs w:val="0"/>
                <w:iCs/>
                <w:color w:val="000000"/>
              </w:rPr>
            </w:pPr>
            <w:r w:rsidRPr="00542E3B">
              <w:rPr>
                <w:rFonts w:cs="Calibri" w:hint="eastAsia"/>
                <w:b/>
                <w:bCs w:val="0"/>
                <w:iCs/>
                <w:color w:val="000000"/>
                <w:w w:val="32"/>
                <w:shd w:val="solid" w:color="000000" w:fill="000000"/>
                <w:fitText w:val="146" w:id="-1435870463"/>
                <w14:textFill>
                  <w14:solidFill>
                    <w14:srgbClr w14:val="000000">
                      <w14:alpha w14:val="100000"/>
                    </w14:srgbClr>
                  </w14:solidFill>
                </w14:textFill>
              </w:rPr>
              <w:t xml:space="preserve">　</w:t>
            </w:r>
            <w:r w:rsidRPr="00542E3B">
              <w:rPr>
                <w:rFonts w:cs="Calibri"/>
                <w:b/>
                <w:bCs w:val="0"/>
                <w:iCs/>
                <w:color w:val="000000"/>
                <w:w w:val="32"/>
                <w:shd w:val="solid" w:color="000000" w:fill="000000"/>
                <w:fitText w:val="146" w:id="-1435870463"/>
                <w14:textFill>
                  <w14:solidFill>
                    <w14:srgbClr w14:val="000000">
                      <w14:alpha w14:val="100000"/>
                    </w14:srgbClr>
                  </w14:solidFill>
                </w14:textFill>
              </w:rPr>
              <w:t>|</w:t>
            </w:r>
            <w:r w:rsidRPr="00542E3B">
              <w:rPr>
                <w:rFonts w:cs="Calibri" w:hint="eastAsia"/>
                <w:b/>
                <w:bCs w:val="0"/>
                <w:iCs/>
                <w:color w:val="000000"/>
                <w:spacing w:val="6"/>
                <w:w w:val="32"/>
                <w:shd w:val="solid" w:color="000000" w:fill="000000"/>
                <w:fitText w:val="146" w:id="-1435870463"/>
                <w14:textFill>
                  <w14:solidFill>
                    <w14:srgbClr w14:val="000000">
                      <w14:alpha w14:val="100000"/>
                    </w14:srgbClr>
                  </w14:solidFill>
                </w14:textFill>
              </w:rPr>
              <w:t xml:space="preserve">　</w:t>
            </w:r>
            <w:r w:rsidR="00244E19">
              <w:rPr>
                <w:rFonts w:cs="Calibri"/>
                <w:iCs/>
                <w:color w:val="000000"/>
                <w:szCs w:val="20"/>
                <w:vertAlign w:val="superscript"/>
              </w:rPr>
              <w:t>2</w:t>
            </w:r>
          </w:p>
        </w:tc>
      </w:tr>
    </w:tbl>
    <w:p w14:paraId="007B2A77" w14:textId="550E9CAA" w:rsidR="009A1E21" w:rsidRDefault="00CA35AC" w:rsidP="00A81E8E">
      <w:pPr>
        <w:pStyle w:val="TableFigureFooter"/>
        <w:keepNext/>
        <w:keepLines/>
        <w:widowControl w:val="0"/>
        <w:rPr>
          <w:iCs/>
        </w:rPr>
      </w:pPr>
      <w:r w:rsidRPr="00501526">
        <w:rPr>
          <w:iCs/>
        </w:rPr>
        <w:t>Source: Table</w:t>
      </w:r>
      <w:r w:rsidR="00DD415E" w:rsidRPr="00501526">
        <w:rPr>
          <w:iCs/>
        </w:rPr>
        <w:t>s</w:t>
      </w:r>
      <w:r w:rsidRPr="00501526">
        <w:rPr>
          <w:iCs/>
        </w:rPr>
        <w:t xml:space="preserve"> 4.2-1</w:t>
      </w:r>
      <w:r w:rsidR="00DD415E" w:rsidRPr="00501526">
        <w:rPr>
          <w:iCs/>
        </w:rPr>
        <w:t xml:space="preserve"> and 4.2-2</w:t>
      </w:r>
      <w:r w:rsidRPr="00501526">
        <w:rPr>
          <w:iCs/>
        </w:rPr>
        <w:t>, p</w:t>
      </w:r>
      <w:r w:rsidR="00DD415E" w:rsidRPr="00501526">
        <w:rPr>
          <w:iCs/>
        </w:rPr>
        <w:t>p</w:t>
      </w:r>
      <w:r w:rsidRPr="00501526">
        <w:rPr>
          <w:iCs/>
        </w:rPr>
        <w:t>328</w:t>
      </w:r>
      <w:r w:rsidR="00DD415E" w:rsidRPr="00501526">
        <w:rPr>
          <w:iCs/>
        </w:rPr>
        <w:t>-9</w:t>
      </w:r>
      <w:r w:rsidRPr="00501526">
        <w:rPr>
          <w:iCs/>
        </w:rPr>
        <w:t xml:space="preserve"> of the submission. HPA = hyperphenylalanemia; PKU = </w:t>
      </w:r>
      <w:r w:rsidR="00DA773C" w:rsidRPr="00501526">
        <w:rPr>
          <w:iCs/>
        </w:rPr>
        <w:t>Phenylketonuria</w:t>
      </w:r>
      <w:r w:rsidRPr="00501526">
        <w:rPr>
          <w:iCs/>
        </w:rPr>
        <w:t>; f/u = follow-up</w:t>
      </w:r>
    </w:p>
    <w:p w14:paraId="2C9D13AE" w14:textId="01101DED" w:rsidR="007D732B" w:rsidRDefault="007D732B" w:rsidP="00A81E8E">
      <w:pPr>
        <w:pStyle w:val="TableFigureFooter"/>
        <w:keepNext/>
        <w:keepLines/>
        <w:widowControl w:val="0"/>
        <w:rPr>
          <w:iCs/>
        </w:rPr>
      </w:pPr>
      <w:r>
        <w:rPr>
          <w:iCs/>
          <w:vertAlign w:val="superscript"/>
        </w:rPr>
        <w:t>a</w:t>
      </w:r>
      <w:r>
        <w:rPr>
          <w:iCs/>
        </w:rPr>
        <w:t xml:space="preserve"> In Year 2 to 6, initiating patients were derived by subtracting the </w:t>
      </w:r>
      <w:r w:rsidR="00AE5834">
        <w:rPr>
          <w:iCs/>
        </w:rPr>
        <w:t xml:space="preserve">estimated </w:t>
      </w:r>
      <w:r>
        <w:rPr>
          <w:iCs/>
        </w:rPr>
        <w:t>population</w:t>
      </w:r>
      <w:r w:rsidR="00AE5834">
        <w:rPr>
          <w:iCs/>
        </w:rPr>
        <w:t xml:space="preserve"> (derived using a prevalence approach) </w:t>
      </w:r>
      <w:r>
        <w:rPr>
          <w:iCs/>
        </w:rPr>
        <w:t>from the previous year</w:t>
      </w:r>
    </w:p>
    <w:p w14:paraId="2EDD916F" w14:textId="77777777" w:rsidR="005407BD" w:rsidRPr="00CC64AE" w:rsidRDefault="005407BD" w:rsidP="005407BD">
      <w:pPr>
        <w:pStyle w:val="TableFigureFooter"/>
        <w:keepNext/>
        <w:spacing w:after="0"/>
        <w:contextualSpacing w:val="0"/>
        <w:rPr>
          <w:i/>
        </w:rPr>
      </w:pPr>
      <w:r w:rsidRPr="00CC64AE">
        <w:rPr>
          <w:i/>
        </w:rPr>
        <w:t>The redacted values correspond to the following ranges:</w:t>
      </w:r>
    </w:p>
    <w:p w14:paraId="052120DA" w14:textId="77777777" w:rsidR="005407BD" w:rsidRPr="00281DAB" w:rsidRDefault="005407BD" w:rsidP="005407BD">
      <w:pPr>
        <w:pStyle w:val="TableFigureFooter"/>
        <w:keepNext/>
        <w:spacing w:after="0"/>
        <w:contextualSpacing w:val="0"/>
      </w:pPr>
      <w:r w:rsidRPr="00CC64AE">
        <w:rPr>
          <w:i/>
          <w:szCs w:val="18"/>
          <w:vertAlign w:val="superscript"/>
        </w:rPr>
        <w:t>1</w:t>
      </w:r>
      <w:r w:rsidRPr="00CC64AE">
        <w:rPr>
          <w:i/>
          <w:szCs w:val="18"/>
        </w:rPr>
        <w:t xml:space="preserve"> </w:t>
      </w:r>
      <w:r>
        <w:rPr>
          <w:i/>
          <w:szCs w:val="18"/>
        </w:rPr>
        <w:t>500</w:t>
      </w:r>
      <w:r w:rsidRPr="00DA23EE">
        <w:rPr>
          <w:i/>
          <w:szCs w:val="18"/>
        </w:rPr>
        <w:t> to &lt; 5,000</w:t>
      </w:r>
    </w:p>
    <w:p w14:paraId="6258B51C" w14:textId="1F33881E" w:rsidR="005407BD" w:rsidRPr="0094758E" w:rsidRDefault="005407BD" w:rsidP="0094758E">
      <w:pPr>
        <w:pStyle w:val="TableFigureFooter"/>
        <w:keepNext/>
        <w:contextualSpacing w:val="0"/>
        <w:rPr>
          <w:i/>
          <w:iCs/>
        </w:rPr>
      </w:pPr>
      <w:r w:rsidRPr="00CC64AE">
        <w:rPr>
          <w:i/>
          <w:szCs w:val="18"/>
          <w:vertAlign w:val="superscript"/>
        </w:rPr>
        <w:t>2</w:t>
      </w:r>
      <w:r w:rsidRPr="00CC64AE">
        <w:rPr>
          <w:i/>
          <w:szCs w:val="18"/>
        </w:rPr>
        <w:t xml:space="preserve"> </w:t>
      </w:r>
      <w:r w:rsidRPr="00DA23EE">
        <w:rPr>
          <w:i/>
          <w:szCs w:val="18"/>
        </w:rPr>
        <w:t>&lt; 500</w:t>
      </w:r>
    </w:p>
    <w:p w14:paraId="25DBF121" w14:textId="7B8711EB" w:rsidR="00D316E7" w:rsidRPr="00D316E7" w:rsidRDefault="00D71890" w:rsidP="00BF6E8D">
      <w:pPr>
        <w:pStyle w:val="3-BodyText"/>
        <w:rPr>
          <w:iCs/>
          <w:color w:val="000000" w:themeColor="text1"/>
        </w:rPr>
      </w:pPr>
      <w:r w:rsidRPr="00565511">
        <w:rPr>
          <w:iCs/>
          <w:color w:val="000000" w:themeColor="text1"/>
        </w:rPr>
        <w:t xml:space="preserve">It appeared that the submission did not explicitly factor in the initiation criteria that patients have not previously received sapropterin. </w:t>
      </w:r>
      <w:r w:rsidR="0043270F" w:rsidRPr="00565511">
        <w:rPr>
          <w:iCs/>
          <w:color w:val="000000" w:themeColor="text1"/>
        </w:rPr>
        <w:t xml:space="preserve">Patients </w:t>
      </w:r>
      <w:r w:rsidR="00E6192C" w:rsidRPr="00565511">
        <w:rPr>
          <w:iCs/>
          <w:color w:val="000000" w:themeColor="text1"/>
        </w:rPr>
        <w:t xml:space="preserve">aged younger than 18 years </w:t>
      </w:r>
      <w:r w:rsidR="0043270F" w:rsidRPr="00565511">
        <w:rPr>
          <w:iCs/>
          <w:color w:val="000000" w:themeColor="text1"/>
        </w:rPr>
        <w:t xml:space="preserve">who had previously trialled </w:t>
      </w:r>
      <w:r w:rsidR="00BA3EAA" w:rsidRPr="00565511">
        <w:rPr>
          <w:iCs/>
          <w:color w:val="000000" w:themeColor="text1"/>
        </w:rPr>
        <w:t xml:space="preserve">but did not achieve a response would not be eligible to trial sapropterin again </w:t>
      </w:r>
      <w:r w:rsidR="00E6192C" w:rsidRPr="00565511">
        <w:rPr>
          <w:iCs/>
          <w:color w:val="000000" w:themeColor="text1"/>
        </w:rPr>
        <w:t>after they turn 18</w:t>
      </w:r>
      <w:r w:rsidR="00314DF9" w:rsidRPr="00565511">
        <w:rPr>
          <w:iCs/>
          <w:color w:val="000000" w:themeColor="text1"/>
        </w:rPr>
        <w:t xml:space="preserve">. However, these patients </w:t>
      </w:r>
      <w:r w:rsidR="00330AED" w:rsidRPr="00565511">
        <w:rPr>
          <w:iCs/>
          <w:color w:val="000000" w:themeColor="text1"/>
        </w:rPr>
        <w:t>would have been captured with the epidemiological approach used</w:t>
      </w:r>
      <w:r w:rsidR="00E6192C" w:rsidRPr="00565511">
        <w:rPr>
          <w:iCs/>
          <w:color w:val="000000" w:themeColor="text1"/>
        </w:rPr>
        <w:t>, therefore</w:t>
      </w:r>
      <w:r w:rsidRPr="00565511">
        <w:rPr>
          <w:iCs/>
          <w:color w:val="000000" w:themeColor="text1"/>
        </w:rPr>
        <w:t xml:space="preserve"> </w:t>
      </w:r>
      <w:r w:rsidR="00D11BDC" w:rsidRPr="00565511">
        <w:rPr>
          <w:iCs/>
          <w:color w:val="000000" w:themeColor="text1"/>
        </w:rPr>
        <w:t>there was</w:t>
      </w:r>
      <w:r w:rsidRPr="00565511">
        <w:rPr>
          <w:iCs/>
          <w:color w:val="000000" w:themeColor="text1"/>
        </w:rPr>
        <w:t xml:space="preserve"> a potential to overestimate the population. </w:t>
      </w:r>
      <w:r w:rsidR="009379F3">
        <w:rPr>
          <w:iCs/>
          <w:color w:val="000000" w:themeColor="text1"/>
        </w:rPr>
        <w:t xml:space="preserve">The PSCR and pre-PBAC response noted that </w:t>
      </w:r>
      <w:r w:rsidR="00D316E7">
        <w:rPr>
          <w:iCs/>
          <w:color w:val="000000" w:themeColor="text1"/>
        </w:rPr>
        <w:t xml:space="preserve">as sapropterin was </w:t>
      </w:r>
      <w:r w:rsidR="00D316E7" w:rsidRPr="00EB060B">
        <w:t>only listed for the treatment of PKU in 2019, the number of patients who trialled sapropterin prior to the age of 18 years and are now 18 years or older is likely to be small</w:t>
      </w:r>
      <w:r w:rsidR="00D316E7">
        <w:t>.</w:t>
      </w:r>
      <w:r w:rsidR="0068437B">
        <w:t xml:space="preserve"> </w:t>
      </w:r>
    </w:p>
    <w:p w14:paraId="51EF50CB" w14:textId="0D749BE4" w:rsidR="007818C6" w:rsidRDefault="007818C6" w:rsidP="00B505C8">
      <w:pPr>
        <w:pStyle w:val="3-BodyText"/>
        <w:rPr>
          <w:iCs/>
          <w:color w:val="000000" w:themeColor="text1"/>
        </w:rPr>
      </w:pPr>
      <w:r>
        <w:rPr>
          <w:iCs/>
          <w:color w:val="000000" w:themeColor="text1"/>
        </w:rPr>
        <w:t xml:space="preserve">The submission </w:t>
      </w:r>
      <w:r w:rsidR="0068437B">
        <w:rPr>
          <w:iCs/>
          <w:color w:val="000000" w:themeColor="text1"/>
        </w:rPr>
        <w:t>assumed</w:t>
      </w:r>
      <w:r>
        <w:rPr>
          <w:iCs/>
          <w:color w:val="000000" w:themeColor="text1"/>
        </w:rPr>
        <w:t xml:space="preserve"> that 70% of the adult PKU population are not under routine follow-up</w:t>
      </w:r>
      <w:r w:rsidR="00B22023">
        <w:rPr>
          <w:iCs/>
          <w:color w:val="000000" w:themeColor="text1"/>
        </w:rPr>
        <w:t>. A</w:t>
      </w:r>
      <w:r w:rsidR="004D78C0">
        <w:rPr>
          <w:iCs/>
          <w:color w:val="000000" w:themeColor="text1"/>
        </w:rPr>
        <w:t xml:space="preserve">lthough DUSC considered that this step should be removed for pegvaliase, </w:t>
      </w:r>
      <w:r>
        <w:rPr>
          <w:iCs/>
          <w:color w:val="000000" w:themeColor="text1"/>
        </w:rPr>
        <w:t xml:space="preserve">the PBAC noted that consultation with clinicians and </w:t>
      </w:r>
      <w:r w:rsidR="00D316E7">
        <w:rPr>
          <w:iCs/>
          <w:color w:val="000000" w:themeColor="text1"/>
        </w:rPr>
        <w:t xml:space="preserve">the </w:t>
      </w:r>
      <w:r>
        <w:rPr>
          <w:iCs/>
          <w:color w:val="000000" w:themeColor="text1"/>
        </w:rPr>
        <w:t xml:space="preserve">MDAA indicated that </w:t>
      </w:r>
      <w:r w:rsidR="003B11BB">
        <w:rPr>
          <w:iCs/>
          <w:color w:val="000000" w:themeColor="text1"/>
        </w:rPr>
        <w:t>70%</w:t>
      </w:r>
      <w:r>
        <w:rPr>
          <w:iCs/>
          <w:color w:val="000000" w:themeColor="text1"/>
        </w:rPr>
        <w:t xml:space="preserve"> may be an overestimate and </w:t>
      </w:r>
      <w:r w:rsidR="0068437B">
        <w:rPr>
          <w:iCs/>
          <w:color w:val="000000" w:themeColor="text1"/>
        </w:rPr>
        <w:t>clinicians</w:t>
      </w:r>
      <w:r w:rsidR="00D316E7">
        <w:rPr>
          <w:iCs/>
          <w:color w:val="000000" w:themeColor="text1"/>
        </w:rPr>
        <w:t xml:space="preserve"> estimate</w:t>
      </w:r>
      <w:r w:rsidR="0068437B">
        <w:rPr>
          <w:iCs/>
          <w:color w:val="000000" w:themeColor="text1"/>
        </w:rPr>
        <w:t>d</w:t>
      </w:r>
      <w:r w:rsidR="00D316E7">
        <w:rPr>
          <w:iCs/>
          <w:color w:val="000000" w:themeColor="text1"/>
        </w:rPr>
        <w:t xml:space="preserve"> that </w:t>
      </w:r>
      <w:r w:rsidR="00B22023">
        <w:rPr>
          <w:iCs/>
          <w:color w:val="000000" w:themeColor="text1"/>
        </w:rPr>
        <w:t xml:space="preserve">it is likely that </w:t>
      </w:r>
      <w:r>
        <w:rPr>
          <w:iCs/>
          <w:color w:val="000000" w:themeColor="text1"/>
        </w:rPr>
        <w:t>only 50</w:t>
      </w:r>
      <w:r w:rsidR="00736F0D">
        <w:rPr>
          <w:iCs/>
          <w:color w:val="000000" w:themeColor="text1"/>
        </w:rPr>
        <w:t>% to </w:t>
      </w:r>
      <w:r>
        <w:rPr>
          <w:iCs/>
          <w:color w:val="000000" w:themeColor="text1"/>
        </w:rPr>
        <w:t xml:space="preserve">60% of </w:t>
      </w:r>
      <w:r w:rsidR="00B22023">
        <w:rPr>
          <w:iCs/>
          <w:color w:val="000000" w:themeColor="text1"/>
        </w:rPr>
        <w:t xml:space="preserve">adult </w:t>
      </w:r>
      <w:r>
        <w:rPr>
          <w:iCs/>
          <w:color w:val="000000" w:themeColor="text1"/>
        </w:rPr>
        <w:t>patients are under routine follow-up</w:t>
      </w:r>
      <w:r w:rsidR="0096032B">
        <w:rPr>
          <w:iCs/>
          <w:color w:val="000000" w:themeColor="text1"/>
        </w:rPr>
        <w:t xml:space="preserve"> (for example there </w:t>
      </w:r>
      <w:r w:rsidR="007D732B">
        <w:rPr>
          <w:iCs/>
          <w:color w:val="000000" w:themeColor="text1"/>
        </w:rPr>
        <w:t xml:space="preserve">may be </w:t>
      </w:r>
      <w:r w:rsidR="0096032B">
        <w:rPr>
          <w:iCs/>
          <w:color w:val="000000" w:themeColor="text1"/>
        </w:rPr>
        <w:t xml:space="preserve">limited access to metabolic clinics in some areas, some patients </w:t>
      </w:r>
      <w:r w:rsidR="00E325C2">
        <w:rPr>
          <w:iCs/>
          <w:color w:val="000000" w:themeColor="text1"/>
        </w:rPr>
        <w:t xml:space="preserve">may have left </w:t>
      </w:r>
      <w:r w:rsidR="0096032B">
        <w:rPr>
          <w:iCs/>
          <w:color w:val="000000" w:themeColor="text1"/>
        </w:rPr>
        <w:t xml:space="preserve">routine care due to being unable to follow the low protein diet </w:t>
      </w:r>
      <w:r w:rsidR="00E325C2">
        <w:rPr>
          <w:iCs/>
          <w:color w:val="000000" w:themeColor="text1"/>
        </w:rPr>
        <w:t xml:space="preserve">and/or </w:t>
      </w:r>
      <w:r w:rsidR="0096032B">
        <w:rPr>
          <w:iCs/>
          <w:color w:val="000000" w:themeColor="text1"/>
        </w:rPr>
        <w:t>the psychosocial impacts of PKU,</w:t>
      </w:r>
      <w:r w:rsidR="00E325C2">
        <w:rPr>
          <w:iCs/>
          <w:color w:val="000000" w:themeColor="text1"/>
        </w:rPr>
        <w:t xml:space="preserve"> or</w:t>
      </w:r>
      <w:r w:rsidR="0096032B">
        <w:rPr>
          <w:iCs/>
          <w:color w:val="000000" w:themeColor="text1"/>
        </w:rPr>
        <w:t xml:space="preserve"> previous </w:t>
      </w:r>
      <w:r w:rsidR="007D732B">
        <w:rPr>
          <w:iCs/>
          <w:color w:val="000000" w:themeColor="text1"/>
        </w:rPr>
        <w:t xml:space="preserve">historical </w:t>
      </w:r>
      <w:r w:rsidR="0096032B">
        <w:rPr>
          <w:iCs/>
          <w:color w:val="000000" w:themeColor="text1"/>
        </w:rPr>
        <w:t>advice</w:t>
      </w:r>
      <w:r w:rsidR="00E325C2">
        <w:rPr>
          <w:iCs/>
          <w:color w:val="000000" w:themeColor="text1"/>
        </w:rPr>
        <w:t xml:space="preserve"> that routine care was not required in adulthood</w:t>
      </w:r>
      <w:r w:rsidR="0096032B">
        <w:rPr>
          <w:iCs/>
          <w:color w:val="000000" w:themeColor="text1"/>
        </w:rPr>
        <w:t>)</w:t>
      </w:r>
      <w:r>
        <w:rPr>
          <w:iCs/>
          <w:color w:val="000000" w:themeColor="text1"/>
        </w:rPr>
        <w:t xml:space="preserve">. This </w:t>
      </w:r>
      <w:r w:rsidR="0068437B">
        <w:rPr>
          <w:iCs/>
          <w:color w:val="000000" w:themeColor="text1"/>
        </w:rPr>
        <w:t xml:space="preserve">assumption </w:t>
      </w:r>
      <w:r>
        <w:rPr>
          <w:iCs/>
          <w:color w:val="000000" w:themeColor="text1"/>
        </w:rPr>
        <w:t xml:space="preserve">would </w:t>
      </w:r>
      <w:r w:rsidR="003B11BB">
        <w:rPr>
          <w:iCs/>
          <w:color w:val="000000" w:themeColor="text1"/>
        </w:rPr>
        <w:t xml:space="preserve">therefore </w:t>
      </w:r>
      <w:r>
        <w:rPr>
          <w:iCs/>
          <w:color w:val="000000" w:themeColor="text1"/>
        </w:rPr>
        <w:t>overestimate the number of patients eligible for treatment.</w:t>
      </w:r>
      <w:r w:rsidR="00FE3971">
        <w:rPr>
          <w:iCs/>
          <w:color w:val="000000" w:themeColor="text1"/>
        </w:rPr>
        <w:t xml:space="preserve"> </w:t>
      </w:r>
    </w:p>
    <w:p w14:paraId="76E3AF42" w14:textId="3A666E26" w:rsidR="00D30FE7" w:rsidRPr="00501526" w:rsidRDefault="00B22023" w:rsidP="00B505C8">
      <w:pPr>
        <w:pStyle w:val="3-BodyText"/>
        <w:rPr>
          <w:iCs/>
          <w:color w:val="000000" w:themeColor="text1"/>
        </w:rPr>
      </w:pPr>
      <w:r>
        <w:rPr>
          <w:iCs/>
          <w:color w:val="000000" w:themeColor="text1"/>
        </w:rPr>
        <w:t>The evaluation considered that u</w:t>
      </w:r>
      <w:r w:rsidR="00D30FE7" w:rsidRPr="00501526">
        <w:rPr>
          <w:iCs/>
          <w:color w:val="000000" w:themeColor="text1"/>
        </w:rPr>
        <w:t xml:space="preserve">ptake rates </w:t>
      </w:r>
      <w:r w:rsidR="00853585" w:rsidRPr="00501526">
        <w:rPr>
          <w:iCs/>
          <w:color w:val="000000" w:themeColor="text1"/>
        </w:rPr>
        <w:t>we</w:t>
      </w:r>
      <w:r w:rsidR="00D30FE7" w:rsidRPr="00501526">
        <w:rPr>
          <w:iCs/>
          <w:color w:val="000000" w:themeColor="text1"/>
        </w:rPr>
        <w:t>re uncertain</w:t>
      </w:r>
      <w:r>
        <w:rPr>
          <w:iCs/>
          <w:color w:val="000000" w:themeColor="text1"/>
        </w:rPr>
        <w:t xml:space="preserve">. The evaluation considered that, on one hand, the uptake rates could be overestimated given </w:t>
      </w:r>
      <w:r w:rsidR="00D30FE7" w:rsidRPr="00501526">
        <w:rPr>
          <w:iCs/>
          <w:color w:val="000000" w:themeColor="text1"/>
        </w:rPr>
        <w:t xml:space="preserve">the lack of a clear benefit in patients initiating after </w:t>
      </w:r>
      <w:r w:rsidR="00314DF9" w:rsidRPr="00501526">
        <w:rPr>
          <w:iCs/>
          <w:color w:val="000000" w:themeColor="text1"/>
        </w:rPr>
        <w:t>18 years of age</w:t>
      </w:r>
      <w:r w:rsidR="00D30FE7" w:rsidRPr="00501526">
        <w:rPr>
          <w:iCs/>
          <w:color w:val="000000" w:themeColor="text1"/>
        </w:rPr>
        <w:t xml:space="preserve">, </w:t>
      </w:r>
      <w:r w:rsidR="00D75313" w:rsidRPr="00501526">
        <w:rPr>
          <w:iCs/>
          <w:color w:val="000000" w:themeColor="text1"/>
        </w:rPr>
        <w:t xml:space="preserve">but </w:t>
      </w:r>
      <w:r>
        <w:rPr>
          <w:iCs/>
          <w:color w:val="000000" w:themeColor="text1"/>
        </w:rPr>
        <w:t xml:space="preserve">on the other hand could be underestimated </w:t>
      </w:r>
      <w:r w:rsidR="00D75313" w:rsidRPr="00501526">
        <w:rPr>
          <w:iCs/>
          <w:color w:val="000000" w:themeColor="text1"/>
        </w:rPr>
        <w:t xml:space="preserve">given that sapropterin treatment </w:t>
      </w:r>
      <w:r w:rsidR="00552465" w:rsidRPr="00501526">
        <w:rPr>
          <w:iCs/>
          <w:color w:val="000000" w:themeColor="text1"/>
        </w:rPr>
        <w:t>generally ha</w:t>
      </w:r>
      <w:r>
        <w:rPr>
          <w:iCs/>
          <w:color w:val="000000" w:themeColor="text1"/>
        </w:rPr>
        <w:t>s</w:t>
      </w:r>
      <w:r w:rsidR="00552465" w:rsidRPr="00501526">
        <w:rPr>
          <w:iCs/>
          <w:color w:val="000000" w:themeColor="text1"/>
        </w:rPr>
        <w:t xml:space="preserve"> low risk of harms and </w:t>
      </w:r>
      <w:r w:rsidR="00D75313" w:rsidRPr="00501526">
        <w:rPr>
          <w:iCs/>
          <w:color w:val="000000" w:themeColor="text1"/>
        </w:rPr>
        <w:t>may allow patients to increase dietary Phe intake</w:t>
      </w:r>
      <w:r w:rsidR="00D30FE7" w:rsidRPr="00501526">
        <w:rPr>
          <w:iCs/>
          <w:color w:val="000000" w:themeColor="text1"/>
        </w:rPr>
        <w:t>.</w:t>
      </w:r>
    </w:p>
    <w:p w14:paraId="155D6683" w14:textId="3CBEC1AA" w:rsidR="00CA35AC" w:rsidRPr="00501526" w:rsidRDefault="009A1E21" w:rsidP="00B505C8">
      <w:pPr>
        <w:pStyle w:val="3-BodyText"/>
        <w:rPr>
          <w:iCs/>
        </w:rPr>
      </w:pPr>
      <w:r w:rsidRPr="00501526">
        <w:rPr>
          <w:iCs/>
          <w:color w:val="000000" w:themeColor="text1"/>
        </w:rPr>
        <w:t xml:space="preserve">After the first year of </w:t>
      </w:r>
      <w:r w:rsidR="00552465" w:rsidRPr="00501526">
        <w:rPr>
          <w:iCs/>
          <w:color w:val="000000" w:themeColor="text1"/>
        </w:rPr>
        <w:t>listing</w:t>
      </w:r>
      <w:r w:rsidRPr="00501526">
        <w:rPr>
          <w:iCs/>
          <w:color w:val="000000" w:themeColor="text1"/>
        </w:rPr>
        <w:t xml:space="preserve">, the </w:t>
      </w:r>
      <w:r w:rsidR="00552465" w:rsidRPr="00501526">
        <w:rPr>
          <w:iCs/>
          <w:color w:val="000000" w:themeColor="text1"/>
        </w:rPr>
        <w:t xml:space="preserve">number of </w:t>
      </w:r>
      <w:r w:rsidRPr="00501526">
        <w:rPr>
          <w:iCs/>
          <w:color w:val="000000" w:themeColor="text1"/>
        </w:rPr>
        <w:t xml:space="preserve">initiating </w:t>
      </w:r>
      <w:r w:rsidR="000C049F" w:rsidRPr="00501526">
        <w:rPr>
          <w:iCs/>
          <w:color w:val="000000" w:themeColor="text1"/>
        </w:rPr>
        <w:t>patients</w:t>
      </w:r>
      <w:r w:rsidRPr="00501526">
        <w:rPr>
          <w:iCs/>
          <w:color w:val="000000" w:themeColor="text1"/>
        </w:rPr>
        <w:t xml:space="preserve"> d</w:t>
      </w:r>
      <w:r w:rsidR="00314DF9" w:rsidRPr="00501526">
        <w:rPr>
          <w:iCs/>
          <w:color w:val="000000" w:themeColor="text1"/>
        </w:rPr>
        <w:t>ecreas</w:t>
      </w:r>
      <w:r w:rsidRPr="00501526">
        <w:rPr>
          <w:iCs/>
          <w:color w:val="000000" w:themeColor="text1"/>
        </w:rPr>
        <w:t>ed</w:t>
      </w:r>
      <w:r w:rsidR="007D732B">
        <w:rPr>
          <w:iCs/>
          <w:color w:val="000000" w:themeColor="text1"/>
        </w:rPr>
        <w:t>, given the large prevalent pool in Year 1</w:t>
      </w:r>
      <w:r w:rsidRPr="00501526">
        <w:rPr>
          <w:iCs/>
          <w:color w:val="000000" w:themeColor="text1"/>
        </w:rPr>
        <w:t xml:space="preserve">. The submission subtracted the estimates of </w:t>
      </w:r>
      <w:r w:rsidR="00314DF9" w:rsidRPr="00501526">
        <w:rPr>
          <w:iCs/>
          <w:color w:val="000000" w:themeColor="text1"/>
        </w:rPr>
        <w:t xml:space="preserve">the </w:t>
      </w:r>
      <w:r w:rsidRPr="00501526">
        <w:rPr>
          <w:iCs/>
          <w:color w:val="000000" w:themeColor="text1"/>
        </w:rPr>
        <w:t xml:space="preserve">treated </w:t>
      </w:r>
      <w:r w:rsidRPr="00501526">
        <w:rPr>
          <w:iCs/>
          <w:color w:val="000000" w:themeColor="text1"/>
        </w:rPr>
        <w:lastRenderedPageBreak/>
        <w:t xml:space="preserve">population for each subsequent year from the estimate </w:t>
      </w:r>
      <w:r w:rsidR="007D732B">
        <w:rPr>
          <w:iCs/>
          <w:color w:val="000000" w:themeColor="text1"/>
        </w:rPr>
        <w:t>from the previous</w:t>
      </w:r>
      <w:r w:rsidRPr="00501526">
        <w:rPr>
          <w:iCs/>
          <w:color w:val="000000" w:themeColor="text1"/>
        </w:rPr>
        <w:t xml:space="preserve"> year.</w:t>
      </w:r>
      <w:r w:rsidR="007D732B">
        <w:rPr>
          <w:iCs/>
          <w:color w:val="000000" w:themeColor="text1"/>
        </w:rPr>
        <w:t xml:space="preserve"> </w:t>
      </w:r>
      <w:r w:rsidR="00940719" w:rsidRPr="00501526">
        <w:rPr>
          <w:iCs/>
        </w:rPr>
        <w:t xml:space="preserve">Continuing patients were estimated using persistence rates calculated in the economic model. </w:t>
      </w:r>
      <w:r w:rsidR="00357851">
        <w:rPr>
          <w:iCs/>
        </w:rPr>
        <w:t xml:space="preserve">The submission assumed </w:t>
      </w:r>
      <w:r w:rsidR="00357851" w:rsidRPr="00501526">
        <w:rPr>
          <w:iCs/>
        </w:rPr>
        <w:t>23.</w:t>
      </w:r>
      <w:r w:rsidR="00F565C7">
        <w:rPr>
          <w:iCs/>
        </w:rPr>
        <w:t>5</w:t>
      </w:r>
      <w:r w:rsidR="00357851" w:rsidRPr="00501526">
        <w:rPr>
          <w:iCs/>
        </w:rPr>
        <w:t>%</w:t>
      </w:r>
      <w:r w:rsidR="00357851">
        <w:rPr>
          <w:iCs/>
        </w:rPr>
        <w:t xml:space="preserve"> of patients were responders to sapropterin</w:t>
      </w:r>
      <w:r w:rsidR="00A009FA">
        <w:rPr>
          <w:iCs/>
        </w:rPr>
        <w:t xml:space="preserve"> </w:t>
      </w:r>
      <w:r w:rsidR="00F565C7">
        <w:rPr>
          <w:iCs/>
        </w:rPr>
        <w:t>(based on</w:t>
      </w:r>
      <w:r w:rsidR="00A009FA">
        <w:rPr>
          <w:iCs/>
        </w:rPr>
        <w:t xml:space="preserve"> 27/115 of adult patients with baseline Phe &gt;600 </w:t>
      </w:r>
      <w:r w:rsidR="00A009FA">
        <w:t>µmol/L</w:t>
      </w:r>
      <w:r w:rsidR="00F565C7">
        <w:t xml:space="preserve"> </w:t>
      </w:r>
      <w:r w:rsidR="00F565C7">
        <w:rPr>
          <w:iCs/>
        </w:rPr>
        <w:t>achieving</w:t>
      </w:r>
      <w:r w:rsidR="00A009FA">
        <w:rPr>
          <w:iCs/>
        </w:rPr>
        <w:t xml:space="preserve"> a ≥ 30% reduction in blood Phe levels in the first 28 days after starting sapropterin</w:t>
      </w:r>
      <w:r w:rsidR="00F565C7">
        <w:rPr>
          <w:iCs/>
        </w:rPr>
        <w:t>)</w:t>
      </w:r>
      <w:r w:rsidR="00357851">
        <w:rPr>
          <w:iCs/>
        </w:rPr>
        <w:t xml:space="preserve">. </w:t>
      </w:r>
      <w:r w:rsidR="00736F0D">
        <w:rPr>
          <w:iCs/>
        </w:rPr>
        <w:t xml:space="preserve">As noted in paragraph </w:t>
      </w:r>
      <w:r w:rsidR="00736F0D">
        <w:rPr>
          <w:iCs/>
        </w:rPr>
        <w:fldChar w:fldCharType="begin"/>
      </w:r>
      <w:r w:rsidR="00736F0D">
        <w:rPr>
          <w:iCs/>
        </w:rPr>
        <w:instrText xml:space="preserve"> REF _Ref108685082 \r \h </w:instrText>
      </w:r>
      <w:r w:rsidR="00736F0D">
        <w:rPr>
          <w:iCs/>
        </w:rPr>
      </w:r>
      <w:r w:rsidR="00736F0D">
        <w:rPr>
          <w:iCs/>
        </w:rPr>
        <w:fldChar w:fldCharType="separate"/>
      </w:r>
      <w:r w:rsidR="0035299E">
        <w:rPr>
          <w:iCs/>
        </w:rPr>
        <w:t>6.59</w:t>
      </w:r>
      <w:r w:rsidR="00736F0D">
        <w:rPr>
          <w:iCs/>
        </w:rPr>
        <w:fldChar w:fldCharType="end"/>
      </w:r>
      <w:r w:rsidR="00736F0D">
        <w:rPr>
          <w:iCs/>
        </w:rPr>
        <w:t xml:space="preserve">, the evaluation and ESC considered that there were insufficient data in PKUDOS to estimate the proportion of patients likely to achieve a response after 7 days of treatment. </w:t>
      </w:r>
      <w:r w:rsidR="00357851">
        <w:rPr>
          <w:iCs/>
        </w:rPr>
        <w:t>If response rates were as low as 10.4%</w:t>
      </w:r>
      <w:r w:rsidR="00F565C7">
        <w:rPr>
          <w:iCs/>
        </w:rPr>
        <w:t xml:space="preserve"> (b</w:t>
      </w:r>
      <w:r w:rsidR="00F565C7" w:rsidRPr="00F565C7">
        <w:rPr>
          <w:iCs/>
        </w:rPr>
        <w:t>ased on 12/115 adult patients with baseline Phe ≥</w:t>
      </w:r>
      <w:r w:rsidR="00316152" w:rsidRPr="00F565C7">
        <w:rPr>
          <w:iCs/>
        </w:rPr>
        <w:t>600</w:t>
      </w:r>
      <w:r w:rsidR="00316152">
        <w:rPr>
          <w:iCs/>
        </w:rPr>
        <w:t> </w:t>
      </w:r>
      <w:r w:rsidR="00F565C7" w:rsidRPr="00F565C7">
        <w:rPr>
          <w:iCs/>
        </w:rPr>
        <w:t>µmol/L who had at least one blood-Phe measurement which was ≥30% lower than baseline within the first 7 days of treatment with sapropterin</w:t>
      </w:r>
      <w:r w:rsidR="00F565C7">
        <w:rPr>
          <w:iCs/>
        </w:rPr>
        <w:t>)</w:t>
      </w:r>
      <w:r w:rsidR="00F565C7" w:rsidRPr="00F565C7">
        <w:rPr>
          <w:iCs/>
        </w:rPr>
        <w:t xml:space="preserve">, </w:t>
      </w:r>
      <w:r w:rsidR="00357851">
        <w:rPr>
          <w:iCs/>
        </w:rPr>
        <w:t xml:space="preserve">the number of continuing patients would be overestimated. </w:t>
      </w:r>
      <w:r w:rsidR="00320A11">
        <w:rPr>
          <w:iCs/>
        </w:rPr>
        <w:t>On the other hand, the response rate would be 34% (27/79) if it were based only on those patients</w:t>
      </w:r>
      <w:r w:rsidR="00A009FA">
        <w:rPr>
          <w:iCs/>
        </w:rPr>
        <w:t xml:space="preserve"> with at least one measurement within the first 28 days</w:t>
      </w:r>
      <w:r w:rsidR="001C74B1">
        <w:rPr>
          <w:iCs/>
        </w:rPr>
        <w:t xml:space="preserve"> (refer to Paragraph </w:t>
      </w:r>
      <w:r w:rsidR="001C74B1">
        <w:rPr>
          <w:iCs/>
        </w:rPr>
        <w:fldChar w:fldCharType="begin"/>
      </w:r>
      <w:r w:rsidR="001C74B1">
        <w:rPr>
          <w:iCs/>
        </w:rPr>
        <w:instrText xml:space="preserve"> REF _Ref108685739 \r \h </w:instrText>
      </w:r>
      <w:r w:rsidR="001C74B1">
        <w:rPr>
          <w:iCs/>
        </w:rPr>
      </w:r>
      <w:r w:rsidR="001C74B1">
        <w:rPr>
          <w:iCs/>
        </w:rPr>
        <w:fldChar w:fldCharType="separate"/>
      </w:r>
      <w:r w:rsidR="0035299E">
        <w:rPr>
          <w:iCs/>
        </w:rPr>
        <w:t>6.31</w:t>
      </w:r>
      <w:r w:rsidR="001C74B1">
        <w:rPr>
          <w:iCs/>
        </w:rPr>
        <w:fldChar w:fldCharType="end"/>
      </w:r>
      <w:r w:rsidR="001C74B1">
        <w:rPr>
          <w:iCs/>
        </w:rPr>
        <w:t>)</w:t>
      </w:r>
      <w:r w:rsidR="00A009FA">
        <w:rPr>
          <w:iCs/>
        </w:rPr>
        <w:t>. If 34% of patients were responders to sapropterin the number of continuing</w:t>
      </w:r>
      <w:r w:rsidR="00B22023">
        <w:rPr>
          <w:iCs/>
        </w:rPr>
        <w:t xml:space="preserve"> patients</w:t>
      </w:r>
      <w:r w:rsidR="00A009FA">
        <w:rPr>
          <w:iCs/>
        </w:rPr>
        <w:t xml:space="preserve"> would be underestimated.</w:t>
      </w:r>
    </w:p>
    <w:p w14:paraId="0D336824" w14:textId="43EC2419" w:rsidR="00712EEC" w:rsidRPr="00501526" w:rsidRDefault="00712EEC" w:rsidP="00B662D1">
      <w:pPr>
        <w:pStyle w:val="3-BodyText"/>
        <w:rPr>
          <w:iCs/>
        </w:rPr>
      </w:pPr>
      <w:r w:rsidRPr="00501526">
        <w:rPr>
          <w:iCs/>
          <w:color w:val="000000" w:themeColor="text1"/>
        </w:rPr>
        <w:t xml:space="preserve">The submission calculated the number of prescriptions based on patient weight and sex. The RSA was based on </w:t>
      </w:r>
      <w:r w:rsidRPr="00785DCC">
        <w:rPr>
          <w:iCs/>
          <w:color w:val="000000" w:themeColor="text1"/>
        </w:rPr>
        <w:t>a body weight cap</w:t>
      </w:r>
      <w:r w:rsidR="00B662D1" w:rsidRPr="00785DCC">
        <w:rPr>
          <w:iCs/>
          <w:color w:val="000000" w:themeColor="text1"/>
        </w:rPr>
        <w:t xml:space="preserve"> of </w:t>
      </w:r>
      <w:r w:rsidR="00542E3B" w:rsidRPr="009A5ECB">
        <w:rPr>
          <w:iCs/>
          <w:color w:val="000000" w:themeColor="text1"/>
          <w:w w:val="15"/>
          <w:shd w:val="solid" w:color="000000" w:fill="000000"/>
          <w:fitText w:val="-20" w:id="-1435870462"/>
          <w14:textFill>
            <w14:solidFill>
              <w14:schemeClr w14:val="tx1">
                <w14:alpha w14:val="100000"/>
              </w14:schemeClr>
            </w14:solidFill>
          </w14:textFill>
        </w:rPr>
        <w:t xml:space="preserve">|  </w:t>
      </w:r>
      <w:r w:rsidR="00542E3B" w:rsidRPr="009A5ECB">
        <w:rPr>
          <w:iCs/>
          <w:color w:val="000000" w:themeColor="text1"/>
          <w:spacing w:val="-69"/>
          <w:w w:val="15"/>
          <w:shd w:val="solid" w:color="000000" w:fill="000000"/>
          <w:fitText w:val="-20" w:id="-1435870462"/>
          <w14:textFill>
            <w14:solidFill>
              <w14:schemeClr w14:val="tx1">
                <w14:alpha w14:val="100000"/>
              </w14:schemeClr>
            </w14:solidFill>
          </w14:textFill>
        </w:rPr>
        <w:t>|</w:t>
      </w:r>
      <w:r w:rsidR="00AD21C8" w:rsidRPr="00785DCC">
        <w:rPr>
          <w:iCs/>
          <w:color w:val="000000" w:themeColor="text1"/>
        </w:rPr>
        <w:t> </w:t>
      </w:r>
      <w:r w:rsidR="00B662D1" w:rsidRPr="00785DCC">
        <w:rPr>
          <w:iCs/>
          <w:color w:val="000000" w:themeColor="text1"/>
        </w:rPr>
        <w:t>kg</w:t>
      </w:r>
      <w:r w:rsidRPr="00785DCC">
        <w:rPr>
          <w:iCs/>
          <w:color w:val="000000" w:themeColor="text1"/>
        </w:rPr>
        <w:t xml:space="preserve">. </w:t>
      </w:r>
    </w:p>
    <w:p w14:paraId="57796B5D" w14:textId="1AA7C22D" w:rsidR="00712EEC" w:rsidRPr="00501526" w:rsidRDefault="00712EEC" w:rsidP="00B505C8">
      <w:pPr>
        <w:pStyle w:val="3-BodyText"/>
        <w:rPr>
          <w:iCs/>
        </w:rPr>
      </w:pPr>
      <w:r w:rsidRPr="00501526">
        <w:rPr>
          <w:iCs/>
        </w:rPr>
        <w:fldChar w:fldCharType="begin"/>
      </w:r>
      <w:r w:rsidRPr="00501526">
        <w:rPr>
          <w:iCs/>
        </w:rPr>
        <w:instrText xml:space="preserve"> REF _Ref102152581 \h  \* MERGEFORMAT </w:instrText>
      </w:r>
      <w:r w:rsidRPr="00501526">
        <w:rPr>
          <w:iCs/>
        </w:rPr>
      </w:r>
      <w:r w:rsidRPr="00501526">
        <w:rPr>
          <w:iCs/>
        </w:rPr>
        <w:fldChar w:fldCharType="separate"/>
      </w:r>
      <w:r w:rsidR="0035299E" w:rsidRPr="0035299E">
        <w:t>Table 16</w:t>
      </w:r>
      <w:r w:rsidRPr="00501526">
        <w:rPr>
          <w:iCs/>
        </w:rPr>
        <w:fldChar w:fldCharType="end"/>
      </w:r>
      <w:r w:rsidRPr="00501526">
        <w:rPr>
          <w:iCs/>
        </w:rPr>
        <w:t xml:space="preserve"> presents</w:t>
      </w:r>
      <w:r w:rsidRPr="00501526">
        <w:rPr>
          <w:iCs/>
          <w:color w:val="000000" w:themeColor="text1"/>
        </w:rPr>
        <w:t xml:space="preserve"> the estimated use and financial implications for sapropterin.</w:t>
      </w:r>
      <w:r w:rsidR="00EA1A58" w:rsidRPr="00501526">
        <w:rPr>
          <w:iCs/>
          <w:color w:val="000000" w:themeColor="text1"/>
        </w:rPr>
        <w:t xml:space="preserve"> </w:t>
      </w:r>
    </w:p>
    <w:p w14:paraId="38EC053C" w14:textId="73F885B5" w:rsidR="00C25D9C" w:rsidRPr="00501526" w:rsidRDefault="00712EEC" w:rsidP="00606FBA">
      <w:pPr>
        <w:pStyle w:val="TableFigureHeading"/>
        <w:rPr>
          <w:iCs/>
        </w:rPr>
      </w:pPr>
      <w:bookmarkStart w:id="61" w:name="_Ref102152581"/>
      <w:r w:rsidRPr="00501526">
        <w:rPr>
          <w:rStyle w:val="CommentReference"/>
          <w:b/>
          <w:iCs/>
          <w:szCs w:val="24"/>
        </w:rPr>
        <w:t xml:space="preserve">Table </w:t>
      </w:r>
      <w:r w:rsidRPr="00501526">
        <w:rPr>
          <w:rStyle w:val="CommentReference"/>
          <w:b/>
          <w:iCs/>
          <w:szCs w:val="24"/>
        </w:rPr>
        <w:fldChar w:fldCharType="begin"/>
      </w:r>
      <w:r w:rsidRPr="00501526">
        <w:rPr>
          <w:rStyle w:val="CommentReference"/>
          <w:b/>
          <w:iCs/>
          <w:szCs w:val="24"/>
        </w:rPr>
        <w:instrText xml:space="preserve"> SEQ Table \* MERGEFORMAT </w:instrText>
      </w:r>
      <w:r w:rsidRPr="00501526">
        <w:rPr>
          <w:rStyle w:val="CommentReference"/>
          <w:b/>
          <w:iCs/>
          <w:szCs w:val="24"/>
        </w:rPr>
        <w:fldChar w:fldCharType="separate"/>
      </w:r>
      <w:r w:rsidR="0035299E">
        <w:rPr>
          <w:rStyle w:val="CommentReference"/>
          <w:b/>
          <w:iCs/>
          <w:noProof/>
          <w:szCs w:val="24"/>
        </w:rPr>
        <w:t>16</w:t>
      </w:r>
      <w:r w:rsidRPr="00501526">
        <w:rPr>
          <w:rStyle w:val="CommentReference"/>
          <w:b/>
          <w:iCs/>
          <w:szCs w:val="24"/>
        </w:rPr>
        <w:fldChar w:fldCharType="end"/>
      </w:r>
      <w:bookmarkEnd w:id="61"/>
      <w:r w:rsidRPr="00501526">
        <w:rPr>
          <w:rStyle w:val="CommentReference"/>
          <w:b/>
          <w:iCs/>
          <w:szCs w:val="24"/>
        </w:rPr>
        <w:t xml:space="preserve">: </w:t>
      </w:r>
      <w:r w:rsidR="002A2F50" w:rsidRPr="00501526">
        <w:rPr>
          <w:rStyle w:val="CommentReference"/>
          <w:b/>
          <w:iCs/>
          <w:szCs w:val="24"/>
        </w:rPr>
        <w:t>Estimated use and financial implications</w:t>
      </w:r>
      <w:r w:rsidR="007531D6" w:rsidRPr="00501526">
        <w:rPr>
          <w:rStyle w:val="CommentReference"/>
          <w:b/>
          <w:iCs/>
          <w:szCs w:val="24"/>
        </w:rPr>
        <w:t xml:space="preserve"> (effective prices)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986"/>
        <w:gridCol w:w="1135"/>
        <w:gridCol w:w="1133"/>
        <w:gridCol w:w="1132"/>
        <w:gridCol w:w="1061"/>
        <w:gridCol w:w="1068"/>
      </w:tblGrid>
      <w:tr w:rsidR="00005209" w:rsidRPr="00501526" w14:paraId="43A2A3A1" w14:textId="77777777" w:rsidTr="00F40C65">
        <w:trPr>
          <w:tblHeader/>
        </w:trPr>
        <w:tc>
          <w:tcPr>
            <w:tcW w:w="1407" w:type="pct"/>
            <w:shd w:val="clear" w:color="auto" w:fill="auto"/>
            <w:vAlign w:val="center"/>
          </w:tcPr>
          <w:p w14:paraId="0A4E41E1" w14:textId="77777777" w:rsidR="00385A9D" w:rsidRPr="00501526" w:rsidRDefault="00385A9D" w:rsidP="00606FBA">
            <w:pPr>
              <w:pStyle w:val="In-tableHeading"/>
              <w:jc w:val="center"/>
              <w:rPr>
                <w:iCs/>
                <w:szCs w:val="20"/>
                <w:lang w:val="en-AU"/>
              </w:rPr>
            </w:pPr>
          </w:p>
        </w:tc>
        <w:tc>
          <w:tcPr>
            <w:tcW w:w="544" w:type="pct"/>
            <w:shd w:val="clear" w:color="auto" w:fill="auto"/>
            <w:vAlign w:val="center"/>
          </w:tcPr>
          <w:p w14:paraId="77420B6F" w14:textId="77777777" w:rsidR="00385A9D" w:rsidRPr="00501526" w:rsidRDefault="00385A9D" w:rsidP="00606FBA">
            <w:pPr>
              <w:pStyle w:val="In-tableHeading"/>
              <w:jc w:val="center"/>
              <w:rPr>
                <w:iCs/>
                <w:szCs w:val="20"/>
                <w:lang w:val="en-AU"/>
              </w:rPr>
            </w:pPr>
            <w:r w:rsidRPr="00501526">
              <w:rPr>
                <w:iCs/>
                <w:szCs w:val="20"/>
                <w:lang w:val="en-AU"/>
              </w:rPr>
              <w:t>Year 1</w:t>
            </w:r>
          </w:p>
        </w:tc>
        <w:tc>
          <w:tcPr>
            <w:tcW w:w="626" w:type="pct"/>
            <w:shd w:val="clear" w:color="auto" w:fill="auto"/>
            <w:vAlign w:val="center"/>
          </w:tcPr>
          <w:p w14:paraId="3BBD9218" w14:textId="77777777" w:rsidR="00385A9D" w:rsidRPr="00501526" w:rsidRDefault="00385A9D" w:rsidP="00606FBA">
            <w:pPr>
              <w:pStyle w:val="In-tableHeading"/>
              <w:jc w:val="center"/>
              <w:rPr>
                <w:iCs/>
                <w:szCs w:val="20"/>
                <w:lang w:val="en-AU"/>
              </w:rPr>
            </w:pPr>
            <w:r w:rsidRPr="00501526">
              <w:rPr>
                <w:iCs/>
                <w:szCs w:val="20"/>
                <w:lang w:val="en-AU"/>
              </w:rPr>
              <w:t>Year 2</w:t>
            </w:r>
          </w:p>
        </w:tc>
        <w:tc>
          <w:tcPr>
            <w:tcW w:w="625" w:type="pct"/>
            <w:shd w:val="clear" w:color="auto" w:fill="auto"/>
            <w:vAlign w:val="center"/>
          </w:tcPr>
          <w:p w14:paraId="729A646E" w14:textId="77777777" w:rsidR="00385A9D" w:rsidRPr="00501526" w:rsidRDefault="00385A9D" w:rsidP="00606FBA">
            <w:pPr>
              <w:pStyle w:val="In-tableHeading"/>
              <w:jc w:val="center"/>
              <w:rPr>
                <w:iCs/>
                <w:szCs w:val="20"/>
                <w:lang w:val="en-AU"/>
              </w:rPr>
            </w:pPr>
            <w:r w:rsidRPr="00501526">
              <w:rPr>
                <w:iCs/>
                <w:szCs w:val="20"/>
                <w:lang w:val="en-AU"/>
              </w:rPr>
              <w:t>Year 3</w:t>
            </w:r>
          </w:p>
        </w:tc>
        <w:tc>
          <w:tcPr>
            <w:tcW w:w="624" w:type="pct"/>
            <w:shd w:val="clear" w:color="auto" w:fill="auto"/>
            <w:vAlign w:val="center"/>
          </w:tcPr>
          <w:p w14:paraId="280BB544" w14:textId="77777777" w:rsidR="00385A9D" w:rsidRPr="00501526" w:rsidRDefault="00385A9D" w:rsidP="00606FBA">
            <w:pPr>
              <w:pStyle w:val="In-tableHeading"/>
              <w:jc w:val="center"/>
              <w:rPr>
                <w:iCs/>
                <w:szCs w:val="20"/>
                <w:lang w:val="en-AU"/>
              </w:rPr>
            </w:pPr>
            <w:r w:rsidRPr="00501526">
              <w:rPr>
                <w:iCs/>
                <w:szCs w:val="20"/>
                <w:lang w:val="en-AU"/>
              </w:rPr>
              <w:t>Year 4</w:t>
            </w:r>
          </w:p>
        </w:tc>
        <w:tc>
          <w:tcPr>
            <w:tcW w:w="585" w:type="pct"/>
            <w:shd w:val="clear" w:color="auto" w:fill="auto"/>
            <w:vAlign w:val="center"/>
          </w:tcPr>
          <w:p w14:paraId="6435BB5B" w14:textId="77777777" w:rsidR="00385A9D" w:rsidRPr="00501526" w:rsidRDefault="00385A9D" w:rsidP="00606FBA">
            <w:pPr>
              <w:pStyle w:val="In-tableHeading"/>
              <w:jc w:val="center"/>
              <w:rPr>
                <w:iCs/>
                <w:szCs w:val="20"/>
                <w:lang w:val="en-AU"/>
              </w:rPr>
            </w:pPr>
            <w:r w:rsidRPr="00501526">
              <w:rPr>
                <w:iCs/>
                <w:szCs w:val="20"/>
                <w:lang w:val="en-AU"/>
              </w:rPr>
              <w:t>Year 5</w:t>
            </w:r>
          </w:p>
        </w:tc>
        <w:tc>
          <w:tcPr>
            <w:tcW w:w="588" w:type="pct"/>
          </w:tcPr>
          <w:p w14:paraId="7C618119" w14:textId="77777777" w:rsidR="00385A9D" w:rsidRPr="00501526" w:rsidRDefault="00385A9D" w:rsidP="00606FBA">
            <w:pPr>
              <w:pStyle w:val="In-tableHeading"/>
              <w:jc w:val="center"/>
              <w:rPr>
                <w:iCs/>
                <w:szCs w:val="20"/>
                <w:lang w:val="en-AU"/>
              </w:rPr>
            </w:pPr>
            <w:r w:rsidRPr="00501526">
              <w:rPr>
                <w:iCs/>
                <w:szCs w:val="20"/>
                <w:lang w:val="en-AU"/>
              </w:rPr>
              <w:t>Year 6</w:t>
            </w:r>
          </w:p>
        </w:tc>
      </w:tr>
      <w:tr w:rsidR="00385A9D" w:rsidRPr="00501526" w14:paraId="3C519059" w14:textId="77777777" w:rsidTr="00F40C65">
        <w:tc>
          <w:tcPr>
            <w:tcW w:w="5000" w:type="pct"/>
            <w:gridSpan w:val="7"/>
            <w:shd w:val="clear" w:color="auto" w:fill="auto"/>
            <w:vAlign w:val="center"/>
          </w:tcPr>
          <w:p w14:paraId="516C2197" w14:textId="77777777" w:rsidR="00385A9D" w:rsidRPr="00501526" w:rsidRDefault="00385A9D" w:rsidP="00606FBA">
            <w:pPr>
              <w:pStyle w:val="In-tableHeading"/>
              <w:rPr>
                <w:bCs/>
                <w:iCs/>
                <w:color w:val="000000"/>
                <w:szCs w:val="20"/>
                <w:lang w:val="en-AU"/>
              </w:rPr>
            </w:pPr>
            <w:r w:rsidRPr="00501526">
              <w:rPr>
                <w:bCs/>
                <w:iCs/>
                <w:color w:val="000000"/>
                <w:szCs w:val="20"/>
                <w:lang w:val="en-AU"/>
              </w:rPr>
              <w:t>Estimated extent of use</w:t>
            </w:r>
          </w:p>
        </w:tc>
      </w:tr>
      <w:tr w:rsidR="00005209" w:rsidRPr="00501526" w14:paraId="148A8EEF" w14:textId="77777777" w:rsidTr="00F40C65">
        <w:tc>
          <w:tcPr>
            <w:tcW w:w="1407" w:type="pct"/>
            <w:shd w:val="clear" w:color="auto" w:fill="auto"/>
            <w:vAlign w:val="center"/>
          </w:tcPr>
          <w:p w14:paraId="201B6ECA" w14:textId="77777777" w:rsidR="00CB2194" w:rsidRPr="00501526" w:rsidRDefault="00CB2194" w:rsidP="00CB2194">
            <w:pPr>
              <w:pStyle w:val="TableText0"/>
              <w:rPr>
                <w:iCs/>
                <w:szCs w:val="20"/>
              </w:rPr>
            </w:pPr>
            <w:r w:rsidRPr="00501526">
              <w:rPr>
                <w:iCs/>
                <w:szCs w:val="20"/>
              </w:rPr>
              <w:t>Number of patients treated</w:t>
            </w:r>
          </w:p>
        </w:tc>
        <w:tc>
          <w:tcPr>
            <w:tcW w:w="544" w:type="pct"/>
            <w:shd w:val="clear" w:color="auto" w:fill="auto"/>
            <w:vAlign w:val="center"/>
          </w:tcPr>
          <w:p w14:paraId="577607A9" w14:textId="3D420B32" w:rsidR="00CB2194" w:rsidRPr="00244E19" w:rsidRDefault="00542E3B" w:rsidP="00CB2194">
            <w:pPr>
              <w:pStyle w:val="TableText0"/>
              <w:jc w:val="center"/>
              <w:rPr>
                <w:iCs/>
                <w:color w:val="000000"/>
                <w:szCs w:val="20"/>
                <w:highlight w:val="darkGray"/>
              </w:rPr>
            </w:pPr>
            <w:r w:rsidRPr="00542E3B">
              <w:rPr>
                <w:rFonts w:cs="Calibri"/>
                <w:b/>
                <w:bCs w:val="0"/>
                <w:iCs/>
                <w:color w:val="000000"/>
                <w:spacing w:val="62"/>
                <w:szCs w:val="20"/>
                <w:shd w:val="solid" w:color="000000" w:fill="000000"/>
                <w:fitText w:val="154" w:id="-1435870461"/>
                <w14:textFill>
                  <w14:solidFill>
                    <w14:srgbClr w14:val="000000">
                      <w14:alpha w14:val="100000"/>
                    </w14:srgbClr>
                  </w14:solidFill>
                </w14:textFill>
              </w:rPr>
              <w:t>|</w:t>
            </w:r>
            <w:r w:rsidRPr="00542E3B">
              <w:rPr>
                <w:rFonts w:cs="Calibri"/>
                <w:b/>
                <w:bCs w:val="0"/>
                <w:iCs/>
                <w:color w:val="000000"/>
                <w:spacing w:val="1"/>
                <w:szCs w:val="20"/>
                <w:shd w:val="solid" w:color="000000" w:fill="000000"/>
                <w:fitText w:val="154" w:id="-1435870461"/>
                <w14:textFill>
                  <w14:solidFill>
                    <w14:srgbClr w14:val="000000">
                      <w14:alpha w14:val="100000"/>
                    </w14:srgbClr>
                  </w14:solidFill>
                </w14:textFill>
              </w:rPr>
              <w:t>|</w:t>
            </w:r>
            <w:r w:rsidR="00244E19">
              <w:rPr>
                <w:iCs/>
                <w:szCs w:val="20"/>
                <w:vertAlign w:val="superscript"/>
              </w:rPr>
              <w:t>1</w:t>
            </w:r>
          </w:p>
        </w:tc>
        <w:tc>
          <w:tcPr>
            <w:tcW w:w="626" w:type="pct"/>
            <w:shd w:val="clear" w:color="auto" w:fill="auto"/>
            <w:vAlign w:val="center"/>
          </w:tcPr>
          <w:p w14:paraId="6610B4C9" w14:textId="0EAA18F7" w:rsidR="00CB2194" w:rsidRPr="00244E19" w:rsidRDefault="00542E3B" w:rsidP="00CB2194">
            <w:pPr>
              <w:pStyle w:val="TableText0"/>
              <w:jc w:val="center"/>
              <w:rPr>
                <w:iCs/>
                <w:color w:val="000000"/>
                <w:szCs w:val="20"/>
                <w:highlight w:val="darkGray"/>
              </w:rPr>
            </w:pPr>
            <w:r w:rsidRPr="00542E3B">
              <w:rPr>
                <w:rFonts w:cs="Calibri" w:hint="eastAsia"/>
                <w:b/>
                <w:bCs w:val="0"/>
                <w:iCs/>
                <w:color w:val="000000"/>
                <w:w w:val="18"/>
                <w:szCs w:val="20"/>
                <w:shd w:val="solid" w:color="000000" w:fill="000000"/>
                <w:fitText w:val="84" w:id="-1435870460"/>
                <w14:textFill>
                  <w14:solidFill>
                    <w14:srgbClr w14:val="000000">
                      <w14:alpha w14:val="100000"/>
                    </w14:srgbClr>
                  </w14:solidFill>
                </w14:textFill>
              </w:rPr>
              <w:t xml:space="preserve">　</w:t>
            </w:r>
            <w:r w:rsidRPr="00542E3B">
              <w:rPr>
                <w:rFonts w:cs="Calibri"/>
                <w:b/>
                <w:bCs w:val="0"/>
                <w:iCs/>
                <w:color w:val="000000"/>
                <w:w w:val="18"/>
                <w:szCs w:val="20"/>
                <w:shd w:val="solid" w:color="000000" w:fill="000000"/>
                <w:fitText w:val="84" w:id="-1435870460"/>
                <w14:textFill>
                  <w14:solidFill>
                    <w14:srgbClr w14:val="000000">
                      <w14:alpha w14:val="100000"/>
                    </w14:srgbClr>
                  </w14:solidFill>
                </w14:textFill>
              </w:rPr>
              <w:t>|</w:t>
            </w:r>
            <w:r w:rsidRPr="00542E3B">
              <w:rPr>
                <w:rFonts w:cs="Calibri" w:hint="eastAsia"/>
                <w:b/>
                <w:bCs w:val="0"/>
                <w:iCs/>
                <w:color w:val="000000"/>
                <w:spacing w:val="3"/>
                <w:w w:val="18"/>
                <w:szCs w:val="20"/>
                <w:shd w:val="solid" w:color="000000" w:fill="000000"/>
                <w:fitText w:val="84" w:id="-1435870460"/>
                <w14:textFill>
                  <w14:solidFill>
                    <w14:srgbClr w14:val="000000">
                      <w14:alpha w14:val="100000"/>
                    </w14:srgbClr>
                  </w14:solidFill>
                </w14:textFill>
              </w:rPr>
              <w:t xml:space="preserve">　</w:t>
            </w:r>
            <w:r w:rsidR="00244E19">
              <w:rPr>
                <w:iCs/>
                <w:szCs w:val="20"/>
                <w:vertAlign w:val="superscript"/>
              </w:rPr>
              <w:t>1</w:t>
            </w:r>
          </w:p>
        </w:tc>
        <w:tc>
          <w:tcPr>
            <w:tcW w:w="625" w:type="pct"/>
            <w:shd w:val="clear" w:color="auto" w:fill="auto"/>
            <w:vAlign w:val="center"/>
          </w:tcPr>
          <w:p w14:paraId="29F46D6B" w14:textId="02D0F692" w:rsidR="00CB2194" w:rsidRPr="00244E19" w:rsidRDefault="00542E3B" w:rsidP="00CB2194">
            <w:pPr>
              <w:pStyle w:val="TableText0"/>
              <w:jc w:val="center"/>
              <w:rPr>
                <w:iCs/>
                <w:color w:val="000000"/>
                <w:szCs w:val="20"/>
                <w:highlight w:val="darkGray"/>
              </w:rPr>
            </w:pPr>
            <w:r w:rsidRPr="00542E3B">
              <w:rPr>
                <w:rFonts w:cs="Calibri" w:hint="eastAsia"/>
                <w:b/>
                <w:bCs w:val="0"/>
                <w:iCs/>
                <w:color w:val="000000"/>
                <w:w w:val="18"/>
                <w:szCs w:val="20"/>
                <w:shd w:val="solid" w:color="000000" w:fill="000000"/>
                <w:fitText w:val="84" w:id="-1435870459"/>
                <w14:textFill>
                  <w14:solidFill>
                    <w14:srgbClr w14:val="000000">
                      <w14:alpha w14:val="100000"/>
                    </w14:srgbClr>
                  </w14:solidFill>
                </w14:textFill>
              </w:rPr>
              <w:t xml:space="preserve">　</w:t>
            </w:r>
            <w:r w:rsidRPr="00542E3B">
              <w:rPr>
                <w:rFonts w:cs="Calibri"/>
                <w:b/>
                <w:bCs w:val="0"/>
                <w:iCs/>
                <w:color w:val="000000"/>
                <w:w w:val="18"/>
                <w:szCs w:val="20"/>
                <w:shd w:val="solid" w:color="000000" w:fill="000000"/>
                <w:fitText w:val="84" w:id="-1435870459"/>
                <w14:textFill>
                  <w14:solidFill>
                    <w14:srgbClr w14:val="000000">
                      <w14:alpha w14:val="100000"/>
                    </w14:srgbClr>
                  </w14:solidFill>
                </w14:textFill>
              </w:rPr>
              <w:t>|</w:t>
            </w:r>
            <w:r w:rsidRPr="00542E3B">
              <w:rPr>
                <w:rFonts w:cs="Calibri" w:hint="eastAsia"/>
                <w:b/>
                <w:bCs w:val="0"/>
                <w:iCs/>
                <w:color w:val="000000"/>
                <w:spacing w:val="3"/>
                <w:w w:val="18"/>
                <w:szCs w:val="20"/>
                <w:shd w:val="solid" w:color="000000" w:fill="000000"/>
                <w:fitText w:val="84" w:id="-1435870459"/>
                <w14:textFill>
                  <w14:solidFill>
                    <w14:srgbClr w14:val="000000">
                      <w14:alpha w14:val="100000"/>
                    </w14:srgbClr>
                  </w14:solidFill>
                </w14:textFill>
              </w:rPr>
              <w:t xml:space="preserve">　</w:t>
            </w:r>
            <w:r w:rsidR="00244E19">
              <w:rPr>
                <w:iCs/>
                <w:szCs w:val="20"/>
                <w:vertAlign w:val="superscript"/>
              </w:rPr>
              <w:t>1</w:t>
            </w:r>
          </w:p>
        </w:tc>
        <w:tc>
          <w:tcPr>
            <w:tcW w:w="624" w:type="pct"/>
            <w:shd w:val="clear" w:color="auto" w:fill="auto"/>
            <w:vAlign w:val="center"/>
          </w:tcPr>
          <w:p w14:paraId="21167904" w14:textId="10795C68" w:rsidR="00CB2194" w:rsidRPr="00244E19" w:rsidRDefault="00542E3B" w:rsidP="00CB2194">
            <w:pPr>
              <w:pStyle w:val="TableText0"/>
              <w:jc w:val="center"/>
              <w:rPr>
                <w:iCs/>
                <w:color w:val="000000"/>
                <w:szCs w:val="20"/>
                <w:highlight w:val="darkGray"/>
              </w:rPr>
            </w:pPr>
            <w:r w:rsidRPr="00542E3B">
              <w:rPr>
                <w:rFonts w:cs="Calibri" w:hint="eastAsia"/>
                <w:b/>
                <w:bCs w:val="0"/>
                <w:iCs/>
                <w:color w:val="000000"/>
                <w:w w:val="18"/>
                <w:szCs w:val="20"/>
                <w:shd w:val="solid" w:color="000000" w:fill="000000"/>
                <w:fitText w:val="84" w:id="-1435870458"/>
                <w14:textFill>
                  <w14:solidFill>
                    <w14:srgbClr w14:val="000000">
                      <w14:alpha w14:val="100000"/>
                    </w14:srgbClr>
                  </w14:solidFill>
                </w14:textFill>
              </w:rPr>
              <w:t xml:space="preserve">　</w:t>
            </w:r>
            <w:r w:rsidRPr="00542E3B">
              <w:rPr>
                <w:rFonts w:cs="Calibri"/>
                <w:b/>
                <w:bCs w:val="0"/>
                <w:iCs/>
                <w:color w:val="000000"/>
                <w:w w:val="18"/>
                <w:szCs w:val="20"/>
                <w:shd w:val="solid" w:color="000000" w:fill="000000"/>
                <w:fitText w:val="84" w:id="-1435870458"/>
                <w14:textFill>
                  <w14:solidFill>
                    <w14:srgbClr w14:val="000000">
                      <w14:alpha w14:val="100000"/>
                    </w14:srgbClr>
                  </w14:solidFill>
                </w14:textFill>
              </w:rPr>
              <w:t>|</w:t>
            </w:r>
            <w:r w:rsidRPr="00542E3B">
              <w:rPr>
                <w:rFonts w:cs="Calibri" w:hint="eastAsia"/>
                <w:b/>
                <w:bCs w:val="0"/>
                <w:iCs/>
                <w:color w:val="000000"/>
                <w:spacing w:val="3"/>
                <w:w w:val="18"/>
                <w:szCs w:val="20"/>
                <w:shd w:val="solid" w:color="000000" w:fill="000000"/>
                <w:fitText w:val="84" w:id="-1435870458"/>
                <w14:textFill>
                  <w14:solidFill>
                    <w14:srgbClr w14:val="000000">
                      <w14:alpha w14:val="100000"/>
                    </w14:srgbClr>
                  </w14:solidFill>
                </w14:textFill>
              </w:rPr>
              <w:t xml:space="preserve">　</w:t>
            </w:r>
            <w:r w:rsidR="00244E19">
              <w:rPr>
                <w:iCs/>
                <w:szCs w:val="20"/>
                <w:vertAlign w:val="superscript"/>
              </w:rPr>
              <w:t>1</w:t>
            </w:r>
          </w:p>
        </w:tc>
        <w:tc>
          <w:tcPr>
            <w:tcW w:w="585" w:type="pct"/>
            <w:shd w:val="clear" w:color="auto" w:fill="auto"/>
            <w:vAlign w:val="center"/>
          </w:tcPr>
          <w:p w14:paraId="762D4B71" w14:textId="4C2991D3" w:rsidR="00CB2194" w:rsidRPr="00244E19" w:rsidRDefault="00542E3B" w:rsidP="00CB2194">
            <w:pPr>
              <w:pStyle w:val="TableText0"/>
              <w:jc w:val="center"/>
              <w:rPr>
                <w:iCs/>
                <w:color w:val="000000"/>
                <w:szCs w:val="20"/>
                <w:highlight w:val="darkGray"/>
              </w:rPr>
            </w:pPr>
            <w:r w:rsidRPr="00542E3B">
              <w:rPr>
                <w:rFonts w:cs="Calibri" w:hint="eastAsia"/>
                <w:b/>
                <w:bCs w:val="0"/>
                <w:iCs/>
                <w:color w:val="000000"/>
                <w:w w:val="25"/>
                <w:szCs w:val="20"/>
                <w:shd w:val="solid" w:color="000000" w:fill="000000"/>
                <w:fitText w:val="116" w:id="-1435870457"/>
                <w14:textFill>
                  <w14:solidFill>
                    <w14:srgbClr w14:val="000000">
                      <w14:alpha w14:val="100000"/>
                    </w14:srgbClr>
                  </w14:solidFill>
                </w14:textFill>
              </w:rPr>
              <w:t xml:space="preserve">　</w:t>
            </w:r>
            <w:r w:rsidRPr="00542E3B">
              <w:rPr>
                <w:rFonts w:cs="Calibri"/>
                <w:b/>
                <w:bCs w:val="0"/>
                <w:iCs/>
                <w:color w:val="000000"/>
                <w:w w:val="25"/>
                <w:szCs w:val="20"/>
                <w:shd w:val="solid" w:color="000000" w:fill="000000"/>
                <w:fitText w:val="116" w:id="-1435870457"/>
                <w14:textFill>
                  <w14:solidFill>
                    <w14:srgbClr w14:val="000000">
                      <w14:alpha w14:val="100000"/>
                    </w14:srgbClr>
                  </w14:solidFill>
                </w14:textFill>
              </w:rPr>
              <w:t>|</w:t>
            </w:r>
            <w:r w:rsidRPr="00542E3B">
              <w:rPr>
                <w:rFonts w:cs="Calibri" w:hint="eastAsia"/>
                <w:b/>
                <w:bCs w:val="0"/>
                <w:iCs/>
                <w:color w:val="000000"/>
                <w:spacing w:val="4"/>
                <w:w w:val="25"/>
                <w:szCs w:val="20"/>
                <w:shd w:val="solid" w:color="000000" w:fill="000000"/>
                <w:fitText w:val="116" w:id="-1435870457"/>
                <w14:textFill>
                  <w14:solidFill>
                    <w14:srgbClr w14:val="000000">
                      <w14:alpha w14:val="100000"/>
                    </w14:srgbClr>
                  </w14:solidFill>
                </w14:textFill>
              </w:rPr>
              <w:t xml:space="preserve">　</w:t>
            </w:r>
            <w:r w:rsidR="00244E19">
              <w:rPr>
                <w:iCs/>
                <w:szCs w:val="20"/>
                <w:vertAlign w:val="superscript"/>
              </w:rPr>
              <w:t>1</w:t>
            </w:r>
          </w:p>
        </w:tc>
        <w:tc>
          <w:tcPr>
            <w:tcW w:w="588" w:type="pct"/>
            <w:vAlign w:val="center"/>
          </w:tcPr>
          <w:p w14:paraId="42B428B5" w14:textId="42FA93AA" w:rsidR="00CB2194" w:rsidRPr="00244E19" w:rsidRDefault="00542E3B" w:rsidP="00CB2194">
            <w:pPr>
              <w:pStyle w:val="TableText0"/>
              <w:jc w:val="center"/>
              <w:rPr>
                <w:iCs/>
                <w:color w:val="000000"/>
                <w:szCs w:val="20"/>
                <w:highlight w:val="darkGray"/>
              </w:rPr>
            </w:pPr>
            <w:r w:rsidRPr="00542E3B">
              <w:rPr>
                <w:rFonts w:cs="Calibri" w:hint="eastAsia"/>
                <w:b/>
                <w:bCs w:val="0"/>
                <w:iCs/>
                <w:color w:val="000000"/>
                <w:w w:val="27"/>
                <w:szCs w:val="20"/>
                <w:shd w:val="solid" w:color="000000" w:fill="000000"/>
                <w:fitText w:val="123" w:id="-1435870456"/>
                <w14:textFill>
                  <w14:solidFill>
                    <w14:srgbClr w14:val="000000">
                      <w14:alpha w14:val="100000"/>
                    </w14:srgbClr>
                  </w14:solidFill>
                </w14:textFill>
              </w:rPr>
              <w:t xml:space="preserve">　</w:t>
            </w:r>
            <w:r w:rsidRPr="00542E3B">
              <w:rPr>
                <w:rFonts w:cs="Calibri"/>
                <w:b/>
                <w:bCs w:val="0"/>
                <w:iCs/>
                <w:color w:val="000000"/>
                <w:w w:val="27"/>
                <w:szCs w:val="20"/>
                <w:shd w:val="solid" w:color="000000" w:fill="000000"/>
                <w:fitText w:val="123" w:id="-1435870456"/>
                <w14:textFill>
                  <w14:solidFill>
                    <w14:srgbClr w14:val="000000">
                      <w14:alpha w14:val="100000"/>
                    </w14:srgbClr>
                  </w14:solidFill>
                </w14:textFill>
              </w:rPr>
              <w:t>|</w:t>
            </w:r>
            <w:r w:rsidRPr="00542E3B">
              <w:rPr>
                <w:rFonts w:cs="Calibri" w:hint="eastAsia"/>
                <w:b/>
                <w:bCs w:val="0"/>
                <w:iCs/>
                <w:color w:val="000000"/>
                <w:spacing w:val="4"/>
                <w:w w:val="27"/>
                <w:szCs w:val="20"/>
                <w:shd w:val="solid" w:color="000000" w:fill="000000"/>
                <w:fitText w:val="123" w:id="-1435870456"/>
                <w14:textFill>
                  <w14:solidFill>
                    <w14:srgbClr w14:val="000000">
                      <w14:alpha w14:val="100000"/>
                    </w14:srgbClr>
                  </w14:solidFill>
                </w14:textFill>
              </w:rPr>
              <w:t xml:space="preserve">　</w:t>
            </w:r>
            <w:r w:rsidR="00244E19">
              <w:rPr>
                <w:iCs/>
                <w:szCs w:val="20"/>
                <w:vertAlign w:val="superscript"/>
              </w:rPr>
              <w:t>1</w:t>
            </w:r>
          </w:p>
        </w:tc>
      </w:tr>
      <w:tr w:rsidR="00005209" w:rsidRPr="00501526" w14:paraId="1CEE4D09" w14:textId="77777777" w:rsidTr="00F40C65">
        <w:tc>
          <w:tcPr>
            <w:tcW w:w="1407" w:type="pct"/>
            <w:shd w:val="clear" w:color="auto" w:fill="auto"/>
            <w:vAlign w:val="center"/>
          </w:tcPr>
          <w:p w14:paraId="229A1EDF" w14:textId="20D3F64E" w:rsidR="00CB2194" w:rsidRPr="00501526" w:rsidRDefault="00CB2194" w:rsidP="00CB2194">
            <w:pPr>
              <w:pStyle w:val="TableText0"/>
              <w:rPr>
                <w:iCs/>
                <w:szCs w:val="20"/>
              </w:rPr>
            </w:pPr>
            <w:r w:rsidRPr="00501526">
              <w:rPr>
                <w:iCs/>
                <w:szCs w:val="20"/>
              </w:rPr>
              <w:t>Number of scripts dispensed</w:t>
            </w:r>
          </w:p>
        </w:tc>
        <w:tc>
          <w:tcPr>
            <w:tcW w:w="544" w:type="pct"/>
            <w:shd w:val="clear" w:color="auto" w:fill="auto"/>
            <w:vAlign w:val="center"/>
          </w:tcPr>
          <w:p w14:paraId="0D9F25C2" w14:textId="51461BC4" w:rsidR="00CB2194" w:rsidRPr="00316152" w:rsidRDefault="00542E3B" w:rsidP="00CB2194">
            <w:pPr>
              <w:pStyle w:val="TableText0"/>
              <w:jc w:val="center"/>
              <w:rPr>
                <w:iCs/>
                <w:szCs w:val="20"/>
                <w:vertAlign w:val="superscript"/>
              </w:rPr>
            </w:pPr>
            <w:r w:rsidRPr="00542E3B">
              <w:rPr>
                <w:rFonts w:hint="eastAsia"/>
                <w:iCs/>
                <w:color w:val="000000"/>
                <w:w w:val="25"/>
                <w:szCs w:val="20"/>
                <w:shd w:val="solid" w:color="000000" w:fill="000000"/>
                <w:fitText w:val="115" w:id="-1435870455"/>
                <w14:textFill>
                  <w14:solidFill>
                    <w14:srgbClr w14:val="000000">
                      <w14:alpha w14:val="100000"/>
                    </w14:srgbClr>
                  </w14:solidFill>
                </w14:textFill>
              </w:rPr>
              <w:t xml:space="preserve">　</w:t>
            </w:r>
            <w:r w:rsidRPr="00542E3B">
              <w:rPr>
                <w:iCs/>
                <w:color w:val="000000"/>
                <w:w w:val="25"/>
                <w:szCs w:val="20"/>
                <w:shd w:val="solid" w:color="000000" w:fill="000000"/>
                <w:fitText w:val="115" w:id="-1435870455"/>
                <w14:textFill>
                  <w14:solidFill>
                    <w14:srgbClr w14:val="000000">
                      <w14:alpha w14:val="100000"/>
                    </w14:srgbClr>
                  </w14:solidFill>
                </w14:textFill>
              </w:rPr>
              <w:t>|</w:t>
            </w:r>
            <w:r w:rsidRPr="00542E3B">
              <w:rPr>
                <w:rFonts w:hint="eastAsia"/>
                <w:iCs/>
                <w:color w:val="000000"/>
                <w:spacing w:val="4"/>
                <w:w w:val="25"/>
                <w:szCs w:val="20"/>
                <w:shd w:val="solid" w:color="000000" w:fill="000000"/>
                <w:fitText w:val="115" w:id="-1435870455"/>
                <w14:textFill>
                  <w14:solidFill>
                    <w14:srgbClr w14:val="000000">
                      <w14:alpha w14:val="100000"/>
                    </w14:srgbClr>
                  </w14:solidFill>
                </w14:textFill>
              </w:rPr>
              <w:t xml:space="preserve">　</w:t>
            </w:r>
            <w:r w:rsidR="00244E19">
              <w:rPr>
                <w:iCs/>
                <w:szCs w:val="20"/>
                <w:vertAlign w:val="superscript"/>
              </w:rPr>
              <w:t>2</w:t>
            </w:r>
          </w:p>
        </w:tc>
        <w:tc>
          <w:tcPr>
            <w:tcW w:w="626" w:type="pct"/>
            <w:shd w:val="clear" w:color="auto" w:fill="auto"/>
            <w:vAlign w:val="center"/>
          </w:tcPr>
          <w:p w14:paraId="2D7847AA" w14:textId="6C203A0F" w:rsidR="00CB2194" w:rsidRPr="00501526" w:rsidRDefault="00542E3B" w:rsidP="00CB2194">
            <w:pPr>
              <w:pStyle w:val="TableText0"/>
              <w:jc w:val="center"/>
              <w:rPr>
                <w:iCs/>
                <w:szCs w:val="20"/>
              </w:rPr>
            </w:pPr>
            <w:r w:rsidRPr="00542E3B">
              <w:rPr>
                <w:rFonts w:hint="eastAsia"/>
                <w:iCs/>
                <w:color w:val="000000"/>
                <w:w w:val="15"/>
                <w:szCs w:val="20"/>
                <w:shd w:val="solid" w:color="000000" w:fill="000000"/>
                <w:fitText w:val="39" w:id="-1435870454"/>
                <w14:textFill>
                  <w14:solidFill>
                    <w14:srgbClr w14:val="000000">
                      <w14:alpha w14:val="100000"/>
                    </w14:srgbClr>
                  </w14:solidFill>
                </w14:textFill>
              </w:rPr>
              <w:t xml:space="preserve">　</w:t>
            </w:r>
            <w:r w:rsidRPr="00542E3B">
              <w:rPr>
                <w:iCs/>
                <w:color w:val="000000"/>
                <w:w w:val="15"/>
                <w:szCs w:val="20"/>
                <w:shd w:val="solid" w:color="000000" w:fill="000000"/>
                <w:fitText w:val="39" w:id="-1435870454"/>
                <w14:textFill>
                  <w14:solidFill>
                    <w14:srgbClr w14:val="000000">
                      <w14:alpha w14:val="100000"/>
                    </w14:srgbClr>
                  </w14:solidFill>
                </w14:textFill>
              </w:rPr>
              <w:t>|</w:t>
            </w:r>
            <w:r w:rsidRPr="00542E3B">
              <w:rPr>
                <w:rFonts w:hint="eastAsia"/>
                <w:iCs/>
                <w:color w:val="000000"/>
                <w:spacing w:val="-26"/>
                <w:w w:val="15"/>
                <w:szCs w:val="20"/>
                <w:shd w:val="solid" w:color="000000" w:fill="000000"/>
                <w:fitText w:val="39" w:id="-1435870454"/>
                <w14:textFill>
                  <w14:solidFill>
                    <w14:srgbClr w14:val="000000">
                      <w14:alpha w14:val="100000"/>
                    </w14:srgbClr>
                  </w14:solidFill>
                </w14:textFill>
              </w:rPr>
              <w:t xml:space="preserve">　</w:t>
            </w:r>
            <w:r w:rsidR="00244E19">
              <w:rPr>
                <w:iCs/>
                <w:szCs w:val="20"/>
                <w:vertAlign w:val="superscript"/>
              </w:rPr>
              <w:t>2</w:t>
            </w:r>
          </w:p>
        </w:tc>
        <w:tc>
          <w:tcPr>
            <w:tcW w:w="625" w:type="pct"/>
            <w:shd w:val="clear" w:color="auto" w:fill="auto"/>
            <w:vAlign w:val="center"/>
          </w:tcPr>
          <w:p w14:paraId="7A620378" w14:textId="0166DAD1" w:rsidR="00CB2194" w:rsidRPr="00501526" w:rsidRDefault="00542E3B" w:rsidP="00CB2194">
            <w:pPr>
              <w:pStyle w:val="TableText0"/>
              <w:jc w:val="center"/>
              <w:rPr>
                <w:iCs/>
                <w:szCs w:val="20"/>
              </w:rPr>
            </w:pPr>
            <w:r w:rsidRPr="00542E3B">
              <w:rPr>
                <w:rFonts w:hint="eastAsia"/>
                <w:iCs/>
                <w:color w:val="000000"/>
                <w:w w:val="15"/>
                <w:szCs w:val="20"/>
                <w:shd w:val="solid" w:color="000000" w:fill="000000"/>
                <w:fitText w:val="31" w:id="-1435870453"/>
                <w14:textFill>
                  <w14:solidFill>
                    <w14:srgbClr w14:val="000000">
                      <w14:alpha w14:val="100000"/>
                    </w14:srgbClr>
                  </w14:solidFill>
                </w14:textFill>
              </w:rPr>
              <w:t xml:space="preserve">　</w:t>
            </w:r>
            <w:r w:rsidRPr="00542E3B">
              <w:rPr>
                <w:iCs/>
                <w:color w:val="000000"/>
                <w:w w:val="15"/>
                <w:szCs w:val="20"/>
                <w:shd w:val="solid" w:color="000000" w:fill="000000"/>
                <w:fitText w:val="31" w:id="-1435870453"/>
                <w14:textFill>
                  <w14:solidFill>
                    <w14:srgbClr w14:val="000000">
                      <w14:alpha w14:val="100000"/>
                    </w14:srgbClr>
                  </w14:solidFill>
                </w14:textFill>
              </w:rPr>
              <w:t>|</w:t>
            </w:r>
            <w:r w:rsidRPr="00542E3B">
              <w:rPr>
                <w:rFonts w:hint="eastAsia"/>
                <w:iCs/>
                <w:color w:val="000000"/>
                <w:spacing w:val="-34"/>
                <w:w w:val="15"/>
                <w:szCs w:val="20"/>
                <w:shd w:val="solid" w:color="000000" w:fill="000000"/>
                <w:fitText w:val="31" w:id="-1435870453"/>
                <w14:textFill>
                  <w14:solidFill>
                    <w14:srgbClr w14:val="000000">
                      <w14:alpha w14:val="100000"/>
                    </w14:srgbClr>
                  </w14:solidFill>
                </w14:textFill>
              </w:rPr>
              <w:t xml:space="preserve">　</w:t>
            </w:r>
            <w:r w:rsidR="00244E19">
              <w:rPr>
                <w:iCs/>
                <w:szCs w:val="20"/>
                <w:vertAlign w:val="superscript"/>
              </w:rPr>
              <w:t>2</w:t>
            </w:r>
          </w:p>
        </w:tc>
        <w:tc>
          <w:tcPr>
            <w:tcW w:w="624" w:type="pct"/>
            <w:shd w:val="clear" w:color="auto" w:fill="auto"/>
            <w:vAlign w:val="center"/>
          </w:tcPr>
          <w:p w14:paraId="1D2C1413" w14:textId="48287FA3" w:rsidR="00CB2194" w:rsidRPr="00501526" w:rsidRDefault="00542E3B" w:rsidP="00CB2194">
            <w:pPr>
              <w:pStyle w:val="TableText0"/>
              <w:jc w:val="center"/>
              <w:rPr>
                <w:iCs/>
                <w:szCs w:val="20"/>
              </w:rPr>
            </w:pPr>
            <w:r w:rsidRPr="00542E3B">
              <w:rPr>
                <w:rFonts w:hint="eastAsia"/>
                <w:iCs/>
                <w:color w:val="000000"/>
                <w:w w:val="15"/>
                <w:szCs w:val="20"/>
                <w:shd w:val="solid" w:color="000000" w:fill="000000"/>
                <w:fitText w:val="31" w:id="-1435870452"/>
                <w14:textFill>
                  <w14:solidFill>
                    <w14:srgbClr w14:val="000000">
                      <w14:alpha w14:val="100000"/>
                    </w14:srgbClr>
                  </w14:solidFill>
                </w14:textFill>
              </w:rPr>
              <w:t xml:space="preserve">　</w:t>
            </w:r>
            <w:r w:rsidRPr="00542E3B">
              <w:rPr>
                <w:iCs/>
                <w:color w:val="000000"/>
                <w:w w:val="15"/>
                <w:szCs w:val="20"/>
                <w:shd w:val="solid" w:color="000000" w:fill="000000"/>
                <w:fitText w:val="31" w:id="-1435870452"/>
                <w14:textFill>
                  <w14:solidFill>
                    <w14:srgbClr w14:val="000000">
                      <w14:alpha w14:val="100000"/>
                    </w14:srgbClr>
                  </w14:solidFill>
                </w14:textFill>
              </w:rPr>
              <w:t>|</w:t>
            </w:r>
            <w:r w:rsidRPr="00542E3B">
              <w:rPr>
                <w:rFonts w:hint="eastAsia"/>
                <w:iCs/>
                <w:color w:val="000000"/>
                <w:spacing w:val="-34"/>
                <w:w w:val="15"/>
                <w:szCs w:val="20"/>
                <w:shd w:val="solid" w:color="000000" w:fill="000000"/>
                <w:fitText w:val="31" w:id="-1435870452"/>
                <w14:textFill>
                  <w14:solidFill>
                    <w14:srgbClr w14:val="000000">
                      <w14:alpha w14:val="100000"/>
                    </w14:srgbClr>
                  </w14:solidFill>
                </w14:textFill>
              </w:rPr>
              <w:t xml:space="preserve">　</w:t>
            </w:r>
            <w:r w:rsidR="00244E19">
              <w:rPr>
                <w:iCs/>
                <w:szCs w:val="20"/>
                <w:vertAlign w:val="superscript"/>
              </w:rPr>
              <w:t>2</w:t>
            </w:r>
          </w:p>
        </w:tc>
        <w:tc>
          <w:tcPr>
            <w:tcW w:w="585" w:type="pct"/>
            <w:shd w:val="clear" w:color="auto" w:fill="auto"/>
            <w:vAlign w:val="center"/>
          </w:tcPr>
          <w:p w14:paraId="3F0ACB95" w14:textId="088E5299" w:rsidR="00CB2194" w:rsidRPr="00501526" w:rsidRDefault="00542E3B" w:rsidP="00CB2194">
            <w:pPr>
              <w:pStyle w:val="TableText0"/>
              <w:jc w:val="center"/>
              <w:rPr>
                <w:iCs/>
                <w:szCs w:val="20"/>
              </w:rPr>
            </w:pPr>
            <w:r w:rsidRPr="00542E3B">
              <w:rPr>
                <w:rFonts w:hint="eastAsia"/>
                <w:iCs/>
                <w:color w:val="000000"/>
                <w:w w:val="17"/>
                <w:szCs w:val="20"/>
                <w:shd w:val="solid" w:color="000000" w:fill="000000"/>
                <w:fitText w:val="77" w:id="-1435870451"/>
                <w14:textFill>
                  <w14:solidFill>
                    <w14:srgbClr w14:val="000000">
                      <w14:alpha w14:val="100000"/>
                    </w14:srgbClr>
                  </w14:solidFill>
                </w14:textFill>
              </w:rPr>
              <w:t xml:space="preserve">　</w:t>
            </w:r>
            <w:r w:rsidRPr="00542E3B">
              <w:rPr>
                <w:iCs/>
                <w:color w:val="000000"/>
                <w:w w:val="17"/>
                <w:szCs w:val="20"/>
                <w:shd w:val="solid" w:color="000000" w:fill="000000"/>
                <w:fitText w:val="77" w:id="-1435870451"/>
                <w14:textFill>
                  <w14:solidFill>
                    <w14:srgbClr w14:val="000000">
                      <w14:alpha w14:val="100000"/>
                    </w14:srgbClr>
                  </w14:solidFill>
                </w14:textFill>
              </w:rPr>
              <w:t>|</w:t>
            </w:r>
            <w:r w:rsidRPr="00542E3B">
              <w:rPr>
                <w:rFonts w:hint="eastAsia"/>
                <w:iCs/>
                <w:color w:val="000000"/>
                <w:spacing w:val="4"/>
                <w:w w:val="17"/>
                <w:szCs w:val="20"/>
                <w:shd w:val="solid" w:color="000000" w:fill="000000"/>
                <w:fitText w:val="77" w:id="-1435870451"/>
                <w14:textFill>
                  <w14:solidFill>
                    <w14:srgbClr w14:val="000000">
                      <w14:alpha w14:val="100000"/>
                    </w14:srgbClr>
                  </w14:solidFill>
                </w14:textFill>
              </w:rPr>
              <w:t xml:space="preserve">　</w:t>
            </w:r>
            <w:r w:rsidR="00244E19">
              <w:rPr>
                <w:iCs/>
                <w:szCs w:val="20"/>
                <w:vertAlign w:val="superscript"/>
              </w:rPr>
              <w:t>2</w:t>
            </w:r>
          </w:p>
        </w:tc>
        <w:tc>
          <w:tcPr>
            <w:tcW w:w="588" w:type="pct"/>
            <w:vAlign w:val="center"/>
          </w:tcPr>
          <w:p w14:paraId="1C30F331" w14:textId="220AC62C" w:rsidR="00CB2194" w:rsidRPr="00501526" w:rsidRDefault="00542E3B" w:rsidP="00CB2194">
            <w:pPr>
              <w:pStyle w:val="TableText0"/>
              <w:jc w:val="center"/>
              <w:rPr>
                <w:iCs/>
                <w:szCs w:val="20"/>
              </w:rPr>
            </w:pPr>
            <w:r w:rsidRPr="00542E3B">
              <w:rPr>
                <w:rFonts w:hint="eastAsia"/>
                <w:iCs/>
                <w:color w:val="000000"/>
                <w:w w:val="15"/>
                <w:szCs w:val="20"/>
                <w:shd w:val="solid" w:color="000000" w:fill="000000"/>
                <w:fitText w:val="70" w:id="-1435870450"/>
                <w14:textFill>
                  <w14:solidFill>
                    <w14:srgbClr w14:val="000000">
                      <w14:alpha w14:val="100000"/>
                    </w14:srgbClr>
                  </w14:solidFill>
                </w14:textFill>
              </w:rPr>
              <w:t xml:space="preserve">　</w:t>
            </w:r>
            <w:r w:rsidRPr="00542E3B">
              <w:rPr>
                <w:iCs/>
                <w:color w:val="000000"/>
                <w:w w:val="15"/>
                <w:szCs w:val="20"/>
                <w:shd w:val="solid" w:color="000000" w:fill="000000"/>
                <w:fitText w:val="70" w:id="-1435870450"/>
                <w14:textFill>
                  <w14:solidFill>
                    <w14:srgbClr w14:val="000000">
                      <w14:alpha w14:val="100000"/>
                    </w14:srgbClr>
                  </w14:solidFill>
                </w14:textFill>
              </w:rPr>
              <w:t>|</w:t>
            </w:r>
            <w:r w:rsidRPr="00542E3B">
              <w:rPr>
                <w:rFonts w:hint="eastAsia"/>
                <w:iCs/>
                <w:color w:val="000000"/>
                <w:spacing w:val="4"/>
                <w:w w:val="15"/>
                <w:szCs w:val="20"/>
                <w:shd w:val="solid" w:color="000000" w:fill="000000"/>
                <w:fitText w:val="70" w:id="-1435870450"/>
                <w14:textFill>
                  <w14:solidFill>
                    <w14:srgbClr w14:val="000000">
                      <w14:alpha w14:val="100000"/>
                    </w14:srgbClr>
                  </w14:solidFill>
                </w14:textFill>
              </w:rPr>
              <w:t xml:space="preserve">　</w:t>
            </w:r>
            <w:r w:rsidR="00244E19">
              <w:rPr>
                <w:iCs/>
                <w:szCs w:val="20"/>
                <w:vertAlign w:val="superscript"/>
              </w:rPr>
              <w:t>2</w:t>
            </w:r>
          </w:p>
        </w:tc>
      </w:tr>
      <w:tr w:rsidR="008C076E" w:rsidRPr="00501526" w14:paraId="7A6F4263" w14:textId="77777777" w:rsidTr="00F40C65">
        <w:tc>
          <w:tcPr>
            <w:tcW w:w="5000" w:type="pct"/>
            <w:gridSpan w:val="7"/>
            <w:shd w:val="clear" w:color="auto" w:fill="auto"/>
            <w:vAlign w:val="center"/>
          </w:tcPr>
          <w:p w14:paraId="13A18120" w14:textId="62E1B135" w:rsidR="00F36EC6" w:rsidRPr="00501526" w:rsidRDefault="00F36EC6" w:rsidP="00F36EC6">
            <w:pPr>
              <w:pStyle w:val="TableText0"/>
              <w:rPr>
                <w:iCs/>
                <w:szCs w:val="20"/>
              </w:rPr>
            </w:pPr>
            <w:r w:rsidRPr="00501526">
              <w:rPr>
                <w:b/>
                <w:bCs w:val="0"/>
                <w:iCs/>
                <w:szCs w:val="20"/>
              </w:rPr>
              <w:t xml:space="preserve">Estimated financial implications of sapropterin </w:t>
            </w:r>
          </w:p>
        </w:tc>
      </w:tr>
      <w:tr w:rsidR="00005209" w:rsidRPr="00501526" w14:paraId="4B4ACF1A" w14:textId="77777777" w:rsidTr="00F40C65">
        <w:tc>
          <w:tcPr>
            <w:tcW w:w="1407" w:type="pct"/>
            <w:shd w:val="clear" w:color="auto" w:fill="auto"/>
            <w:vAlign w:val="center"/>
          </w:tcPr>
          <w:p w14:paraId="467993BD" w14:textId="37E34F05" w:rsidR="008F704C" w:rsidRPr="00501526" w:rsidRDefault="008F704C" w:rsidP="008F704C">
            <w:pPr>
              <w:pStyle w:val="TableText0"/>
              <w:rPr>
                <w:iCs/>
                <w:szCs w:val="20"/>
              </w:rPr>
            </w:pPr>
            <w:r w:rsidRPr="00501526">
              <w:rPr>
                <w:iCs/>
                <w:szCs w:val="20"/>
              </w:rPr>
              <w:t>Cost to PBS less copayments</w:t>
            </w:r>
            <w:r w:rsidR="00F742D7" w:rsidRPr="00501526">
              <w:rPr>
                <w:iCs/>
                <w:szCs w:val="20"/>
              </w:rPr>
              <w:t xml:space="preserve"> </w:t>
            </w:r>
          </w:p>
        </w:tc>
        <w:tc>
          <w:tcPr>
            <w:tcW w:w="544" w:type="pct"/>
            <w:shd w:val="clear" w:color="auto" w:fill="auto"/>
            <w:vAlign w:val="center"/>
          </w:tcPr>
          <w:p w14:paraId="4125A2B6" w14:textId="73218B2C"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49"/>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49"/>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5BDFECEB" w14:textId="41F22C57"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48"/>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48"/>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48"/>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3890D42E" w14:textId="65F36745"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4"/>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4"/>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4"/>
                <w14:textFill>
                  <w14:solidFill>
                    <w14:srgbClr w14:val="000000">
                      <w14:alpha w14:val="100000"/>
                    </w14:srgbClr>
                  </w14:solidFill>
                </w14:textFill>
              </w:rPr>
              <w:t xml:space="preserve">　</w:t>
            </w:r>
            <w:r w:rsidR="00244E19">
              <w:rPr>
                <w:iCs/>
                <w:szCs w:val="20"/>
                <w:vertAlign w:val="superscript"/>
              </w:rPr>
              <w:t>4</w:t>
            </w:r>
          </w:p>
        </w:tc>
        <w:tc>
          <w:tcPr>
            <w:tcW w:w="624" w:type="pct"/>
            <w:shd w:val="clear" w:color="auto" w:fill="auto"/>
            <w:vAlign w:val="center"/>
          </w:tcPr>
          <w:p w14:paraId="2728B643" w14:textId="34EB4010"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3"/>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3"/>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3"/>
                <w14:textFill>
                  <w14:solidFill>
                    <w14:srgbClr w14:val="000000">
                      <w14:alpha w14:val="100000"/>
                    </w14:srgbClr>
                  </w14:solidFill>
                </w14:textFill>
              </w:rPr>
              <w:t xml:space="preserve">　</w:t>
            </w:r>
            <w:r w:rsidR="00244E19">
              <w:rPr>
                <w:iCs/>
                <w:szCs w:val="20"/>
                <w:vertAlign w:val="superscript"/>
              </w:rPr>
              <w:t>4</w:t>
            </w:r>
          </w:p>
        </w:tc>
        <w:tc>
          <w:tcPr>
            <w:tcW w:w="585" w:type="pct"/>
            <w:shd w:val="clear" w:color="auto" w:fill="auto"/>
            <w:vAlign w:val="center"/>
          </w:tcPr>
          <w:p w14:paraId="5FE5021A" w14:textId="0C620C07"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62"/>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62"/>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62"/>
                <w14:textFill>
                  <w14:solidFill>
                    <w14:srgbClr w14:val="000000">
                      <w14:alpha w14:val="100000"/>
                    </w14:srgbClr>
                  </w14:solidFill>
                </w14:textFill>
              </w:rPr>
              <w:t xml:space="preserve">　</w:t>
            </w:r>
            <w:r w:rsidR="00244E19">
              <w:rPr>
                <w:iCs/>
                <w:szCs w:val="20"/>
                <w:vertAlign w:val="superscript"/>
              </w:rPr>
              <w:t>4</w:t>
            </w:r>
          </w:p>
        </w:tc>
        <w:tc>
          <w:tcPr>
            <w:tcW w:w="588" w:type="pct"/>
            <w:vAlign w:val="center"/>
          </w:tcPr>
          <w:p w14:paraId="6F8E9082" w14:textId="46D5D2F9" w:rsidR="008F704C" w:rsidRPr="00F40C65" w:rsidRDefault="008F704C" w:rsidP="008F704C">
            <w:pPr>
              <w:pStyle w:val="Tabletext"/>
              <w:jc w:val="center"/>
              <w:rPr>
                <w:iCs/>
                <w:szCs w:val="20"/>
                <w:highlight w:val="darkGray"/>
              </w:rPr>
            </w:pPr>
            <w:r w:rsidRPr="00F40C65">
              <w:rPr>
                <w:iCs/>
                <w:szCs w:val="20"/>
              </w:rPr>
              <w:t>$</w:t>
            </w:r>
            <w:r w:rsidR="00542E3B" w:rsidRPr="00542E3B">
              <w:rPr>
                <w:rFonts w:hint="eastAsia"/>
                <w:iCs/>
                <w:color w:val="000000"/>
                <w:w w:val="24"/>
                <w:szCs w:val="20"/>
                <w:shd w:val="solid" w:color="000000" w:fill="000000"/>
                <w:fitText w:val="108" w:id="-1435870461"/>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61"/>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61"/>
                <w14:textFill>
                  <w14:solidFill>
                    <w14:srgbClr w14:val="000000">
                      <w14:alpha w14:val="100000"/>
                    </w14:srgbClr>
                  </w14:solidFill>
                </w14:textFill>
              </w:rPr>
              <w:t xml:space="preserve">　</w:t>
            </w:r>
            <w:r w:rsidR="00244E19">
              <w:rPr>
                <w:iCs/>
                <w:szCs w:val="20"/>
                <w:vertAlign w:val="superscript"/>
              </w:rPr>
              <w:t>4</w:t>
            </w:r>
          </w:p>
        </w:tc>
      </w:tr>
      <w:tr w:rsidR="008F704C" w:rsidRPr="00501526" w14:paraId="344AC0E2" w14:textId="77777777" w:rsidTr="00F40C65">
        <w:tc>
          <w:tcPr>
            <w:tcW w:w="5000" w:type="pct"/>
            <w:gridSpan w:val="7"/>
            <w:shd w:val="clear" w:color="auto" w:fill="auto"/>
            <w:vAlign w:val="center"/>
          </w:tcPr>
          <w:p w14:paraId="0FF7E64D" w14:textId="4022D027" w:rsidR="008F704C" w:rsidRPr="00501526" w:rsidRDefault="008F704C" w:rsidP="008F704C">
            <w:pPr>
              <w:pStyle w:val="TableText0"/>
              <w:rPr>
                <w:b/>
                <w:bCs w:val="0"/>
                <w:iCs/>
                <w:szCs w:val="20"/>
              </w:rPr>
            </w:pPr>
            <w:r w:rsidRPr="00501526">
              <w:rPr>
                <w:b/>
                <w:bCs w:val="0"/>
                <w:iCs/>
                <w:szCs w:val="20"/>
              </w:rPr>
              <w:t>Estimated financial implications for  Phe free supplements</w:t>
            </w:r>
          </w:p>
        </w:tc>
      </w:tr>
      <w:tr w:rsidR="00005209" w:rsidRPr="00501526" w14:paraId="0CE077D9" w14:textId="77777777" w:rsidTr="00F40C65">
        <w:tc>
          <w:tcPr>
            <w:tcW w:w="1407" w:type="pct"/>
            <w:shd w:val="clear" w:color="auto" w:fill="auto"/>
            <w:vAlign w:val="center"/>
          </w:tcPr>
          <w:p w14:paraId="40F6A2C5" w14:textId="265B4910" w:rsidR="008F704C" w:rsidRPr="00501526" w:rsidRDefault="008F704C" w:rsidP="008F704C">
            <w:pPr>
              <w:pStyle w:val="TableText0"/>
              <w:rPr>
                <w:iCs/>
                <w:szCs w:val="20"/>
              </w:rPr>
            </w:pPr>
            <w:r w:rsidRPr="00501526">
              <w:rPr>
                <w:iCs/>
                <w:szCs w:val="20"/>
              </w:rPr>
              <w:t>Cost to PBS less copayments</w:t>
            </w:r>
          </w:p>
        </w:tc>
        <w:tc>
          <w:tcPr>
            <w:tcW w:w="544" w:type="pct"/>
            <w:shd w:val="clear" w:color="auto" w:fill="auto"/>
            <w:vAlign w:val="center"/>
          </w:tcPr>
          <w:p w14:paraId="50CF2446" w14:textId="37B968DE"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60"/>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60"/>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35AF80ED" w14:textId="46BD276E"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59"/>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59"/>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59"/>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28F1C25D" w14:textId="71455D89"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8"/>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8"/>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8"/>
                <w14:textFill>
                  <w14:solidFill>
                    <w14:srgbClr w14:val="000000">
                      <w14:alpha w14:val="100000"/>
                    </w14:srgbClr>
                  </w14:solidFill>
                </w14:textFill>
              </w:rPr>
              <w:t xml:space="preserve">　</w:t>
            </w:r>
            <w:r w:rsidR="00244E19" w:rsidRPr="00F40C65">
              <w:rPr>
                <w:iCs/>
                <w:szCs w:val="20"/>
                <w:vertAlign w:val="superscript"/>
              </w:rPr>
              <w:t>3</w:t>
            </w:r>
          </w:p>
        </w:tc>
        <w:tc>
          <w:tcPr>
            <w:tcW w:w="624" w:type="pct"/>
            <w:shd w:val="clear" w:color="auto" w:fill="auto"/>
            <w:vAlign w:val="center"/>
          </w:tcPr>
          <w:p w14:paraId="5DBA4173" w14:textId="7EB4DDE5"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7"/>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7"/>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7"/>
                <w14:textFill>
                  <w14:solidFill>
                    <w14:srgbClr w14:val="000000">
                      <w14:alpha w14:val="100000"/>
                    </w14:srgbClr>
                  </w14:solidFill>
                </w14:textFill>
              </w:rPr>
              <w:t xml:space="preserve">　</w:t>
            </w:r>
            <w:r w:rsidR="00244E19" w:rsidRPr="00F40C65">
              <w:rPr>
                <w:iCs/>
                <w:szCs w:val="20"/>
                <w:vertAlign w:val="superscript"/>
              </w:rPr>
              <w:t>3</w:t>
            </w:r>
          </w:p>
        </w:tc>
        <w:tc>
          <w:tcPr>
            <w:tcW w:w="585" w:type="pct"/>
            <w:shd w:val="clear" w:color="auto" w:fill="auto"/>
            <w:vAlign w:val="center"/>
          </w:tcPr>
          <w:p w14:paraId="4D6DC68C" w14:textId="1AC23E5C"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56"/>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56"/>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56"/>
                <w14:textFill>
                  <w14:solidFill>
                    <w14:srgbClr w14:val="000000">
                      <w14:alpha w14:val="100000"/>
                    </w14:srgbClr>
                  </w14:solidFill>
                </w14:textFill>
              </w:rPr>
              <w:t xml:space="preserve">　</w:t>
            </w:r>
            <w:r w:rsidR="00244E19" w:rsidRPr="00F40C65">
              <w:rPr>
                <w:iCs/>
                <w:szCs w:val="20"/>
                <w:vertAlign w:val="superscript"/>
              </w:rPr>
              <w:t>3</w:t>
            </w:r>
          </w:p>
        </w:tc>
        <w:tc>
          <w:tcPr>
            <w:tcW w:w="588" w:type="pct"/>
            <w:vAlign w:val="center"/>
          </w:tcPr>
          <w:p w14:paraId="0766C6AC" w14:textId="22CD1E20"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55"/>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55"/>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55"/>
                <w14:textFill>
                  <w14:solidFill>
                    <w14:srgbClr w14:val="000000">
                      <w14:alpha w14:val="100000"/>
                    </w14:srgbClr>
                  </w14:solidFill>
                </w14:textFill>
              </w:rPr>
              <w:t xml:space="preserve">　</w:t>
            </w:r>
            <w:r w:rsidR="00244E19" w:rsidRPr="00F40C65">
              <w:rPr>
                <w:iCs/>
                <w:szCs w:val="20"/>
                <w:vertAlign w:val="superscript"/>
              </w:rPr>
              <w:t>3</w:t>
            </w:r>
          </w:p>
        </w:tc>
      </w:tr>
      <w:tr w:rsidR="008F704C" w:rsidRPr="00501526" w14:paraId="4FA07BD8" w14:textId="77777777" w:rsidTr="00F40C65">
        <w:tc>
          <w:tcPr>
            <w:tcW w:w="5000" w:type="pct"/>
            <w:gridSpan w:val="7"/>
            <w:shd w:val="clear" w:color="auto" w:fill="auto"/>
            <w:vAlign w:val="center"/>
          </w:tcPr>
          <w:p w14:paraId="1A627EA0" w14:textId="418C52E9" w:rsidR="008F704C" w:rsidRPr="00501526" w:rsidRDefault="008F704C" w:rsidP="008F704C">
            <w:pPr>
              <w:pStyle w:val="In-tableHeading"/>
              <w:rPr>
                <w:iCs/>
                <w:szCs w:val="20"/>
                <w:lang w:val="en-AU"/>
              </w:rPr>
            </w:pPr>
            <w:r w:rsidRPr="00501526">
              <w:rPr>
                <w:iCs/>
                <w:szCs w:val="20"/>
                <w:lang w:val="en-AU"/>
              </w:rPr>
              <w:t>Net financial implications</w:t>
            </w:r>
            <w:r w:rsidRPr="00501526">
              <w:rPr>
                <w:iCs/>
                <w:color w:val="4BACC6" w:themeColor="accent5"/>
                <w:szCs w:val="20"/>
                <w:lang w:val="en-AU"/>
              </w:rPr>
              <w:t xml:space="preserve"> </w:t>
            </w:r>
          </w:p>
        </w:tc>
      </w:tr>
      <w:tr w:rsidR="00005209" w:rsidRPr="00501526" w14:paraId="3F33D4C6" w14:textId="77777777" w:rsidTr="00F40C65">
        <w:tc>
          <w:tcPr>
            <w:tcW w:w="1407" w:type="pct"/>
            <w:shd w:val="clear" w:color="auto" w:fill="auto"/>
            <w:vAlign w:val="center"/>
          </w:tcPr>
          <w:p w14:paraId="5ABBDE64" w14:textId="07DE19D8" w:rsidR="008F704C" w:rsidRPr="00501526" w:rsidRDefault="008F704C" w:rsidP="008F704C">
            <w:pPr>
              <w:pStyle w:val="TableText0"/>
              <w:rPr>
                <w:iCs/>
                <w:szCs w:val="20"/>
              </w:rPr>
            </w:pPr>
            <w:r w:rsidRPr="00501526">
              <w:rPr>
                <w:iCs/>
                <w:szCs w:val="20"/>
              </w:rPr>
              <w:t>Net cost to PBS</w:t>
            </w:r>
            <w:r w:rsidR="00F742D7" w:rsidRPr="00501526">
              <w:rPr>
                <w:iCs/>
                <w:szCs w:val="20"/>
              </w:rPr>
              <w:t xml:space="preserve"> (effective)</w:t>
            </w:r>
          </w:p>
        </w:tc>
        <w:tc>
          <w:tcPr>
            <w:tcW w:w="544" w:type="pct"/>
            <w:shd w:val="clear" w:color="auto" w:fill="auto"/>
            <w:vAlign w:val="center"/>
          </w:tcPr>
          <w:p w14:paraId="744F82C2" w14:textId="0D6A7CA6"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54"/>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54"/>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295843EA" w14:textId="5A8615BB"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53"/>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53"/>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53"/>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3A32302A" w14:textId="6CDC4044"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2"/>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2"/>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2"/>
                <w14:textFill>
                  <w14:solidFill>
                    <w14:srgbClr w14:val="000000">
                      <w14:alpha w14:val="100000"/>
                    </w14:srgbClr>
                  </w14:solidFill>
                </w14:textFill>
              </w:rPr>
              <w:t xml:space="preserve">　</w:t>
            </w:r>
            <w:r w:rsidR="00244E19">
              <w:rPr>
                <w:iCs/>
                <w:szCs w:val="20"/>
                <w:vertAlign w:val="superscript"/>
              </w:rPr>
              <w:t>4</w:t>
            </w:r>
          </w:p>
        </w:tc>
        <w:tc>
          <w:tcPr>
            <w:tcW w:w="624" w:type="pct"/>
            <w:shd w:val="clear" w:color="auto" w:fill="auto"/>
            <w:vAlign w:val="center"/>
          </w:tcPr>
          <w:p w14:paraId="326E9207" w14:textId="5D23BFF7"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1"/>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1"/>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1"/>
                <w14:textFill>
                  <w14:solidFill>
                    <w14:srgbClr w14:val="000000">
                      <w14:alpha w14:val="100000"/>
                    </w14:srgbClr>
                  </w14:solidFill>
                </w14:textFill>
              </w:rPr>
              <w:t xml:space="preserve">　</w:t>
            </w:r>
            <w:r w:rsidR="00244E19">
              <w:rPr>
                <w:iCs/>
                <w:szCs w:val="20"/>
                <w:vertAlign w:val="superscript"/>
              </w:rPr>
              <w:t>4</w:t>
            </w:r>
          </w:p>
        </w:tc>
        <w:tc>
          <w:tcPr>
            <w:tcW w:w="585" w:type="pct"/>
            <w:shd w:val="clear" w:color="auto" w:fill="auto"/>
            <w:vAlign w:val="center"/>
          </w:tcPr>
          <w:p w14:paraId="56E4D70E" w14:textId="377780D6" w:rsidR="008F704C" w:rsidRPr="00F40C65" w:rsidRDefault="008F704C" w:rsidP="008F704C">
            <w:pPr>
              <w:pStyle w:val="Tabletext"/>
              <w:jc w:val="center"/>
              <w:rPr>
                <w:iCs/>
                <w:szCs w:val="20"/>
                <w:highlight w:val="darkGray"/>
              </w:rPr>
            </w:pPr>
            <w:r w:rsidRPr="00F40C65">
              <w:rPr>
                <w:iCs/>
                <w:szCs w:val="20"/>
              </w:rPr>
              <w:t>$</w:t>
            </w:r>
            <w:r w:rsidR="00542E3B" w:rsidRPr="00542E3B">
              <w:rPr>
                <w:rFonts w:hint="eastAsia"/>
                <w:iCs/>
                <w:color w:val="000000"/>
                <w:w w:val="27"/>
                <w:szCs w:val="20"/>
                <w:shd w:val="solid" w:color="000000" w:fill="000000"/>
                <w:fitText w:val="123" w:id="-1435870450"/>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50"/>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50"/>
                <w14:textFill>
                  <w14:solidFill>
                    <w14:srgbClr w14:val="000000">
                      <w14:alpha w14:val="100000"/>
                    </w14:srgbClr>
                  </w14:solidFill>
                </w14:textFill>
              </w:rPr>
              <w:t xml:space="preserve">　</w:t>
            </w:r>
            <w:r w:rsidR="00244E19">
              <w:rPr>
                <w:iCs/>
                <w:szCs w:val="20"/>
                <w:vertAlign w:val="superscript"/>
              </w:rPr>
              <w:t>4</w:t>
            </w:r>
          </w:p>
        </w:tc>
        <w:tc>
          <w:tcPr>
            <w:tcW w:w="588" w:type="pct"/>
            <w:vAlign w:val="center"/>
          </w:tcPr>
          <w:p w14:paraId="241B1CFD" w14:textId="1E42EB80"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49"/>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49"/>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49"/>
                <w14:textFill>
                  <w14:solidFill>
                    <w14:srgbClr w14:val="000000">
                      <w14:alpha w14:val="100000"/>
                    </w14:srgbClr>
                  </w14:solidFill>
                </w14:textFill>
              </w:rPr>
              <w:t xml:space="preserve">　</w:t>
            </w:r>
            <w:r w:rsidR="00244E19">
              <w:rPr>
                <w:iCs/>
                <w:szCs w:val="20"/>
                <w:vertAlign w:val="superscript"/>
              </w:rPr>
              <w:t>4</w:t>
            </w:r>
          </w:p>
        </w:tc>
      </w:tr>
      <w:tr w:rsidR="00005209" w:rsidRPr="00501526" w14:paraId="489EE1D3" w14:textId="77777777" w:rsidTr="00F40C65">
        <w:tc>
          <w:tcPr>
            <w:tcW w:w="1407" w:type="pct"/>
            <w:shd w:val="clear" w:color="auto" w:fill="auto"/>
            <w:vAlign w:val="center"/>
          </w:tcPr>
          <w:p w14:paraId="26625971" w14:textId="1B30C108" w:rsidR="008F704C" w:rsidRPr="00501526" w:rsidRDefault="008F704C" w:rsidP="008F704C">
            <w:pPr>
              <w:pStyle w:val="TableText0"/>
              <w:rPr>
                <w:iCs/>
                <w:szCs w:val="20"/>
              </w:rPr>
            </w:pPr>
            <w:r w:rsidRPr="00501526">
              <w:rPr>
                <w:iCs/>
                <w:szCs w:val="20"/>
              </w:rPr>
              <w:t xml:space="preserve">Net cost to PBS </w:t>
            </w:r>
            <w:r w:rsidR="00314DF9" w:rsidRPr="00501526">
              <w:rPr>
                <w:iCs/>
                <w:szCs w:val="20"/>
              </w:rPr>
              <w:t>with</w:t>
            </w:r>
            <w:r w:rsidRPr="00501526">
              <w:rPr>
                <w:iCs/>
                <w:szCs w:val="20"/>
              </w:rPr>
              <w:t xml:space="preserve"> RSA rebate</w:t>
            </w:r>
          </w:p>
        </w:tc>
        <w:tc>
          <w:tcPr>
            <w:tcW w:w="544" w:type="pct"/>
            <w:shd w:val="clear" w:color="auto" w:fill="auto"/>
            <w:vAlign w:val="center"/>
          </w:tcPr>
          <w:p w14:paraId="260E1546" w14:textId="4B6805D4"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48"/>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48"/>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0552F460" w14:textId="77066BAF"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64"/>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64"/>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64"/>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5A75C776" w14:textId="6369C3CD"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3"/>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3"/>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3"/>
                <w14:textFill>
                  <w14:solidFill>
                    <w14:srgbClr w14:val="000000">
                      <w14:alpha w14:val="100000"/>
                    </w14:srgbClr>
                  </w14:solidFill>
                </w14:textFill>
              </w:rPr>
              <w:t xml:space="preserve">　</w:t>
            </w:r>
            <w:r w:rsidR="00244E19" w:rsidRPr="00F40C65">
              <w:rPr>
                <w:iCs/>
                <w:szCs w:val="20"/>
                <w:vertAlign w:val="superscript"/>
              </w:rPr>
              <w:t>3</w:t>
            </w:r>
          </w:p>
        </w:tc>
        <w:tc>
          <w:tcPr>
            <w:tcW w:w="624" w:type="pct"/>
            <w:shd w:val="clear" w:color="auto" w:fill="auto"/>
            <w:vAlign w:val="center"/>
          </w:tcPr>
          <w:p w14:paraId="7371E9BB" w14:textId="2F525393"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2"/>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2"/>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2"/>
                <w14:textFill>
                  <w14:solidFill>
                    <w14:srgbClr w14:val="000000">
                      <w14:alpha w14:val="100000"/>
                    </w14:srgbClr>
                  </w14:solidFill>
                </w14:textFill>
              </w:rPr>
              <w:t xml:space="preserve">　</w:t>
            </w:r>
            <w:r w:rsidR="00244E19" w:rsidRPr="00F40C65">
              <w:rPr>
                <w:iCs/>
                <w:szCs w:val="20"/>
                <w:vertAlign w:val="superscript"/>
              </w:rPr>
              <w:t>3</w:t>
            </w:r>
          </w:p>
        </w:tc>
        <w:tc>
          <w:tcPr>
            <w:tcW w:w="585" w:type="pct"/>
            <w:shd w:val="clear" w:color="auto" w:fill="auto"/>
            <w:vAlign w:val="center"/>
          </w:tcPr>
          <w:p w14:paraId="7420B267" w14:textId="38C1D0C4"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61"/>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61"/>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61"/>
                <w14:textFill>
                  <w14:solidFill>
                    <w14:srgbClr w14:val="000000">
                      <w14:alpha w14:val="100000"/>
                    </w14:srgbClr>
                  </w14:solidFill>
                </w14:textFill>
              </w:rPr>
              <w:t xml:space="preserve">　</w:t>
            </w:r>
            <w:r w:rsidR="00244E19" w:rsidRPr="00F40C65">
              <w:rPr>
                <w:iCs/>
                <w:szCs w:val="20"/>
                <w:vertAlign w:val="superscript"/>
              </w:rPr>
              <w:t>3</w:t>
            </w:r>
          </w:p>
        </w:tc>
        <w:tc>
          <w:tcPr>
            <w:tcW w:w="588" w:type="pct"/>
            <w:vAlign w:val="center"/>
          </w:tcPr>
          <w:p w14:paraId="256902D8" w14:textId="39D5EDBA" w:rsidR="008F704C" w:rsidRPr="00F40C65" w:rsidRDefault="008F704C" w:rsidP="008F704C">
            <w:pPr>
              <w:pStyle w:val="Tabletext"/>
              <w:jc w:val="center"/>
              <w:rPr>
                <w:iCs/>
                <w:szCs w:val="20"/>
                <w:highlight w:val="darkGray"/>
              </w:rPr>
            </w:pPr>
            <w:r w:rsidRPr="00F40C65">
              <w:rPr>
                <w:iCs/>
                <w:szCs w:val="20"/>
              </w:rPr>
              <w:t>$</w:t>
            </w:r>
            <w:r w:rsidR="00542E3B" w:rsidRPr="00542E3B">
              <w:rPr>
                <w:rFonts w:hint="eastAsia"/>
                <w:iCs/>
                <w:color w:val="000000"/>
                <w:w w:val="24"/>
                <w:szCs w:val="20"/>
                <w:shd w:val="solid" w:color="000000" w:fill="000000"/>
                <w:fitText w:val="108" w:id="-1435870460"/>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60"/>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60"/>
                <w14:textFill>
                  <w14:solidFill>
                    <w14:srgbClr w14:val="000000">
                      <w14:alpha w14:val="100000"/>
                    </w14:srgbClr>
                  </w14:solidFill>
                </w14:textFill>
              </w:rPr>
              <w:t xml:space="preserve">　</w:t>
            </w:r>
            <w:r w:rsidR="00244E19">
              <w:rPr>
                <w:iCs/>
                <w:szCs w:val="20"/>
                <w:vertAlign w:val="superscript"/>
              </w:rPr>
              <w:t>4</w:t>
            </w:r>
          </w:p>
        </w:tc>
      </w:tr>
      <w:tr w:rsidR="00005209" w:rsidRPr="00501526" w14:paraId="571B64F4" w14:textId="77777777" w:rsidTr="00F40C65">
        <w:tc>
          <w:tcPr>
            <w:tcW w:w="1407" w:type="pct"/>
            <w:shd w:val="clear" w:color="auto" w:fill="auto"/>
            <w:vAlign w:val="center"/>
          </w:tcPr>
          <w:p w14:paraId="427698FB" w14:textId="018A0686" w:rsidR="008F704C" w:rsidRPr="00501526" w:rsidRDefault="008F704C" w:rsidP="008F704C">
            <w:pPr>
              <w:pStyle w:val="TableText0"/>
              <w:rPr>
                <w:iCs/>
                <w:szCs w:val="20"/>
              </w:rPr>
            </w:pPr>
            <w:r w:rsidRPr="00501526">
              <w:rPr>
                <w:iCs/>
                <w:szCs w:val="20"/>
              </w:rPr>
              <w:t>Net cost to MBS</w:t>
            </w:r>
          </w:p>
        </w:tc>
        <w:tc>
          <w:tcPr>
            <w:tcW w:w="544" w:type="pct"/>
            <w:shd w:val="clear" w:color="auto" w:fill="auto"/>
            <w:vAlign w:val="center"/>
          </w:tcPr>
          <w:p w14:paraId="5AD7A1FC" w14:textId="25CEE2D8"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59"/>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59"/>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1D6E215B" w14:textId="7B9038B8"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58"/>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58"/>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58"/>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25026D9D" w14:textId="4F4CB25C"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7"/>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7"/>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7"/>
                <w14:textFill>
                  <w14:solidFill>
                    <w14:srgbClr w14:val="000000">
                      <w14:alpha w14:val="100000"/>
                    </w14:srgbClr>
                  </w14:solidFill>
                </w14:textFill>
              </w:rPr>
              <w:t xml:space="preserve">　</w:t>
            </w:r>
            <w:r w:rsidR="00244E19" w:rsidRPr="00F40C65">
              <w:rPr>
                <w:iCs/>
                <w:szCs w:val="20"/>
                <w:vertAlign w:val="superscript"/>
              </w:rPr>
              <w:t>3</w:t>
            </w:r>
          </w:p>
        </w:tc>
        <w:tc>
          <w:tcPr>
            <w:tcW w:w="624" w:type="pct"/>
            <w:shd w:val="clear" w:color="auto" w:fill="auto"/>
            <w:vAlign w:val="center"/>
          </w:tcPr>
          <w:p w14:paraId="6933D36F" w14:textId="143EA85F"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6"/>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6"/>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6"/>
                <w14:textFill>
                  <w14:solidFill>
                    <w14:srgbClr w14:val="000000">
                      <w14:alpha w14:val="100000"/>
                    </w14:srgbClr>
                  </w14:solidFill>
                </w14:textFill>
              </w:rPr>
              <w:t xml:space="preserve">　</w:t>
            </w:r>
            <w:r w:rsidR="00244E19" w:rsidRPr="00F40C65">
              <w:rPr>
                <w:iCs/>
                <w:szCs w:val="20"/>
                <w:vertAlign w:val="superscript"/>
              </w:rPr>
              <w:t>3</w:t>
            </w:r>
          </w:p>
        </w:tc>
        <w:tc>
          <w:tcPr>
            <w:tcW w:w="585" w:type="pct"/>
            <w:shd w:val="clear" w:color="auto" w:fill="auto"/>
            <w:vAlign w:val="center"/>
          </w:tcPr>
          <w:p w14:paraId="04433A65" w14:textId="46BD3DE3"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55"/>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55"/>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55"/>
                <w14:textFill>
                  <w14:solidFill>
                    <w14:srgbClr w14:val="000000">
                      <w14:alpha w14:val="100000"/>
                    </w14:srgbClr>
                  </w14:solidFill>
                </w14:textFill>
              </w:rPr>
              <w:t xml:space="preserve">　</w:t>
            </w:r>
            <w:r w:rsidR="00244E19" w:rsidRPr="00F40C65">
              <w:rPr>
                <w:iCs/>
                <w:szCs w:val="20"/>
                <w:vertAlign w:val="superscript"/>
              </w:rPr>
              <w:t>3</w:t>
            </w:r>
          </w:p>
        </w:tc>
        <w:tc>
          <w:tcPr>
            <w:tcW w:w="588" w:type="pct"/>
            <w:vAlign w:val="center"/>
          </w:tcPr>
          <w:p w14:paraId="2223EBD7" w14:textId="0517A6F7"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54"/>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54"/>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54"/>
                <w14:textFill>
                  <w14:solidFill>
                    <w14:srgbClr w14:val="000000">
                      <w14:alpha w14:val="100000"/>
                    </w14:srgbClr>
                  </w14:solidFill>
                </w14:textFill>
              </w:rPr>
              <w:t xml:space="preserve">　</w:t>
            </w:r>
            <w:r w:rsidR="00244E19" w:rsidRPr="00F40C65">
              <w:rPr>
                <w:iCs/>
                <w:szCs w:val="20"/>
                <w:vertAlign w:val="superscript"/>
              </w:rPr>
              <w:t>3</w:t>
            </w:r>
          </w:p>
        </w:tc>
      </w:tr>
      <w:tr w:rsidR="00005209" w:rsidRPr="00501526" w14:paraId="123830C0" w14:textId="77777777" w:rsidTr="00F40C65">
        <w:tc>
          <w:tcPr>
            <w:tcW w:w="1407" w:type="pct"/>
            <w:shd w:val="clear" w:color="auto" w:fill="auto"/>
            <w:vAlign w:val="center"/>
          </w:tcPr>
          <w:p w14:paraId="50FCDA47" w14:textId="2C27EC57" w:rsidR="008F704C" w:rsidRPr="00501526" w:rsidRDefault="008F704C" w:rsidP="008F704C">
            <w:pPr>
              <w:pStyle w:val="TableText0"/>
              <w:rPr>
                <w:iCs/>
                <w:szCs w:val="20"/>
              </w:rPr>
            </w:pPr>
            <w:r w:rsidRPr="00501526">
              <w:rPr>
                <w:iCs/>
                <w:szCs w:val="20"/>
              </w:rPr>
              <w:t>Net cost to Government without RSA</w:t>
            </w:r>
          </w:p>
        </w:tc>
        <w:tc>
          <w:tcPr>
            <w:tcW w:w="544" w:type="pct"/>
            <w:shd w:val="clear" w:color="auto" w:fill="auto"/>
            <w:vAlign w:val="center"/>
          </w:tcPr>
          <w:p w14:paraId="0F4EB661" w14:textId="0A1F1CE9"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53"/>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53"/>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59B75FE2" w14:textId="3A9D9F91"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52"/>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52"/>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52"/>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6AE6473A" w14:textId="62E8B112"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1"/>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1"/>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1"/>
                <w14:textFill>
                  <w14:solidFill>
                    <w14:srgbClr w14:val="000000">
                      <w14:alpha w14:val="100000"/>
                    </w14:srgbClr>
                  </w14:solidFill>
                </w14:textFill>
              </w:rPr>
              <w:t xml:space="preserve">　</w:t>
            </w:r>
            <w:r w:rsidR="00244E19">
              <w:rPr>
                <w:iCs/>
                <w:szCs w:val="20"/>
                <w:vertAlign w:val="superscript"/>
              </w:rPr>
              <w:t>4</w:t>
            </w:r>
          </w:p>
        </w:tc>
        <w:tc>
          <w:tcPr>
            <w:tcW w:w="624" w:type="pct"/>
            <w:shd w:val="clear" w:color="auto" w:fill="auto"/>
            <w:vAlign w:val="center"/>
          </w:tcPr>
          <w:p w14:paraId="1F476C04" w14:textId="2BDD150D"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0"/>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0"/>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0"/>
                <w14:textFill>
                  <w14:solidFill>
                    <w14:srgbClr w14:val="000000">
                      <w14:alpha w14:val="100000"/>
                    </w14:srgbClr>
                  </w14:solidFill>
                </w14:textFill>
              </w:rPr>
              <w:t xml:space="preserve">　</w:t>
            </w:r>
            <w:r w:rsidR="00244E19">
              <w:rPr>
                <w:iCs/>
                <w:szCs w:val="20"/>
                <w:vertAlign w:val="superscript"/>
              </w:rPr>
              <w:t>4</w:t>
            </w:r>
          </w:p>
        </w:tc>
        <w:tc>
          <w:tcPr>
            <w:tcW w:w="585" w:type="pct"/>
            <w:shd w:val="clear" w:color="auto" w:fill="auto"/>
            <w:vAlign w:val="center"/>
          </w:tcPr>
          <w:p w14:paraId="12079751" w14:textId="6FE5F9D9"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49"/>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49"/>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49"/>
                <w14:textFill>
                  <w14:solidFill>
                    <w14:srgbClr w14:val="000000">
                      <w14:alpha w14:val="100000"/>
                    </w14:srgbClr>
                  </w14:solidFill>
                </w14:textFill>
              </w:rPr>
              <w:t xml:space="preserve">　</w:t>
            </w:r>
            <w:r w:rsidR="00244E19">
              <w:rPr>
                <w:iCs/>
                <w:szCs w:val="20"/>
                <w:vertAlign w:val="superscript"/>
              </w:rPr>
              <w:t>4</w:t>
            </w:r>
          </w:p>
        </w:tc>
        <w:tc>
          <w:tcPr>
            <w:tcW w:w="588" w:type="pct"/>
            <w:vAlign w:val="center"/>
          </w:tcPr>
          <w:p w14:paraId="4844CB4D" w14:textId="479CFC8C"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48"/>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48"/>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48"/>
                <w14:textFill>
                  <w14:solidFill>
                    <w14:srgbClr w14:val="000000">
                      <w14:alpha w14:val="100000"/>
                    </w14:srgbClr>
                  </w14:solidFill>
                </w14:textFill>
              </w:rPr>
              <w:t xml:space="preserve">　</w:t>
            </w:r>
            <w:r w:rsidR="00244E19">
              <w:rPr>
                <w:iCs/>
                <w:szCs w:val="20"/>
                <w:vertAlign w:val="superscript"/>
              </w:rPr>
              <w:t>4</w:t>
            </w:r>
          </w:p>
        </w:tc>
      </w:tr>
      <w:tr w:rsidR="00005209" w:rsidRPr="00501526" w14:paraId="0C2428DD" w14:textId="77777777" w:rsidTr="00F40C65">
        <w:tc>
          <w:tcPr>
            <w:tcW w:w="1407" w:type="pct"/>
            <w:shd w:val="clear" w:color="auto" w:fill="auto"/>
            <w:vAlign w:val="center"/>
          </w:tcPr>
          <w:p w14:paraId="09FCA60D" w14:textId="26459F90" w:rsidR="008F704C" w:rsidRPr="00501526" w:rsidRDefault="008F704C" w:rsidP="008F704C">
            <w:pPr>
              <w:pStyle w:val="TableText0"/>
              <w:rPr>
                <w:iCs/>
                <w:szCs w:val="20"/>
              </w:rPr>
            </w:pPr>
            <w:r w:rsidRPr="00501526">
              <w:rPr>
                <w:iCs/>
                <w:szCs w:val="20"/>
              </w:rPr>
              <w:t>Net cost to Government with RSA</w:t>
            </w:r>
          </w:p>
        </w:tc>
        <w:tc>
          <w:tcPr>
            <w:tcW w:w="544" w:type="pct"/>
            <w:shd w:val="clear" w:color="auto" w:fill="auto"/>
            <w:vAlign w:val="center"/>
          </w:tcPr>
          <w:p w14:paraId="3C7AFFAA" w14:textId="5BAC6937" w:rsidR="008F704C" w:rsidRPr="00501526" w:rsidRDefault="008F704C" w:rsidP="008F704C">
            <w:pPr>
              <w:pStyle w:val="Tabletext"/>
              <w:jc w:val="center"/>
              <w:rPr>
                <w:iCs/>
                <w:szCs w:val="20"/>
              </w:rPr>
            </w:pPr>
            <w:r w:rsidRPr="00501526">
              <w:rPr>
                <w:iCs/>
                <w:szCs w:val="20"/>
              </w:rPr>
              <w:t>$</w:t>
            </w:r>
            <w:r w:rsidR="00542E3B" w:rsidRPr="00542E3B">
              <w:rPr>
                <w:iCs/>
                <w:color w:val="000000"/>
                <w:spacing w:val="76"/>
                <w:szCs w:val="20"/>
                <w:shd w:val="solid" w:color="000000" w:fill="000000"/>
                <w:fitText w:val="162" w:id="-1435870464"/>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64"/>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auto"/>
            <w:vAlign w:val="center"/>
          </w:tcPr>
          <w:p w14:paraId="55AEE669" w14:textId="53C15DC8"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63"/>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63"/>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63"/>
                <w14:textFill>
                  <w14:solidFill>
                    <w14:srgbClr w14:val="000000">
                      <w14:alpha w14:val="100000"/>
                    </w14:srgbClr>
                  </w14:solidFill>
                </w14:textFill>
              </w:rPr>
              <w:t xml:space="preserve">　</w:t>
            </w:r>
            <w:r w:rsidR="00244E19" w:rsidRPr="00F40C65">
              <w:rPr>
                <w:iCs/>
                <w:szCs w:val="20"/>
                <w:vertAlign w:val="superscript"/>
              </w:rPr>
              <w:t>3</w:t>
            </w:r>
          </w:p>
        </w:tc>
        <w:tc>
          <w:tcPr>
            <w:tcW w:w="625" w:type="pct"/>
            <w:shd w:val="clear" w:color="auto" w:fill="auto"/>
            <w:vAlign w:val="center"/>
          </w:tcPr>
          <w:p w14:paraId="31CA3930" w14:textId="67E7A699"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2"/>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2"/>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2"/>
                <w14:textFill>
                  <w14:solidFill>
                    <w14:srgbClr w14:val="000000">
                      <w14:alpha w14:val="100000"/>
                    </w14:srgbClr>
                  </w14:solidFill>
                </w14:textFill>
              </w:rPr>
              <w:t xml:space="preserve">　</w:t>
            </w:r>
            <w:r w:rsidR="00244E19" w:rsidRPr="00F40C65">
              <w:rPr>
                <w:iCs/>
                <w:szCs w:val="20"/>
                <w:vertAlign w:val="superscript"/>
              </w:rPr>
              <w:t>3</w:t>
            </w:r>
          </w:p>
        </w:tc>
        <w:tc>
          <w:tcPr>
            <w:tcW w:w="624" w:type="pct"/>
            <w:shd w:val="clear" w:color="auto" w:fill="auto"/>
            <w:vAlign w:val="center"/>
          </w:tcPr>
          <w:p w14:paraId="3600C79F" w14:textId="33B158CF"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61"/>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61"/>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61"/>
                <w14:textFill>
                  <w14:solidFill>
                    <w14:srgbClr w14:val="000000">
                      <w14:alpha w14:val="100000"/>
                    </w14:srgbClr>
                  </w14:solidFill>
                </w14:textFill>
              </w:rPr>
              <w:t xml:space="preserve">　</w:t>
            </w:r>
            <w:r w:rsidR="00244E19" w:rsidRPr="00F40C65">
              <w:rPr>
                <w:iCs/>
                <w:szCs w:val="20"/>
                <w:vertAlign w:val="superscript"/>
              </w:rPr>
              <w:t>3</w:t>
            </w:r>
          </w:p>
        </w:tc>
        <w:tc>
          <w:tcPr>
            <w:tcW w:w="585" w:type="pct"/>
            <w:shd w:val="clear" w:color="auto" w:fill="auto"/>
            <w:vAlign w:val="center"/>
          </w:tcPr>
          <w:p w14:paraId="56F6E8CA" w14:textId="2DA07F18"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60"/>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60"/>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60"/>
                <w14:textFill>
                  <w14:solidFill>
                    <w14:srgbClr w14:val="000000">
                      <w14:alpha w14:val="100000"/>
                    </w14:srgbClr>
                  </w14:solidFill>
                </w14:textFill>
              </w:rPr>
              <w:t xml:space="preserve">　</w:t>
            </w:r>
            <w:r w:rsidR="00244E19" w:rsidRPr="00F40C65">
              <w:rPr>
                <w:iCs/>
                <w:szCs w:val="20"/>
                <w:vertAlign w:val="superscript"/>
              </w:rPr>
              <w:t>3</w:t>
            </w:r>
          </w:p>
        </w:tc>
        <w:tc>
          <w:tcPr>
            <w:tcW w:w="588" w:type="pct"/>
            <w:vAlign w:val="center"/>
          </w:tcPr>
          <w:p w14:paraId="594D78E7" w14:textId="61541952" w:rsidR="008F704C" w:rsidRPr="00501526" w:rsidRDefault="008F704C" w:rsidP="008F704C">
            <w:pPr>
              <w:pStyle w:val="Tabletext"/>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59"/>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59"/>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59"/>
                <w14:textFill>
                  <w14:solidFill>
                    <w14:srgbClr w14:val="000000">
                      <w14:alpha w14:val="100000"/>
                    </w14:srgbClr>
                  </w14:solidFill>
                </w14:textFill>
              </w:rPr>
              <w:t xml:space="preserve">　</w:t>
            </w:r>
            <w:r w:rsidR="00244E19">
              <w:rPr>
                <w:iCs/>
                <w:szCs w:val="20"/>
                <w:vertAlign w:val="superscript"/>
              </w:rPr>
              <w:t>4</w:t>
            </w:r>
          </w:p>
        </w:tc>
      </w:tr>
      <w:tr w:rsidR="008F704C" w:rsidRPr="00501526" w14:paraId="6A99A43D" w14:textId="77777777" w:rsidTr="00F40C65">
        <w:trPr>
          <w:trHeight w:val="107"/>
        </w:trPr>
        <w:tc>
          <w:tcPr>
            <w:tcW w:w="5000" w:type="pct"/>
            <w:gridSpan w:val="7"/>
            <w:shd w:val="clear" w:color="auto" w:fill="D9D9D9" w:themeFill="background1" w:themeFillShade="D9"/>
            <w:vAlign w:val="center"/>
          </w:tcPr>
          <w:p w14:paraId="3DC5DC1A" w14:textId="74101066" w:rsidR="008F704C" w:rsidRPr="00501526" w:rsidRDefault="008F704C" w:rsidP="008F704C">
            <w:pPr>
              <w:pStyle w:val="In-tableHeading"/>
              <w:rPr>
                <w:iCs/>
                <w:szCs w:val="20"/>
                <w:lang w:val="en-AU"/>
              </w:rPr>
            </w:pPr>
            <w:r w:rsidRPr="00501526">
              <w:rPr>
                <w:iCs/>
                <w:szCs w:val="20"/>
                <w:lang w:val="en-AU"/>
              </w:rPr>
              <w:t>Previous submission (March 2018: all patients</w:t>
            </w:r>
            <w:r w:rsidR="003F1FCC" w:rsidRPr="00501526">
              <w:rPr>
                <w:iCs/>
                <w:szCs w:val="20"/>
                <w:lang w:val="en-AU"/>
              </w:rPr>
              <w:t xml:space="preserve"> – both &lt;18 years and ≥18 years</w:t>
            </w:r>
            <w:r w:rsidRPr="00501526">
              <w:rPr>
                <w:iCs/>
                <w:szCs w:val="20"/>
                <w:lang w:val="en-AU"/>
              </w:rPr>
              <w:t>)</w:t>
            </w:r>
          </w:p>
        </w:tc>
      </w:tr>
      <w:tr w:rsidR="00F40C65" w:rsidRPr="00501526" w14:paraId="746CCDBE" w14:textId="77777777" w:rsidTr="00F40C65">
        <w:tc>
          <w:tcPr>
            <w:tcW w:w="1407" w:type="pct"/>
            <w:shd w:val="clear" w:color="auto" w:fill="D9D9D9" w:themeFill="background1" w:themeFillShade="D9"/>
            <w:vAlign w:val="center"/>
          </w:tcPr>
          <w:p w14:paraId="03B4C2BB" w14:textId="38FE8D59" w:rsidR="008F704C" w:rsidRPr="00501526" w:rsidRDefault="008F704C" w:rsidP="008F704C">
            <w:pPr>
              <w:pStyle w:val="TableText0"/>
              <w:rPr>
                <w:iCs/>
                <w:szCs w:val="20"/>
              </w:rPr>
            </w:pPr>
            <w:r w:rsidRPr="00501526">
              <w:rPr>
                <w:iCs/>
                <w:szCs w:val="20"/>
              </w:rPr>
              <w:t>Net cost to PBS</w:t>
            </w:r>
          </w:p>
        </w:tc>
        <w:tc>
          <w:tcPr>
            <w:tcW w:w="544" w:type="pct"/>
            <w:shd w:val="clear" w:color="auto" w:fill="D9D9D9" w:themeFill="background1" w:themeFillShade="D9"/>
            <w:vAlign w:val="bottom"/>
          </w:tcPr>
          <w:p w14:paraId="489F2BC4" w14:textId="1466B6C0" w:rsidR="008F704C" w:rsidRPr="00501526" w:rsidRDefault="008F704C" w:rsidP="008F704C">
            <w:pPr>
              <w:pStyle w:val="TableText0"/>
              <w:jc w:val="center"/>
              <w:rPr>
                <w:iCs/>
                <w:szCs w:val="20"/>
              </w:rPr>
            </w:pPr>
            <w:r w:rsidRPr="00501526">
              <w:rPr>
                <w:iCs/>
                <w:szCs w:val="20"/>
              </w:rPr>
              <w:t>$</w:t>
            </w:r>
            <w:r w:rsidR="00542E3B" w:rsidRPr="00542E3B">
              <w:rPr>
                <w:iCs/>
                <w:color w:val="000000"/>
                <w:spacing w:val="76"/>
                <w:szCs w:val="20"/>
                <w:shd w:val="solid" w:color="000000" w:fill="000000"/>
                <w:fitText w:val="162" w:id="-1435870458"/>
                <w14:textFill>
                  <w14:solidFill>
                    <w14:srgbClr w14:val="000000">
                      <w14:alpha w14:val="100000"/>
                    </w14:srgbClr>
                  </w14:solidFill>
                </w14:textFill>
              </w:rPr>
              <w:t>|</w:t>
            </w:r>
            <w:r w:rsidR="00542E3B" w:rsidRPr="00542E3B">
              <w:rPr>
                <w:iCs/>
                <w:color w:val="000000"/>
                <w:spacing w:val="1"/>
                <w:szCs w:val="20"/>
                <w:shd w:val="solid" w:color="000000" w:fill="000000"/>
                <w:fitText w:val="162" w:id="-1435870458"/>
                <w14:textFill>
                  <w14:solidFill>
                    <w14:srgbClr w14:val="000000">
                      <w14:alpha w14:val="100000"/>
                    </w14:srgbClr>
                  </w14:solidFill>
                </w14:textFill>
              </w:rPr>
              <w:t>|</w:t>
            </w:r>
            <w:r w:rsidR="00244E19" w:rsidRPr="00F40C65">
              <w:rPr>
                <w:iCs/>
                <w:szCs w:val="20"/>
                <w:vertAlign w:val="superscript"/>
              </w:rPr>
              <w:t>3</w:t>
            </w:r>
          </w:p>
        </w:tc>
        <w:tc>
          <w:tcPr>
            <w:tcW w:w="626" w:type="pct"/>
            <w:shd w:val="clear" w:color="auto" w:fill="D9D9D9" w:themeFill="background1" w:themeFillShade="D9"/>
            <w:vAlign w:val="bottom"/>
          </w:tcPr>
          <w:p w14:paraId="1D5EE203" w14:textId="4724F6BA" w:rsidR="008F704C" w:rsidRPr="00501526" w:rsidRDefault="008F704C" w:rsidP="008F704C">
            <w:pPr>
              <w:pStyle w:val="TableText0"/>
              <w:jc w:val="center"/>
              <w:rPr>
                <w:iCs/>
                <w:szCs w:val="20"/>
              </w:rPr>
            </w:pPr>
            <w:r w:rsidRPr="00501526">
              <w:rPr>
                <w:iCs/>
                <w:szCs w:val="20"/>
              </w:rPr>
              <w:t>$</w:t>
            </w:r>
            <w:r w:rsidR="00542E3B" w:rsidRPr="00542E3B">
              <w:rPr>
                <w:rFonts w:hint="eastAsia"/>
                <w:iCs/>
                <w:color w:val="000000"/>
                <w:w w:val="18"/>
                <w:szCs w:val="20"/>
                <w:shd w:val="solid" w:color="000000" w:fill="000000"/>
                <w:fitText w:val="84" w:id="-1435870457"/>
                <w14:textFill>
                  <w14:solidFill>
                    <w14:srgbClr w14:val="000000">
                      <w14:alpha w14:val="100000"/>
                    </w14:srgbClr>
                  </w14:solidFill>
                </w14:textFill>
              </w:rPr>
              <w:t xml:space="preserve">　</w:t>
            </w:r>
            <w:r w:rsidR="00542E3B" w:rsidRPr="00542E3B">
              <w:rPr>
                <w:iCs/>
                <w:color w:val="000000"/>
                <w:w w:val="18"/>
                <w:szCs w:val="20"/>
                <w:shd w:val="solid" w:color="000000" w:fill="000000"/>
                <w:fitText w:val="84" w:id="-1435870457"/>
                <w14:textFill>
                  <w14:solidFill>
                    <w14:srgbClr w14:val="000000">
                      <w14:alpha w14:val="100000"/>
                    </w14:srgbClr>
                  </w14:solidFill>
                </w14:textFill>
              </w:rPr>
              <w:t>|</w:t>
            </w:r>
            <w:r w:rsidR="00542E3B" w:rsidRPr="00542E3B">
              <w:rPr>
                <w:rFonts w:hint="eastAsia"/>
                <w:iCs/>
                <w:color w:val="000000"/>
                <w:spacing w:val="4"/>
                <w:w w:val="18"/>
                <w:szCs w:val="20"/>
                <w:shd w:val="solid" w:color="000000" w:fill="000000"/>
                <w:fitText w:val="84" w:id="-1435870457"/>
                <w14:textFill>
                  <w14:solidFill>
                    <w14:srgbClr w14:val="000000">
                      <w14:alpha w14:val="100000"/>
                    </w14:srgbClr>
                  </w14:solidFill>
                </w14:textFill>
              </w:rPr>
              <w:t xml:space="preserve">　</w:t>
            </w:r>
            <w:r w:rsidR="00244E19">
              <w:rPr>
                <w:iCs/>
                <w:szCs w:val="20"/>
                <w:vertAlign w:val="superscript"/>
              </w:rPr>
              <w:t>4</w:t>
            </w:r>
          </w:p>
        </w:tc>
        <w:tc>
          <w:tcPr>
            <w:tcW w:w="625" w:type="pct"/>
            <w:shd w:val="clear" w:color="auto" w:fill="D9D9D9" w:themeFill="background1" w:themeFillShade="D9"/>
            <w:vAlign w:val="bottom"/>
          </w:tcPr>
          <w:p w14:paraId="5C113E77" w14:textId="3FDDAB2E" w:rsidR="008F704C" w:rsidRPr="00501526" w:rsidRDefault="008F704C" w:rsidP="008F704C">
            <w:pPr>
              <w:pStyle w:val="TableText0"/>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6"/>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6"/>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6"/>
                <w14:textFill>
                  <w14:solidFill>
                    <w14:srgbClr w14:val="000000">
                      <w14:alpha w14:val="100000"/>
                    </w14:srgbClr>
                  </w14:solidFill>
                </w14:textFill>
              </w:rPr>
              <w:t xml:space="preserve">　</w:t>
            </w:r>
            <w:r w:rsidR="00244E19">
              <w:rPr>
                <w:iCs/>
                <w:szCs w:val="20"/>
                <w:vertAlign w:val="superscript"/>
              </w:rPr>
              <w:t>4</w:t>
            </w:r>
          </w:p>
        </w:tc>
        <w:tc>
          <w:tcPr>
            <w:tcW w:w="624" w:type="pct"/>
            <w:shd w:val="clear" w:color="auto" w:fill="D9D9D9" w:themeFill="background1" w:themeFillShade="D9"/>
            <w:vAlign w:val="bottom"/>
          </w:tcPr>
          <w:p w14:paraId="1C964FF9" w14:textId="0DAB9F6E" w:rsidR="008F704C" w:rsidRPr="00501526" w:rsidRDefault="008F704C" w:rsidP="008F704C">
            <w:pPr>
              <w:pStyle w:val="TableText0"/>
              <w:jc w:val="center"/>
              <w:rPr>
                <w:iCs/>
                <w:szCs w:val="20"/>
              </w:rPr>
            </w:pPr>
            <w:r w:rsidRPr="00501526">
              <w:rPr>
                <w:iCs/>
                <w:szCs w:val="20"/>
              </w:rPr>
              <w:t>$</w:t>
            </w:r>
            <w:r w:rsidR="00542E3B" w:rsidRPr="00542E3B">
              <w:rPr>
                <w:rFonts w:hint="eastAsia"/>
                <w:iCs/>
                <w:color w:val="000000"/>
                <w:w w:val="17"/>
                <w:szCs w:val="20"/>
                <w:shd w:val="solid" w:color="000000" w:fill="000000"/>
                <w:fitText w:val="77" w:id="-1435870455"/>
                <w14:textFill>
                  <w14:solidFill>
                    <w14:srgbClr w14:val="000000">
                      <w14:alpha w14:val="100000"/>
                    </w14:srgbClr>
                  </w14:solidFill>
                </w14:textFill>
              </w:rPr>
              <w:t xml:space="preserve">　</w:t>
            </w:r>
            <w:r w:rsidR="00542E3B" w:rsidRPr="00542E3B">
              <w:rPr>
                <w:iCs/>
                <w:color w:val="000000"/>
                <w:w w:val="17"/>
                <w:szCs w:val="20"/>
                <w:shd w:val="solid" w:color="000000" w:fill="000000"/>
                <w:fitText w:val="77" w:id="-1435870455"/>
                <w14:textFill>
                  <w14:solidFill>
                    <w14:srgbClr w14:val="000000">
                      <w14:alpha w14:val="100000"/>
                    </w14:srgbClr>
                  </w14:solidFill>
                </w14:textFill>
              </w:rPr>
              <w:t>|</w:t>
            </w:r>
            <w:r w:rsidR="00542E3B" w:rsidRPr="00542E3B">
              <w:rPr>
                <w:rFonts w:hint="eastAsia"/>
                <w:iCs/>
                <w:color w:val="000000"/>
                <w:spacing w:val="4"/>
                <w:w w:val="17"/>
                <w:szCs w:val="20"/>
                <w:shd w:val="solid" w:color="000000" w:fill="000000"/>
                <w:fitText w:val="77" w:id="-1435870455"/>
                <w14:textFill>
                  <w14:solidFill>
                    <w14:srgbClr w14:val="000000">
                      <w14:alpha w14:val="100000"/>
                    </w14:srgbClr>
                  </w14:solidFill>
                </w14:textFill>
              </w:rPr>
              <w:t xml:space="preserve">　</w:t>
            </w:r>
            <w:r w:rsidR="00244E19">
              <w:rPr>
                <w:iCs/>
                <w:szCs w:val="20"/>
                <w:vertAlign w:val="superscript"/>
              </w:rPr>
              <w:t>4</w:t>
            </w:r>
          </w:p>
        </w:tc>
        <w:tc>
          <w:tcPr>
            <w:tcW w:w="585" w:type="pct"/>
            <w:shd w:val="clear" w:color="auto" w:fill="D9D9D9" w:themeFill="background1" w:themeFillShade="D9"/>
            <w:vAlign w:val="bottom"/>
          </w:tcPr>
          <w:p w14:paraId="4D86B6C8" w14:textId="7943F1D2" w:rsidR="008F704C" w:rsidRPr="00501526" w:rsidRDefault="008F704C" w:rsidP="008F704C">
            <w:pPr>
              <w:pStyle w:val="TableText0"/>
              <w:jc w:val="center"/>
              <w:rPr>
                <w:iCs/>
                <w:szCs w:val="20"/>
              </w:rPr>
            </w:pPr>
            <w:r w:rsidRPr="00501526">
              <w:rPr>
                <w:iCs/>
                <w:szCs w:val="20"/>
              </w:rPr>
              <w:t>$</w:t>
            </w:r>
            <w:r w:rsidR="00542E3B" w:rsidRPr="00542E3B">
              <w:rPr>
                <w:rFonts w:hint="eastAsia"/>
                <w:iCs/>
                <w:color w:val="000000"/>
                <w:w w:val="27"/>
                <w:szCs w:val="20"/>
                <w:shd w:val="solid" w:color="000000" w:fill="000000"/>
                <w:fitText w:val="123" w:id="-1435870454"/>
                <w14:textFill>
                  <w14:solidFill>
                    <w14:srgbClr w14:val="000000">
                      <w14:alpha w14:val="100000"/>
                    </w14:srgbClr>
                  </w14:solidFill>
                </w14:textFill>
              </w:rPr>
              <w:t xml:space="preserve">　</w:t>
            </w:r>
            <w:r w:rsidR="00542E3B" w:rsidRPr="00542E3B">
              <w:rPr>
                <w:iCs/>
                <w:color w:val="000000"/>
                <w:w w:val="27"/>
                <w:szCs w:val="20"/>
                <w:shd w:val="solid" w:color="000000" w:fill="000000"/>
                <w:fitText w:val="123" w:id="-1435870454"/>
                <w14:textFill>
                  <w14:solidFill>
                    <w14:srgbClr w14:val="000000">
                      <w14:alpha w14:val="100000"/>
                    </w14:srgbClr>
                  </w14:solidFill>
                </w14:textFill>
              </w:rPr>
              <w:t>|</w:t>
            </w:r>
            <w:r w:rsidR="00542E3B" w:rsidRPr="00542E3B">
              <w:rPr>
                <w:rFonts w:hint="eastAsia"/>
                <w:iCs/>
                <w:color w:val="000000"/>
                <w:spacing w:val="5"/>
                <w:w w:val="27"/>
                <w:szCs w:val="20"/>
                <w:shd w:val="solid" w:color="000000" w:fill="000000"/>
                <w:fitText w:val="123" w:id="-1435870454"/>
                <w14:textFill>
                  <w14:solidFill>
                    <w14:srgbClr w14:val="000000">
                      <w14:alpha w14:val="100000"/>
                    </w14:srgbClr>
                  </w14:solidFill>
                </w14:textFill>
              </w:rPr>
              <w:t xml:space="preserve">　</w:t>
            </w:r>
            <w:r w:rsidR="00244E19">
              <w:rPr>
                <w:iCs/>
                <w:szCs w:val="20"/>
                <w:vertAlign w:val="superscript"/>
              </w:rPr>
              <w:t>5</w:t>
            </w:r>
          </w:p>
        </w:tc>
        <w:tc>
          <w:tcPr>
            <w:tcW w:w="588" w:type="pct"/>
            <w:shd w:val="clear" w:color="auto" w:fill="D9D9D9" w:themeFill="background1" w:themeFillShade="D9"/>
            <w:vAlign w:val="bottom"/>
          </w:tcPr>
          <w:p w14:paraId="441F00C1" w14:textId="43D586CB" w:rsidR="008F704C" w:rsidRPr="00501526" w:rsidRDefault="008F704C" w:rsidP="008F704C">
            <w:pPr>
              <w:pStyle w:val="TableText0"/>
              <w:jc w:val="center"/>
              <w:rPr>
                <w:iCs/>
                <w:szCs w:val="20"/>
              </w:rPr>
            </w:pPr>
            <w:r w:rsidRPr="00501526">
              <w:rPr>
                <w:iCs/>
                <w:szCs w:val="20"/>
              </w:rPr>
              <w:t>$</w:t>
            </w:r>
            <w:r w:rsidR="00542E3B" w:rsidRPr="00542E3B">
              <w:rPr>
                <w:rFonts w:hint="eastAsia"/>
                <w:iCs/>
                <w:color w:val="000000"/>
                <w:w w:val="24"/>
                <w:szCs w:val="20"/>
                <w:shd w:val="solid" w:color="000000" w:fill="000000"/>
                <w:fitText w:val="108" w:id="-1435870453"/>
                <w14:textFill>
                  <w14:solidFill>
                    <w14:srgbClr w14:val="000000">
                      <w14:alpha w14:val="100000"/>
                    </w14:srgbClr>
                  </w14:solidFill>
                </w14:textFill>
              </w:rPr>
              <w:t xml:space="preserve">　</w:t>
            </w:r>
            <w:r w:rsidR="00542E3B" w:rsidRPr="00542E3B">
              <w:rPr>
                <w:iCs/>
                <w:color w:val="000000"/>
                <w:w w:val="24"/>
                <w:szCs w:val="20"/>
                <w:shd w:val="solid" w:color="000000" w:fill="000000"/>
                <w:fitText w:val="108" w:id="-1435870453"/>
                <w14:textFill>
                  <w14:solidFill>
                    <w14:srgbClr w14:val="000000">
                      <w14:alpha w14:val="100000"/>
                    </w14:srgbClr>
                  </w14:solidFill>
                </w14:textFill>
              </w:rPr>
              <w:t>|</w:t>
            </w:r>
            <w:r w:rsidR="00542E3B" w:rsidRPr="00542E3B">
              <w:rPr>
                <w:rFonts w:hint="eastAsia"/>
                <w:iCs/>
                <w:color w:val="000000"/>
                <w:spacing w:val="4"/>
                <w:w w:val="24"/>
                <w:szCs w:val="20"/>
                <w:shd w:val="solid" w:color="000000" w:fill="000000"/>
                <w:fitText w:val="108" w:id="-1435870453"/>
                <w14:textFill>
                  <w14:solidFill>
                    <w14:srgbClr w14:val="000000">
                      <w14:alpha w14:val="100000"/>
                    </w14:srgbClr>
                  </w14:solidFill>
                </w14:textFill>
              </w:rPr>
              <w:t xml:space="preserve">　</w:t>
            </w:r>
            <w:r w:rsidR="00244E19">
              <w:rPr>
                <w:iCs/>
                <w:szCs w:val="20"/>
                <w:vertAlign w:val="superscript"/>
              </w:rPr>
              <w:t>5</w:t>
            </w:r>
          </w:p>
        </w:tc>
      </w:tr>
    </w:tbl>
    <w:p w14:paraId="484CF5B6" w14:textId="11CB788A" w:rsidR="00620C25" w:rsidRDefault="00620C25" w:rsidP="00F40C65">
      <w:pPr>
        <w:pStyle w:val="TableFigureFooter"/>
        <w:spacing w:after="0"/>
        <w:rPr>
          <w:iCs/>
        </w:rPr>
      </w:pPr>
      <w:r w:rsidRPr="00501526">
        <w:rPr>
          <w:iCs/>
        </w:rPr>
        <w:t xml:space="preserve">Source: </w:t>
      </w:r>
      <w:r w:rsidR="00750A84" w:rsidRPr="00501526">
        <w:rPr>
          <w:iCs/>
        </w:rPr>
        <w:t>attached financial spread</w:t>
      </w:r>
      <w:r w:rsidR="00773FBC" w:rsidRPr="00501526">
        <w:rPr>
          <w:iCs/>
        </w:rPr>
        <w:t>sh</w:t>
      </w:r>
      <w:r w:rsidR="00750A84" w:rsidRPr="00501526">
        <w:rPr>
          <w:iCs/>
        </w:rPr>
        <w:t>eets</w:t>
      </w:r>
      <w:r w:rsidR="00773FBC" w:rsidRPr="00501526">
        <w:rPr>
          <w:iCs/>
        </w:rPr>
        <w:t xml:space="preserve">; March 2018 sapropterin PBAC </w:t>
      </w:r>
      <w:r w:rsidR="00F40C65">
        <w:rPr>
          <w:iCs/>
        </w:rPr>
        <w:t>PSD</w:t>
      </w:r>
    </w:p>
    <w:p w14:paraId="4C92A6C7" w14:textId="77777777" w:rsidR="00F40C65" w:rsidRPr="009A6D58" w:rsidRDefault="00F40C65" w:rsidP="00F40C6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517101F" w14:textId="2C7E6E30" w:rsidR="00244E19" w:rsidRDefault="00F40C65" w:rsidP="00F40C6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44E19">
        <w:rPr>
          <w:rFonts w:ascii="Arial Narrow" w:hAnsi="Arial Narrow"/>
          <w:i/>
          <w:sz w:val="18"/>
          <w:szCs w:val="18"/>
        </w:rPr>
        <w:t>&lt; 500</w:t>
      </w:r>
    </w:p>
    <w:p w14:paraId="227C89AA" w14:textId="77777777" w:rsidR="00244E19" w:rsidRPr="00F40C65" w:rsidRDefault="00F40C65" w:rsidP="00244E1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44E19" w:rsidRPr="00F40C65">
        <w:rPr>
          <w:rFonts w:ascii="Arial Narrow" w:hAnsi="Arial Narrow"/>
          <w:i/>
          <w:sz w:val="18"/>
          <w:szCs w:val="18"/>
        </w:rPr>
        <w:t>500 to &lt; 5,000</w:t>
      </w:r>
    </w:p>
    <w:p w14:paraId="765A69DB" w14:textId="79006F57" w:rsidR="00F40C65" w:rsidRDefault="00F40C65" w:rsidP="00F40C6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44E19" w:rsidRPr="00F40C65">
        <w:rPr>
          <w:rFonts w:ascii="Arial Narrow" w:hAnsi="Arial Narrow"/>
          <w:i/>
          <w:sz w:val="18"/>
          <w:szCs w:val="18"/>
        </w:rPr>
        <w:t>$0 to &lt; $10 million</w:t>
      </w:r>
      <w:r w:rsidR="00244E19" w:rsidRPr="00AA785E" w:rsidDel="00244E19">
        <w:rPr>
          <w:rFonts w:ascii="Arial Narrow" w:hAnsi="Arial Narrow"/>
          <w:i/>
          <w:sz w:val="18"/>
          <w:szCs w:val="18"/>
        </w:rPr>
        <w:t xml:space="preserve"> </w:t>
      </w:r>
    </w:p>
    <w:p w14:paraId="37126D4B" w14:textId="20BC455C" w:rsidR="00F40C65" w:rsidRDefault="00F40C65" w:rsidP="00F40C6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44E19" w:rsidRPr="00AA785E">
        <w:rPr>
          <w:rFonts w:ascii="Arial Narrow" w:hAnsi="Arial Narrow"/>
          <w:i/>
          <w:sz w:val="18"/>
          <w:szCs w:val="18"/>
        </w:rPr>
        <w:t>$10 million to &lt; $20 million</w:t>
      </w:r>
    </w:p>
    <w:p w14:paraId="575AAC59" w14:textId="20D44FC6" w:rsidR="00F40C65" w:rsidRPr="00501526" w:rsidRDefault="00244E19" w:rsidP="0094758E">
      <w:pPr>
        <w:spacing w:after="240"/>
        <w:rPr>
          <w:rStyle w:val="CommentReference"/>
          <w:iCs/>
        </w:rPr>
      </w:pPr>
      <w:r>
        <w:rPr>
          <w:rFonts w:ascii="Arial Narrow" w:hAnsi="Arial Narrow"/>
          <w:i/>
          <w:sz w:val="18"/>
          <w:szCs w:val="18"/>
          <w:vertAlign w:val="superscript"/>
        </w:rPr>
        <w:t>5</w:t>
      </w:r>
      <w:r>
        <w:rPr>
          <w:rFonts w:ascii="Arial Narrow" w:hAnsi="Arial Narrow"/>
          <w:i/>
          <w:sz w:val="18"/>
          <w:szCs w:val="18"/>
        </w:rPr>
        <w:t xml:space="preserve"> </w:t>
      </w:r>
      <w:r w:rsidRPr="00A97329">
        <w:rPr>
          <w:rFonts w:ascii="Arial Narrow" w:hAnsi="Arial Narrow"/>
          <w:i/>
          <w:sz w:val="18"/>
          <w:szCs w:val="18"/>
        </w:rPr>
        <w:t>$20 million to &lt; $30 million</w:t>
      </w:r>
    </w:p>
    <w:p w14:paraId="4FA1D024" w14:textId="40873EC1" w:rsidR="00314DF9" w:rsidRPr="00501526" w:rsidRDefault="00314DF9" w:rsidP="00314DF9">
      <w:pPr>
        <w:pStyle w:val="3-BodyText"/>
        <w:rPr>
          <w:iCs/>
        </w:rPr>
      </w:pPr>
      <w:r w:rsidRPr="00501526">
        <w:rPr>
          <w:iCs/>
        </w:rPr>
        <w:t xml:space="preserve">The total cost to the PBS of listing sapropterin was estimated to be </w:t>
      </w:r>
      <w:r w:rsidR="00A97329" w:rsidRPr="00A97329">
        <w:rPr>
          <w:iCs/>
        </w:rPr>
        <w:t>$10 million</w:t>
      </w:r>
      <w:r w:rsidR="00A97329">
        <w:rPr>
          <w:iCs/>
        </w:rPr>
        <w:t xml:space="preserve"> </w:t>
      </w:r>
      <w:r w:rsidR="00A97329" w:rsidRPr="00A97329">
        <w:rPr>
          <w:iCs/>
        </w:rPr>
        <w:t>to</w:t>
      </w:r>
      <w:r w:rsidR="00A97329">
        <w:rPr>
          <w:iCs/>
        </w:rPr>
        <w:t xml:space="preserve"> </w:t>
      </w:r>
      <w:r w:rsidR="00A97329" w:rsidRPr="00A97329">
        <w:rPr>
          <w:iCs/>
        </w:rPr>
        <w:t>&lt; $20 million</w:t>
      </w:r>
      <w:r w:rsidRPr="00501526">
        <w:rPr>
          <w:iCs/>
        </w:rPr>
        <w:t xml:space="preserve"> in Year 6, and a total of </w:t>
      </w:r>
      <w:r w:rsidR="00A97329" w:rsidRPr="00A97329">
        <w:rPr>
          <w:iCs/>
        </w:rPr>
        <w:t>$60 million</w:t>
      </w:r>
      <w:r w:rsidR="00A97329">
        <w:rPr>
          <w:iCs/>
        </w:rPr>
        <w:t xml:space="preserve"> </w:t>
      </w:r>
      <w:r w:rsidR="00A97329" w:rsidRPr="00A97329">
        <w:rPr>
          <w:iCs/>
        </w:rPr>
        <w:t>to</w:t>
      </w:r>
      <w:r w:rsidR="00A97329">
        <w:rPr>
          <w:iCs/>
        </w:rPr>
        <w:t xml:space="preserve"> </w:t>
      </w:r>
      <w:r w:rsidR="00A97329" w:rsidRPr="00A97329">
        <w:rPr>
          <w:iCs/>
        </w:rPr>
        <w:t>&lt; $70 million</w:t>
      </w:r>
      <w:r w:rsidR="00A97329" w:rsidRPr="00A97329" w:rsidDel="00A97329">
        <w:rPr>
          <w:iCs/>
        </w:rPr>
        <w:t xml:space="preserve"> </w:t>
      </w:r>
      <w:r w:rsidRPr="00501526">
        <w:rPr>
          <w:iCs/>
        </w:rPr>
        <w:t>in the first 6 years of listing.</w:t>
      </w:r>
      <w:r w:rsidRPr="00501526">
        <w:rPr>
          <w:iCs/>
          <w:color w:val="3366FF"/>
        </w:rPr>
        <w:t xml:space="preserve"> </w:t>
      </w:r>
      <w:r w:rsidRPr="00501526">
        <w:rPr>
          <w:iCs/>
        </w:rPr>
        <w:t xml:space="preserve">After the RSA </w:t>
      </w:r>
      <w:r w:rsidR="0068437B">
        <w:rPr>
          <w:iCs/>
        </w:rPr>
        <w:t xml:space="preserve">rebate </w:t>
      </w:r>
      <w:r w:rsidRPr="00501526">
        <w:rPr>
          <w:iCs/>
        </w:rPr>
        <w:t xml:space="preserve">was applied, the estimated cost to the PBS was </w:t>
      </w:r>
      <w:r w:rsidR="00A97329" w:rsidRPr="00A97329">
        <w:rPr>
          <w:iCs/>
        </w:rPr>
        <w:t>$10 million</w:t>
      </w:r>
      <w:r w:rsidR="00A97329">
        <w:rPr>
          <w:iCs/>
        </w:rPr>
        <w:t xml:space="preserve"> </w:t>
      </w:r>
      <w:r w:rsidR="00A97329" w:rsidRPr="00A97329">
        <w:rPr>
          <w:iCs/>
        </w:rPr>
        <w:lastRenderedPageBreak/>
        <w:t>to</w:t>
      </w:r>
      <w:r w:rsidR="00A97329">
        <w:rPr>
          <w:iCs/>
        </w:rPr>
        <w:t xml:space="preserve"> </w:t>
      </w:r>
      <w:r w:rsidR="00A97329" w:rsidRPr="00A97329">
        <w:rPr>
          <w:iCs/>
        </w:rPr>
        <w:t>&lt; $20 million</w:t>
      </w:r>
      <w:r w:rsidR="00A97329" w:rsidRPr="00501526">
        <w:rPr>
          <w:iCs/>
        </w:rPr>
        <w:t xml:space="preserve"> </w:t>
      </w:r>
      <w:r w:rsidRPr="00501526">
        <w:rPr>
          <w:iCs/>
        </w:rPr>
        <w:t xml:space="preserve">in Year 6 and a total of </w:t>
      </w:r>
      <w:r w:rsidR="00A97329" w:rsidRPr="00A97329">
        <w:rPr>
          <w:iCs/>
        </w:rPr>
        <w:t>$50 million</w:t>
      </w:r>
      <w:r w:rsidR="00A97329">
        <w:rPr>
          <w:iCs/>
        </w:rPr>
        <w:t xml:space="preserve"> </w:t>
      </w:r>
      <w:r w:rsidR="00A97329" w:rsidRPr="00A97329">
        <w:rPr>
          <w:iCs/>
        </w:rPr>
        <w:t>to</w:t>
      </w:r>
      <w:r w:rsidR="00A97329">
        <w:rPr>
          <w:iCs/>
        </w:rPr>
        <w:t xml:space="preserve"> </w:t>
      </w:r>
      <w:r w:rsidR="00A97329" w:rsidRPr="00A97329">
        <w:rPr>
          <w:iCs/>
        </w:rPr>
        <w:t>&lt; $60 million</w:t>
      </w:r>
      <w:r w:rsidR="00A97329" w:rsidRPr="00A97329" w:rsidDel="00A97329">
        <w:rPr>
          <w:iCs/>
        </w:rPr>
        <w:t xml:space="preserve"> </w:t>
      </w:r>
      <w:r w:rsidRPr="00501526">
        <w:rPr>
          <w:iCs/>
        </w:rPr>
        <w:t>in the first 6 years of listing.</w:t>
      </w:r>
    </w:p>
    <w:p w14:paraId="0DBAD969" w14:textId="6EBFBBF4" w:rsidR="00314DF9" w:rsidRPr="00501526" w:rsidRDefault="00314DF9" w:rsidP="00314DF9">
      <w:pPr>
        <w:pStyle w:val="3-BodyText"/>
        <w:rPr>
          <w:iCs/>
          <w:color w:val="000000" w:themeColor="text1"/>
        </w:rPr>
      </w:pPr>
      <w:r w:rsidRPr="00501526">
        <w:rPr>
          <w:iCs/>
          <w:color w:val="000000" w:themeColor="text1"/>
        </w:rPr>
        <w:t xml:space="preserve">Overall, </w:t>
      </w:r>
      <w:r w:rsidRPr="00501526">
        <w:rPr>
          <w:iCs/>
        </w:rPr>
        <w:t xml:space="preserve">the financial estimates were likely overestimated </w:t>
      </w:r>
      <w:r w:rsidR="0068437B">
        <w:rPr>
          <w:iCs/>
        </w:rPr>
        <w:t xml:space="preserve">because the number of </w:t>
      </w:r>
      <w:r w:rsidR="00C91841">
        <w:rPr>
          <w:iCs/>
        </w:rPr>
        <w:t xml:space="preserve">adult </w:t>
      </w:r>
      <w:r w:rsidR="0068437B">
        <w:rPr>
          <w:iCs/>
        </w:rPr>
        <w:t>patients under routine follow-up may be overestimated</w:t>
      </w:r>
      <w:r w:rsidRPr="00501526">
        <w:rPr>
          <w:iCs/>
        </w:rPr>
        <w:t xml:space="preserve">. </w:t>
      </w:r>
    </w:p>
    <w:p w14:paraId="4657B0A0" w14:textId="42527BE2" w:rsidR="00541290" w:rsidRPr="00501526" w:rsidRDefault="0026456A" w:rsidP="00D244B6">
      <w:pPr>
        <w:pStyle w:val="3-BodyText"/>
        <w:rPr>
          <w:iCs/>
        </w:rPr>
      </w:pPr>
      <w:r>
        <w:rPr>
          <w:iCs/>
        </w:rPr>
        <w:t>The evaluation considered that i</w:t>
      </w:r>
      <w:r w:rsidR="00541290" w:rsidRPr="00501526">
        <w:rPr>
          <w:iCs/>
        </w:rPr>
        <w:t xml:space="preserve">t was unclear why the estimates calculated a net increase in </w:t>
      </w:r>
      <w:r w:rsidR="00314DF9" w:rsidRPr="00501526">
        <w:rPr>
          <w:iCs/>
        </w:rPr>
        <w:t xml:space="preserve">the </w:t>
      </w:r>
      <w:r w:rsidR="00541290" w:rsidRPr="00501526">
        <w:rPr>
          <w:iCs/>
        </w:rPr>
        <w:t xml:space="preserve">use of Phe free diet supplements associated with sapropterin listing. It also appeared that the </w:t>
      </w:r>
      <w:r w:rsidR="002E068C" w:rsidRPr="00501526">
        <w:rPr>
          <w:iCs/>
        </w:rPr>
        <w:t>difference in Phe-free supplement was only assumed to apply in patients initiating sapropterin</w:t>
      </w:r>
      <w:r w:rsidR="00541290" w:rsidRPr="00501526">
        <w:rPr>
          <w:iCs/>
        </w:rPr>
        <w:t xml:space="preserve">. </w:t>
      </w:r>
    </w:p>
    <w:p w14:paraId="6015A395" w14:textId="2EDB6A4E" w:rsidR="00576972" w:rsidRPr="00501526" w:rsidRDefault="00576972" w:rsidP="00606FBA">
      <w:pPr>
        <w:pStyle w:val="4-SubsectionHeading"/>
      </w:pPr>
      <w:bookmarkStart w:id="62" w:name="_Toc22897649"/>
      <w:bookmarkStart w:id="63" w:name="_Toc103766836"/>
      <w:bookmarkStart w:id="64" w:name="_Hlk103760309"/>
      <w:r w:rsidRPr="00501526">
        <w:t>Financial Management – Risk Sharing Arrangements</w:t>
      </w:r>
      <w:bookmarkEnd w:id="62"/>
      <w:bookmarkEnd w:id="63"/>
    </w:p>
    <w:p w14:paraId="19924DC3" w14:textId="7DC8459A" w:rsidR="009E4DF2" w:rsidRDefault="00050BA3" w:rsidP="00F61C18">
      <w:pPr>
        <w:pStyle w:val="ListParagraph"/>
        <w:numPr>
          <w:ilvl w:val="1"/>
          <w:numId w:val="1"/>
        </w:numPr>
        <w:rPr>
          <w:iCs/>
          <w:color w:val="000000" w:themeColor="text1"/>
        </w:rPr>
      </w:pPr>
      <w:r w:rsidRPr="00501526">
        <w:rPr>
          <w:iCs/>
          <w:color w:val="000000" w:themeColor="text1"/>
        </w:rPr>
        <w:t>T</w:t>
      </w:r>
      <w:r w:rsidR="00D31654" w:rsidRPr="00501526">
        <w:rPr>
          <w:iCs/>
          <w:color w:val="000000" w:themeColor="text1"/>
        </w:rPr>
        <w:t xml:space="preserve">he submission proposed to continue the existing </w:t>
      </w:r>
      <w:r w:rsidR="00F13DE3" w:rsidRPr="00501526">
        <w:rPr>
          <w:iCs/>
          <w:color w:val="000000" w:themeColor="text1"/>
        </w:rPr>
        <w:t>r</w:t>
      </w:r>
      <w:r w:rsidR="00D31654" w:rsidRPr="00501526">
        <w:rPr>
          <w:iCs/>
          <w:color w:val="000000" w:themeColor="text1"/>
        </w:rPr>
        <w:t xml:space="preserve">isk sharing </w:t>
      </w:r>
      <w:r w:rsidR="00F13DE3" w:rsidRPr="00501526">
        <w:rPr>
          <w:iCs/>
          <w:color w:val="000000" w:themeColor="text1"/>
        </w:rPr>
        <w:t>arrangement</w:t>
      </w:r>
      <w:r w:rsidR="00D31654" w:rsidRPr="00501526">
        <w:rPr>
          <w:iCs/>
          <w:color w:val="000000" w:themeColor="text1"/>
        </w:rPr>
        <w:t xml:space="preserve"> </w:t>
      </w:r>
      <w:r w:rsidR="00F13DE3" w:rsidRPr="00501526">
        <w:rPr>
          <w:iCs/>
          <w:color w:val="000000" w:themeColor="text1"/>
        </w:rPr>
        <w:t xml:space="preserve">(RSA) </w:t>
      </w:r>
      <w:r w:rsidR="00D31654" w:rsidRPr="00501526">
        <w:rPr>
          <w:iCs/>
          <w:color w:val="000000" w:themeColor="text1"/>
        </w:rPr>
        <w:t xml:space="preserve">for sapropterin whereby </w:t>
      </w:r>
      <w:r w:rsidRPr="00501526">
        <w:rPr>
          <w:iCs/>
          <w:color w:val="000000" w:themeColor="text1"/>
        </w:rPr>
        <w:t xml:space="preserve">expenditure caps </w:t>
      </w:r>
      <w:r w:rsidRPr="00785DCC">
        <w:rPr>
          <w:iCs/>
          <w:color w:val="000000" w:themeColor="text1"/>
        </w:rPr>
        <w:t xml:space="preserve">are based on </w:t>
      </w:r>
      <w:r w:rsidR="00F13DE3" w:rsidRPr="00785DCC">
        <w:rPr>
          <w:iCs/>
          <w:color w:val="000000" w:themeColor="text1"/>
        </w:rPr>
        <w:t xml:space="preserve">utilisation estimates that apply </w:t>
      </w:r>
      <w:r w:rsidRPr="00785DCC">
        <w:rPr>
          <w:iCs/>
          <w:color w:val="000000" w:themeColor="text1"/>
        </w:rPr>
        <w:t xml:space="preserve">a maximum patient </w:t>
      </w:r>
      <w:r w:rsidR="00D31654" w:rsidRPr="00785DCC">
        <w:rPr>
          <w:iCs/>
          <w:color w:val="000000" w:themeColor="text1"/>
        </w:rPr>
        <w:t xml:space="preserve">body weight of </w:t>
      </w:r>
      <w:r w:rsidR="00542E3B" w:rsidRPr="009A5ECB">
        <w:rPr>
          <w:iCs/>
          <w:color w:val="000000" w:themeColor="text1"/>
          <w:w w:val="15"/>
          <w:shd w:val="solid" w:color="000000" w:fill="000000"/>
          <w:fitText w:val="-20" w:id="-1435870452"/>
          <w14:textFill>
            <w14:solidFill>
              <w14:schemeClr w14:val="tx1">
                <w14:alpha w14:val="100000"/>
              </w14:schemeClr>
            </w14:solidFill>
          </w14:textFill>
        </w:rPr>
        <w:t xml:space="preserve">|  </w:t>
      </w:r>
      <w:r w:rsidR="00542E3B" w:rsidRPr="009A5ECB">
        <w:rPr>
          <w:iCs/>
          <w:color w:val="000000" w:themeColor="text1"/>
          <w:spacing w:val="-69"/>
          <w:w w:val="15"/>
          <w:shd w:val="solid" w:color="000000" w:fill="000000"/>
          <w:fitText w:val="-20" w:id="-1435870452"/>
          <w14:textFill>
            <w14:solidFill>
              <w14:schemeClr w14:val="tx1">
                <w14:alpha w14:val="100000"/>
              </w14:schemeClr>
            </w14:solidFill>
          </w14:textFill>
        </w:rPr>
        <w:t>|</w:t>
      </w:r>
      <w:r w:rsidR="00D31654" w:rsidRPr="00785DCC">
        <w:rPr>
          <w:iCs/>
          <w:color w:val="000000" w:themeColor="text1"/>
        </w:rPr>
        <w:t xml:space="preserve"> kg</w:t>
      </w:r>
      <w:r w:rsidR="00C31553" w:rsidRPr="00785DCC">
        <w:rPr>
          <w:iCs/>
          <w:color w:val="000000" w:themeColor="text1"/>
        </w:rPr>
        <w:t xml:space="preserve">, </w:t>
      </w:r>
      <w:r w:rsidR="00C31553">
        <w:rPr>
          <w:iCs/>
          <w:color w:val="000000" w:themeColor="text1"/>
        </w:rPr>
        <w:t xml:space="preserve">with a </w:t>
      </w:r>
      <w:r w:rsidR="00542E3B" w:rsidRPr="009A5ECB">
        <w:rPr>
          <w:iCs/>
          <w:color w:val="000000" w:themeColor="text1"/>
          <w:w w:val="15"/>
          <w:shd w:val="solid" w:color="000000" w:fill="000000"/>
          <w:fitText w:val="-20" w:id="-1435870451"/>
          <w14:textFill>
            <w14:solidFill>
              <w14:schemeClr w14:val="tx1">
                <w14:alpha w14:val="100000"/>
              </w14:schemeClr>
            </w14:solidFill>
          </w14:textFill>
        </w:rPr>
        <w:t xml:space="preserve">|  </w:t>
      </w:r>
      <w:r w:rsidR="00542E3B" w:rsidRPr="009A5ECB">
        <w:rPr>
          <w:iCs/>
          <w:color w:val="000000" w:themeColor="text1"/>
          <w:spacing w:val="-69"/>
          <w:w w:val="15"/>
          <w:shd w:val="solid" w:color="000000" w:fill="000000"/>
          <w:fitText w:val="-20" w:id="-1435870451"/>
          <w14:textFill>
            <w14:solidFill>
              <w14:schemeClr w14:val="tx1">
                <w14:alpha w14:val="100000"/>
              </w14:schemeClr>
            </w14:solidFill>
          </w14:textFill>
        </w:rPr>
        <w:t>|</w:t>
      </w:r>
      <w:r w:rsidR="00C31553">
        <w:rPr>
          <w:iCs/>
          <w:color w:val="000000" w:themeColor="text1"/>
        </w:rPr>
        <w:t>% rebate on PBS expenditure exceeding the cap</w:t>
      </w:r>
      <w:r w:rsidR="00D31654" w:rsidRPr="00501526">
        <w:rPr>
          <w:iCs/>
          <w:color w:val="000000" w:themeColor="text1"/>
        </w:rPr>
        <w:t>.</w:t>
      </w:r>
      <w:r w:rsidR="008F55DF" w:rsidRPr="00501526">
        <w:rPr>
          <w:iCs/>
          <w:color w:val="000000" w:themeColor="text1"/>
        </w:rPr>
        <w:t xml:space="preserve"> </w:t>
      </w:r>
      <w:r w:rsidR="00C31553">
        <w:rPr>
          <w:iCs/>
          <w:color w:val="000000" w:themeColor="text1"/>
        </w:rPr>
        <w:t xml:space="preserve">The PBAC noted that this RSA would be required to manage the cost-effectiveness, noting that </w:t>
      </w:r>
      <w:r w:rsidR="00C31553" w:rsidRPr="00785DCC">
        <w:rPr>
          <w:iCs/>
          <w:color w:val="000000" w:themeColor="text1"/>
        </w:rPr>
        <w:t xml:space="preserve">a maximum weight of </w:t>
      </w:r>
      <w:r w:rsidR="00542E3B" w:rsidRPr="009A5ECB">
        <w:rPr>
          <w:iCs/>
          <w:color w:val="000000" w:themeColor="text1"/>
          <w:w w:val="15"/>
          <w:shd w:val="solid" w:color="000000" w:fill="000000"/>
          <w:fitText w:val="-20" w:id="-1435870450"/>
          <w14:textFill>
            <w14:solidFill>
              <w14:schemeClr w14:val="tx1">
                <w14:alpha w14:val="100000"/>
              </w14:schemeClr>
            </w14:solidFill>
          </w14:textFill>
        </w:rPr>
        <w:t xml:space="preserve">|  </w:t>
      </w:r>
      <w:r w:rsidR="00542E3B" w:rsidRPr="009A5ECB">
        <w:rPr>
          <w:iCs/>
          <w:color w:val="000000" w:themeColor="text1"/>
          <w:spacing w:val="-69"/>
          <w:w w:val="15"/>
          <w:shd w:val="solid" w:color="000000" w:fill="000000"/>
          <w:fitText w:val="-20" w:id="-1435870450"/>
          <w14:textFill>
            <w14:solidFill>
              <w14:schemeClr w14:val="tx1">
                <w14:alpha w14:val="100000"/>
              </w14:schemeClr>
            </w14:solidFill>
          </w14:textFill>
        </w:rPr>
        <w:t>|</w:t>
      </w:r>
      <w:r w:rsidR="00C31553" w:rsidRPr="00785DCC">
        <w:rPr>
          <w:iCs/>
          <w:color w:val="000000" w:themeColor="text1"/>
        </w:rPr>
        <w:t xml:space="preserve"> kg was applied in the economic model. The</w:t>
      </w:r>
      <w:r w:rsidR="00C31553" w:rsidRPr="00C31553">
        <w:rPr>
          <w:iCs/>
          <w:color w:val="000000" w:themeColor="text1"/>
        </w:rPr>
        <w:t xml:space="preserve"> PBAC </w:t>
      </w:r>
      <w:r w:rsidR="00C31553">
        <w:rPr>
          <w:iCs/>
          <w:color w:val="000000" w:themeColor="text1"/>
        </w:rPr>
        <w:t xml:space="preserve">had also previously </w:t>
      </w:r>
      <w:r w:rsidR="00C31553" w:rsidRPr="00C31553">
        <w:rPr>
          <w:iCs/>
          <w:color w:val="000000" w:themeColor="text1"/>
        </w:rPr>
        <w:t>considered that an RSA would be required to manage the uncertain patient population and the risk of use in patients not continuing to respond</w:t>
      </w:r>
      <w:r w:rsidR="00C31553">
        <w:rPr>
          <w:iCs/>
          <w:color w:val="000000" w:themeColor="text1"/>
        </w:rPr>
        <w:t xml:space="preserve"> (paragraph 6.1, sapropterin </w:t>
      </w:r>
      <w:r w:rsidR="00A97329">
        <w:rPr>
          <w:iCs/>
          <w:color w:val="000000" w:themeColor="text1"/>
        </w:rPr>
        <w:t>PSD</w:t>
      </w:r>
      <w:r w:rsidR="00C31553">
        <w:rPr>
          <w:iCs/>
          <w:color w:val="000000" w:themeColor="text1"/>
        </w:rPr>
        <w:t xml:space="preserve">, November 2018 PBAC Meeting). </w:t>
      </w:r>
    </w:p>
    <w:p w14:paraId="0EBC8B54" w14:textId="0584CD57" w:rsidR="00576972" w:rsidRPr="00501526" w:rsidRDefault="00C31553" w:rsidP="00F61C18">
      <w:pPr>
        <w:pStyle w:val="ListParagraph"/>
        <w:numPr>
          <w:ilvl w:val="1"/>
          <w:numId w:val="1"/>
        </w:numPr>
        <w:rPr>
          <w:iCs/>
          <w:color w:val="000000" w:themeColor="text1"/>
        </w:rPr>
      </w:pPr>
      <w:bookmarkStart w:id="65" w:name="_Hlk109052931"/>
      <w:r>
        <w:rPr>
          <w:iCs/>
          <w:color w:val="000000" w:themeColor="text1"/>
        </w:rPr>
        <w:t>Under t</w:t>
      </w:r>
      <w:r w:rsidR="00F13DE3" w:rsidRPr="00501526">
        <w:rPr>
          <w:iCs/>
          <w:color w:val="000000" w:themeColor="text1"/>
        </w:rPr>
        <w:t>he existing RSA</w:t>
      </w:r>
      <w:r>
        <w:rPr>
          <w:iCs/>
          <w:color w:val="000000" w:themeColor="text1"/>
        </w:rPr>
        <w:t>, th</w:t>
      </w:r>
      <w:r w:rsidR="00F13DE3" w:rsidRPr="00501526">
        <w:rPr>
          <w:iCs/>
          <w:color w:val="000000" w:themeColor="text1"/>
        </w:rPr>
        <w:t xml:space="preserve">e sponsor </w:t>
      </w:r>
      <w:r>
        <w:rPr>
          <w:iCs/>
          <w:color w:val="000000" w:themeColor="text1"/>
        </w:rPr>
        <w:t>also</w:t>
      </w:r>
      <w:r w:rsidR="00F13DE3" w:rsidRPr="00501526">
        <w:rPr>
          <w:iCs/>
          <w:color w:val="000000" w:themeColor="text1"/>
        </w:rPr>
        <w:t xml:space="preserve"> rebate</w:t>
      </w:r>
      <w:r>
        <w:rPr>
          <w:iCs/>
          <w:color w:val="000000" w:themeColor="text1"/>
        </w:rPr>
        <w:t>s</w:t>
      </w:r>
      <w:r w:rsidR="00F13DE3" w:rsidRPr="00501526">
        <w:rPr>
          <w:iCs/>
          <w:color w:val="000000" w:themeColor="text1"/>
        </w:rPr>
        <w:t xml:space="preserve"> </w:t>
      </w:r>
      <w:r w:rsidR="00542E3B" w:rsidRPr="00542E3B">
        <w:rPr>
          <w:iCs/>
          <w:color w:val="000000" w:themeColor="text1"/>
          <w:w w:val="61"/>
          <w:shd w:val="solid" w:color="000000" w:fill="000000"/>
          <w:fitText w:val="473" w:id="-1435870449"/>
          <w14:textFill>
            <w14:solidFill>
              <w14:schemeClr w14:val="tx1">
                <w14:alpha w14:val="100000"/>
              </w14:schemeClr>
            </w14:solidFill>
          </w14:textFill>
        </w:rPr>
        <w:t>|||  ||</w:t>
      </w:r>
      <w:r w:rsidR="00542E3B" w:rsidRPr="00542E3B">
        <w:rPr>
          <w:iCs/>
          <w:color w:val="000000" w:themeColor="text1"/>
          <w:spacing w:val="3"/>
          <w:w w:val="61"/>
          <w:shd w:val="solid" w:color="000000" w:fill="000000"/>
          <w:fitText w:val="473" w:id="-1435870449"/>
          <w14:textFill>
            <w14:solidFill>
              <w14:schemeClr w14:val="tx1">
                <w14:alpha w14:val="100000"/>
              </w14:schemeClr>
            </w14:solidFill>
          </w14:textFill>
        </w:rPr>
        <w:t>|</w:t>
      </w:r>
      <w:r w:rsidR="00F13DE3" w:rsidRPr="00501526">
        <w:rPr>
          <w:iCs/>
          <w:color w:val="000000" w:themeColor="text1"/>
        </w:rPr>
        <w:t xml:space="preserve">% of the cost to the PBS </w:t>
      </w:r>
      <w:r w:rsidR="00F13DE3" w:rsidRPr="00785DCC">
        <w:rPr>
          <w:iCs/>
          <w:color w:val="000000" w:themeColor="text1"/>
        </w:rPr>
        <w:t xml:space="preserve">of all sapropterin used for initial responsiveness testing. </w:t>
      </w:r>
      <w:bookmarkEnd w:id="65"/>
      <w:r w:rsidR="00F13DE3" w:rsidRPr="00785DCC">
        <w:rPr>
          <w:iCs/>
          <w:color w:val="000000" w:themeColor="text1"/>
        </w:rPr>
        <w:t>The submission did not explicitly state w</w:t>
      </w:r>
      <w:r w:rsidR="008F55DF" w:rsidRPr="00785DCC">
        <w:rPr>
          <w:iCs/>
          <w:color w:val="000000" w:themeColor="text1"/>
        </w:rPr>
        <w:t xml:space="preserve">hether the </w:t>
      </w:r>
      <w:r w:rsidR="00F13DE3" w:rsidRPr="00785DCC">
        <w:rPr>
          <w:iCs/>
          <w:color w:val="000000" w:themeColor="text1"/>
        </w:rPr>
        <w:t xml:space="preserve">RSA would also </w:t>
      </w:r>
      <w:r w:rsidR="008F55DF" w:rsidRPr="00785DCC">
        <w:rPr>
          <w:iCs/>
          <w:color w:val="000000" w:themeColor="text1"/>
        </w:rPr>
        <w:t xml:space="preserve">rebate </w:t>
      </w:r>
      <w:r w:rsidR="00F13DE3" w:rsidRPr="00785DCC">
        <w:rPr>
          <w:iCs/>
          <w:color w:val="000000" w:themeColor="text1"/>
        </w:rPr>
        <w:t>the</w:t>
      </w:r>
      <w:r w:rsidR="008F55DF" w:rsidRPr="00785DCC">
        <w:rPr>
          <w:iCs/>
          <w:color w:val="000000" w:themeColor="text1"/>
        </w:rPr>
        <w:t xml:space="preserve"> cost of sapropterin used for initial responsiveness testing</w:t>
      </w:r>
      <w:r w:rsidR="00086A0A" w:rsidRPr="00785DCC">
        <w:rPr>
          <w:iCs/>
          <w:color w:val="000000" w:themeColor="text1"/>
        </w:rPr>
        <w:t>.</w:t>
      </w:r>
      <w:r w:rsidR="00086A0A" w:rsidRPr="00501526">
        <w:rPr>
          <w:iCs/>
          <w:color w:val="000000" w:themeColor="text1"/>
        </w:rPr>
        <w:t xml:space="preserve"> </w:t>
      </w:r>
      <w:r w:rsidR="0044194D" w:rsidRPr="00501526">
        <w:rPr>
          <w:iCs/>
          <w:color w:val="000000" w:themeColor="text1"/>
        </w:rPr>
        <w:t>No further information was provided in the PSCR</w:t>
      </w:r>
      <w:r w:rsidR="00184756">
        <w:rPr>
          <w:iCs/>
          <w:color w:val="000000" w:themeColor="text1"/>
        </w:rPr>
        <w:t xml:space="preserve"> or pre-PBAC response</w:t>
      </w:r>
      <w:r w:rsidR="0044194D" w:rsidRPr="00501526">
        <w:rPr>
          <w:iCs/>
          <w:color w:val="000000" w:themeColor="text1"/>
        </w:rPr>
        <w:t>.</w:t>
      </w:r>
    </w:p>
    <w:p w14:paraId="72383473" w14:textId="61F185BE" w:rsidR="00471C44" w:rsidRDefault="0044512C" w:rsidP="00471C44">
      <w:pPr>
        <w:contextualSpacing/>
        <w:rPr>
          <w:rFonts w:eastAsia="Calibri"/>
          <w:i/>
          <w:szCs w:val="22"/>
        </w:rPr>
      </w:pPr>
      <w:bookmarkStart w:id="66" w:name="_Hlk103934877"/>
      <w:bookmarkEnd w:id="64"/>
      <w:r w:rsidRPr="0044512C">
        <w:rPr>
          <w:rFonts w:eastAsia="Calibri"/>
          <w:i/>
          <w:szCs w:val="22"/>
        </w:rPr>
        <w:t>For more detail on PBAC’s view, see section 7 PBAC outcome.</w:t>
      </w:r>
    </w:p>
    <w:bookmarkEnd w:id="66"/>
    <w:p w14:paraId="351EEB11" w14:textId="77777777" w:rsidR="008272BE" w:rsidRPr="008272BE" w:rsidRDefault="008272BE" w:rsidP="00BB2370">
      <w:pPr>
        <w:rPr>
          <w:rFonts w:asciiTheme="minorHAnsi" w:hAnsiTheme="minorHAnsi" w:cstheme="minorHAnsi"/>
        </w:rPr>
      </w:pPr>
    </w:p>
    <w:p w14:paraId="31905C62" w14:textId="77777777" w:rsidR="002265D0" w:rsidRPr="002265D0" w:rsidRDefault="002265D0" w:rsidP="00D020EA">
      <w:pPr>
        <w:pStyle w:val="2-SectionHeading"/>
      </w:pPr>
      <w:bookmarkStart w:id="67" w:name="_Hlk76381249"/>
      <w:bookmarkStart w:id="68" w:name="_Hlk76377955"/>
      <w:r w:rsidRPr="002265D0">
        <w:t>PBAC Outcome</w:t>
      </w:r>
    </w:p>
    <w:p w14:paraId="199BBF3B" w14:textId="6823B629" w:rsidR="002265D0" w:rsidRPr="00E64A4F" w:rsidRDefault="002265D0" w:rsidP="00E64A4F">
      <w:pPr>
        <w:widowControl w:val="0"/>
        <w:numPr>
          <w:ilvl w:val="1"/>
          <w:numId w:val="1"/>
        </w:numPr>
        <w:spacing w:after="120"/>
        <w:rPr>
          <w:rFonts w:asciiTheme="minorHAnsi" w:hAnsiTheme="minorHAnsi"/>
          <w:snapToGrid w:val="0"/>
          <w:lang w:val="en-GB" w:eastAsia="en-US"/>
        </w:rPr>
      </w:pPr>
      <w:r w:rsidRPr="00FE3971">
        <w:rPr>
          <w:rFonts w:asciiTheme="minorHAnsi" w:hAnsiTheme="minorHAnsi"/>
          <w:snapToGrid w:val="0"/>
          <w:lang w:val="en-GB" w:eastAsia="en-US"/>
        </w:rPr>
        <w:t xml:space="preserve">The PBAC recommended the listing of </w:t>
      </w:r>
      <w:r w:rsidR="00FE3971" w:rsidRPr="00FE3971">
        <w:rPr>
          <w:rFonts w:asciiTheme="minorHAnsi" w:hAnsiTheme="minorHAnsi"/>
          <w:snapToGrid w:val="0"/>
          <w:lang w:val="en-GB" w:eastAsia="en-US"/>
        </w:rPr>
        <w:t>sapropterin</w:t>
      </w:r>
      <w:r w:rsidR="00FE3971">
        <w:rPr>
          <w:rFonts w:asciiTheme="minorHAnsi" w:hAnsiTheme="minorHAnsi"/>
          <w:snapToGrid w:val="0"/>
          <w:lang w:val="en-GB" w:eastAsia="en-US"/>
        </w:rPr>
        <w:t xml:space="preserve"> for </w:t>
      </w:r>
      <w:r w:rsidR="004B4450">
        <w:rPr>
          <w:rFonts w:asciiTheme="minorHAnsi" w:hAnsiTheme="minorHAnsi"/>
          <w:snapToGrid w:val="0"/>
          <w:lang w:val="en-GB" w:eastAsia="en-US"/>
        </w:rPr>
        <w:t xml:space="preserve">initiation in </w:t>
      </w:r>
      <w:r w:rsidR="00FE3971">
        <w:rPr>
          <w:rFonts w:asciiTheme="minorHAnsi" w:hAnsiTheme="minorHAnsi"/>
          <w:snapToGrid w:val="0"/>
          <w:lang w:val="en-GB" w:eastAsia="en-US"/>
        </w:rPr>
        <w:t xml:space="preserve">adult patients </w:t>
      </w:r>
      <w:r w:rsidR="00FE3971" w:rsidRPr="00E64A4F">
        <w:rPr>
          <w:rFonts w:asciiTheme="minorHAnsi" w:hAnsiTheme="minorHAnsi"/>
          <w:snapToGrid w:val="0"/>
          <w:lang w:val="en-GB" w:eastAsia="en-US"/>
        </w:rPr>
        <w:t>with HPA due to PKU</w:t>
      </w:r>
      <w:r w:rsidR="00FE3971">
        <w:rPr>
          <w:rFonts w:asciiTheme="minorHAnsi" w:hAnsiTheme="minorHAnsi"/>
          <w:snapToGrid w:val="0"/>
          <w:lang w:val="en-GB" w:eastAsia="en-US"/>
        </w:rPr>
        <w:t>.</w:t>
      </w:r>
      <w:r w:rsidRPr="00FE3971">
        <w:rPr>
          <w:rFonts w:asciiTheme="minorHAnsi" w:hAnsiTheme="minorHAnsi"/>
          <w:snapToGrid w:val="0"/>
          <w:lang w:val="en-GB" w:eastAsia="en-US"/>
        </w:rPr>
        <w:t xml:space="preserve"> The PBAC </w:t>
      </w:r>
      <w:r w:rsidR="00C31553">
        <w:rPr>
          <w:rFonts w:asciiTheme="minorHAnsi" w:hAnsiTheme="minorHAnsi"/>
          <w:snapToGrid w:val="0"/>
          <w:lang w:val="en-GB" w:eastAsia="en-US"/>
        </w:rPr>
        <w:t>wa</w:t>
      </w:r>
      <w:r w:rsidRPr="00FE3971">
        <w:rPr>
          <w:rFonts w:asciiTheme="minorHAnsi" w:hAnsiTheme="minorHAnsi"/>
          <w:snapToGrid w:val="0"/>
          <w:lang w:val="en-GB" w:eastAsia="en-US"/>
        </w:rPr>
        <w:t xml:space="preserve">s satisfied that </w:t>
      </w:r>
      <w:r w:rsidR="00FE3971">
        <w:rPr>
          <w:rFonts w:asciiTheme="minorHAnsi" w:hAnsiTheme="minorHAnsi"/>
          <w:snapToGrid w:val="0"/>
          <w:lang w:val="en-GB" w:eastAsia="en-US"/>
        </w:rPr>
        <w:t>sapropterin</w:t>
      </w:r>
      <w:r w:rsidRPr="00FE3971">
        <w:rPr>
          <w:rFonts w:asciiTheme="minorHAnsi" w:hAnsiTheme="minorHAnsi"/>
          <w:snapToGrid w:val="0"/>
          <w:lang w:val="en-GB" w:eastAsia="en-US"/>
        </w:rPr>
        <w:t xml:space="preserve"> provides, for some patients, a significant improvement in efficacy over</w:t>
      </w:r>
      <w:r w:rsidR="00E64A4F">
        <w:rPr>
          <w:rFonts w:asciiTheme="minorHAnsi" w:hAnsiTheme="minorHAnsi"/>
          <w:snapToGrid w:val="0"/>
          <w:lang w:val="en-GB" w:eastAsia="en-US"/>
        </w:rPr>
        <w:t xml:space="preserve"> a</w:t>
      </w:r>
      <w:r w:rsidRPr="00FE3971">
        <w:rPr>
          <w:rFonts w:asciiTheme="minorHAnsi" w:hAnsiTheme="minorHAnsi"/>
          <w:snapToGrid w:val="0"/>
          <w:lang w:val="en-GB" w:eastAsia="en-US"/>
        </w:rPr>
        <w:t xml:space="preserve"> </w:t>
      </w:r>
      <w:r w:rsidR="00E64A4F">
        <w:rPr>
          <w:rFonts w:asciiTheme="minorHAnsi" w:hAnsiTheme="minorHAnsi"/>
          <w:snapToGrid w:val="0"/>
          <w:lang w:val="en-GB" w:eastAsia="en-US"/>
        </w:rPr>
        <w:t>Phe-restricted diet alone</w:t>
      </w:r>
      <w:r w:rsidRPr="00FE3971">
        <w:rPr>
          <w:rFonts w:asciiTheme="minorHAnsi" w:hAnsiTheme="minorHAnsi"/>
          <w:snapToGrid w:val="0"/>
          <w:lang w:val="en-GB" w:eastAsia="en-US"/>
        </w:rPr>
        <w:t>.</w:t>
      </w:r>
      <w:r w:rsidR="00E64A4F">
        <w:rPr>
          <w:rFonts w:asciiTheme="minorHAnsi" w:hAnsiTheme="minorHAnsi"/>
          <w:snapToGrid w:val="0"/>
          <w:lang w:val="en-GB" w:eastAsia="en-US"/>
        </w:rPr>
        <w:t xml:space="preserve"> </w:t>
      </w:r>
      <w:r w:rsidR="009E6EDF" w:rsidRPr="009E6EDF">
        <w:rPr>
          <w:rFonts w:asciiTheme="minorHAnsi" w:hAnsiTheme="minorHAnsi"/>
          <w:snapToGrid w:val="0"/>
          <w:lang w:val="en-GB" w:eastAsia="en-US"/>
        </w:rPr>
        <w:t xml:space="preserve">The PBAC considered </w:t>
      </w:r>
      <w:r w:rsidR="006A4B5B" w:rsidRPr="00EF4F95">
        <w:rPr>
          <w:bCs/>
          <w:snapToGrid w:val="0"/>
        </w:rPr>
        <w:t>there was a high clinical need in a small patient populatio</w:t>
      </w:r>
      <w:r w:rsidR="006A4B5B">
        <w:rPr>
          <w:bCs/>
          <w:snapToGrid w:val="0"/>
        </w:rPr>
        <w:t>n</w:t>
      </w:r>
      <w:r w:rsidR="005B29FD">
        <w:rPr>
          <w:bCs/>
          <w:snapToGrid w:val="0"/>
        </w:rPr>
        <w:t>.</w:t>
      </w:r>
      <w:r w:rsidR="006A4B5B">
        <w:rPr>
          <w:bCs/>
          <w:snapToGrid w:val="0"/>
        </w:rPr>
        <w:t xml:space="preserve"> </w:t>
      </w:r>
      <w:r w:rsidR="005B29FD" w:rsidRPr="005B29FD">
        <w:rPr>
          <w:bCs/>
          <w:snapToGrid w:val="0"/>
        </w:rPr>
        <w:t xml:space="preserve">Although difficult to quantify, the PBAC considered sapropterin use would be expected to lead to improvements in neurological function and increases in dietary protein intake. </w:t>
      </w:r>
      <w:r w:rsidR="00E64A4F" w:rsidRPr="00E64A4F">
        <w:rPr>
          <w:rFonts w:asciiTheme="minorHAnsi" w:hAnsiTheme="minorHAnsi"/>
          <w:snapToGrid w:val="0"/>
          <w:lang w:val="en-GB" w:eastAsia="en-US"/>
        </w:rPr>
        <w:t xml:space="preserve">The PBAC considered the ICER was very high at the price proposed by the sponsor and considered that a substantial price reduction would be required to achieve a cost-effective listing for </w:t>
      </w:r>
      <w:r w:rsidR="0075770D">
        <w:rPr>
          <w:rFonts w:asciiTheme="minorHAnsi" w:hAnsiTheme="minorHAnsi"/>
          <w:snapToGrid w:val="0"/>
          <w:lang w:val="en-GB" w:eastAsia="en-US"/>
        </w:rPr>
        <w:t xml:space="preserve">initiation in </w:t>
      </w:r>
      <w:r w:rsidR="00E64A4F" w:rsidRPr="00E64A4F">
        <w:rPr>
          <w:rFonts w:asciiTheme="minorHAnsi" w:hAnsiTheme="minorHAnsi"/>
          <w:snapToGrid w:val="0"/>
          <w:lang w:val="en-GB" w:eastAsia="en-US"/>
        </w:rPr>
        <w:t>adult patients.</w:t>
      </w:r>
      <w:r w:rsidR="009E6EDF">
        <w:rPr>
          <w:rFonts w:asciiTheme="minorHAnsi" w:hAnsiTheme="minorHAnsi"/>
          <w:snapToGrid w:val="0"/>
          <w:lang w:val="en-GB" w:eastAsia="en-US"/>
        </w:rPr>
        <w:t xml:space="preserve"> Further, the PBAC considered that a</w:t>
      </w:r>
      <w:r w:rsidR="00507A7A">
        <w:rPr>
          <w:rFonts w:asciiTheme="minorHAnsi" w:hAnsiTheme="minorHAnsi"/>
          <w:snapToGrid w:val="0"/>
          <w:lang w:val="en-GB" w:eastAsia="en-US"/>
        </w:rPr>
        <w:t>n</w:t>
      </w:r>
      <w:r w:rsidR="009E6EDF">
        <w:rPr>
          <w:rFonts w:asciiTheme="minorHAnsi" w:hAnsiTheme="minorHAnsi"/>
          <w:snapToGrid w:val="0"/>
          <w:lang w:val="en-GB" w:eastAsia="en-US"/>
        </w:rPr>
        <w:t xml:space="preserve"> RSA would be required to </w:t>
      </w:r>
      <w:r w:rsidR="005B29FD" w:rsidRPr="005B29FD">
        <w:rPr>
          <w:rFonts w:asciiTheme="minorHAnsi" w:hAnsiTheme="minorHAnsi"/>
          <w:snapToGrid w:val="0"/>
          <w:lang w:val="en-GB" w:eastAsia="en-US"/>
        </w:rPr>
        <w:t>manage the cost-effectiveness, the uncertain patient population, and the risk of use in patients not continuing to respond</w:t>
      </w:r>
      <w:r w:rsidR="005B29FD">
        <w:rPr>
          <w:rFonts w:asciiTheme="minorHAnsi" w:hAnsiTheme="minorHAnsi"/>
          <w:snapToGrid w:val="0"/>
          <w:lang w:val="en-GB" w:eastAsia="en-US"/>
        </w:rPr>
        <w:t>.</w:t>
      </w:r>
      <w:r w:rsidR="00E64A4F" w:rsidRPr="00E64A4F">
        <w:rPr>
          <w:rFonts w:asciiTheme="minorHAnsi" w:hAnsiTheme="minorHAnsi"/>
          <w:snapToGrid w:val="0"/>
          <w:lang w:val="en-GB" w:eastAsia="en-US"/>
        </w:rPr>
        <w:t xml:space="preserve"> </w:t>
      </w:r>
    </w:p>
    <w:p w14:paraId="6F2A6602" w14:textId="0A70C46F" w:rsidR="006A4B5B" w:rsidRPr="009E6EDF" w:rsidRDefault="009E6EDF" w:rsidP="009C65F0">
      <w:pPr>
        <w:pStyle w:val="3-BodyText"/>
        <w:rPr>
          <w:rFonts w:eastAsia="Calibri"/>
          <w:iCs/>
        </w:rPr>
      </w:pPr>
      <w:r w:rsidRPr="00E64A4F">
        <w:rPr>
          <w:lang w:val="en-GB" w:eastAsia="en-US"/>
        </w:rPr>
        <w:t>The PBAC acknowledged the meaningful consumer support and engagement with regard</w:t>
      </w:r>
      <w:r w:rsidR="006A4B5B">
        <w:rPr>
          <w:lang w:val="en-GB" w:eastAsia="en-US"/>
        </w:rPr>
        <w:t>s</w:t>
      </w:r>
      <w:r w:rsidRPr="00E64A4F">
        <w:rPr>
          <w:lang w:val="en-GB" w:eastAsia="en-US"/>
        </w:rPr>
        <w:t xml:space="preserve"> to the submissions for </w:t>
      </w:r>
      <w:r w:rsidR="006A4B5B">
        <w:rPr>
          <w:lang w:val="en-GB" w:eastAsia="en-US"/>
        </w:rPr>
        <w:t>sapropterin and pegvaliase (Item 5.09, which was also considered at the July 2022 PBAC meeting)</w:t>
      </w:r>
      <w:r w:rsidRPr="00E64A4F">
        <w:rPr>
          <w:lang w:val="en-GB" w:eastAsia="en-US"/>
        </w:rPr>
        <w:t xml:space="preserve">, including a </w:t>
      </w:r>
      <w:r w:rsidR="009C65F0">
        <w:rPr>
          <w:lang w:val="en-GB" w:eastAsia="en-US"/>
        </w:rPr>
        <w:t>meeting</w:t>
      </w:r>
      <w:r w:rsidRPr="00E64A4F">
        <w:rPr>
          <w:lang w:val="en-GB" w:eastAsia="en-US"/>
        </w:rPr>
        <w:t xml:space="preserve"> with patient and </w:t>
      </w:r>
      <w:r w:rsidRPr="00E64A4F">
        <w:rPr>
          <w:lang w:val="en-GB" w:eastAsia="en-US"/>
        </w:rPr>
        <w:lastRenderedPageBreak/>
        <w:t>health professional representatives held prior to the PBAC meeting.</w:t>
      </w:r>
      <w:r w:rsidR="006A4B5B">
        <w:rPr>
          <w:lang w:val="en-GB" w:eastAsia="en-US"/>
        </w:rPr>
        <w:t xml:space="preserve"> </w:t>
      </w:r>
      <w:r w:rsidR="005B29FD">
        <w:rPr>
          <w:lang w:val="en-GB" w:eastAsia="en-US"/>
        </w:rPr>
        <w:t xml:space="preserve">The PBAC considered that consumer input </w:t>
      </w:r>
      <w:r w:rsidR="00CB3509">
        <w:rPr>
          <w:lang w:val="en-GB" w:eastAsia="en-US"/>
        </w:rPr>
        <w:t xml:space="preserve">was </w:t>
      </w:r>
      <w:r w:rsidR="005B29FD">
        <w:rPr>
          <w:lang w:val="en-GB" w:eastAsia="en-US"/>
        </w:rPr>
        <w:t>valuable in decision-making in terms of establishing the clinical need for sapropterin by identifying and describing outcomes that were not well</w:t>
      </w:r>
      <w:r w:rsidR="005B29FD">
        <w:rPr>
          <w:lang w:val="en-GB" w:eastAsia="en-US"/>
        </w:rPr>
        <w:noBreakHyphen/>
        <w:t>captured in the clinical evidence. In addition, consultation with patients, health professionals and representative organisations assisted in consideration of the appropriate clinical place for sapropterin and pegvaliase.</w:t>
      </w:r>
    </w:p>
    <w:p w14:paraId="2D7833D7" w14:textId="2CF1A119" w:rsidR="000813AF" w:rsidRDefault="006A4B5B" w:rsidP="000813AF">
      <w:pPr>
        <w:pStyle w:val="3-BodyText"/>
        <w:rPr>
          <w:rFonts w:eastAsia="Calibri"/>
          <w:iCs/>
        </w:rPr>
      </w:pPr>
      <w:r>
        <w:rPr>
          <w:lang w:val="en-GB" w:eastAsia="en-US"/>
        </w:rPr>
        <w:t>T</w:t>
      </w:r>
      <w:r w:rsidR="00301267">
        <w:rPr>
          <w:lang w:val="en-GB" w:eastAsia="en-US"/>
        </w:rPr>
        <w:t xml:space="preserve">he PBAC noted that </w:t>
      </w:r>
      <w:r w:rsidR="00220B04">
        <w:rPr>
          <w:lang w:val="en-GB" w:eastAsia="en-US"/>
        </w:rPr>
        <w:t xml:space="preserve">many consumers described the current arrangements for </w:t>
      </w:r>
      <w:r w:rsidR="00BE0683">
        <w:rPr>
          <w:lang w:val="en-GB" w:eastAsia="en-US"/>
        </w:rPr>
        <w:t xml:space="preserve">sapropterin </w:t>
      </w:r>
      <w:r w:rsidR="00220B04">
        <w:rPr>
          <w:lang w:val="en-GB" w:eastAsia="en-US"/>
        </w:rPr>
        <w:t xml:space="preserve">access as inequitable given </w:t>
      </w:r>
      <w:r w:rsidR="00BE0683">
        <w:rPr>
          <w:lang w:val="en-GB" w:eastAsia="en-US"/>
        </w:rPr>
        <w:t xml:space="preserve">it is only PBS-subsidised for those </w:t>
      </w:r>
      <w:r w:rsidR="00220B04">
        <w:rPr>
          <w:lang w:val="en-GB" w:eastAsia="en-US"/>
        </w:rPr>
        <w:t>who</w:t>
      </w:r>
      <w:r w:rsidR="00E64A4F">
        <w:rPr>
          <w:lang w:val="en-GB" w:eastAsia="en-US"/>
        </w:rPr>
        <w:t xml:space="preserve"> initiat</w:t>
      </w:r>
      <w:r w:rsidR="00220B04">
        <w:rPr>
          <w:lang w:val="en-GB" w:eastAsia="en-US"/>
        </w:rPr>
        <w:t>e</w:t>
      </w:r>
      <w:r w:rsidR="00E64A4F">
        <w:rPr>
          <w:lang w:val="en-GB" w:eastAsia="en-US"/>
        </w:rPr>
        <w:t xml:space="preserve"> prior to 18 years of age</w:t>
      </w:r>
      <w:r w:rsidR="00301267">
        <w:rPr>
          <w:lang w:val="en-GB" w:eastAsia="en-US"/>
        </w:rPr>
        <w:t xml:space="preserve">. </w:t>
      </w:r>
    </w:p>
    <w:p w14:paraId="77751A49" w14:textId="3F7485B9" w:rsidR="002265D0" w:rsidRPr="002A63D4" w:rsidRDefault="000813AF" w:rsidP="002A63D4">
      <w:pPr>
        <w:pStyle w:val="3-BodyText"/>
        <w:rPr>
          <w:rFonts w:eastAsia="Calibri"/>
          <w:iCs/>
        </w:rPr>
      </w:pPr>
      <w:r w:rsidRPr="00AA0272">
        <w:rPr>
          <w:rFonts w:eastAsia="Calibri"/>
          <w:iCs/>
        </w:rPr>
        <w:t xml:space="preserve">The consumer </w:t>
      </w:r>
      <w:r>
        <w:rPr>
          <w:rFonts w:eastAsia="Calibri"/>
          <w:iCs/>
        </w:rPr>
        <w:t>input</w:t>
      </w:r>
      <w:r w:rsidRPr="00AA0272">
        <w:rPr>
          <w:rFonts w:eastAsia="Calibri"/>
          <w:iCs/>
        </w:rPr>
        <w:t xml:space="preserve"> outlined the burden of current management</w:t>
      </w:r>
      <w:r>
        <w:rPr>
          <w:rFonts w:eastAsia="Calibri"/>
          <w:iCs/>
        </w:rPr>
        <w:t xml:space="preserve">, noting </w:t>
      </w:r>
      <w:r w:rsidRPr="00AA0272">
        <w:rPr>
          <w:rFonts w:eastAsia="Calibri"/>
          <w:iCs/>
        </w:rPr>
        <w:t xml:space="preserve">that compliance to the very onerous Phe-restricted diet is unsustainable for many patients, especially in adulthood, and </w:t>
      </w:r>
      <w:r>
        <w:rPr>
          <w:rFonts w:eastAsia="Calibri"/>
          <w:iCs/>
        </w:rPr>
        <w:t xml:space="preserve">frequently </w:t>
      </w:r>
      <w:r w:rsidRPr="00AA0272">
        <w:rPr>
          <w:rFonts w:eastAsia="Calibri"/>
          <w:iCs/>
        </w:rPr>
        <w:t xml:space="preserve">does not reduce blood Phe </w:t>
      </w:r>
      <w:r w:rsidR="00006EA6">
        <w:rPr>
          <w:rFonts w:eastAsia="Calibri"/>
          <w:iCs/>
        </w:rPr>
        <w:t xml:space="preserve">to </w:t>
      </w:r>
      <w:r>
        <w:rPr>
          <w:rFonts w:eastAsia="Calibri"/>
          <w:iCs/>
        </w:rPr>
        <w:t>a</w:t>
      </w:r>
      <w:r w:rsidR="00C1481F">
        <w:rPr>
          <w:rFonts w:eastAsia="Calibri"/>
          <w:iCs/>
        </w:rPr>
        <w:t>n acceptable</w:t>
      </w:r>
      <w:r>
        <w:rPr>
          <w:rFonts w:eastAsia="Calibri"/>
          <w:iCs/>
        </w:rPr>
        <w:t xml:space="preserve"> </w:t>
      </w:r>
      <w:r w:rsidRPr="00AA0272">
        <w:rPr>
          <w:rFonts w:eastAsia="Calibri"/>
          <w:iCs/>
        </w:rPr>
        <w:t xml:space="preserve">level. </w:t>
      </w:r>
      <w:r>
        <w:t xml:space="preserve">Patients reported that increased protein </w:t>
      </w:r>
      <w:r w:rsidR="00220B04">
        <w:t xml:space="preserve">intake </w:t>
      </w:r>
      <w:r>
        <w:t xml:space="preserve">was an important outcome, </w:t>
      </w:r>
      <w:r w:rsidR="00BE0683">
        <w:t xml:space="preserve">enabling </w:t>
      </w:r>
      <w:r w:rsidR="00724205">
        <w:t>intake of</w:t>
      </w:r>
      <w:r>
        <w:t xml:space="preserve"> a broader range of foods</w:t>
      </w:r>
      <w:r w:rsidR="00477214">
        <w:t xml:space="preserve"> and</w:t>
      </w:r>
      <w:r>
        <w:t xml:space="preserve"> alleviating the substantial quality of life burden </w:t>
      </w:r>
      <w:r w:rsidR="00477214">
        <w:t>associated</w:t>
      </w:r>
      <w:r>
        <w:t xml:space="preserve"> with a severely low protein diet. </w:t>
      </w:r>
      <w:r w:rsidRPr="00AA0272">
        <w:rPr>
          <w:rFonts w:eastAsia="Calibri"/>
          <w:iCs/>
        </w:rPr>
        <w:t xml:space="preserve">In addition, patients and healthcare professionals described the neuropsychiatric symptoms associated with high </w:t>
      </w:r>
      <w:r w:rsidR="00220B04">
        <w:rPr>
          <w:rFonts w:eastAsia="Calibri"/>
          <w:iCs/>
        </w:rPr>
        <w:t>Phe</w:t>
      </w:r>
      <w:r w:rsidR="00220B04" w:rsidRPr="00AA0272">
        <w:rPr>
          <w:rFonts w:eastAsia="Calibri"/>
          <w:iCs/>
        </w:rPr>
        <w:t xml:space="preserve"> </w:t>
      </w:r>
      <w:r w:rsidRPr="00AA0272">
        <w:rPr>
          <w:rFonts w:eastAsia="Calibri"/>
          <w:iCs/>
        </w:rPr>
        <w:t>levels</w:t>
      </w:r>
      <w:r w:rsidR="00675A75">
        <w:rPr>
          <w:rFonts w:eastAsia="Calibri"/>
          <w:iCs/>
        </w:rPr>
        <w:t xml:space="preserve"> including</w:t>
      </w:r>
      <w:r w:rsidRPr="00AA0272">
        <w:rPr>
          <w:rFonts w:eastAsia="Calibri"/>
          <w:iCs/>
        </w:rPr>
        <w:t xml:space="preserve"> psychosocial aspects, </w:t>
      </w:r>
      <w:r w:rsidR="004B4450">
        <w:rPr>
          <w:rFonts w:eastAsia="Calibri"/>
          <w:iCs/>
        </w:rPr>
        <w:t xml:space="preserve">impacts on </w:t>
      </w:r>
      <w:r w:rsidRPr="00AA0272">
        <w:rPr>
          <w:rFonts w:eastAsia="Calibri"/>
          <w:iCs/>
        </w:rPr>
        <w:t xml:space="preserve">cognitive function </w:t>
      </w:r>
      <w:r w:rsidR="004B4450">
        <w:rPr>
          <w:rFonts w:eastAsia="Calibri"/>
          <w:iCs/>
        </w:rPr>
        <w:t>and the ability to manage</w:t>
      </w:r>
      <w:r w:rsidRPr="00AA0272">
        <w:rPr>
          <w:rFonts w:eastAsia="Calibri"/>
          <w:iCs/>
        </w:rPr>
        <w:t xml:space="preserve"> self-care and tasks on a daily basis</w:t>
      </w:r>
      <w:r w:rsidR="00675A75">
        <w:rPr>
          <w:rFonts w:eastAsia="Calibri"/>
          <w:iCs/>
        </w:rPr>
        <w:t>. Clinicians stated that</w:t>
      </w:r>
      <w:r w:rsidRPr="00AA0272">
        <w:rPr>
          <w:rFonts w:eastAsia="Calibri"/>
          <w:iCs/>
        </w:rPr>
        <w:t xml:space="preserve"> </w:t>
      </w:r>
      <w:r w:rsidR="00EA0FD7">
        <w:rPr>
          <w:rFonts w:eastAsia="Calibri"/>
          <w:iCs/>
        </w:rPr>
        <w:t>the benefits of reducing blood Phe levels in adults</w:t>
      </w:r>
      <w:r w:rsidRPr="00AA0272">
        <w:rPr>
          <w:rFonts w:eastAsia="Calibri"/>
          <w:iCs/>
        </w:rPr>
        <w:t xml:space="preserve"> are significant and meaningful, with depression and anxiety scores improved and working memory and cognitive function substantially improved or returned over the longer term.</w:t>
      </w:r>
      <w:r>
        <w:rPr>
          <w:rFonts w:eastAsia="Calibri"/>
          <w:iCs/>
        </w:rPr>
        <w:t xml:space="preserve"> </w:t>
      </w:r>
      <w:r w:rsidRPr="00AA0272">
        <w:rPr>
          <w:snapToGrid/>
          <w:lang w:val="en-GB" w:eastAsia="en-US"/>
        </w:rPr>
        <w:t xml:space="preserve">Clinicians also highlighted that </w:t>
      </w:r>
      <w:r>
        <w:rPr>
          <w:snapToGrid/>
          <w:lang w:val="en-GB" w:eastAsia="en-US"/>
        </w:rPr>
        <w:t xml:space="preserve">there is evidence that </w:t>
      </w:r>
      <w:r w:rsidRPr="00AA0272">
        <w:rPr>
          <w:snapToGrid/>
          <w:lang w:val="en-GB" w:eastAsia="en-US"/>
        </w:rPr>
        <w:t xml:space="preserve">patients experience </w:t>
      </w:r>
      <w:r>
        <w:rPr>
          <w:snapToGrid/>
          <w:lang w:val="en-GB" w:eastAsia="en-US"/>
        </w:rPr>
        <w:t xml:space="preserve">reversible </w:t>
      </w:r>
      <w:r w:rsidRPr="00AA0272">
        <w:rPr>
          <w:snapToGrid/>
          <w:lang w:val="en-GB" w:eastAsia="en-US"/>
        </w:rPr>
        <w:t xml:space="preserve">changes in white matter </w:t>
      </w:r>
      <w:r>
        <w:rPr>
          <w:snapToGrid/>
          <w:lang w:val="en-GB" w:eastAsia="en-US"/>
        </w:rPr>
        <w:t>indicative of neurodegenerative effects of raised blood Phe levels.</w:t>
      </w:r>
    </w:p>
    <w:p w14:paraId="627E65F1" w14:textId="34955C91" w:rsidR="002265D0" w:rsidRDefault="001F78D7" w:rsidP="002265D0">
      <w:pPr>
        <w:widowControl w:val="0"/>
        <w:numPr>
          <w:ilvl w:val="1"/>
          <w:numId w:val="1"/>
        </w:numPr>
        <w:spacing w:after="120"/>
        <w:rPr>
          <w:rFonts w:asciiTheme="minorHAnsi" w:hAnsiTheme="minorHAnsi"/>
          <w:snapToGrid w:val="0"/>
          <w:lang w:val="en-GB" w:eastAsia="en-US"/>
        </w:rPr>
      </w:pPr>
      <w:r>
        <w:rPr>
          <w:iCs/>
        </w:rPr>
        <w:t xml:space="preserve">The </w:t>
      </w:r>
      <w:r w:rsidR="00E64A4F">
        <w:rPr>
          <w:iCs/>
        </w:rPr>
        <w:t xml:space="preserve">PBAC </w:t>
      </w:r>
      <w:r w:rsidR="009E201D">
        <w:rPr>
          <w:iCs/>
        </w:rPr>
        <w:t xml:space="preserve">considered that the requested </w:t>
      </w:r>
      <w:r w:rsidR="00BE0683">
        <w:rPr>
          <w:iCs/>
        </w:rPr>
        <w:t xml:space="preserve">place in therapy and </w:t>
      </w:r>
      <w:r w:rsidR="009E201D">
        <w:rPr>
          <w:iCs/>
        </w:rPr>
        <w:t xml:space="preserve">change to the restriction, which </w:t>
      </w:r>
      <w:r w:rsidR="00A56E21">
        <w:rPr>
          <w:iCs/>
        </w:rPr>
        <w:t>would allow initiation of sapropterin (i.e. access to responsiveness testing and</w:t>
      </w:r>
      <w:r w:rsidR="00A56E21" w:rsidRPr="00A56E21">
        <w:rPr>
          <w:iCs/>
        </w:rPr>
        <w:t xml:space="preserve"> </w:t>
      </w:r>
      <w:r w:rsidR="00A56E21">
        <w:rPr>
          <w:iCs/>
        </w:rPr>
        <w:t xml:space="preserve">continuing treatment if response criteria are met) in patients aged 18 years and over, was appropriate. </w:t>
      </w:r>
    </w:p>
    <w:p w14:paraId="16661C17" w14:textId="712314D4" w:rsidR="001F78D7" w:rsidRPr="00462EBE" w:rsidRDefault="001F78D7" w:rsidP="00462EBE">
      <w:pPr>
        <w:widowControl w:val="0"/>
        <w:numPr>
          <w:ilvl w:val="1"/>
          <w:numId w:val="1"/>
        </w:numPr>
        <w:spacing w:after="120"/>
        <w:rPr>
          <w:iCs/>
        </w:rPr>
      </w:pPr>
      <w:r>
        <w:rPr>
          <w:iCs/>
        </w:rPr>
        <w:t>The submission also requested an amendment to the administrative notes enabling patients who failed a 24-hour test prior to 1 month of age to have the opportunity to retest one additional time at &gt;1 month of age</w:t>
      </w:r>
      <w:r w:rsidR="00220B04">
        <w:rPr>
          <w:iCs/>
        </w:rPr>
        <w:t xml:space="preserve"> using the 7-day responsiveness test</w:t>
      </w:r>
      <w:r>
        <w:rPr>
          <w:iCs/>
        </w:rPr>
        <w:t>. The PBAC considered</w:t>
      </w:r>
      <w:r w:rsidR="00813701">
        <w:rPr>
          <w:iCs/>
        </w:rPr>
        <w:t xml:space="preserve"> this was appropriate</w:t>
      </w:r>
      <w:r w:rsidR="00462EBE">
        <w:rPr>
          <w:iCs/>
        </w:rPr>
        <w:t xml:space="preserve"> and noted that the </w:t>
      </w:r>
      <w:r w:rsidR="004B4450">
        <w:rPr>
          <w:iCs/>
        </w:rPr>
        <w:t xml:space="preserve">existing </w:t>
      </w:r>
      <w:r w:rsidR="00462EBE">
        <w:rPr>
          <w:iCs/>
        </w:rPr>
        <w:t>criteria “</w:t>
      </w:r>
      <w:r w:rsidR="00462EBE" w:rsidRPr="00462EBE">
        <w:rPr>
          <w:iCs/>
        </w:rPr>
        <w:t>Patient must not have previously received PBS-subsidised treatment with this drug for this condition</w:t>
      </w:r>
      <w:r w:rsidR="00462EBE">
        <w:rPr>
          <w:iCs/>
        </w:rPr>
        <w:t>” would need to be amended to enable this.</w:t>
      </w:r>
    </w:p>
    <w:p w14:paraId="6DC6C8C4" w14:textId="49ACF603" w:rsidR="002265D0" w:rsidRPr="003B3B9E" w:rsidRDefault="003B3B9E" w:rsidP="0068437B">
      <w:pPr>
        <w:pStyle w:val="3-BodyText"/>
        <w:widowControl w:val="0"/>
        <w:rPr>
          <w:lang w:val="en-GB" w:eastAsia="en-US"/>
        </w:rPr>
      </w:pPr>
      <w:r>
        <w:t xml:space="preserve">The </w:t>
      </w:r>
      <w:r w:rsidR="0007581D">
        <w:t xml:space="preserve">PBAC considered that the </w:t>
      </w:r>
      <w:r>
        <w:t xml:space="preserve">nominated </w:t>
      </w:r>
      <w:r w:rsidR="0007581D">
        <w:t xml:space="preserve">comparator, </w:t>
      </w:r>
      <w:r>
        <w:t>a Phe-restricted diet alone</w:t>
      </w:r>
      <w:r w:rsidR="0007581D">
        <w:t xml:space="preserve">, was </w:t>
      </w:r>
      <w:r w:rsidR="009E6EDF">
        <w:t>the</w:t>
      </w:r>
      <w:r w:rsidR="00637DC5">
        <w:t xml:space="preserve"> </w:t>
      </w:r>
      <w:r w:rsidR="0007581D">
        <w:t>appropriate</w:t>
      </w:r>
      <w:r>
        <w:t xml:space="preserve"> </w:t>
      </w:r>
      <w:r w:rsidR="0007581D">
        <w:t xml:space="preserve">main </w:t>
      </w:r>
      <w:r>
        <w:t xml:space="preserve">comparator. </w:t>
      </w:r>
      <w:r w:rsidRPr="003B3B9E">
        <w:rPr>
          <w:iCs/>
        </w:rPr>
        <w:t xml:space="preserve">The </w:t>
      </w:r>
      <w:r>
        <w:rPr>
          <w:iCs/>
        </w:rPr>
        <w:t>PBAC considered that</w:t>
      </w:r>
      <w:r w:rsidR="009E6EDF">
        <w:rPr>
          <w:iCs/>
        </w:rPr>
        <w:t>, while sapropterin</w:t>
      </w:r>
      <w:r w:rsidRPr="003B3B9E">
        <w:rPr>
          <w:iCs/>
        </w:rPr>
        <w:t xml:space="preserve"> </w:t>
      </w:r>
      <w:r w:rsidR="009E6EDF">
        <w:rPr>
          <w:iCs/>
        </w:rPr>
        <w:t xml:space="preserve">would not replace the Phe-restricted diet, it </w:t>
      </w:r>
      <w:r w:rsidRPr="003B3B9E">
        <w:rPr>
          <w:iCs/>
        </w:rPr>
        <w:t>would</w:t>
      </w:r>
      <w:r w:rsidR="00161C69">
        <w:rPr>
          <w:iCs/>
        </w:rPr>
        <w:t>,</w:t>
      </w:r>
      <w:r w:rsidRPr="003B3B9E">
        <w:rPr>
          <w:iCs/>
        </w:rPr>
        <w:t xml:space="preserve"> in practice</w:t>
      </w:r>
      <w:r w:rsidR="004826B8">
        <w:rPr>
          <w:iCs/>
        </w:rPr>
        <w:t xml:space="preserve">, allow relaxation </w:t>
      </w:r>
      <w:r w:rsidR="009E6EDF">
        <w:rPr>
          <w:iCs/>
        </w:rPr>
        <w:t>of the</w:t>
      </w:r>
      <w:r>
        <w:rPr>
          <w:iCs/>
        </w:rPr>
        <w:t xml:space="preserve"> Phe</w:t>
      </w:r>
      <w:r w:rsidR="00F3578A">
        <w:rPr>
          <w:iCs/>
        </w:rPr>
        <w:noBreakHyphen/>
      </w:r>
      <w:r>
        <w:rPr>
          <w:iCs/>
        </w:rPr>
        <w:t>restricted diet</w:t>
      </w:r>
      <w:r w:rsidR="004826B8">
        <w:rPr>
          <w:iCs/>
        </w:rPr>
        <w:t xml:space="preserve"> </w:t>
      </w:r>
      <w:r w:rsidR="009E6EDF">
        <w:rPr>
          <w:iCs/>
        </w:rPr>
        <w:t>in some patients</w:t>
      </w:r>
      <w:r w:rsidRPr="003B3B9E">
        <w:rPr>
          <w:iCs/>
        </w:rPr>
        <w:t>.</w:t>
      </w:r>
      <w:r>
        <w:rPr>
          <w:iCs/>
        </w:rPr>
        <w:t xml:space="preserve"> </w:t>
      </w:r>
    </w:p>
    <w:p w14:paraId="0C784748" w14:textId="7CE6C0A7" w:rsidR="008B7F15" w:rsidRPr="008B7F15" w:rsidRDefault="008B7F15" w:rsidP="008B7F15">
      <w:pPr>
        <w:pStyle w:val="3-BodyText"/>
      </w:pPr>
      <w:r>
        <w:t>With the exception of the more recent data cuts of the PKUDOS registry data</w:t>
      </w:r>
      <w:r w:rsidR="009E6EDF">
        <w:t>,</w:t>
      </w:r>
      <w:r w:rsidRPr="008B7F15">
        <w:t xml:space="preserve"> </w:t>
      </w:r>
      <w:r>
        <w:t>n</w:t>
      </w:r>
      <w:r w:rsidRPr="008B7F15">
        <w:t xml:space="preserve">o new evidence was presented to support the comparative efficacy of sapropterin versus a Phe-restricted diet in patients aged ≥18 years. The PBAC had previously concluded that there was insufficient evidence to support PBS-listing in adults (paragraph 7.4, </w:t>
      </w:r>
      <w:r w:rsidRPr="008B7F15">
        <w:lastRenderedPageBreak/>
        <w:t>sapropterin PSD</w:t>
      </w:r>
      <w:r>
        <w:t>,</w:t>
      </w:r>
      <w:r w:rsidRPr="008B7F15">
        <w:t xml:space="preserve"> March 2018</w:t>
      </w:r>
      <w:r>
        <w:t xml:space="preserve"> PBAC meeting</w:t>
      </w:r>
      <w:r w:rsidRPr="008B7F15">
        <w:t xml:space="preserve">). </w:t>
      </w:r>
      <w:r>
        <w:t xml:space="preserve">The PBAC noted that </w:t>
      </w:r>
      <w:r w:rsidRPr="005F05A4">
        <w:t xml:space="preserve">there were </w:t>
      </w:r>
      <w:r>
        <w:t xml:space="preserve">no comparative studies presented in sapropterin-naïve adult patients </w:t>
      </w:r>
      <w:r w:rsidR="00DD2E91">
        <w:t xml:space="preserve">and </w:t>
      </w:r>
      <w:r w:rsidRPr="008B7F15">
        <w:t xml:space="preserve">that </w:t>
      </w:r>
      <w:r>
        <w:t xml:space="preserve">no additional </w:t>
      </w:r>
      <w:r w:rsidR="00477D34">
        <w:t xml:space="preserve">comparative </w:t>
      </w:r>
      <w:r>
        <w:t>evidence is likely to be forthcoming</w:t>
      </w:r>
      <w:r w:rsidR="003563D9">
        <w:t xml:space="preserve"> in the near term</w:t>
      </w:r>
      <w:r w:rsidRPr="008B7F15">
        <w:t xml:space="preserve">. The submission’s references to published literature provided some supportive evidence regarding the benefit of controlling Phe in adults with PKU but did not provide information on the magnitude of any benefits of sapropterin in terms of neuropsychiatric symptoms in adults. Overall, the </w:t>
      </w:r>
      <w:r w:rsidR="00477D34">
        <w:t>PBAC</w:t>
      </w:r>
      <w:r w:rsidRPr="008B7F15">
        <w:t xml:space="preserve"> considered the incremental benefit of sapropterin in adults </w:t>
      </w:r>
      <w:r w:rsidR="00477D34">
        <w:t xml:space="preserve">was not well-captured in the clinical evidence presented, </w:t>
      </w:r>
      <w:r w:rsidRPr="008B7F15">
        <w:t>particularly for patients commencing sapropterin in adulthood,</w:t>
      </w:r>
      <w:r w:rsidR="00477D34">
        <w:t xml:space="preserve"> and</w:t>
      </w:r>
      <w:r w:rsidRPr="008B7F15">
        <w:t xml:space="preserve"> especially in terms of clinically meaningful health outcomes such as the effect on neurological function.</w:t>
      </w:r>
    </w:p>
    <w:p w14:paraId="5981CA2E" w14:textId="0B66A41D" w:rsidR="00C33034" w:rsidRDefault="00477D34" w:rsidP="0068437B">
      <w:pPr>
        <w:pStyle w:val="3-BodyText"/>
        <w:rPr>
          <w:rFonts w:eastAsia="Calibri"/>
          <w:iCs/>
        </w:rPr>
      </w:pPr>
      <w:r w:rsidRPr="00477D34">
        <w:rPr>
          <w:rFonts w:eastAsia="Calibri"/>
          <w:iCs/>
        </w:rPr>
        <w:t>The PBAC considered that the claim of superior comparative effectiveness and non</w:t>
      </w:r>
      <w:r w:rsidR="00F3578A">
        <w:rPr>
          <w:rFonts w:eastAsia="Calibri"/>
          <w:iCs/>
        </w:rPr>
        <w:noBreakHyphen/>
      </w:r>
      <w:r w:rsidRPr="00477D34">
        <w:rPr>
          <w:rFonts w:eastAsia="Calibri"/>
          <w:iCs/>
        </w:rPr>
        <w:t>inferior comparative safety versus a Phe-restricted diet remained reasonable.</w:t>
      </w:r>
      <w:r>
        <w:rPr>
          <w:rFonts w:eastAsia="Calibri"/>
          <w:iCs/>
        </w:rPr>
        <w:t xml:space="preserve"> However, t</w:t>
      </w:r>
      <w:r w:rsidRPr="00477D34">
        <w:rPr>
          <w:rFonts w:eastAsia="Calibri"/>
          <w:iCs/>
        </w:rPr>
        <w:t>he PBAC considered that the submission did not adequately address the range of important benefits for adults associated with lowering and stabilising Phe levels</w:t>
      </w:r>
      <w:r w:rsidR="00DD2E91">
        <w:rPr>
          <w:rFonts w:eastAsia="Calibri"/>
          <w:iCs/>
        </w:rPr>
        <w:t xml:space="preserve"> or of</w:t>
      </w:r>
      <w:r w:rsidRPr="00477D34">
        <w:rPr>
          <w:rFonts w:eastAsia="Calibri"/>
          <w:iCs/>
        </w:rPr>
        <w:t xml:space="preserve"> </w:t>
      </w:r>
      <w:r w:rsidR="00A34FD1">
        <w:rPr>
          <w:rFonts w:eastAsia="Calibri"/>
          <w:iCs/>
        </w:rPr>
        <w:t>enabling</w:t>
      </w:r>
      <w:r w:rsidRPr="00477D34">
        <w:rPr>
          <w:rFonts w:eastAsia="Calibri"/>
          <w:iCs/>
        </w:rPr>
        <w:t xml:space="preserve"> increase</w:t>
      </w:r>
      <w:r w:rsidR="00A34FD1">
        <w:rPr>
          <w:rFonts w:eastAsia="Calibri"/>
          <w:iCs/>
        </w:rPr>
        <w:t>d</w:t>
      </w:r>
      <w:r w:rsidRPr="00477D34">
        <w:rPr>
          <w:rFonts w:eastAsia="Calibri"/>
          <w:iCs/>
        </w:rPr>
        <w:t xml:space="preserve"> dietary protein intake. </w:t>
      </w:r>
      <w:r w:rsidR="000813AF" w:rsidRPr="00AA0272">
        <w:rPr>
          <w:rFonts w:eastAsia="Calibri"/>
          <w:iCs/>
        </w:rPr>
        <w:t xml:space="preserve">The PBAC considered that while not well-demonstrated in the clinical data, consumer input assisted in establishing the degree of benefit to </w:t>
      </w:r>
      <w:r w:rsidR="000813AF">
        <w:rPr>
          <w:rFonts w:eastAsia="Calibri"/>
          <w:iCs/>
        </w:rPr>
        <w:t xml:space="preserve">adult </w:t>
      </w:r>
      <w:r w:rsidR="000813AF" w:rsidRPr="00AA0272">
        <w:rPr>
          <w:rFonts w:eastAsia="Calibri"/>
          <w:iCs/>
        </w:rPr>
        <w:t>patients from blood Phe-lowering treatment.</w:t>
      </w:r>
    </w:p>
    <w:p w14:paraId="1EF6ECB9" w14:textId="3887C547" w:rsidR="00BF2BC3" w:rsidRDefault="00C33034" w:rsidP="00BF2BC3">
      <w:pPr>
        <w:widowControl w:val="0"/>
        <w:numPr>
          <w:ilvl w:val="1"/>
          <w:numId w:val="1"/>
        </w:numPr>
        <w:spacing w:after="120"/>
      </w:pPr>
      <w:r>
        <w:t xml:space="preserve">The submission presented a cost-utility analysis using a micro-simulation model. </w:t>
      </w:r>
      <w:r w:rsidR="00B6103A">
        <w:t>The PBAC considered that the cost-utility analysis was limited b</w:t>
      </w:r>
      <w:r>
        <w:t xml:space="preserve">ecause the submission </w:t>
      </w:r>
      <w:r w:rsidR="001C162D">
        <w:t>did not present</w:t>
      </w:r>
      <w:r>
        <w:t xml:space="preserve"> clinical evidence clearly addressing the clinical meaningfulness of the benefits in adults, and the magnitude of benefit was uncertain. </w:t>
      </w:r>
      <w:r w:rsidR="005C168B">
        <w:t>Overall</w:t>
      </w:r>
      <w:r w:rsidR="00B6103A">
        <w:t>, t</w:t>
      </w:r>
      <w:r>
        <w:t xml:space="preserve">he </w:t>
      </w:r>
      <w:r w:rsidR="00B3535D">
        <w:t xml:space="preserve">PBAC </w:t>
      </w:r>
      <w:r>
        <w:t xml:space="preserve">considered that there was a lack of clinical data available to support the microsimulation approach undertaken, </w:t>
      </w:r>
      <w:r w:rsidR="00B6103A">
        <w:t xml:space="preserve">particularly </w:t>
      </w:r>
      <w:r>
        <w:t xml:space="preserve">with a lifetime horizon. </w:t>
      </w:r>
      <w:r w:rsidR="00B6103A">
        <w:t>The PBAC agreed with the ESC that d</w:t>
      </w:r>
      <w:r>
        <w:t xml:space="preserve">ue to the complex approach to modelling and general paucity of data, the economic model was highly uncertain and </w:t>
      </w:r>
      <w:r w:rsidR="00955BF0">
        <w:t xml:space="preserve">noted the ESC’s advice that the model was </w:t>
      </w:r>
      <w:r>
        <w:t>not informative for decision-making purposes.</w:t>
      </w:r>
      <w:r w:rsidR="00F261BA">
        <w:t xml:space="preserve"> </w:t>
      </w:r>
      <w:bookmarkStart w:id="69" w:name="_Ref108788699"/>
      <w:r w:rsidR="00A6053E">
        <w:t>The PBAC recalled that it had previously considered that the model submitted in March 2018 was unreliable in terms of estimating cost-effectiveness in the adult population (para 7.12,</w:t>
      </w:r>
      <w:r w:rsidR="00A6053E" w:rsidRPr="00F261BA">
        <w:rPr>
          <w:iCs/>
        </w:rPr>
        <w:t xml:space="preserve"> </w:t>
      </w:r>
      <w:r w:rsidR="00A6053E" w:rsidRPr="00501526">
        <w:rPr>
          <w:iCs/>
        </w:rPr>
        <w:t>sapropterin</w:t>
      </w:r>
      <w:r w:rsidR="00A6053E">
        <w:rPr>
          <w:iCs/>
        </w:rPr>
        <w:t xml:space="preserve"> PSD,</w:t>
      </w:r>
      <w:r w:rsidR="00A6053E" w:rsidRPr="00501526">
        <w:rPr>
          <w:iCs/>
        </w:rPr>
        <w:t xml:space="preserve"> March 2018 P</w:t>
      </w:r>
      <w:r w:rsidR="00A6053E">
        <w:rPr>
          <w:iCs/>
        </w:rPr>
        <w:t>BAC meeting</w:t>
      </w:r>
      <w:r w:rsidR="00A6053E">
        <w:t>).</w:t>
      </w:r>
      <w:r w:rsidR="00BF2BC3">
        <w:t xml:space="preserve"> </w:t>
      </w:r>
    </w:p>
    <w:p w14:paraId="3401F9CA" w14:textId="3FDE4CB9" w:rsidR="00F261BA" w:rsidRPr="00431BFF" w:rsidRDefault="00A6053E" w:rsidP="00431BFF">
      <w:pPr>
        <w:pStyle w:val="3-BodyText"/>
      </w:pPr>
      <w:r w:rsidRPr="00431BFF">
        <w:t xml:space="preserve">Further, the PBAC noted that the sponsor had proposed the same cost per pack as currently applies in children (and all patients). As dosing is weight-based </w:t>
      </w:r>
      <w:r w:rsidRPr="00785DCC">
        <w:t xml:space="preserve">(with an RSA based on expenditure caps that assume a maximum patient weight of </w:t>
      </w:r>
      <w:r w:rsidR="00542E3B" w:rsidRPr="00682360">
        <w:rPr>
          <w:color w:val="000000"/>
          <w:w w:val="15"/>
          <w:shd w:val="solid" w:color="000000" w:fill="000000"/>
          <w:fitText w:val="-20" w:id="-1435870448"/>
          <w14:textFill>
            <w14:solidFill>
              <w14:srgbClr w14:val="000000">
                <w14:alpha w14:val="100000"/>
              </w14:srgbClr>
            </w14:solidFill>
          </w14:textFill>
        </w:rPr>
        <w:t xml:space="preserve">|  </w:t>
      </w:r>
      <w:r w:rsidR="00542E3B" w:rsidRPr="00682360">
        <w:rPr>
          <w:color w:val="000000"/>
          <w:spacing w:val="-69"/>
          <w:w w:val="15"/>
          <w:shd w:val="solid" w:color="000000" w:fill="000000"/>
          <w:fitText w:val="-20" w:id="-1435870448"/>
          <w14:textFill>
            <w14:solidFill>
              <w14:srgbClr w14:val="000000">
                <w14:alpha w14:val="100000"/>
              </w14:srgbClr>
            </w14:solidFill>
          </w14:textFill>
        </w:rPr>
        <w:t>|</w:t>
      </w:r>
      <w:r w:rsidRPr="00785DCC">
        <w:t xml:space="preserve"> kg), </w:t>
      </w:r>
      <w:r w:rsidRPr="00431BFF">
        <w:t xml:space="preserve">the cost per patient would </w:t>
      </w:r>
      <w:r w:rsidR="00BF2BC3" w:rsidRPr="00431BFF">
        <w:t xml:space="preserve">generally </w:t>
      </w:r>
      <w:r w:rsidRPr="00431BFF">
        <w:t xml:space="preserve">be higher in an adult patient than a paediatric patient. The PBAC considered this was not appropriate as the clinical benefit is less </w:t>
      </w:r>
      <w:r w:rsidR="00C076AB">
        <w:t>certain</w:t>
      </w:r>
      <w:r w:rsidR="00C076AB" w:rsidRPr="00431BFF">
        <w:t xml:space="preserve"> </w:t>
      </w:r>
      <w:r w:rsidRPr="00431BFF">
        <w:t xml:space="preserve">in adults, reiterating its previous consideration that the benefits of sapropterin in terms of improved neurological function were likely to be greatest during the period </w:t>
      </w:r>
      <w:r w:rsidR="00C063C4">
        <w:t xml:space="preserve">of neurological </w:t>
      </w:r>
      <w:r w:rsidR="00C063C4" w:rsidRPr="00431BFF">
        <w:t xml:space="preserve">development </w:t>
      </w:r>
      <w:r w:rsidRPr="00431BFF">
        <w:t>for children and adolescents (para 7.2, sapropterin PSD, March 2018 PBAC meeting). The PBAC also noted that use in the population</w:t>
      </w:r>
      <w:r w:rsidR="00CB7B23">
        <w:t xml:space="preserve"> </w:t>
      </w:r>
      <w:r w:rsidR="00CB7B23" w:rsidRPr="00431BFF">
        <w:t>under the age of 18</w:t>
      </w:r>
      <w:r w:rsidR="00CB7B23">
        <w:t xml:space="preserve"> years</w:t>
      </w:r>
      <w:r w:rsidRPr="00431BFF">
        <w:t xml:space="preserve"> was associated with a substantially </w:t>
      </w:r>
      <w:r w:rsidR="00CB7B23">
        <w:t>lower</w:t>
      </w:r>
      <w:r w:rsidR="00CB7B23" w:rsidRPr="00431BFF">
        <w:t xml:space="preserve"> </w:t>
      </w:r>
      <w:r w:rsidRPr="00431BFF">
        <w:t>ICER, a</w:t>
      </w:r>
      <w:r w:rsidR="00161C69" w:rsidRPr="00431BFF">
        <w:t xml:space="preserve">s </w:t>
      </w:r>
      <w:r w:rsidR="005A55DA" w:rsidRPr="00431BFF">
        <w:t xml:space="preserve">outlined </w:t>
      </w:r>
      <w:r w:rsidR="00161C69" w:rsidRPr="00431BFF">
        <w:t xml:space="preserve">in paragraphs </w:t>
      </w:r>
      <w:r w:rsidR="00161C69" w:rsidRPr="00431BFF">
        <w:fldChar w:fldCharType="begin"/>
      </w:r>
      <w:r w:rsidR="00161C69" w:rsidRPr="00431BFF">
        <w:instrText xml:space="preserve"> REF _Ref108681697 \r \h </w:instrText>
      </w:r>
      <w:r w:rsidR="00BF2BC3" w:rsidRPr="00431BFF">
        <w:instrText xml:space="preserve"> \* MERGEFORMAT </w:instrText>
      </w:r>
      <w:r w:rsidR="00161C69" w:rsidRPr="00431BFF">
        <w:fldChar w:fldCharType="separate"/>
      </w:r>
      <w:r w:rsidR="0035299E">
        <w:t>6.63</w:t>
      </w:r>
      <w:r w:rsidR="00161C69" w:rsidRPr="00431BFF">
        <w:fldChar w:fldCharType="end"/>
      </w:r>
      <w:r w:rsidR="00161C69" w:rsidRPr="00431BFF">
        <w:t xml:space="preserve"> and </w:t>
      </w:r>
      <w:r w:rsidR="00161C69" w:rsidRPr="00431BFF">
        <w:fldChar w:fldCharType="begin"/>
      </w:r>
      <w:r w:rsidR="00161C69" w:rsidRPr="00431BFF">
        <w:instrText xml:space="preserve"> REF _Ref108681540 \r \h </w:instrText>
      </w:r>
      <w:r w:rsidR="00BF2BC3" w:rsidRPr="00431BFF">
        <w:instrText xml:space="preserve"> \* MERGEFORMAT </w:instrText>
      </w:r>
      <w:r w:rsidR="00161C69" w:rsidRPr="00431BFF">
        <w:fldChar w:fldCharType="separate"/>
      </w:r>
      <w:r w:rsidR="0035299E">
        <w:t>6.64</w:t>
      </w:r>
      <w:r w:rsidR="00161C69" w:rsidRPr="00431BFF">
        <w:fldChar w:fldCharType="end"/>
      </w:r>
      <w:r w:rsidR="00902B90" w:rsidRPr="00431BFF">
        <w:t>.</w:t>
      </w:r>
      <w:r w:rsidRPr="00431BFF">
        <w:t xml:space="preserve"> </w:t>
      </w:r>
    </w:p>
    <w:p w14:paraId="07D31822" w14:textId="0E8003FC" w:rsidR="005A55DA" w:rsidRDefault="004A372A" w:rsidP="00821AC6">
      <w:pPr>
        <w:widowControl w:val="0"/>
        <w:numPr>
          <w:ilvl w:val="1"/>
          <w:numId w:val="1"/>
        </w:numPr>
        <w:spacing w:after="120"/>
      </w:pPr>
      <w:bookmarkStart w:id="70" w:name="_Ref109301278"/>
      <w:r w:rsidRPr="00431BFF">
        <w:rPr>
          <w:rFonts w:asciiTheme="minorHAnsi" w:hAnsiTheme="minorHAnsi" w:cstheme="minorHAnsi"/>
        </w:rPr>
        <w:t xml:space="preserve">Overall, the PBAC </w:t>
      </w:r>
      <w:r w:rsidR="00955BF0" w:rsidRPr="00431BFF">
        <w:rPr>
          <w:rFonts w:asciiTheme="minorHAnsi" w:hAnsiTheme="minorHAnsi" w:cstheme="minorHAnsi"/>
        </w:rPr>
        <w:t xml:space="preserve">considered there were substantial limitations with both the model </w:t>
      </w:r>
      <w:r w:rsidR="00D00C7E" w:rsidRPr="00431BFF">
        <w:rPr>
          <w:rFonts w:asciiTheme="minorHAnsi" w:hAnsiTheme="minorHAnsi" w:cstheme="minorHAnsi"/>
        </w:rPr>
        <w:t>provid</w:t>
      </w:r>
      <w:r w:rsidR="00955BF0" w:rsidRPr="00431BFF">
        <w:rPr>
          <w:rFonts w:asciiTheme="minorHAnsi" w:hAnsiTheme="minorHAnsi" w:cstheme="minorHAnsi"/>
        </w:rPr>
        <w:t>ed with</w:t>
      </w:r>
      <w:r w:rsidR="00955BF0">
        <w:t xml:space="preserve"> the current submission and the previous model </w:t>
      </w:r>
      <w:r w:rsidR="00BF46A5">
        <w:t>considered at the</w:t>
      </w:r>
      <w:r w:rsidR="00955BF0">
        <w:t xml:space="preserve"> March and November 2018</w:t>
      </w:r>
      <w:r w:rsidR="00A6053E">
        <w:t xml:space="preserve"> </w:t>
      </w:r>
      <w:r w:rsidR="00BF46A5">
        <w:t xml:space="preserve">meetings </w:t>
      </w:r>
      <w:r w:rsidR="00A6053E">
        <w:t>and</w:t>
      </w:r>
      <w:r w:rsidR="00BE0683">
        <w:t>,</w:t>
      </w:r>
      <w:r w:rsidR="00A6053E">
        <w:t xml:space="preserve"> </w:t>
      </w:r>
      <w:r w:rsidR="00BE0683">
        <w:t xml:space="preserve">further, </w:t>
      </w:r>
      <w:r w:rsidR="00A6053E">
        <w:t xml:space="preserve">that it was not reasonable for the cost per patient to be the same in an </w:t>
      </w:r>
      <w:r w:rsidR="005A55DA">
        <w:t xml:space="preserve">initiating </w:t>
      </w:r>
      <w:r w:rsidR="00A6053E">
        <w:t xml:space="preserve">adult </w:t>
      </w:r>
      <w:r w:rsidR="00BE0683">
        <w:t xml:space="preserve">patient as in the existing listing which includes paediatric and maternal patients. </w:t>
      </w:r>
      <w:r w:rsidR="00955BF0">
        <w:t>Using either model, t</w:t>
      </w:r>
      <w:r w:rsidR="00B91ABD" w:rsidRPr="00B3535D">
        <w:rPr>
          <w:lang w:val="en-GB" w:eastAsia="en-US"/>
        </w:rPr>
        <w:t>he PBAC considered the ICER was very high at the price proposed by the sponsor and considered that a substantial price reduction would be required to achieve a cost</w:t>
      </w:r>
      <w:r w:rsidR="00431BFF">
        <w:rPr>
          <w:lang w:val="en-GB" w:eastAsia="en-US"/>
        </w:rPr>
        <w:noBreakHyphen/>
      </w:r>
      <w:r w:rsidR="00B91ABD" w:rsidRPr="00B3535D">
        <w:rPr>
          <w:lang w:val="en-GB" w:eastAsia="en-US"/>
        </w:rPr>
        <w:t xml:space="preserve">effective listing for adult patients. </w:t>
      </w:r>
      <w:r w:rsidR="00BE0683">
        <w:rPr>
          <w:lang w:val="en-GB" w:eastAsia="en-US"/>
        </w:rPr>
        <w:t>In this context, t</w:t>
      </w:r>
      <w:r w:rsidR="00B91ABD" w:rsidRPr="00B3535D">
        <w:rPr>
          <w:lang w:val="en-GB" w:eastAsia="en-US"/>
        </w:rPr>
        <w:t xml:space="preserve">he PBAC considered that </w:t>
      </w:r>
      <w:r w:rsidR="00184756" w:rsidRPr="00B3535D">
        <w:rPr>
          <w:lang w:val="en-GB" w:eastAsia="en-US"/>
        </w:rPr>
        <w:t xml:space="preserve">in patients commencing treatment as an adult, a </w:t>
      </w:r>
      <w:r w:rsidR="00B91ABD" w:rsidRPr="0045211C">
        <w:rPr>
          <w:lang w:val="en-GB" w:eastAsia="en-US"/>
        </w:rPr>
        <w:t>5</w:t>
      </w:r>
      <w:r w:rsidR="00B91ABD" w:rsidRPr="00785DCC">
        <w:rPr>
          <w:lang w:val="en-GB" w:eastAsia="en-US"/>
        </w:rPr>
        <w:t>0%</w:t>
      </w:r>
      <w:r w:rsidR="00B91ABD" w:rsidRPr="00B3535D">
        <w:rPr>
          <w:lang w:val="en-GB" w:eastAsia="en-US"/>
        </w:rPr>
        <w:t xml:space="preserve"> reduction </w:t>
      </w:r>
      <w:r w:rsidR="00184756" w:rsidRPr="00B3535D">
        <w:rPr>
          <w:lang w:val="en-GB" w:eastAsia="en-US"/>
        </w:rPr>
        <w:t>in the price of sapropterin would be required</w:t>
      </w:r>
      <w:r w:rsidR="00BE0683">
        <w:rPr>
          <w:lang w:val="en-GB" w:eastAsia="en-US"/>
        </w:rPr>
        <w:t>. The PBAC noted this would</w:t>
      </w:r>
      <w:r w:rsidR="00184756" w:rsidRPr="00B3535D">
        <w:rPr>
          <w:lang w:val="en-GB" w:eastAsia="en-US"/>
        </w:rPr>
        <w:t xml:space="preserve"> reduce the ICER to</w:t>
      </w:r>
      <w:r w:rsidR="0045211C">
        <w:rPr>
          <w:lang w:val="en-GB" w:eastAsia="en-US"/>
        </w:rPr>
        <w:t xml:space="preserve"> $255,000 to &lt; </w:t>
      </w:r>
      <w:r w:rsidR="00184756" w:rsidRPr="00785DCC">
        <w:rPr>
          <w:lang w:val="en-GB" w:eastAsia="en-US"/>
        </w:rPr>
        <w:t>$</w:t>
      </w:r>
      <w:r w:rsidR="0045211C" w:rsidRPr="00785DCC">
        <w:rPr>
          <w:lang w:val="en-GB" w:eastAsia="en-US"/>
        </w:rPr>
        <w:t>355</w:t>
      </w:r>
      <w:r w:rsidR="00184756" w:rsidRPr="00785DCC">
        <w:rPr>
          <w:lang w:val="en-GB" w:eastAsia="en-US"/>
        </w:rPr>
        <w:t>,000</w:t>
      </w:r>
      <w:r w:rsidR="00431BFF" w:rsidRPr="00785DCC">
        <w:rPr>
          <w:lang w:val="en-GB" w:eastAsia="en-US"/>
        </w:rPr>
        <w:t>/QALY</w:t>
      </w:r>
      <w:r w:rsidR="00955BF0" w:rsidRPr="00785DCC">
        <w:rPr>
          <w:lang w:val="en-GB" w:eastAsia="en-US"/>
        </w:rPr>
        <w:t xml:space="preserve"> </w:t>
      </w:r>
      <w:r w:rsidR="00955BF0">
        <w:rPr>
          <w:lang w:val="en-GB" w:eastAsia="en-US"/>
        </w:rPr>
        <w:t xml:space="preserve">using </w:t>
      </w:r>
      <w:r w:rsidR="005A55DA">
        <w:rPr>
          <w:lang w:val="en-GB" w:eastAsia="en-US"/>
        </w:rPr>
        <w:t xml:space="preserve">the </w:t>
      </w:r>
      <w:r w:rsidR="00D00C7E">
        <w:t>model provided with the current submission</w:t>
      </w:r>
      <w:r w:rsidR="00184756" w:rsidRPr="00B3535D">
        <w:rPr>
          <w:lang w:val="en-GB" w:eastAsia="en-US"/>
        </w:rPr>
        <w:t>. The PBAC considered that with this reduction in price, the ICER, though very high</w:t>
      </w:r>
      <w:r w:rsidR="00BF46A5">
        <w:rPr>
          <w:lang w:val="en-GB" w:eastAsia="en-US"/>
        </w:rPr>
        <w:t xml:space="preserve"> and uncertain</w:t>
      </w:r>
      <w:r w:rsidR="00184756" w:rsidRPr="00B3535D">
        <w:rPr>
          <w:lang w:val="en-GB" w:eastAsia="en-US"/>
        </w:rPr>
        <w:t>, would be acceptable in the context of</w:t>
      </w:r>
      <w:r w:rsidR="00B91ABD" w:rsidRPr="00B3535D">
        <w:rPr>
          <w:lang w:val="en-GB" w:eastAsia="en-US"/>
        </w:rPr>
        <w:t xml:space="preserve"> the </w:t>
      </w:r>
      <w:r w:rsidR="005C168B">
        <w:rPr>
          <w:lang w:val="en-GB" w:eastAsia="en-US"/>
        </w:rPr>
        <w:t xml:space="preserve">high clinical need, </w:t>
      </w:r>
      <w:r w:rsidR="00B91ABD" w:rsidRPr="00B3535D">
        <w:rPr>
          <w:lang w:val="en-GB" w:eastAsia="en-US"/>
        </w:rPr>
        <w:t>high burden of disease and small patient population</w:t>
      </w:r>
      <w:r w:rsidR="005C168B">
        <w:rPr>
          <w:lang w:val="en-GB" w:eastAsia="en-US"/>
        </w:rPr>
        <w:t xml:space="preserve"> </w:t>
      </w:r>
      <w:r w:rsidR="005C168B">
        <w:rPr>
          <w:lang w:val="en-GB"/>
        </w:rPr>
        <w:t>where equity of access is an additional consideration</w:t>
      </w:r>
      <w:r w:rsidR="00B91ABD" w:rsidRPr="00B3535D">
        <w:rPr>
          <w:lang w:val="en-GB" w:eastAsia="en-US"/>
        </w:rPr>
        <w:t>.</w:t>
      </w:r>
      <w:bookmarkEnd w:id="69"/>
      <w:bookmarkEnd w:id="70"/>
    </w:p>
    <w:p w14:paraId="65C2A540" w14:textId="17B18797" w:rsidR="003F682A" w:rsidRPr="00136BA4" w:rsidRDefault="00C91841" w:rsidP="00136BA4">
      <w:pPr>
        <w:pStyle w:val="3-BodyText"/>
        <w:rPr>
          <w:iCs/>
        </w:rPr>
      </w:pPr>
      <w:bookmarkStart w:id="71" w:name="_Hlk114741257"/>
      <w:bookmarkStart w:id="72" w:name="_Ref109118598"/>
      <w:r w:rsidRPr="00136BA4">
        <w:rPr>
          <w:iCs/>
        </w:rPr>
        <w:t xml:space="preserve">The PBAC noted that the submission estimated that </w:t>
      </w:r>
      <w:r w:rsidR="0035299E">
        <w:rPr>
          <w:iCs/>
        </w:rPr>
        <w:t xml:space="preserve">the revised listing would result in </w:t>
      </w:r>
      <w:r w:rsidRPr="006C0993">
        <w:rPr>
          <w:iCs/>
        </w:rPr>
        <w:t xml:space="preserve">approximately </w:t>
      </w:r>
      <w:r w:rsidR="0045211C">
        <w:rPr>
          <w:iCs/>
        </w:rPr>
        <w:t>&lt; 500</w:t>
      </w:r>
      <w:r w:rsidRPr="006C0993">
        <w:rPr>
          <w:iCs/>
        </w:rPr>
        <w:t xml:space="preserve"> </w:t>
      </w:r>
      <w:r w:rsidR="0035299E" w:rsidRPr="006C0993">
        <w:rPr>
          <w:iCs/>
        </w:rPr>
        <w:t xml:space="preserve">additional </w:t>
      </w:r>
      <w:r w:rsidR="003B11BB" w:rsidRPr="006C0993">
        <w:rPr>
          <w:iCs/>
        </w:rPr>
        <w:t xml:space="preserve">adult </w:t>
      </w:r>
      <w:r w:rsidRPr="006C0993">
        <w:rPr>
          <w:iCs/>
        </w:rPr>
        <w:t xml:space="preserve">patients </w:t>
      </w:r>
      <w:r w:rsidR="0035299E" w:rsidRPr="006C0993">
        <w:rPr>
          <w:iCs/>
        </w:rPr>
        <w:t>receiving</w:t>
      </w:r>
      <w:r w:rsidRPr="006C0993">
        <w:rPr>
          <w:iCs/>
        </w:rPr>
        <w:t xml:space="preserve"> sapropterin each year from years 2</w:t>
      </w:r>
      <w:r w:rsidR="0035299E" w:rsidRPr="006C0993">
        <w:rPr>
          <w:iCs/>
        </w:rPr>
        <w:noBreakHyphen/>
      </w:r>
      <w:r w:rsidRPr="006C0993">
        <w:rPr>
          <w:iCs/>
        </w:rPr>
        <w:t>6 after listing</w:t>
      </w:r>
      <w:bookmarkEnd w:id="71"/>
      <w:r w:rsidRPr="006C0993">
        <w:rPr>
          <w:iCs/>
        </w:rPr>
        <w:t>.</w:t>
      </w:r>
      <w:r w:rsidR="003B11BB" w:rsidRPr="006C0993">
        <w:rPr>
          <w:iCs/>
        </w:rPr>
        <w:t xml:space="preserve"> This is in addition to around </w:t>
      </w:r>
      <w:r w:rsidR="00A6572B" w:rsidRPr="006C0993">
        <w:rPr>
          <w:iCs/>
        </w:rPr>
        <w:t>3</w:t>
      </w:r>
      <w:r w:rsidR="003B11BB" w:rsidRPr="006C0993">
        <w:rPr>
          <w:iCs/>
        </w:rPr>
        <w:t>00 patie</w:t>
      </w:r>
      <w:r w:rsidR="003B11BB" w:rsidRPr="00136BA4">
        <w:rPr>
          <w:iCs/>
        </w:rPr>
        <w:t>nts per year for the existing sapropterin listings.</w:t>
      </w:r>
      <w:r w:rsidRPr="00136BA4">
        <w:rPr>
          <w:iCs/>
        </w:rPr>
        <w:t xml:space="preserve"> </w:t>
      </w:r>
      <w:r w:rsidRPr="00136BA4">
        <w:rPr>
          <w:iCs/>
          <w:color w:val="000000" w:themeColor="text1"/>
        </w:rPr>
        <w:t xml:space="preserve">Overall, the PBAC considered that </w:t>
      </w:r>
      <w:r w:rsidRPr="00136BA4">
        <w:rPr>
          <w:iCs/>
        </w:rPr>
        <w:t xml:space="preserve">the financial estimates were likely overestimated and should be revised to reduce the number of adult patients under routine follow-up from 70% to </w:t>
      </w:r>
      <w:r w:rsidR="004D78C0" w:rsidRPr="00136BA4">
        <w:rPr>
          <w:iCs/>
        </w:rPr>
        <w:t>55</w:t>
      </w:r>
      <w:r w:rsidRPr="00136BA4">
        <w:rPr>
          <w:iCs/>
        </w:rPr>
        <w:t>%.</w:t>
      </w:r>
      <w:r w:rsidR="0050505D">
        <w:rPr>
          <w:iCs/>
        </w:rPr>
        <w:t xml:space="preserve"> The PBAC considered there was also </w:t>
      </w:r>
      <w:r w:rsidR="0050505D" w:rsidRPr="00136BA4">
        <w:rPr>
          <w:iCs/>
        </w:rPr>
        <w:t>uncertainty regarding the proportion of responders</w:t>
      </w:r>
      <w:r w:rsidR="0050505D">
        <w:rPr>
          <w:iCs/>
        </w:rPr>
        <w:t xml:space="preserve"> and the likely</w:t>
      </w:r>
      <w:r w:rsidR="0050505D" w:rsidRPr="00136BA4">
        <w:rPr>
          <w:iCs/>
        </w:rPr>
        <w:t xml:space="preserve"> uptake rates,</w:t>
      </w:r>
      <w:r w:rsidR="0050505D">
        <w:rPr>
          <w:iCs/>
        </w:rPr>
        <w:t xml:space="preserve"> but considered </w:t>
      </w:r>
      <w:r w:rsidR="0035299E">
        <w:rPr>
          <w:iCs/>
        </w:rPr>
        <w:t xml:space="preserve">that </w:t>
      </w:r>
      <w:r w:rsidR="00601AF9">
        <w:rPr>
          <w:iCs/>
        </w:rPr>
        <w:t>no alternative</w:t>
      </w:r>
      <w:r w:rsidR="0050505D">
        <w:rPr>
          <w:iCs/>
        </w:rPr>
        <w:t xml:space="preserve"> estimates</w:t>
      </w:r>
      <w:r w:rsidR="00601AF9">
        <w:rPr>
          <w:iCs/>
        </w:rPr>
        <w:t xml:space="preserve"> </w:t>
      </w:r>
      <w:r w:rsidR="0035299E">
        <w:rPr>
          <w:iCs/>
        </w:rPr>
        <w:t>had been presented that were likely to be mor</w:t>
      </w:r>
      <w:r w:rsidR="00601AF9">
        <w:rPr>
          <w:iCs/>
        </w:rPr>
        <w:t>e reliable</w:t>
      </w:r>
      <w:r w:rsidR="008C646B">
        <w:rPr>
          <w:iCs/>
        </w:rPr>
        <w:t xml:space="preserve"> than those used in the submission</w:t>
      </w:r>
      <w:r w:rsidR="0050505D">
        <w:rPr>
          <w:iCs/>
        </w:rPr>
        <w:t>.</w:t>
      </w:r>
      <w:r w:rsidRPr="00136BA4">
        <w:rPr>
          <w:iCs/>
        </w:rPr>
        <w:t xml:space="preserve"> </w:t>
      </w:r>
      <w:bookmarkStart w:id="73" w:name="_Ref108789314"/>
      <w:bookmarkEnd w:id="72"/>
    </w:p>
    <w:bookmarkEnd w:id="73"/>
    <w:p w14:paraId="6ABA17D6" w14:textId="42F8920D" w:rsidR="002265D0" w:rsidRPr="001D1F9F" w:rsidRDefault="003F682A" w:rsidP="00136BA4">
      <w:pPr>
        <w:pStyle w:val="3-BodyText"/>
        <w:rPr>
          <w:rFonts w:ascii="Times New Roman" w:hAnsi="Times New Roman" w:cs="Times New Roman"/>
          <w:lang w:eastAsia="en-US"/>
        </w:rPr>
      </w:pPr>
      <w:r w:rsidRPr="00501526">
        <w:rPr>
          <w:iCs/>
          <w:color w:val="000000" w:themeColor="text1"/>
        </w:rPr>
        <w:t xml:space="preserve">The submission proposed to continue the existing risk sharing arrangement (RSA) for sapropterin whereby expenditure caps </w:t>
      </w:r>
      <w:r w:rsidRPr="00785DCC">
        <w:rPr>
          <w:iCs/>
          <w:color w:val="000000" w:themeColor="text1"/>
        </w:rPr>
        <w:t xml:space="preserve">are based on utilisation estimates that apply a maximum patient body weight of </w:t>
      </w:r>
      <w:r w:rsidR="00542E3B" w:rsidRPr="00682360">
        <w:rPr>
          <w:iCs/>
          <w:color w:val="000000" w:themeColor="text1"/>
          <w:w w:val="15"/>
          <w:shd w:val="solid" w:color="000000" w:fill="000000"/>
          <w:fitText w:val="-20" w:id="-1435870464"/>
          <w14:textFill>
            <w14:solidFill>
              <w14:schemeClr w14:val="tx1">
                <w14:alpha w14:val="100000"/>
              </w14:schemeClr>
            </w14:solidFill>
          </w14:textFill>
        </w:rPr>
        <w:t xml:space="preserve">|  </w:t>
      </w:r>
      <w:r w:rsidR="00542E3B" w:rsidRPr="00682360">
        <w:rPr>
          <w:iCs/>
          <w:color w:val="000000" w:themeColor="text1"/>
          <w:spacing w:val="-69"/>
          <w:w w:val="15"/>
          <w:shd w:val="solid" w:color="000000" w:fill="000000"/>
          <w:fitText w:val="-20" w:id="-1435870464"/>
          <w14:textFill>
            <w14:solidFill>
              <w14:schemeClr w14:val="tx1">
                <w14:alpha w14:val="100000"/>
              </w14:schemeClr>
            </w14:solidFill>
          </w14:textFill>
        </w:rPr>
        <w:t>|</w:t>
      </w:r>
      <w:r w:rsidRPr="00785DCC">
        <w:rPr>
          <w:iCs/>
          <w:color w:val="000000" w:themeColor="text1"/>
        </w:rPr>
        <w:t xml:space="preserve"> kg.</w:t>
      </w:r>
      <w:r w:rsidR="00455846" w:rsidRPr="00785DCC">
        <w:rPr>
          <w:iCs/>
          <w:color w:val="000000" w:themeColor="text1"/>
        </w:rPr>
        <w:t xml:space="preserve"> </w:t>
      </w:r>
      <w:r w:rsidR="00455846">
        <w:rPr>
          <w:iCs/>
          <w:color w:val="000000" w:themeColor="text1"/>
        </w:rPr>
        <w:t xml:space="preserve">The PBAC considered that </w:t>
      </w:r>
      <w:r w:rsidR="00313563">
        <w:rPr>
          <w:iCs/>
          <w:color w:val="000000" w:themeColor="text1"/>
        </w:rPr>
        <w:t xml:space="preserve">increases to the RSA caps in line with the revised financial estimates described in </w:t>
      </w:r>
      <w:r w:rsidR="00E87796">
        <w:rPr>
          <w:iCs/>
          <w:color w:val="000000" w:themeColor="text1"/>
        </w:rPr>
        <w:t xml:space="preserve">paragraph </w:t>
      </w:r>
      <w:r w:rsidR="0050505D">
        <w:rPr>
          <w:iCs/>
          <w:color w:val="000000" w:themeColor="text1"/>
        </w:rPr>
        <w:fldChar w:fldCharType="begin"/>
      </w:r>
      <w:r w:rsidR="0050505D">
        <w:rPr>
          <w:iCs/>
          <w:color w:val="000000" w:themeColor="text1"/>
        </w:rPr>
        <w:instrText xml:space="preserve"> REF _Ref109118598 \r \h </w:instrText>
      </w:r>
      <w:r w:rsidR="0050505D">
        <w:rPr>
          <w:iCs/>
          <w:color w:val="000000" w:themeColor="text1"/>
        </w:rPr>
      </w:r>
      <w:r w:rsidR="0050505D">
        <w:rPr>
          <w:iCs/>
          <w:color w:val="000000" w:themeColor="text1"/>
        </w:rPr>
        <w:fldChar w:fldCharType="separate"/>
      </w:r>
      <w:r w:rsidR="0035299E">
        <w:rPr>
          <w:iCs/>
          <w:color w:val="000000" w:themeColor="text1"/>
        </w:rPr>
        <w:t>7.13</w:t>
      </w:r>
      <w:r w:rsidR="0050505D">
        <w:rPr>
          <w:iCs/>
          <w:color w:val="000000" w:themeColor="text1"/>
        </w:rPr>
        <w:fldChar w:fldCharType="end"/>
      </w:r>
      <w:r w:rsidR="0050505D">
        <w:rPr>
          <w:iCs/>
          <w:color w:val="000000" w:themeColor="text1"/>
        </w:rPr>
        <w:t xml:space="preserve"> and </w:t>
      </w:r>
      <w:r w:rsidR="00902B90">
        <w:rPr>
          <w:iCs/>
          <w:color w:val="000000" w:themeColor="text1"/>
        </w:rPr>
        <w:t xml:space="preserve">using </w:t>
      </w:r>
      <w:r w:rsidR="005A55DA">
        <w:rPr>
          <w:iCs/>
          <w:color w:val="000000" w:themeColor="text1"/>
        </w:rPr>
        <w:t xml:space="preserve">the </w:t>
      </w:r>
      <w:r w:rsidR="0050505D">
        <w:rPr>
          <w:iCs/>
          <w:color w:val="000000" w:themeColor="text1"/>
        </w:rPr>
        <w:t xml:space="preserve">revised price described in paragraph </w:t>
      </w:r>
      <w:r w:rsidR="00902B90">
        <w:rPr>
          <w:iCs/>
          <w:color w:val="000000" w:themeColor="text1"/>
        </w:rPr>
        <w:fldChar w:fldCharType="begin"/>
      </w:r>
      <w:r w:rsidR="00902B90">
        <w:rPr>
          <w:iCs/>
          <w:color w:val="000000" w:themeColor="text1"/>
        </w:rPr>
        <w:instrText xml:space="preserve"> REF _Ref109301278 \r \h </w:instrText>
      </w:r>
      <w:r w:rsidR="00902B90">
        <w:rPr>
          <w:iCs/>
          <w:color w:val="000000" w:themeColor="text1"/>
        </w:rPr>
      </w:r>
      <w:r w:rsidR="00902B90">
        <w:rPr>
          <w:iCs/>
          <w:color w:val="000000" w:themeColor="text1"/>
        </w:rPr>
        <w:fldChar w:fldCharType="separate"/>
      </w:r>
      <w:r w:rsidR="0035299E">
        <w:rPr>
          <w:iCs/>
          <w:color w:val="000000" w:themeColor="text1"/>
        </w:rPr>
        <w:t>7.12</w:t>
      </w:r>
      <w:r w:rsidR="00902B90">
        <w:rPr>
          <w:iCs/>
          <w:color w:val="000000" w:themeColor="text1"/>
        </w:rPr>
        <w:fldChar w:fldCharType="end"/>
      </w:r>
      <w:r w:rsidR="00902B90">
        <w:rPr>
          <w:iCs/>
          <w:color w:val="000000" w:themeColor="text1"/>
        </w:rPr>
        <w:t xml:space="preserve"> </w:t>
      </w:r>
      <w:r w:rsidR="00E87796">
        <w:rPr>
          <w:iCs/>
          <w:color w:val="000000" w:themeColor="text1"/>
        </w:rPr>
        <w:t xml:space="preserve">would be appropriate, with </w:t>
      </w:r>
      <w:r w:rsidR="0050505D">
        <w:rPr>
          <w:iCs/>
          <w:color w:val="000000" w:themeColor="text1"/>
        </w:rPr>
        <w:t xml:space="preserve">a </w:t>
      </w:r>
      <w:r w:rsidR="00542E3B" w:rsidRPr="00682360">
        <w:rPr>
          <w:iCs/>
          <w:color w:val="000000" w:themeColor="text1"/>
          <w:w w:val="15"/>
          <w:shd w:val="solid" w:color="000000" w:fill="000000"/>
          <w:fitText w:val="-20" w:id="-1435870463"/>
          <w14:textFill>
            <w14:solidFill>
              <w14:schemeClr w14:val="tx1">
                <w14:alpha w14:val="100000"/>
              </w14:schemeClr>
            </w14:solidFill>
          </w14:textFill>
        </w:rPr>
        <w:t xml:space="preserve">|  </w:t>
      </w:r>
      <w:r w:rsidR="00542E3B" w:rsidRPr="00682360">
        <w:rPr>
          <w:iCs/>
          <w:color w:val="000000" w:themeColor="text1"/>
          <w:spacing w:val="-69"/>
          <w:w w:val="15"/>
          <w:shd w:val="solid" w:color="000000" w:fill="000000"/>
          <w:fitText w:val="-20" w:id="-1435870463"/>
          <w14:textFill>
            <w14:solidFill>
              <w14:schemeClr w14:val="tx1">
                <w14:alpha w14:val="100000"/>
              </w14:schemeClr>
            </w14:solidFill>
          </w14:textFill>
        </w:rPr>
        <w:t>|</w:t>
      </w:r>
      <w:r w:rsidR="00E87796">
        <w:rPr>
          <w:iCs/>
          <w:color w:val="000000" w:themeColor="text1"/>
        </w:rPr>
        <w:t xml:space="preserve">% rebate for utilisation above the agreed estimates in keeping with the existing RSA for sapropterin. </w:t>
      </w:r>
    </w:p>
    <w:p w14:paraId="265EF62C" w14:textId="2EA2D834" w:rsidR="001D1F9F" w:rsidRPr="002265D0" w:rsidRDefault="001D1F9F" w:rsidP="00136BA4">
      <w:pPr>
        <w:pStyle w:val="3-BodyText"/>
        <w:rPr>
          <w:rFonts w:ascii="Times New Roman" w:hAnsi="Times New Roman" w:cs="Times New Roman"/>
          <w:lang w:eastAsia="en-US"/>
        </w:rPr>
      </w:pPr>
      <w:r w:rsidRPr="001D1F9F">
        <w:rPr>
          <w:iCs/>
          <w:color w:val="000000" w:themeColor="text1"/>
        </w:rPr>
        <w:t xml:space="preserve">The </w:t>
      </w:r>
      <w:r>
        <w:rPr>
          <w:iCs/>
          <w:color w:val="000000" w:themeColor="text1"/>
        </w:rPr>
        <w:t>PBAC considered that, consistent with the exi</w:t>
      </w:r>
      <w:r w:rsidR="00902B90">
        <w:rPr>
          <w:iCs/>
          <w:color w:val="000000" w:themeColor="text1"/>
        </w:rPr>
        <w:t>s</w:t>
      </w:r>
      <w:r>
        <w:rPr>
          <w:iCs/>
          <w:color w:val="000000" w:themeColor="text1"/>
        </w:rPr>
        <w:t xml:space="preserve">ting RSA, a </w:t>
      </w:r>
      <w:r w:rsidR="00542E3B" w:rsidRPr="00542E3B">
        <w:rPr>
          <w:iCs/>
          <w:color w:val="000000" w:themeColor="text1"/>
          <w:w w:val="60"/>
          <w:shd w:val="solid" w:color="000000" w:fill="000000"/>
          <w:fitText w:val="465" w:id="-1435870462"/>
          <w14:textFill>
            <w14:solidFill>
              <w14:schemeClr w14:val="tx1">
                <w14:alpha w14:val="100000"/>
              </w14:schemeClr>
            </w14:solidFill>
          </w14:textFill>
        </w:rPr>
        <w:t>|||  ||</w:t>
      </w:r>
      <w:r w:rsidR="00542E3B" w:rsidRPr="00542E3B">
        <w:rPr>
          <w:iCs/>
          <w:color w:val="000000" w:themeColor="text1"/>
          <w:spacing w:val="1"/>
          <w:w w:val="60"/>
          <w:shd w:val="solid" w:color="000000" w:fill="000000"/>
          <w:fitText w:val="465" w:id="-1435870462"/>
          <w14:textFill>
            <w14:solidFill>
              <w14:schemeClr w14:val="tx1">
                <w14:alpha w14:val="100000"/>
              </w14:schemeClr>
            </w14:solidFill>
          </w14:textFill>
        </w:rPr>
        <w:t>|</w:t>
      </w:r>
      <w:r>
        <w:rPr>
          <w:iCs/>
          <w:color w:val="000000" w:themeColor="text1"/>
        </w:rPr>
        <w:t>%</w:t>
      </w:r>
      <w:r w:rsidRPr="001D1F9F">
        <w:rPr>
          <w:iCs/>
          <w:color w:val="000000" w:themeColor="text1"/>
        </w:rPr>
        <w:t xml:space="preserve"> rebate </w:t>
      </w:r>
      <w:r>
        <w:rPr>
          <w:iCs/>
          <w:color w:val="000000" w:themeColor="text1"/>
        </w:rPr>
        <w:t>should also apply to</w:t>
      </w:r>
      <w:r w:rsidR="0050505D">
        <w:rPr>
          <w:iCs/>
          <w:color w:val="000000" w:themeColor="text1"/>
        </w:rPr>
        <w:t xml:space="preserve"> the</w:t>
      </w:r>
      <w:r w:rsidRPr="001D1F9F">
        <w:rPr>
          <w:iCs/>
          <w:color w:val="000000" w:themeColor="text1"/>
        </w:rPr>
        <w:t xml:space="preserve"> cost to the PBS of </w:t>
      </w:r>
      <w:r w:rsidRPr="00785DCC">
        <w:rPr>
          <w:iCs/>
          <w:color w:val="000000" w:themeColor="text1"/>
        </w:rPr>
        <w:t>all</w:t>
      </w:r>
      <w:r w:rsidRPr="001D1F9F">
        <w:rPr>
          <w:iCs/>
          <w:color w:val="000000" w:themeColor="text1"/>
        </w:rPr>
        <w:t xml:space="preserve"> sapropterin </w:t>
      </w:r>
      <w:r w:rsidRPr="00785DCC">
        <w:rPr>
          <w:iCs/>
          <w:color w:val="000000" w:themeColor="text1"/>
        </w:rPr>
        <w:t xml:space="preserve">used for initial responsiveness testing. </w:t>
      </w:r>
    </w:p>
    <w:p w14:paraId="15D755A9" w14:textId="72961C8C" w:rsidR="00B6103A" w:rsidRPr="00161C69" w:rsidRDefault="001D1F9F" w:rsidP="00B6103A">
      <w:pPr>
        <w:pStyle w:val="3-BodyText"/>
      </w:pPr>
      <w:r>
        <w:t>In terms of flow-on restriction changes, t</w:t>
      </w:r>
      <w:r w:rsidR="00B6103A" w:rsidRPr="00161C69">
        <w:t xml:space="preserve">he PBAC noted the existing listing for Maternal HPA due to PKU </w:t>
      </w:r>
      <w:r w:rsidR="00161C69">
        <w:t>will</w:t>
      </w:r>
      <w:r w:rsidR="00B6103A" w:rsidRPr="00161C69">
        <w:t xml:space="preserve"> no longer be required</w:t>
      </w:r>
      <w:r w:rsidR="00161C69">
        <w:t xml:space="preserve"> once the restriction includes responsiveness-testing and ongoing treatment in adult patients</w:t>
      </w:r>
      <w:r w:rsidR="00B6103A" w:rsidRPr="00161C69">
        <w:t>.</w:t>
      </w:r>
      <w:r w:rsidR="00B91ABD">
        <w:t xml:space="preserve"> </w:t>
      </w:r>
    </w:p>
    <w:p w14:paraId="5FA1A37A" w14:textId="1448F07D" w:rsidR="002265D0" w:rsidRPr="002265D0" w:rsidRDefault="002265D0" w:rsidP="00161C69">
      <w:pPr>
        <w:widowControl w:val="0"/>
        <w:numPr>
          <w:ilvl w:val="1"/>
          <w:numId w:val="1"/>
        </w:numPr>
        <w:spacing w:after="120"/>
        <w:contextualSpacing/>
        <w:rPr>
          <w:rFonts w:asciiTheme="minorHAnsi" w:hAnsiTheme="minorHAnsi" w:cstheme="minorHAnsi"/>
          <w:b/>
          <w:lang w:val="en-GB" w:eastAsia="en-US"/>
        </w:rPr>
      </w:pPr>
      <w:r w:rsidRPr="002265D0">
        <w:rPr>
          <w:rFonts w:asciiTheme="minorHAnsi" w:hAnsiTheme="minorHAnsi" w:cstheme="minorHAnsi"/>
          <w:lang w:val="en-GB" w:eastAsia="en-US"/>
        </w:rPr>
        <w:t xml:space="preserve">The PBAC found that the criteria prescribed by the </w:t>
      </w:r>
      <w:r w:rsidRPr="002265D0">
        <w:rPr>
          <w:rFonts w:asciiTheme="minorHAnsi" w:hAnsiTheme="minorHAnsi" w:cstheme="minorHAnsi"/>
          <w:i/>
          <w:lang w:val="en-GB" w:eastAsia="en-US"/>
        </w:rPr>
        <w:t>National Health (Pharmaceuticals and Vaccines – Cost Recovery) Regulations 2022</w:t>
      </w:r>
      <w:r w:rsidRPr="002265D0">
        <w:rPr>
          <w:rFonts w:asciiTheme="minorHAnsi" w:hAnsiTheme="minorHAnsi" w:cstheme="minorHAnsi"/>
          <w:lang w:val="en-GB" w:eastAsia="en-US"/>
        </w:rPr>
        <w:t xml:space="preserve"> for Pricing Pathway A were met. Specifically</w:t>
      </w:r>
      <w:r w:rsidR="00902B90">
        <w:rPr>
          <w:rFonts w:asciiTheme="minorHAnsi" w:hAnsiTheme="minorHAnsi" w:cstheme="minorHAnsi"/>
          <w:lang w:val="en-GB" w:eastAsia="en-US"/>
        </w:rPr>
        <w:t>,</w:t>
      </w:r>
      <w:r w:rsidRPr="002265D0">
        <w:rPr>
          <w:rFonts w:asciiTheme="minorHAnsi" w:hAnsiTheme="minorHAnsi" w:cstheme="minorHAnsi"/>
          <w:lang w:val="en-GB" w:eastAsia="en-US"/>
        </w:rPr>
        <w:t xml:space="preserve"> the PBAC found that in the circumstances of its recommendation for </w:t>
      </w:r>
      <w:r w:rsidR="00161C69">
        <w:rPr>
          <w:rFonts w:asciiTheme="minorHAnsi" w:hAnsiTheme="minorHAnsi" w:cstheme="minorHAnsi"/>
          <w:lang w:val="en-GB" w:eastAsia="en-US"/>
        </w:rPr>
        <w:t>sapropterin</w:t>
      </w:r>
      <w:r w:rsidRPr="002265D0">
        <w:rPr>
          <w:rFonts w:asciiTheme="minorHAnsi" w:hAnsiTheme="minorHAnsi" w:cstheme="minorHAnsi"/>
          <w:lang w:val="en-GB" w:eastAsia="en-US"/>
        </w:rPr>
        <w:t>:</w:t>
      </w:r>
    </w:p>
    <w:p w14:paraId="57096632" w14:textId="10D10750" w:rsidR="002265D0" w:rsidRPr="002265D0" w:rsidRDefault="002265D0" w:rsidP="002265D0">
      <w:pPr>
        <w:widowControl w:val="0"/>
        <w:numPr>
          <w:ilvl w:val="1"/>
          <w:numId w:val="27"/>
        </w:numPr>
        <w:spacing w:after="120"/>
        <w:rPr>
          <w:rFonts w:asciiTheme="minorHAnsi" w:hAnsiTheme="minorHAnsi" w:cstheme="minorHAnsi"/>
          <w:lang w:val="en-GB" w:eastAsia="en-US"/>
        </w:rPr>
      </w:pPr>
      <w:r w:rsidRPr="002265D0">
        <w:rPr>
          <w:rFonts w:asciiTheme="minorHAnsi" w:hAnsiTheme="minorHAnsi" w:cstheme="minorHAnsi"/>
          <w:lang w:val="en-GB" w:eastAsia="en-US"/>
        </w:rPr>
        <w:t>The treatment is expected to provide a substantial and clinically relevant improvement in efficacy,</w:t>
      </w:r>
      <w:r w:rsidR="00161C69">
        <w:rPr>
          <w:rFonts w:asciiTheme="minorHAnsi" w:hAnsiTheme="minorHAnsi" w:cstheme="minorHAnsi"/>
          <w:lang w:val="en-GB" w:eastAsia="en-US"/>
        </w:rPr>
        <w:t xml:space="preserve"> </w:t>
      </w:r>
      <w:r w:rsidRPr="002265D0">
        <w:rPr>
          <w:rFonts w:asciiTheme="minorHAnsi" w:hAnsiTheme="minorHAnsi" w:cstheme="minorHAnsi"/>
          <w:lang w:val="en-GB" w:eastAsia="en-US"/>
        </w:rPr>
        <w:t>over alternative therapies</w:t>
      </w:r>
      <w:r w:rsidR="00902B90">
        <w:rPr>
          <w:rFonts w:asciiTheme="minorHAnsi" w:hAnsiTheme="minorHAnsi" w:cstheme="minorHAnsi"/>
          <w:lang w:val="en-GB" w:eastAsia="en-US"/>
        </w:rPr>
        <w:t>. Although difficult to quantify, the PBAC considered sapropterin use would be expected to lead to improvements in neurological function and increases in dietary protein intake.</w:t>
      </w:r>
      <w:r w:rsidRPr="002265D0">
        <w:rPr>
          <w:rFonts w:asciiTheme="minorHAnsi" w:hAnsiTheme="minorHAnsi" w:cstheme="minorHAnsi"/>
          <w:lang w:val="en-GB" w:eastAsia="en-US"/>
        </w:rPr>
        <w:t xml:space="preserve"> </w:t>
      </w:r>
    </w:p>
    <w:p w14:paraId="5971CC0A" w14:textId="5EE73342" w:rsidR="002265D0" w:rsidRPr="00161C69" w:rsidRDefault="002265D0" w:rsidP="00161C69">
      <w:pPr>
        <w:widowControl w:val="0"/>
        <w:numPr>
          <w:ilvl w:val="1"/>
          <w:numId w:val="27"/>
        </w:numPr>
        <w:spacing w:after="120"/>
        <w:rPr>
          <w:rFonts w:asciiTheme="minorHAnsi" w:hAnsiTheme="minorHAnsi" w:cstheme="minorHAnsi"/>
          <w:lang w:val="en-GB" w:eastAsia="en-US"/>
        </w:rPr>
      </w:pPr>
      <w:r w:rsidRPr="002265D0">
        <w:rPr>
          <w:rFonts w:asciiTheme="minorHAnsi" w:hAnsiTheme="minorHAnsi" w:cstheme="minorHAnsi"/>
          <w:lang w:val="en-GB" w:eastAsia="en-US"/>
        </w:rPr>
        <w:t xml:space="preserve">The treatment is expected to address a high and urgent unmet clinical need </w:t>
      </w:r>
      <w:r w:rsidR="00161C69">
        <w:rPr>
          <w:rFonts w:asciiTheme="minorHAnsi" w:hAnsiTheme="minorHAnsi" w:cstheme="minorHAnsi"/>
          <w:lang w:val="en-GB" w:eastAsia="en-US"/>
        </w:rPr>
        <w:t>for adult patients</w:t>
      </w:r>
      <w:r w:rsidR="00902B90">
        <w:rPr>
          <w:rFonts w:asciiTheme="minorHAnsi" w:hAnsiTheme="minorHAnsi" w:cstheme="minorHAnsi"/>
          <w:lang w:val="en-GB" w:eastAsia="en-US"/>
        </w:rPr>
        <w:t>.</w:t>
      </w:r>
    </w:p>
    <w:p w14:paraId="752807EF" w14:textId="66A648EF" w:rsidR="002265D0" w:rsidRPr="002265D0" w:rsidRDefault="002265D0" w:rsidP="00161C69">
      <w:pPr>
        <w:widowControl w:val="0"/>
        <w:numPr>
          <w:ilvl w:val="1"/>
          <w:numId w:val="27"/>
        </w:numPr>
        <w:spacing w:after="120"/>
        <w:rPr>
          <w:rFonts w:asciiTheme="minorHAnsi" w:hAnsiTheme="minorHAnsi" w:cstheme="minorHAnsi"/>
        </w:rPr>
      </w:pPr>
      <w:r w:rsidRPr="002265D0">
        <w:rPr>
          <w:rFonts w:asciiTheme="minorHAnsi" w:hAnsiTheme="minorHAnsi" w:cstheme="minorHAnsi"/>
          <w:lang w:val="en-GB" w:eastAsia="en-US"/>
        </w:rPr>
        <w:t xml:space="preserve">It would be in the public interest for the subsequent pricing application to be progressed under Pricing Pathway </w:t>
      </w:r>
      <w:proofErr w:type="gramStart"/>
      <w:r w:rsidRPr="002265D0">
        <w:rPr>
          <w:rFonts w:asciiTheme="minorHAnsi" w:hAnsiTheme="minorHAnsi" w:cstheme="minorHAnsi"/>
          <w:lang w:val="en-GB" w:eastAsia="en-US"/>
        </w:rPr>
        <w:t>A on the basis of</w:t>
      </w:r>
      <w:proofErr w:type="gramEnd"/>
      <w:r w:rsidRPr="002265D0">
        <w:rPr>
          <w:rFonts w:asciiTheme="minorHAnsi" w:hAnsiTheme="minorHAnsi" w:cstheme="minorHAnsi"/>
          <w:lang w:val="en-GB" w:eastAsia="en-US"/>
        </w:rPr>
        <w:t xml:space="preserve"> the preceding findings</w:t>
      </w:r>
      <w:r w:rsidR="00902B90">
        <w:rPr>
          <w:rFonts w:asciiTheme="minorHAnsi" w:hAnsiTheme="minorHAnsi" w:cstheme="minorHAnsi"/>
          <w:lang w:val="en-GB" w:eastAsia="en-US"/>
        </w:rPr>
        <w:t>.</w:t>
      </w:r>
      <w:r w:rsidRPr="002265D0">
        <w:rPr>
          <w:rFonts w:asciiTheme="minorHAnsi" w:hAnsiTheme="minorHAnsi" w:cstheme="minorHAnsi"/>
          <w:lang w:val="en-GB" w:eastAsia="en-US"/>
        </w:rPr>
        <w:t xml:space="preserve"> </w:t>
      </w:r>
    </w:p>
    <w:p w14:paraId="3E133153" w14:textId="672072B7" w:rsidR="002265D0" w:rsidRPr="002265D0" w:rsidRDefault="002265D0" w:rsidP="00161C69">
      <w:pPr>
        <w:widowControl w:val="0"/>
        <w:numPr>
          <w:ilvl w:val="1"/>
          <w:numId w:val="1"/>
        </w:numPr>
        <w:spacing w:after="120"/>
        <w:rPr>
          <w:rFonts w:asciiTheme="minorHAnsi" w:hAnsiTheme="minorHAnsi"/>
          <w:bCs/>
          <w:i/>
          <w:snapToGrid w:val="0"/>
          <w:lang w:val="en-GB" w:eastAsia="en-US"/>
        </w:rPr>
      </w:pPr>
      <w:r w:rsidRPr="002265D0">
        <w:rPr>
          <w:rFonts w:asciiTheme="minorHAnsi" w:hAnsiTheme="minorHAnsi"/>
          <w:bCs/>
          <w:snapToGrid w:val="0"/>
          <w:lang w:val="en-GB" w:eastAsia="en-US"/>
        </w:rPr>
        <w:t>The PBAC noted that this submission is not eligible for an Independent Review</w:t>
      </w:r>
      <w:r w:rsidR="00161C69">
        <w:rPr>
          <w:rFonts w:asciiTheme="minorHAnsi" w:hAnsiTheme="minorHAnsi"/>
          <w:bCs/>
          <w:snapToGrid w:val="0"/>
          <w:lang w:val="en-GB" w:eastAsia="en-US"/>
        </w:rPr>
        <w:t xml:space="preserve"> as it is a positive recommendation</w:t>
      </w:r>
      <w:r w:rsidRPr="002265D0">
        <w:rPr>
          <w:rFonts w:asciiTheme="minorHAnsi" w:hAnsiTheme="minorHAnsi"/>
          <w:bCs/>
          <w:snapToGrid w:val="0"/>
          <w:lang w:val="en-GB" w:eastAsia="en-US"/>
        </w:rPr>
        <w:t xml:space="preserve">. </w:t>
      </w:r>
    </w:p>
    <w:p w14:paraId="2D301C22" w14:textId="77777777" w:rsidR="002265D0" w:rsidRPr="002265D0" w:rsidRDefault="002265D0" w:rsidP="002265D0">
      <w:pPr>
        <w:spacing w:before="240"/>
        <w:rPr>
          <w:rFonts w:asciiTheme="minorHAnsi" w:hAnsiTheme="minorHAnsi"/>
          <w:b/>
          <w:bCs/>
          <w:snapToGrid w:val="0"/>
          <w:lang w:val="en-GB" w:eastAsia="en-US"/>
        </w:rPr>
      </w:pPr>
      <w:r w:rsidRPr="002265D0">
        <w:rPr>
          <w:rFonts w:asciiTheme="minorHAnsi" w:hAnsiTheme="minorHAnsi"/>
          <w:b/>
          <w:bCs/>
          <w:snapToGrid w:val="0"/>
          <w:lang w:val="en-GB" w:eastAsia="en-US"/>
        </w:rPr>
        <w:t>Outcome:</w:t>
      </w:r>
    </w:p>
    <w:p w14:paraId="29B40E75" w14:textId="678DB626" w:rsidR="002265D0" w:rsidRPr="002265D0" w:rsidRDefault="002265D0" w:rsidP="002265D0">
      <w:pPr>
        <w:spacing w:after="120"/>
        <w:rPr>
          <w:rFonts w:asciiTheme="minorHAnsi" w:hAnsiTheme="minorHAnsi"/>
          <w:bCs/>
          <w:snapToGrid w:val="0"/>
          <w:lang w:val="en-GB" w:eastAsia="en-US"/>
        </w:rPr>
      </w:pPr>
      <w:r w:rsidRPr="002265D0">
        <w:rPr>
          <w:rFonts w:asciiTheme="minorHAnsi" w:hAnsiTheme="minorHAnsi"/>
          <w:bCs/>
          <w:snapToGrid w:val="0"/>
          <w:lang w:val="en-GB" w:eastAsia="en-US"/>
        </w:rPr>
        <w:t xml:space="preserve">Recommended </w:t>
      </w:r>
    </w:p>
    <w:p w14:paraId="7B9B7621" w14:textId="77777777" w:rsidR="002265D0" w:rsidRPr="002265D0" w:rsidRDefault="002265D0" w:rsidP="0094758E">
      <w:pPr>
        <w:widowControl w:val="0"/>
        <w:rPr>
          <w:rFonts w:asciiTheme="minorHAnsi" w:hAnsiTheme="minorHAnsi"/>
          <w:b/>
          <w:bCs/>
          <w:snapToGrid w:val="0"/>
          <w:lang w:eastAsia="en-US"/>
        </w:rPr>
      </w:pPr>
    </w:p>
    <w:bookmarkEnd w:id="67"/>
    <w:p w14:paraId="3001F5EF" w14:textId="77777777" w:rsidR="002265D0" w:rsidRPr="002265D0" w:rsidRDefault="002265D0" w:rsidP="00D020EA">
      <w:pPr>
        <w:pStyle w:val="2-SectionHeading"/>
        <w:rPr>
          <w:iCs/>
          <w:lang w:val="en-GB"/>
        </w:rPr>
      </w:pPr>
      <w:r w:rsidRPr="002265D0">
        <w:rPr>
          <w:lang w:val="en-GB"/>
        </w:rPr>
        <w:t>Recommended listing</w:t>
      </w:r>
    </w:p>
    <w:p w14:paraId="1D019AE8" w14:textId="244658ED" w:rsidR="002265D0" w:rsidRPr="00505150" w:rsidRDefault="00AD2E65" w:rsidP="00505150">
      <w:pPr>
        <w:pStyle w:val="3-BodyText"/>
        <w:widowControl w:val="0"/>
        <w:ind w:left="0" w:firstLine="0"/>
        <w:contextualSpacing/>
        <w:rPr>
          <w:bCs/>
          <w:lang w:eastAsia="en-US"/>
        </w:rPr>
      </w:pPr>
      <w:r>
        <w:rPr>
          <w:bCs/>
          <w:lang w:eastAsia="en-US"/>
        </w:rPr>
        <w:t>Pending agreement on price, a</w:t>
      </w:r>
      <w:r w:rsidR="002265D0" w:rsidRPr="00505150">
        <w:rPr>
          <w:bCs/>
          <w:lang w:eastAsia="en-US"/>
        </w:rPr>
        <w:t>mend existing listing</w:t>
      </w:r>
      <w:r>
        <w:rPr>
          <w:bCs/>
          <w:lang w:eastAsia="en-US"/>
        </w:rPr>
        <w:t>s</w:t>
      </w:r>
      <w:r w:rsidR="002265D0" w:rsidRPr="00505150">
        <w:rPr>
          <w:bCs/>
          <w:lang w:eastAsia="en-US"/>
        </w:rPr>
        <w:t xml:space="preserve"> as follows:</w:t>
      </w:r>
    </w:p>
    <w:tbl>
      <w:tblPr>
        <w:tblStyle w:val="TableGrid1"/>
        <w:tblW w:w="5000" w:type="pct"/>
        <w:tblLayout w:type="fixed"/>
        <w:tblLook w:val="0000" w:firstRow="0" w:lastRow="0" w:firstColumn="0" w:lastColumn="0" w:noHBand="0" w:noVBand="0"/>
      </w:tblPr>
      <w:tblGrid>
        <w:gridCol w:w="1130"/>
        <w:gridCol w:w="3261"/>
        <w:gridCol w:w="1275"/>
        <w:gridCol w:w="851"/>
        <w:gridCol w:w="850"/>
        <w:gridCol w:w="709"/>
        <w:gridCol w:w="941"/>
      </w:tblGrid>
      <w:tr w:rsidR="009379F3" w:rsidRPr="00F5725A" w14:paraId="3E3564EE" w14:textId="77777777" w:rsidTr="00F5725A">
        <w:trPr>
          <w:trHeight w:val="20"/>
        </w:trPr>
        <w:tc>
          <w:tcPr>
            <w:tcW w:w="4391" w:type="dxa"/>
            <w:gridSpan w:val="2"/>
          </w:tcPr>
          <w:bookmarkEnd w:id="68"/>
          <w:p w14:paraId="751A865B" w14:textId="77777777" w:rsidR="009379F3" w:rsidRPr="00F5725A" w:rsidRDefault="009379F3" w:rsidP="0068437B">
            <w:pPr>
              <w:keepLines/>
              <w:rPr>
                <w:rFonts w:ascii="Arial Narrow" w:hAnsi="Arial Narrow"/>
                <w:b/>
                <w:bCs/>
                <w:sz w:val="18"/>
                <w:szCs w:val="18"/>
              </w:rPr>
            </w:pPr>
            <w:r w:rsidRPr="00F5725A">
              <w:rPr>
                <w:rFonts w:ascii="Arial Narrow" w:hAnsi="Arial Narrow"/>
                <w:b/>
                <w:bCs/>
                <w:sz w:val="18"/>
                <w:szCs w:val="18"/>
              </w:rPr>
              <w:t>MEDICINAL PRODUCT</w:t>
            </w:r>
          </w:p>
          <w:p w14:paraId="15A1590E" w14:textId="77777777" w:rsidR="009379F3" w:rsidRPr="00F5725A" w:rsidRDefault="009379F3" w:rsidP="0068437B">
            <w:pPr>
              <w:keepLines/>
              <w:rPr>
                <w:rFonts w:ascii="Arial Narrow" w:hAnsi="Arial Narrow"/>
                <w:b/>
                <w:sz w:val="18"/>
                <w:szCs w:val="18"/>
              </w:rPr>
            </w:pPr>
            <w:r w:rsidRPr="00F5725A">
              <w:rPr>
                <w:rFonts w:ascii="Arial Narrow" w:hAnsi="Arial Narrow"/>
                <w:b/>
                <w:bCs/>
                <w:sz w:val="18"/>
                <w:szCs w:val="18"/>
              </w:rPr>
              <w:t>medicinal product pack</w:t>
            </w:r>
          </w:p>
        </w:tc>
        <w:tc>
          <w:tcPr>
            <w:tcW w:w="1275" w:type="dxa"/>
          </w:tcPr>
          <w:p w14:paraId="69E23BA2"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PBS item code</w:t>
            </w:r>
          </w:p>
        </w:tc>
        <w:tc>
          <w:tcPr>
            <w:tcW w:w="851" w:type="dxa"/>
          </w:tcPr>
          <w:p w14:paraId="2716B5FB"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Max. qty packs</w:t>
            </w:r>
          </w:p>
        </w:tc>
        <w:tc>
          <w:tcPr>
            <w:tcW w:w="850" w:type="dxa"/>
          </w:tcPr>
          <w:p w14:paraId="2D5028E3"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Max. qty units</w:t>
            </w:r>
          </w:p>
        </w:tc>
        <w:tc>
          <w:tcPr>
            <w:tcW w:w="709" w:type="dxa"/>
          </w:tcPr>
          <w:p w14:paraId="773D69F9"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№.of</w:t>
            </w:r>
          </w:p>
          <w:p w14:paraId="0A1769AD"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Rpts</w:t>
            </w:r>
          </w:p>
        </w:tc>
        <w:tc>
          <w:tcPr>
            <w:tcW w:w="941" w:type="dxa"/>
          </w:tcPr>
          <w:p w14:paraId="3F3DBAD5" w14:textId="77777777" w:rsidR="009379F3" w:rsidRPr="00F5725A" w:rsidRDefault="009379F3" w:rsidP="0068437B">
            <w:pPr>
              <w:keepLines/>
              <w:rPr>
                <w:rFonts w:ascii="Arial Narrow" w:hAnsi="Arial Narrow"/>
                <w:b/>
                <w:sz w:val="18"/>
                <w:szCs w:val="18"/>
                <w:lang w:val="fr-FR"/>
              </w:rPr>
            </w:pPr>
            <w:r w:rsidRPr="00F5725A">
              <w:rPr>
                <w:rFonts w:ascii="Arial Narrow" w:hAnsi="Arial Narrow"/>
                <w:b/>
                <w:sz w:val="18"/>
                <w:szCs w:val="18"/>
              </w:rPr>
              <w:t>Available brands</w:t>
            </w:r>
          </w:p>
        </w:tc>
      </w:tr>
      <w:tr w:rsidR="009379F3" w:rsidRPr="00F5725A" w14:paraId="0E3811D6" w14:textId="77777777" w:rsidTr="00F5725A">
        <w:trPr>
          <w:trHeight w:val="20"/>
        </w:trPr>
        <w:tc>
          <w:tcPr>
            <w:tcW w:w="9017" w:type="dxa"/>
            <w:gridSpan w:val="7"/>
          </w:tcPr>
          <w:p w14:paraId="216DD95A"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 xml:space="preserve">SAPROPTERIN </w:t>
            </w:r>
          </w:p>
        </w:tc>
      </w:tr>
      <w:tr w:rsidR="009379F3" w:rsidRPr="00F5725A" w14:paraId="7D7A6D05" w14:textId="77777777" w:rsidTr="00F5725A">
        <w:trPr>
          <w:trHeight w:val="20"/>
        </w:trPr>
        <w:tc>
          <w:tcPr>
            <w:tcW w:w="4391" w:type="dxa"/>
            <w:gridSpan w:val="2"/>
          </w:tcPr>
          <w:p w14:paraId="181104CE" w14:textId="77777777" w:rsidR="009379F3" w:rsidRPr="00F5725A" w:rsidRDefault="009379F3" w:rsidP="0068437B">
            <w:pPr>
              <w:keepLines/>
              <w:rPr>
                <w:rFonts w:ascii="Arial Narrow" w:hAnsi="Arial Narrow"/>
                <w:sz w:val="18"/>
                <w:szCs w:val="18"/>
              </w:rPr>
            </w:pPr>
            <w:r w:rsidRPr="00F5725A">
              <w:rPr>
                <w:rFonts w:ascii="Arial Narrow" w:eastAsia="Calibri" w:hAnsi="Arial Narrow"/>
                <w:sz w:val="18"/>
                <w:szCs w:val="18"/>
                <w:lang w:eastAsia="en-AU"/>
              </w:rPr>
              <w:t>sapropterin dihydrochloride 100 mg soluble tablet, 30</w:t>
            </w:r>
          </w:p>
        </w:tc>
        <w:tc>
          <w:tcPr>
            <w:tcW w:w="1275" w:type="dxa"/>
          </w:tcPr>
          <w:p w14:paraId="5FF1FFF1" w14:textId="3CFF8C22" w:rsidR="00813D6A" w:rsidRPr="00F5725A" w:rsidRDefault="009379F3" w:rsidP="00813D6A">
            <w:pPr>
              <w:keepLines/>
              <w:jc w:val="center"/>
              <w:rPr>
                <w:rFonts w:ascii="Arial Narrow" w:hAnsi="Arial Narrow"/>
                <w:sz w:val="18"/>
                <w:szCs w:val="18"/>
              </w:rPr>
            </w:pPr>
            <w:r w:rsidRPr="00F5725A">
              <w:rPr>
                <w:rFonts w:ascii="Arial Narrow" w:hAnsi="Arial Narrow"/>
                <w:sz w:val="18"/>
                <w:szCs w:val="18"/>
              </w:rPr>
              <w:t>11676M</w:t>
            </w:r>
          </w:p>
        </w:tc>
        <w:tc>
          <w:tcPr>
            <w:tcW w:w="851" w:type="dxa"/>
          </w:tcPr>
          <w:p w14:paraId="61F4A7BA" w14:textId="4F6CD9F2" w:rsidR="009379F3" w:rsidRPr="00F5725A" w:rsidRDefault="00813D6A" w:rsidP="0068437B">
            <w:pPr>
              <w:keepLines/>
              <w:jc w:val="center"/>
              <w:rPr>
                <w:rFonts w:ascii="Arial Narrow" w:hAnsi="Arial Narrow"/>
                <w:sz w:val="18"/>
                <w:szCs w:val="18"/>
              </w:rPr>
            </w:pPr>
            <w:r w:rsidRPr="00F5725A">
              <w:rPr>
                <w:rFonts w:ascii="Arial Narrow" w:hAnsi="Arial Narrow"/>
                <w:sz w:val="18"/>
                <w:szCs w:val="18"/>
              </w:rPr>
              <w:t>1</w:t>
            </w:r>
          </w:p>
        </w:tc>
        <w:tc>
          <w:tcPr>
            <w:tcW w:w="850" w:type="dxa"/>
          </w:tcPr>
          <w:p w14:paraId="01D368FC" w14:textId="0EADF024" w:rsidR="009379F3" w:rsidRPr="00F5725A" w:rsidRDefault="00813D6A" w:rsidP="0068437B">
            <w:pPr>
              <w:keepLines/>
              <w:jc w:val="center"/>
              <w:rPr>
                <w:rFonts w:ascii="Arial Narrow" w:hAnsi="Arial Narrow"/>
                <w:sz w:val="18"/>
                <w:szCs w:val="18"/>
              </w:rPr>
            </w:pPr>
            <w:r w:rsidRPr="00F5725A">
              <w:rPr>
                <w:rFonts w:ascii="Arial Narrow" w:hAnsi="Arial Narrow"/>
                <w:sz w:val="18"/>
                <w:szCs w:val="18"/>
              </w:rPr>
              <w:t>30</w:t>
            </w:r>
          </w:p>
        </w:tc>
        <w:tc>
          <w:tcPr>
            <w:tcW w:w="709" w:type="dxa"/>
          </w:tcPr>
          <w:p w14:paraId="266F39EE"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0</w:t>
            </w:r>
          </w:p>
        </w:tc>
        <w:tc>
          <w:tcPr>
            <w:tcW w:w="941" w:type="dxa"/>
          </w:tcPr>
          <w:p w14:paraId="140E23A7"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Kuvan</w:t>
            </w:r>
          </w:p>
        </w:tc>
      </w:tr>
      <w:tr w:rsidR="009379F3" w:rsidRPr="00F5725A" w14:paraId="156DFC94" w14:textId="77777777" w:rsidTr="00F5725A">
        <w:trPr>
          <w:trHeight w:val="20"/>
        </w:trPr>
        <w:tc>
          <w:tcPr>
            <w:tcW w:w="4391" w:type="dxa"/>
            <w:gridSpan w:val="2"/>
          </w:tcPr>
          <w:p w14:paraId="5CB5513A" w14:textId="77777777" w:rsidR="009379F3" w:rsidRPr="00F5725A" w:rsidRDefault="009379F3" w:rsidP="0068437B">
            <w:pPr>
              <w:keepLines/>
              <w:rPr>
                <w:rFonts w:ascii="Arial Narrow" w:hAnsi="Arial Narrow"/>
                <w:sz w:val="18"/>
                <w:szCs w:val="18"/>
              </w:rPr>
            </w:pPr>
            <w:r w:rsidRPr="00F5725A">
              <w:rPr>
                <w:rFonts w:ascii="Arial Narrow" w:eastAsia="Calibri" w:hAnsi="Arial Narrow"/>
                <w:sz w:val="18"/>
                <w:szCs w:val="18"/>
                <w:lang w:eastAsia="en-AU"/>
              </w:rPr>
              <w:t>sapropterin dihydrochloride 500 mg powder for oral liquid, 30 sachets</w:t>
            </w:r>
          </w:p>
        </w:tc>
        <w:tc>
          <w:tcPr>
            <w:tcW w:w="1275" w:type="dxa"/>
          </w:tcPr>
          <w:p w14:paraId="32F9F404" w14:textId="63C97F17" w:rsidR="00813D6A" w:rsidRPr="00F5725A" w:rsidRDefault="009379F3" w:rsidP="00813D6A">
            <w:pPr>
              <w:keepLines/>
              <w:jc w:val="center"/>
              <w:rPr>
                <w:rFonts w:ascii="Arial Narrow" w:hAnsi="Arial Narrow"/>
                <w:sz w:val="18"/>
                <w:szCs w:val="18"/>
              </w:rPr>
            </w:pPr>
            <w:r w:rsidRPr="00F5725A">
              <w:rPr>
                <w:rFonts w:ascii="Arial Narrow" w:hAnsi="Arial Narrow"/>
                <w:sz w:val="18"/>
                <w:szCs w:val="18"/>
              </w:rPr>
              <w:t>11971C</w:t>
            </w:r>
          </w:p>
        </w:tc>
        <w:tc>
          <w:tcPr>
            <w:tcW w:w="851" w:type="dxa"/>
          </w:tcPr>
          <w:p w14:paraId="3A12FE0B"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1</w:t>
            </w:r>
          </w:p>
        </w:tc>
        <w:tc>
          <w:tcPr>
            <w:tcW w:w="850" w:type="dxa"/>
          </w:tcPr>
          <w:p w14:paraId="05A8B581"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30</w:t>
            </w:r>
          </w:p>
        </w:tc>
        <w:tc>
          <w:tcPr>
            <w:tcW w:w="709" w:type="dxa"/>
          </w:tcPr>
          <w:p w14:paraId="3447D09C"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0</w:t>
            </w:r>
          </w:p>
        </w:tc>
        <w:tc>
          <w:tcPr>
            <w:tcW w:w="941" w:type="dxa"/>
          </w:tcPr>
          <w:p w14:paraId="421AB3BC"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Kuvan</w:t>
            </w:r>
          </w:p>
        </w:tc>
      </w:tr>
      <w:tr w:rsidR="009379F3" w:rsidRPr="00F5725A" w14:paraId="32434A85" w14:textId="77777777" w:rsidTr="00F5725A">
        <w:trPr>
          <w:trHeight w:val="20"/>
        </w:trPr>
        <w:tc>
          <w:tcPr>
            <w:tcW w:w="9017" w:type="dxa"/>
            <w:gridSpan w:val="7"/>
          </w:tcPr>
          <w:p w14:paraId="377F85F8" w14:textId="77777777" w:rsidR="009379F3" w:rsidRPr="00F5725A" w:rsidRDefault="009379F3" w:rsidP="0068437B">
            <w:pPr>
              <w:rPr>
                <w:rFonts w:ascii="Arial Narrow" w:hAnsi="Arial Narrow"/>
                <w:strike/>
                <w:sz w:val="18"/>
                <w:szCs w:val="18"/>
              </w:rPr>
            </w:pPr>
            <w:r w:rsidRPr="00F5725A">
              <w:rPr>
                <w:rFonts w:ascii="Arial Narrow" w:eastAsia="Calibri" w:hAnsi="Arial Narrow"/>
                <w:strike/>
                <w:sz w:val="18"/>
                <w:szCs w:val="18"/>
                <w:lang w:eastAsia="en-AU"/>
              </w:rPr>
              <w:t>^Request an appropriate maximum quantity (with the number of packs being a whole number) to provide 7 days treatment duration per dispensing, based on dosing no greater than 20 mg/kg per day.</w:t>
            </w:r>
          </w:p>
        </w:tc>
      </w:tr>
      <w:tr w:rsidR="009379F3" w:rsidRPr="00F5725A" w14:paraId="2B7C30BA" w14:textId="77777777" w:rsidTr="00F5725A">
        <w:trPr>
          <w:trHeight w:val="20"/>
        </w:trPr>
        <w:tc>
          <w:tcPr>
            <w:tcW w:w="9017" w:type="dxa"/>
            <w:gridSpan w:val="7"/>
          </w:tcPr>
          <w:p w14:paraId="5A8E9879" w14:textId="77777777" w:rsidR="009379F3" w:rsidRPr="00F5725A" w:rsidRDefault="009379F3" w:rsidP="0068437B">
            <w:pPr>
              <w:rPr>
                <w:rFonts w:ascii="Arial Narrow" w:hAnsi="Arial Narrow"/>
                <w:sz w:val="18"/>
                <w:szCs w:val="18"/>
              </w:rPr>
            </w:pPr>
          </w:p>
        </w:tc>
      </w:tr>
      <w:tr w:rsidR="009379F3" w:rsidRPr="00F5725A" w14:paraId="2483DE88" w14:textId="77777777" w:rsidTr="00F5725A">
        <w:trPr>
          <w:trHeight w:val="20"/>
        </w:trPr>
        <w:tc>
          <w:tcPr>
            <w:tcW w:w="9017" w:type="dxa"/>
            <w:gridSpan w:val="7"/>
          </w:tcPr>
          <w:p w14:paraId="56661015" w14:textId="77777777" w:rsidR="009379F3" w:rsidRPr="00F5725A" w:rsidRDefault="009379F3" w:rsidP="0068437B">
            <w:pPr>
              <w:keepLines/>
              <w:rPr>
                <w:rFonts w:ascii="Arial Narrow" w:hAnsi="Arial Narrow"/>
                <w:b/>
                <w:sz w:val="18"/>
                <w:szCs w:val="18"/>
              </w:rPr>
            </w:pPr>
            <w:r w:rsidRPr="00F5725A">
              <w:rPr>
                <w:rFonts w:ascii="Arial Narrow" w:hAnsi="Arial Narrow"/>
                <w:b/>
                <w:sz w:val="18"/>
                <w:szCs w:val="18"/>
              </w:rPr>
              <w:t>Edit Restriction Summary: 8898 / Treatment of Concept: 8898</w:t>
            </w:r>
          </w:p>
        </w:tc>
      </w:tr>
      <w:tr w:rsidR="009379F3" w:rsidRPr="00F5725A" w14:paraId="28268313" w14:textId="77777777" w:rsidTr="00F5725A">
        <w:tc>
          <w:tcPr>
            <w:tcW w:w="1130" w:type="dxa"/>
            <w:vMerge w:val="restart"/>
          </w:tcPr>
          <w:p w14:paraId="3DA901DA" w14:textId="77777777" w:rsidR="009379F3" w:rsidRPr="00F5725A" w:rsidRDefault="009379F3" w:rsidP="0068437B">
            <w:pPr>
              <w:keepNext/>
              <w:rPr>
                <w:rFonts w:ascii="Arial Narrow" w:eastAsia="Calibri" w:hAnsi="Arial Narrow"/>
                <w:b/>
                <w:sz w:val="18"/>
                <w:szCs w:val="18"/>
              </w:rPr>
            </w:pPr>
          </w:p>
        </w:tc>
        <w:tc>
          <w:tcPr>
            <w:tcW w:w="7887" w:type="dxa"/>
            <w:gridSpan w:val="6"/>
            <w:hideMark/>
          </w:tcPr>
          <w:p w14:paraId="17B8D094" w14:textId="77777777" w:rsidR="009379F3" w:rsidRPr="00F5725A" w:rsidRDefault="009379F3" w:rsidP="0068437B">
            <w:pPr>
              <w:keepNext/>
              <w:rPr>
                <w:rFonts w:ascii="Arial Narrow" w:eastAsia="Calibri" w:hAnsi="Arial Narrow"/>
                <w:sz w:val="18"/>
                <w:szCs w:val="18"/>
              </w:rPr>
            </w:pPr>
            <w:r w:rsidRPr="00F5725A">
              <w:rPr>
                <w:rFonts w:ascii="Arial Narrow" w:eastAsia="Calibri" w:hAnsi="Arial Narrow"/>
                <w:b/>
                <w:sz w:val="18"/>
                <w:szCs w:val="18"/>
              </w:rPr>
              <w:t xml:space="preserve">Category / Program: </w:t>
            </w:r>
            <w:r w:rsidRPr="00F5725A">
              <w:rPr>
                <w:rFonts w:ascii="Arial Narrow" w:eastAsia="Calibri" w:hAnsi="Arial Narrow"/>
                <w:sz w:val="18"/>
                <w:szCs w:val="18"/>
              </w:rPr>
              <w:t xml:space="preserve"> GENERAL – General Schedule (Code GE) </w:t>
            </w:r>
          </w:p>
        </w:tc>
      </w:tr>
      <w:tr w:rsidR="009379F3" w:rsidRPr="00F5725A" w14:paraId="76727211" w14:textId="77777777" w:rsidTr="00D020EA">
        <w:trPr>
          <w:trHeight w:val="240"/>
        </w:trPr>
        <w:tc>
          <w:tcPr>
            <w:tcW w:w="1130" w:type="dxa"/>
            <w:vMerge/>
          </w:tcPr>
          <w:p w14:paraId="687F4A6A"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hideMark/>
          </w:tcPr>
          <w:p w14:paraId="7656AE87" w14:textId="77777777" w:rsidR="009379F3" w:rsidRPr="00F5725A" w:rsidRDefault="009379F3" w:rsidP="0068437B">
            <w:pPr>
              <w:keepNext/>
              <w:rPr>
                <w:rFonts w:ascii="Arial Narrow" w:eastAsia="Calibri" w:hAnsi="Arial Narrow"/>
                <w:b/>
                <w:sz w:val="18"/>
                <w:szCs w:val="18"/>
              </w:rPr>
            </w:pPr>
            <w:r w:rsidRPr="00F5725A">
              <w:rPr>
                <w:rFonts w:ascii="Arial Narrow" w:eastAsia="Calibri" w:hAnsi="Arial Narrow"/>
                <w:b/>
                <w:sz w:val="18"/>
                <w:szCs w:val="18"/>
              </w:rPr>
              <w:t xml:space="preserve">Prescriber type: </w:t>
            </w:r>
            <w:r w:rsidRPr="00F5725A">
              <w:rPr>
                <w:rFonts w:ascii="Arial Narrow" w:eastAsia="Calibri" w:hAnsi="Arial Narrow"/>
                <w:sz w:val="18"/>
                <w:szCs w:val="18"/>
              </w:rPr>
              <w:t xml:space="preserve"> </w:t>
            </w:r>
            <w:r w:rsidRPr="00F5725A">
              <w:rPr>
                <w:rFonts w:ascii="Arial Narrow" w:eastAsia="Calibri" w:hAnsi="Arial Narrow"/>
                <w:sz w:val="18"/>
                <w:szCs w:val="18"/>
              </w:rPr>
              <w:fldChar w:fldCharType="begin">
                <w:ffData>
                  <w:name w:val=""/>
                  <w:enabled/>
                  <w:calcOnExit w:val="0"/>
                  <w:checkBox>
                    <w:sizeAuto/>
                    <w:default w:val="1"/>
                  </w:checkBox>
                </w:ffData>
              </w:fldChar>
            </w:r>
            <w:r w:rsidRPr="00F5725A">
              <w:rPr>
                <w:rFonts w:ascii="Arial Narrow" w:eastAsia="Calibri" w:hAnsi="Arial Narrow"/>
                <w:sz w:val="18"/>
                <w:szCs w:val="18"/>
              </w:rPr>
              <w:instrText xml:space="preserve"> FORMCHECKBOX </w:instrText>
            </w:r>
            <w:r w:rsidR="009A5ECB">
              <w:rPr>
                <w:rFonts w:ascii="Arial Narrow" w:eastAsia="Calibri" w:hAnsi="Arial Narrow"/>
                <w:sz w:val="18"/>
                <w:szCs w:val="18"/>
              </w:rPr>
            </w:r>
            <w:r w:rsidR="009A5ECB">
              <w:rPr>
                <w:rFonts w:ascii="Arial Narrow" w:eastAsia="Calibri" w:hAnsi="Arial Narrow"/>
                <w:sz w:val="18"/>
                <w:szCs w:val="18"/>
              </w:rPr>
              <w:fldChar w:fldCharType="separate"/>
            </w:r>
            <w:r w:rsidRPr="00F5725A">
              <w:rPr>
                <w:rFonts w:ascii="Arial Narrow" w:eastAsia="Calibri" w:hAnsi="Arial Narrow"/>
                <w:sz w:val="18"/>
                <w:szCs w:val="18"/>
              </w:rPr>
              <w:fldChar w:fldCharType="end"/>
            </w:r>
            <w:r w:rsidRPr="00F5725A">
              <w:rPr>
                <w:rFonts w:ascii="Arial Narrow" w:eastAsia="Calibri" w:hAnsi="Arial Narrow"/>
                <w:sz w:val="18"/>
                <w:szCs w:val="18"/>
              </w:rPr>
              <w:t xml:space="preserve">Medical Practitioners </w:t>
            </w:r>
          </w:p>
        </w:tc>
      </w:tr>
      <w:tr w:rsidR="009379F3" w:rsidRPr="00F5725A" w14:paraId="5AA6CFB6" w14:textId="77777777" w:rsidTr="00D020EA">
        <w:tc>
          <w:tcPr>
            <w:tcW w:w="1130" w:type="dxa"/>
            <w:vMerge/>
          </w:tcPr>
          <w:p w14:paraId="1F8EEE4A"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hideMark/>
          </w:tcPr>
          <w:p w14:paraId="495846F4" w14:textId="77777777" w:rsidR="009379F3" w:rsidRPr="00F5725A" w:rsidRDefault="009379F3" w:rsidP="0068437B">
            <w:pPr>
              <w:rPr>
                <w:rFonts w:ascii="Arial Narrow" w:eastAsia="Calibri" w:hAnsi="Arial Narrow"/>
                <w:sz w:val="18"/>
                <w:szCs w:val="18"/>
              </w:rPr>
            </w:pPr>
            <w:r w:rsidRPr="00F5725A">
              <w:rPr>
                <w:rFonts w:ascii="Arial Narrow" w:eastAsia="Calibri" w:hAnsi="Arial Narrow"/>
                <w:b/>
                <w:sz w:val="18"/>
                <w:szCs w:val="18"/>
              </w:rPr>
              <w:t>Restriction type:</w:t>
            </w:r>
            <w:r w:rsidRPr="00F5725A">
              <w:rPr>
                <w:rFonts w:ascii="Arial Narrow" w:eastAsia="Calibri" w:hAnsi="Arial Narrow"/>
                <w:sz w:val="18"/>
                <w:szCs w:val="18"/>
              </w:rPr>
              <w:fldChar w:fldCharType="begin">
                <w:ffData>
                  <w:name w:val="Check3"/>
                  <w:enabled/>
                  <w:calcOnExit w:val="0"/>
                  <w:checkBox>
                    <w:sizeAuto/>
                    <w:default w:val="1"/>
                  </w:checkBox>
                </w:ffData>
              </w:fldChar>
            </w:r>
            <w:r w:rsidRPr="00F5725A">
              <w:rPr>
                <w:rFonts w:ascii="Arial Narrow" w:eastAsia="Calibri" w:hAnsi="Arial Narrow"/>
                <w:sz w:val="18"/>
                <w:szCs w:val="18"/>
              </w:rPr>
              <w:instrText xml:space="preserve"> FORMCHECKBOX </w:instrText>
            </w:r>
            <w:r w:rsidR="009A5ECB">
              <w:rPr>
                <w:rFonts w:ascii="Arial Narrow" w:eastAsia="Calibri" w:hAnsi="Arial Narrow"/>
                <w:sz w:val="18"/>
                <w:szCs w:val="18"/>
              </w:rPr>
            </w:r>
            <w:r w:rsidR="009A5ECB">
              <w:rPr>
                <w:rFonts w:ascii="Arial Narrow" w:eastAsia="Calibri" w:hAnsi="Arial Narrow"/>
                <w:sz w:val="18"/>
                <w:szCs w:val="18"/>
              </w:rPr>
              <w:fldChar w:fldCharType="separate"/>
            </w:r>
            <w:r w:rsidRPr="00F5725A">
              <w:rPr>
                <w:rFonts w:ascii="Arial Narrow" w:eastAsia="Calibri" w:hAnsi="Arial Narrow"/>
                <w:sz w:val="18"/>
                <w:szCs w:val="18"/>
              </w:rPr>
              <w:fldChar w:fldCharType="end"/>
            </w:r>
            <w:r w:rsidRPr="00F5725A">
              <w:rPr>
                <w:rFonts w:ascii="Arial Narrow" w:eastAsia="Calibri" w:hAnsi="Arial Narrow"/>
                <w:sz w:val="18"/>
                <w:szCs w:val="18"/>
              </w:rPr>
              <w:t>Authority Required (telephone/onlinePBS Authorities system)</w:t>
            </w:r>
          </w:p>
        </w:tc>
      </w:tr>
      <w:tr w:rsidR="009379F3" w:rsidRPr="00F5725A" w14:paraId="240FE648" w14:textId="77777777" w:rsidTr="00F5725A">
        <w:tc>
          <w:tcPr>
            <w:tcW w:w="1130" w:type="dxa"/>
          </w:tcPr>
          <w:p w14:paraId="4C7B677C"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tcPr>
          <w:p w14:paraId="353DEF3E" w14:textId="77777777" w:rsidR="009379F3" w:rsidRPr="00F5725A" w:rsidRDefault="009379F3" w:rsidP="0068437B">
            <w:pPr>
              <w:rPr>
                <w:rFonts w:ascii="Arial Narrow" w:eastAsia="Calibri" w:hAnsi="Arial Narrow"/>
                <w:b/>
                <w:sz w:val="18"/>
                <w:szCs w:val="18"/>
              </w:rPr>
            </w:pPr>
          </w:p>
        </w:tc>
      </w:tr>
      <w:tr w:rsidR="009379F3" w:rsidRPr="00F5725A" w14:paraId="516D4A2F" w14:textId="77777777" w:rsidTr="00D020EA">
        <w:tc>
          <w:tcPr>
            <w:tcW w:w="1130" w:type="dxa"/>
          </w:tcPr>
          <w:p w14:paraId="110219F2" w14:textId="2084753E"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18AA1ED3"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Indication:</w:t>
            </w:r>
            <w:r w:rsidRPr="00F5725A">
              <w:rPr>
                <w:rFonts w:ascii="Arial Narrow" w:eastAsia="Times New Roman" w:hAnsi="Arial Narrow"/>
                <w:sz w:val="18"/>
                <w:szCs w:val="18"/>
                <w:lang w:eastAsia="en-AU"/>
              </w:rPr>
              <w:t xml:space="preserve"> Hyperphenylalaninemia (HPA) due to phenylketonuria (PKU)</w:t>
            </w:r>
          </w:p>
        </w:tc>
      </w:tr>
      <w:tr w:rsidR="009379F3" w:rsidRPr="00F5725A" w14:paraId="2B339D1D" w14:textId="77777777" w:rsidTr="00F5725A">
        <w:tc>
          <w:tcPr>
            <w:tcW w:w="1130" w:type="dxa"/>
          </w:tcPr>
          <w:p w14:paraId="68C3DC7E"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CEEAB6F"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30C638C5" w14:textId="77777777" w:rsidTr="00F5725A">
        <w:tc>
          <w:tcPr>
            <w:tcW w:w="1130" w:type="dxa"/>
            <w:hideMark/>
          </w:tcPr>
          <w:p w14:paraId="761F2890" w14:textId="77777777" w:rsidR="009379F3" w:rsidRPr="00F5725A" w:rsidRDefault="009379F3" w:rsidP="0068437B">
            <w:pPr>
              <w:spacing w:line="360" w:lineRule="auto"/>
              <w:rPr>
                <w:rFonts w:ascii="Arial Narrow" w:eastAsia="Times New Roman" w:hAnsi="Arial Narrow"/>
                <w:sz w:val="18"/>
                <w:szCs w:val="18"/>
                <w:lang w:eastAsia="en-AU"/>
              </w:rPr>
            </w:pPr>
          </w:p>
        </w:tc>
        <w:tc>
          <w:tcPr>
            <w:tcW w:w="7887" w:type="dxa"/>
            <w:gridSpan w:val="6"/>
            <w:hideMark/>
          </w:tcPr>
          <w:p w14:paraId="24642402"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Treatment Phase:</w:t>
            </w:r>
            <w:r w:rsidRPr="00F5725A">
              <w:rPr>
                <w:rFonts w:ascii="Arial Narrow" w:eastAsia="Times New Roman" w:hAnsi="Arial Narrow"/>
                <w:sz w:val="18"/>
                <w:szCs w:val="18"/>
                <w:lang w:eastAsia="en-AU"/>
              </w:rPr>
              <w:t xml:space="preserve"> Initial treatment - responsiveness testing</w:t>
            </w:r>
          </w:p>
        </w:tc>
      </w:tr>
      <w:tr w:rsidR="00F5725A" w:rsidRPr="00F5725A" w14:paraId="5FA89976" w14:textId="77777777" w:rsidTr="00F5725A">
        <w:tc>
          <w:tcPr>
            <w:tcW w:w="1130" w:type="dxa"/>
          </w:tcPr>
          <w:p w14:paraId="4172DFB0" w14:textId="77777777" w:rsidR="00F5725A" w:rsidRPr="00F5725A" w:rsidRDefault="00F5725A" w:rsidP="0068437B">
            <w:pPr>
              <w:spacing w:line="360" w:lineRule="auto"/>
              <w:rPr>
                <w:rFonts w:ascii="Arial Narrow" w:hAnsi="Arial Narrow"/>
                <w:sz w:val="18"/>
                <w:szCs w:val="18"/>
              </w:rPr>
            </w:pPr>
          </w:p>
        </w:tc>
        <w:tc>
          <w:tcPr>
            <w:tcW w:w="7887" w:type="dxa"/>
            <w:gridSpan w:val="6"/>
          </w:tcPr>
          <w:p w14:paraId="6EFC49D0" w14:textId="77777777" w:rsidR="00F5725A" w:rsidRPr="00F5725A" w:rsidRDefault="00F5725A" w:rsidP="0068437B">
            <w:pPr>
              <w:rPr>
                <w:rFonts w:ascii="Arial Narrow" w:hAnsi="Arial Narrow"/>
                <w:b/>
                <w:bCs/>
                <w:sz w:val="18"/>
                <w:szCs w:val="18"/>
              </w:rPr>
            </w:pPr>
          </w:p>
        </w:tc>
      </w:tr>
      <w:tr w:rsidR="009379F3" w:rsidRPr="00F5725A" w14:paraId="6A292390" w14:textId="77777777" w:rsidTr="00F5725A">
        <w:tc>
          <w:tcPr>
            <w:tcW w:w="1130" w:type="dxa"/>
          </w:tcPr>
          <w:p w14:paraId="3F7CA174" w14:textId="14929D46"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2B4AA859"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Treatment criteria:</w:t>
            </w:r>
          </w:p>
        </w:tc>
      </w:tr>
      <w:tr w:rsidR="009379F3" w:rsidRPr="00F5725A" w14:paraId="6E278CB2" w14:textId="77777777" w:rsidTr="00F5725A">
        <w:tc>
          <w:tcPr>
            <w:tcW w:w="1130" w:type="dxa"/>
          </w:tcPr>
          <w:p w14:paraId="47464539" w14:textId="57A8406C"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6DDA637C"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sz w:val="18"/>
                <w:szCs w:val="18"/>
                <w:lang w:eastAsia="en-AU"/>
              </w:rPr>
              <w:t>Must be treated by a metabolic physician</w:t>
            </w:r>
          </w:p>
        </w:tc>
      </w:tr>
      <w:tr w:rsidR="009379F3" w:rsidRPr="00F5725A" w14:paraId="7D5823E6" w14:textId="77777777" w:rsidTr="00D020EA">
        <w:tc>
          <w:tcPr>
            <w:tcW w:w="1130" w:type="dxa"/>
          </w:tcPr>
          <w:p w14:paraId="7E4D8438" w14:textId="6CBC5FB3"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7ED64669"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0FFCEFAA" w14:textId="77777777" w:rsidTr="00D020EA">
        <w:tc>
          <w:tcPr>
            <w:tcW w:w="1130" w:type="dxa"/>
          </w:tcPr>
          <w:p w14:paraId="39663534" w14:textId="32DADEC6"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2113CF1B" w14:textId="77777777" w:rsidR="009379F3" w:rsidRPr="00F5725A" w:rsidRDefault="009379F3" w:rsidP="0068437B">
            <w:pPr>
              <w:rPr>
                <w:rFonts w:ascii="Arial Narrow" w:eastAsia="Times New Roman" w:hAnsi="Arial Narrow"/>
                <w:strike/>
                <w:sz w:val="18"/>
                <w:szCs w:val="18"/>
                <w:lang w:eastAsia="en-AU"/>
              </w:rPr>
            </w:pPr>
            <w:r w:rsidRPr="00F5725A">
              <w:rPr>
                <w:rFonts w:ascii="Arial Narrow" w:eastAsia="Times New Roman" w:hAnsi="Arial Narrow"/>
                <w:strike/>
                <w:sz w:val="18"/>
                <w:szCs w:val="18"/>
                <w:lang w:eastAsia="en-AU"/>
              </w:rPr>
              <w:t>Patient must not have previously received PBS-subsidised treatment with this drug for this condition</w:t>
            </w:r>
          </w:p>
        </w:tc>
      </w:tr>
      <w:tr w:rsidR="00F5725A" w:rsidRPr="00F5725A" w14:paraId="3532CBB5" w14:textId="77777777" w:rsidTr="00F5725A">
        <w:tc>
          <w:tcPr>
            <w:tcW w:w="1130" w:type="dxa"/>
          </w:tcPr>
          <w:p w14:paraId="22997148" w14:textId="11A11E36" w:rsidR="00F5725A" w:rsidRDefault="00F5725A" w:rsidP="0068437B">
            <w:pPr>
              <w:jc w:val="center"/>
              <w:rPr>
                <w:rFonts w:ascii="Arial Narrow" w:hAnsi="Arial Narrow"/>
                <w:sz w:val="18"/>
                <w:szCs w:val="18"/>
              </w:rPr>
            </w:pPr>
          </w:p>
        </w:tc>
        <w:tc>
          <w:tcPr>
            <w:tcW w:w="7887" w:type="dxa"/>
            <w:gridSpan w:val="6"/>
          </w:tcPr>
          <w:p w14:paraId="739BA5C1" w14:textId="6DCB176A" w:rsidR="00F5725A" w:rsidRPr="00F5725A" w:rsidRDefault="00F5725A" w:rsidP="0068437B">
            <w:pPr>
              <w:rPr>
                <w:rFonts w:ascii="Arial Narrow" w:hAnsi="Arial Narrow"/>
                <w:sz w:val="18"/>
                <w:szCs w:val="18"/>
              </w:rPr>
            </w:pPr>
            <w:r>
              <w:rPr>
                <w:rFonts w:ascii="Arial Narrow" w:hAnsi="Arial Narrow"/>
                <w:sz w:val="18"/>
                <w:szCs w:val="18"/>
              </w:rPr>
              <w:t>Patient must be untreated with this drug; or</w:t>
            </w:r>
          </w:p>
        </w:tc>
      </w:tr>
      <w:tr w:rsidR="00F5725A" w:rsidRPr="00F5725A" w14:paraId="5CB5BDC2" w14:textId="77777777" w:rsidTr="00F5725A">
        <w:tc>
          <w:tcPr>
            <w:tcW w:w="1130" w:type="dxa"/>
          </w:tcPr>
          <w:p w14:paraId="4BC836AE" w14:textId="6D10ADA5" w:rsidR="00F5725A" w:rsidRDefault="00F5725A" w:rsidP="0068437B">
            <w:pPr>
              <w:jc w:val="center"/>
              <w:rPr>
                <w:rFonts w:ascii="Arial Narrow" w:hAnsi="Arial Narrow"/>
                <w:sz w:val="18"/>
                <w:szCs w:val="18"/>
              </w:rPr>
            </w:pPr>
          </w:p>
        </w:tc>
        <w:tc>
          <w:tcPr>
            <w:tcW w:w="7887" w:type="dxa"/>
            <w:gridSpan w:val="6"/>
          </w:tcPr>
          <w:p w14:paraId="5AE6A0DA" w14:textId="6B70D3E2" w:rsidR="00F5725A" w:rsidRPr="00F5725A" w:rsidRDefault="00F5725A" w:rsidP="0068437B">
            <w:pPr>
              <w:rPr>
                <w:rFonts w:ascii="Arial Narrow" w:hAnsi="Arial Narrow"/>
                <w:sz w:val="18"/>
                <w:szCs w:val="18"/>
              </w:rPr>
            </w:pPr>
            <w:r>
              <w:rPr>
                <w:rFonts w:ascii="Arial Narrow" w:hAnsi="Arial Narrow"/>
                <w:sz w:val="18"/>
                <w:szCs w:val="18"/>
              </w:rPr>
              <w:t>Patient must have completed prior responsiveness testing on only 1 occasion – this occurred when the patient was less than 1 month of age</w:t>
            </w:r>
            <w:r w:rsidR="00AD2E65">
              <w:rPr>
                <w:rFonts w:ascii="Arial Narrow" w:hAnsi="Arial Narrow"/>
                <w:sz w:val="18"/>
                <w:szCs w:val="18"/>
              </w:rPr>
              <w:t>, but this benefit is for a second attempt</w:t>
            </w:r>
            <w:r w:rsidR="00BA55E5">
              <w:rPr>
                <w:rFonts w:ascii="Arial Narrow" w:hAnsi="Arial Narrow"/>
                <w:sz w:val="18"/>
                <w:szCs w:val="18"/>
              </w:rPr>
              <w:t xml:space="preserve"> at</w:t>
            </w:r>
            <w:r w:rsidR="00AD2E65">
              <w:rPr>
                <w:rFonts w:ascii="Arial Narrow" w:hAnsi="Arial Narrow"/>
                <w:sz w:val="18"/>
                <w:szCs w:val="18"/>
              </w:rPr>
              <w:t xml:space="preserve"> responsiveness testing</w:t>
            </w:r>
            <w:r w:rsidR="00BA55E5">
              <w:rPr>
                <w:rFonts w:ascii="Arial Narrow" w:hAnsi="Arial Narrow"/>
                <w:sz w:val="18"/>
                <w:szCs w:val="18"/>
              </w:rPr>
              <w:t xml:space="preserve"> in a patient aged at least 1 month old</w:t>
            </w:r>
          </w:p>
        </w:tc>
      </w:tr>
      <w:tr w:rsidR="009379F3" w:rsidRPr="00F5725A" w14:paraId="6E230814" w14:textId="77777777" w:rsidTr="00D020EA">
        <w:tc>
          <w:tcPr>
            <w:tcW w:w="1130" w:type="dxa"/>
          </w:tcPr>
          <w:p w14:paraId="758310B7" w14:textId="77777777" w:rsidR="009379F3" w:rsidRPr="00F5725A" w:rsidRDefault="009379F3" w:rsidP="0068437B">
            <w:pPr>
              <w:spacing w:line="360" w:lineRule="auto"/>
              <w:rPr>
                <w:rFonts w:ascii="Arial Narrow" w:eastAsia="Times New Roman" w:hAnsi="Arial Narrow"/>
                <w:sz w:val="18"/>
                <w:szCs w:val="18"/>
                <w:lang w:eastAsia="en-AU"/>
              </w:rPr>
            </w:pPr>
          </w:p>
        </w:tc>
        <w:tc>
          <w:tcPr>
            <w:tcW w:w="7887" w:type="dxa"/>
            <w:gridSpan w:val="6"/>
            <w:hideMark/>
          </w:tcPr>
          <w:p w14:paraId="40253304"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AND</w:t>
            </w:r>
          </w:p>
        </w:tc>
      </w:tr>
      <w:tr w:rsidR="009379F3" w:rsidRPr="00F5725A" w14:paraId="7F171C1D" w14:textId="77777777" w:rsidTr="00F5725A">
        <w:trPr>
          <w:trHeight w:val="247"/>
        </w:trPr>
        <w:tc>
          <w:tcPr>
            <w:tcW w:w="1130" w:type="dxa"/>
          </w:tcPr>
          <w:p w14:paraId="50F9C91F" w14:textId="33E27D5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19A58CCC"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48E3141D" w14:textId="77777777" w:rsidTr="00D020EA">
        <w:tc>
          <w:tcPr>
            <w:tcW w:w="1130" w:type="dxa"/>
          </w:tcPr>
          <w:p w14:paraId="349E729B" w14:textId="12EF49C0"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3D9F77B4"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 xml:space="preserve">Patient must have a baseline blood phenylalanine level above 360 micromole per L and be less than one month of age; or </w:t>
            </w:r>
          </w:p>
          <w:p w14:paraId="29C0149A" w14:textId="77777777" w:rsidR="009379F3" w:rsidRPr="00F5725A" w:rsidRDefault="009379F3" w:rsidP="0068437B">
            <w:pPr>
              <w:rPr>
                <w:rFonts w:ascii="Arial Narrow" w:eastAsia="Times New Roman" w:hAnsi="Arial Narrow"/>
                <w:sz w:val="18"/>
                <w:szCs w:val="18"/>
                <w:lang w:eastAsia="en-AU"/>
              </w:rPr>
            </w:pPr>
          </w:p>
        </w:tc>
      </w:tr>
      <w:tr w:rsidR="009379F3" w:rsidRPr="00F5725A" w14:paraId="1C212C3C" w14:textId="77777777" w:rsidTr="00F5725A">
        <w:tc>
          <w:tcPr>
            <w:tcW w:w="1130" w:type="dxa"/>
          </w:tcPr>
          <w:p w14:paraId="4A8770E7" w14:textId="00ED07BF"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49033BFD"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sz w:val="18"/>
                <w:szCs w:val="18"/>
                <w:lang w:eastAsia="en-AU"/>
              </w:rPr>
              <w:t>Patient must have a baseline blood phenylalanine level above 600 micromole per L and be more than one month of age</w:t>
            </w:r>
          </w:p>
        </w:tc>
      </w:tr>
      <w:tr w:rsidR="009379F3" w:rsidRPr="00F5725A" w14:paraId="07C9F7B7" w14:textId="77777777" w:rsidTr="00F5725A">
        <w:tc>
          <w:tcPr>
            <w:tcW w:w="1130" w:type="dxa"/>
          </w:tcPr>
          <w:p w14:paraId="3FAAACAC"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11AF2924"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AND</w:t>
            </w:r>
          </w:p>
        </w:tc>
      </w:tr>
      <w:tr w:rsidR="009379F3" w:rsidRPr="00F5725A" w14:paraId="6DFFAF8E" w14:textId="77777777" w:rsidTr="00F5725A">
        <w:tc>
          <w:tcPr>
            <w:tcW w:w="1130" w:type="dxa"/>
          </w:tcPr>
          <w:p w14:paraId="6A30CC58" w14:textId="204ED852"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6D1C33E4"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6DD92659" w14:textId="77777777" w:rsidTr="00D020EA">
        <w:tc>
          <w:tcPr>
            <w:tcW w:w="1130" w:type="dxa"/>
          </w:tcPr>
          <w:p w14:paraId="04FED300" w14:textId="0BCD8288"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3EF15694"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 xml:space="preserve">The treatment must be for the purpose of initial responsiveness testing for a period of 24 hours in a patient less than one month of age; or </w:t>
            </w:r>
          </w:p>
          <w:p w14:paraId="4B9352B7" w14:textId="77777777" w:rsidR="009379F3" w:rsidRPr="00F5725A" w:rsidRDefault="009379F3" w:rsidP="0068437B">
            <w:pPr>
              <w:rPr>
                <w:rFonts w:ascii="Arial Narrow" w:eastAsia="Times New Roman" w:hAnsi="Arial Narrow"/>
                <w:sz w:val="18"/>
                <w:szCs w:val="18"/>
                <w:lang w:eastAsia="en-AU"/>
              </w:rPr>
            </w:pPr>
          </w:p>
        </w:tc>
      </w:tr>
      <w:tr w:rsidR="009379F3" w:rsidRPr="00F5725A" w14:paraId="2564B8D1" w14:textId="77777777" w:rsidTr="00F5725A">
        <w:tc>
          <w:tcPr>
            <w:tcW w:w="1130" w:type="dxa"/>
          </w:tcPr>
          <w:p w14:paraId="3EA10571" w14:textId="661557FC" w:rsidR="009379F3" w:rsidRPr="00F5725A" w:rsidDel="004C73A8" w:rsidRDefault="009379F3" w:rsidP="0068437B">
            <w:pPr>
              <w:jc w:val="center"/>
              <w:rPr>
                <w:rFonts w:ascii="Arial Narrow" w:eastAsia="Times New Roman" w:hAnsi="Arial Narrow"/>
                <w:sz w:val="18"/>
                <w:szCs w:val="18"/>
                <w:lang w:eastAsia="en-AU"/>
              </w:rPr>
            </w:pPr>
          </w:p>
        </w:tc>
        <w:tc>
          <w:tcPr>
            <w:tcW w:w="7887" w:type="dxa"/>
            <w:gridSpan w:val="6"/>
          </w:tcPr>
          <w:p w14:paraId="425A831D"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The treatment must be for the purpose of initial responsiveness testing for a period of 7 days in a patient aged more than one month</w:t>
            </w:r>
          </w:p>
        </w:tc>
      </w:tr>
      <w:tr w:rsidR="009379F3" w:rsidRPr="00F5725A" w14:paraId="6FB6EDA9" w14:textId="77777777" w:rsidTr="00F5725A">
        <w:tc>
          <w:tcPr>
            <w:tcW w:w="1130" w:type="dxa"/>
          </w:tcPr>
          <w:p w14:paraId="2412F621" w14:textId="5BDD460F"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6791F6B" w14:textId="77777777" w:rsidR="009379F3" w:rsidRPr="00F5725A" w:rsidRDefault="009379F3" w:rsidP="0068437B">
            <w:pPr>
              <w:rPr>
                <w:rFonts w:ascii="Arial Narrow" w:eastAsia="Times New Roman" w:hAnsi="Arial Narrow"/>
                <w:b/>
                <w:bCs/>
                <w:strike/>
                <w:sz w:val="18"/>
                <w:szCs w:val="18"/>
                <w:lang w:eastAsia="en-AU"/>
              </w:rPr>
            </w:pPr>
            <w:r w:rsidRPr="00F5725A">
              <w:rPr>
                <w:rFonts w:ascii="Arial Narrow" w:eastAsia="Times New Roman" w:hAnsi="Arial Narrow"/>
                <w:b/>
                <w:bCs/>
                <w:strike/>
                <w:sz w:val="18"/>
                <w:szCs w:val="18"/>
                <w:lang w:eastAsia="en-AU"/>
              </w:rPr>
              <w:t>Population criteria:</w:t>
            </w:r>
          </w:p>
        </w:tc>
      </w:tr>
      <w:tr w:rsidR="009379F3" w:rsidRPr="00F5725A" w14:paraId="1444903B" w14:textId="77777777" w:rsidTr="00F5725A">
        <w:tc>
          <w:tcPr>
            <w:tcW w:w="1130" w:type="dxa"/>
          </w:tcPr>
          <w:p w14:paraId="57C86986" w14:textId="52D597FF"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E8520B5" w14:textId="77777777" w:rsidR="009379F3" w:rsidRPr="00F5725A" w:rsidRDefault="009379F3" w:rsidP="0068437B">
            <w:pPr>
              <w:rPr>
                <w:rFonts w:ascii="Arial Narrow" w:eastAsia="Times New Roman" w:hAnsi="Arial Narrow"/>
                <w:strike/>
                <w:sz w:val="18"/>
                <w:szCs w:val="18"/>
                <w:lang w:eastAsia="en-AU"/>
              </w:rPr>
            </w:pPr>
            <w:r w:rsidRPr="00F5725A">
              <w:rPr>
                <w:rFonts w:ascii="Arial Narrow" w:eastAsia="Times New Roman" w:hAnsi="Arial Narrow"/>
                <w:strike/>
                <w:sz w:val="18"/>
                <w:szCs w:val="18"/>
                <w:lang w:eastAsia="en-AU"/>
              </w:rPr>
              <w:t>Patient must be under 18 years of age</w:t>
            </w:r>
          </w:p>
        </w:tc>
      </w:tr>
      <w:tr w:rsidR="00F5725A" w:rsidRPr="00F5725A" w14:paraId="4FA7195F" w14:textId="77777777" w:rsidTr="00F5725A">
        <w:tc>
          <w:tcPr>
            <w:tcW w:w="1130" w:type="dxa"/>
          </w:tcPr>
          <w:p w14:paraId="7E29C251" w14:textId="77777777" w:rsidR="00F5725A" w:rsidRPr="00F5725A" w:rsidRDefault="00F5725A" w:rsidP="0068437B">
            <w:pPr>
              <w:jc w:val="center"/>
              <w:rPr>
                <w:rFonts w:ascii="Arial Narrow" w:hAnsi="Arial Narrow"/>
                <w:sz w:val="18"/>
                <w:szCs w:val="18"/>
              </w:rPr>
            </w:pPr>
          </w:p>
        </w:tc>
        <w:tc>
          <w:tcPr>
            <w:tcW w:w="7887" w:type="dxa"/>
            <w:gridSpan w:val="6"/>
          </w:tcPr>
          <w:p w14:paraId="23109EC1" w14:textId="77777777" w:rsidR="00F5725A" w:rsidRPr="00F5725A" w:rsidRDefault="00F5725A" w:rsidP="0068437B">
            <w:pPr>
              <w:rPr>
                <w:rFonts w:ascii="Arial Narrow" w:hAnsi="Arial Narrow"/>
                <w:strike/>
                <w:sz w:val="18"/>
                <w:szCs w:val="18"/>
              </w:rPr>
            </w:pPr>
          </w:p>
        </w:tc>
      </w:tr>
      <w:tr w:rsidR="009379F3" w:rsidRPr="00F5725A" w14:paraId="4898B2AB" w14:textId="77777777" w:rsidTr="00D020EA">
        <w:tc>
          <w:tcPr>
            <w:tcW w:w="1130" w:type="dxa"/>
          </w:tcPr>
          <w:p w14:paraId="255DDE0F" w14:textId="6734F6B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6F87D238" w14:textId="3E4DF962"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Prescribing Instructions:</w:t>
            </w:r>
            <w:r w:rsidRPr="00F5725A">
              <w:rPr>
                <w:rFonts w:ascii="Arial Narrow" w:eastAsia="Times New Roman" w:hAnsi="Arial Narrow"/>
                <w:sz w:val="18"/>
                <w:szCs w:val="18"/>
                <w:lang w:eastAsia="en-AU"/>
              </w:rPr>
              <w:t xml:space="preserve"> </w:t>
            </w:r>
            <w:r w:rsidR="00F5725A">
              <w:rPr>
                <w:rFonts w:ascii="Arial Narrow" w:eastAsia="Times New Roman" w:hAnsi="Arial Narrow"/>
                <w:sz w:val="18"/>
                <w:szCs w:val="18"/>
                <w:lang w:eastAsia="en-AU"/>
              </w:rPr>
              <w:t xml:space="preserve"> </w:t>
            </w:r>
            <w:r w:rsidRPr="00F5725A">
              <w:rPr>
                <w:rFonts w:ascii="Arial Narrow" w:eastAsia="Times New Roman" w:hAnsi="Arial Narrow"/>
                <w:sz w:val="18"/>
                <w:szCs w:val="18"/>
                <w:lang w:eastAsia="en-AU"/>
              </w:rPr>
              <w:t xml:space="preserve">Dietary phenylalanine intake must be maintained at a constant levels. </w:t>
            </w:r>
          </w:p>
        </w:tc>
      </w:tr>
      <w:tr w:rsidR="009379F3" w:rsidRPr="00F5725A" w14:paraId="7D466B34" w14:textId="77777777" w:rsidTr="00F5725A">
        <w:tc>
          <w:tcPr>
            <w:tcW w:w="1130" w:type="dxa"/>
          </w:tcPr>
          <w:p w14:paraId="362D7486" w14:textId="75E9A59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7DDC08B1" w14:textId="6E5742A3"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Prescribing Instructions:</w:t>
            </w:r>
            <w:r w:rsidR="00F5725A">
              <w:rPr>
                <w:rFonts w:ascii="Arial Narrow" w:eastAsia="Times New Roman" w:hAnsi="Arial Narrow"/>
                <w:b/>
                <w:bCs/>
                <w:sz w:val="18"/>
                <w:szCs w:val="18"/>
                <w:lang w:eastAsia="en-AU"/>
              </w:rPr>
              <w:t xml:space="preserve"> </w:t>
            </w:r>
            <w:r w:rsidRPr="00F5725A">
              <w:rPr>
                <w:rFonts w:ascii="Arial Narrow" w:eastAsia="Times New Roman" w:hAnsi="Arial Narrow"/>
                <w:sz w:val="18"/>
                <w:szCs w:val="18"/>
                <w:lang w:eastAsia="en-AU"/>
              </w:rPr>
              <w:t>Patients or their parent/guardian should be assessed for their ability to comply with the sapropterin protocol and PKU diet prior to conducting initial responsiveness testing.</w:t>
            </w:r>
          </w:p>
        </w:tc>
      </w:tr>
      <w:tr w:rsidR="00F5725A" w:rsidRPr="00F5725A" w14:paraId="102E052D" w14:textId="77777777" w:rsidTr="00F5725A">
        <w:tc>
          <w:tcPr>
            <w:tcW w:w="1130" w:type="dxa"/>
          </w:tcPr>
          <w:p w14:paraId="76F60514" w14:textId="77777777" w:rsidR="00F5725A" w:rsidRPr="00F5725A" w:rsidRDefault="00F5725A" w:rsidP="0068437B">
            <w:pPr>
              <w:jc w:val="center"/>
              <w:rPr>
                <w:rFonts w:ascii="Arial Narrow" w:hAnsi="Arial Narrow"/>
                <w:sz w:val="18"/>
                <w:szCs w:val="18"/>
              </w:rPr>
            </w:pPr>
          </w:p>
        </w:tc>
        <w:tc>
          <w:tcPr>
            <w:tcW w:w="7887" w:type="dxa"/>
            <w:gridSpan w:val="6"/>
          </w:tcPr>
          <w:p w14:paraId="572DB964" w14:textId="77777777" w:rsidR="00F5725A" w:rsidRPr="00F5725A" w:rsidRDefault="00F5725A" w:rsidP="0068437B">
            <w:pPr>
              <w:rPr>
                <w:rFonts w:ascii="Arial Narrow" w:hAnsi="Arial Narrow"/>
                <w:b/>
                <w:bCs/>
                <w:sz w:val="18"/>
                <w:szCs w:val="18"/>
              </w:rPr>
            </w:pPr>
          </w:p>
        </w:tc>
      </w:tr>
      <w:tr w:rsidR="009379F3" w:rsidRPr="00F5725A" w14:paraId="4C60ACF5" w14:textId="77777777" w:rsidTr="00D020EA">
        <w:tc>
          <w:tcPr>
            <w:tcW w:w="1130" w:type="dxa"/>
          </w:tcPr>
          <w:p w14:paraId="118BA24E" w14:textId="1F828D44"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4DE39EB"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 xml:space="preserve">Administrative Advice: </w:t>
            </w:r>
            <w:r w:rsidRPr="00F5725A">
              <w:rPr>
                <w:rFonts w:ascii="Arial Narrow" w:eastAsia="Times New Roman" w:hAnsi="Arial Narrow"/>
                <w:sz w:val="18"/>
                <w:szCs w:val="18"/>
                <w:lang w:eastAsia="en-AU"/>
              </w:rPr>
              <w:t>Special pricing arrangements apply.</w:t>
            </w:r>
          </w:p>
        </w:tc>
      </w:tr>
      <w:tr w:rsidR="009379F3" w:rsidRPr="00F5725A" w14:paraId="449909AD" w14:textId="77777777" w:rsidTr="00F5725A">
        <w:tc>
          <w:tcPr>
            <w:tcW w:w="1130" w:type="dxa"/>
          </w:tcPr>
          <w:p w14:paraId="05BEA61F" w14:textId="6E722378"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7DF7B652"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 xml:space="preserve">Administrative Advice: </w:t>
            </w:r>
          </w:p>
          <w:p w14:paraId="231A576F"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sz w:val="18"/>
                <w:szCs w:val="18"/>
                <w:lang w:eastAsia="en-AU"/>
              </w:rPr>
              <w:t>Applications for authorisation under this restriction may be made in real time using the Online PBS Authorities system (see www.servicesaustralia.gov.au/HPOS) or by telephone by contacting Services Australia on 1800 888 333.</w:t>
            </w:r>
          </w:p>
        </w:tc>
      </w:tr>
      <w:tr w:rsidR="009379F3" w:rsidRPr="00F5725A" w14:paraId="4CBE33BA" w14:textId="77777777" w:rsidTr="00F5725A">
        <w:tc>
          <w:tcPr>
            <w:tcW w:w="1130" w:type="dxa"/>
          </w:tcPr>
          <w:p w14:paraId="48F54A88" w14:textId="27652AF5"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5391AED" w14:textId="77777777" w:rsidR="009379F3" w:rsidRPr="00F5725A" w:rsidRDefault="009379F3" w:rsidP="0068437B">
            <w:pPr>
              <w:rPr>
                <w:rFonts w:ascii="Arial Narrow" w:eastAsia="Times New Roman" w:hAnsi="Arial Narrow"/>
                <w:b/>
                <w:bCs/>
                <w:strike/>
                <w:sz w:val="18"/>
                <w:szCs w:val="18"/>
                <w:lang w:eastAsia="en-AU"/>
              </w:rPr>
            </w:pPr>
            <w:r w:rsidRPr="00F5725A">
              <w:rPr>
                <w:rFonts w:ascii="Arial Narrow" w:eastAsia="Times New Roman" w:hAnsi="Arial Narrow"/>
                <w:b/>
                <w:bCs/>
                <w:strike/>
                <w:sz w:val="18"/>
                <w:szCs w:val="18"/>
                <w:lang w:eastAsia="en-AU"/>
              </w:rPr>
              <w:t>Administrative Advice:</w:t>
            </w:r>
          </w:p>
          <w:p w14:paraId="7ACAAF90"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trike/>
                <w:sz w:val="18"/>
                <w:szCs w:val="18"/>
                <w:lang w:eastAsia="en-AU"/>
              </w:rPr>
              <w:t>Patient will be eligible for a maximum of one PBS-subsidised prescription as initial therapy to enable their response to treatment with sapropterin to be assessed.</w:t>
            </w:r>
          </w:p>
        </w:tc>
      </w:tr>
    </w:tbl>
    <w:p w14:paraId="7ADFC201" w14:textId="6BF57492" w:rsidR="009379F3" w:rsidRPr="009379F3" w:rsidRDefault="009379F3" w:rsidP="001A41BB">
      <w:pPr>
        <w:rPr>
          <w:rFonts w:asciiTheme="minorHAnsi" w:hAnsiTheme="minorHAnsi" w:cstheme="minorHAnsi"/>
          <w:u w:val="single"/>
        </w:rPr>
      </w:pPr>
    </w:p>
    <w:tbl>
      <w:tblPr>
        <w:tblStyle w:val="TableGrid1"/>
        <w:tblW w:w="5001" w:type="pct"/>
        <w:tblLayout w:type="fixed"/>
        <w:tblLook w:val="0000" w:firstRow="0" w:lastRow="0" w:firstColumn="0" w:lastColumn="0" w:noHBand="0" w:noVBand="0"/>
      </w:tblPr>
      <w:tblGrid>
        <w:gridCol w:w="1131"/>
        <w:gridCol w:w="3120"/>
        <w:gridCol w:w="1134"/>
        <w:gridCol w:w="850"/>
        <w:gridCol w:w="993"/>
        <w:gridCol w:w="850"/>
        <w:gridCol w:w="941"/>
      </w:tblGrid>
      <w:tr w:rsidR="009379F3" w:rsidRPr="00F5725A" w14:paraId="4F3EDE44" w14:textId="77777777" w:rsidTr="0068437B">
        <w:trPr>
          <w:trHeight w:val="20"/>
        </w:trPr>
        <w:tc>
          <w:tcPr>
            <w:tcW w:w="4249" w:type="dxa"/>
            <w:gridSpan w:val="2"/>
          </w:tcPr>
          <w:p w14:paraId="7522A954" w14:textId="77777777" w:rsidR="009379F3" w:rsidRPr="00F5725A" w:rsidRDefault="009379F3" w:rsidP="0068437B">
            <w:pPr>
              <w:keepLines/>
              <w:rPr>
                <w:rFonts w:ascii="Arial Narrow" w:hAnsi="Arial Narrow"/>
                <w:b/>
                <w:bCs/>
                <w:sz w:val="18"/>
                <w:szCs w:val="18"/>
              </w:rPr>
            </w:pPr>
            <w:r w:rsidRPr="00F5725A">
              <w:rPr>
                <w:rFonts w:ascii="Arial Narrow" w:hAnsi="Arial Narrow"/>
                <w:b/>
                <w:bCs/>
                <w:sz w:val="18"/>
                <w:szCs w:val="18"/>
              </w:rPr>
              <w:t>MEDICINAL PRODUCT</w:t>
            </w:r>
          </w:p>
          <w:p w14:paraId="4DC6FD37" w14:textId="77777777" w:rsidR="009379F3" w:rsidRPr="00F5725A" w:rsidRDefault="009379F3" w:rsidP="0068437B">
            <w:pPr>
              <w:keepLines/>
              <w:rPr>
                <w:rFonts w:ascii="Arial Narrow" w:hAnsi="Arial Narrow"/>
                <w:b/>
                <w:sz w:val="18"/>
                <w:szCs w:val="18"/>
              </w:rPr>
            </w:pPr>
            <w:r w:rsidRPr="00F5725A">
              <w:rPr>
                <w:rFonts w:ascii="Arial Narrow" w:hAnsi="Arial Narrow"/>
                <w:b/>
                <w:bCs/>
                <w:sz w:val="18"/>
                <w:szCs w:val="18"/>
              </w:rPr>
              <w:t>medicinal product pack</w:t>
            </w:r>
          </w:p>
        </w:tc>
        <w:tc>
          <w:tcPr>
            <w:tcW w:w="1134" w:type="dxa"/>
          </w:tcPr>
          <w:p w14:paraId="65ED1101"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PBS item code</w:t>
            </w:r>
          </w:p>
        </w:tc>
        <w:tc>
          <w:tcPr>
            <w:tcW w:w="850" w:type="dxa"/>
          </w:tcPr>
          <w:p w14:paraId="52B22E07"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Max. qty packs</w:t>
            </w:r>
          </w:p>
        </w:tc>
        <w:tc>
          <w:tcPr>
            <w:tcW w:w="993" w:type="dxa"/>
          </w:tcPr>
          <w:p w14:paraId="189C9425"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Max. qty units</w:t>
            </w:r>
          </w:p>
        </w:tc>
        <w:tc>
          <w:tcPr>
            <w:tcW w:w="850" w:type="dxa"/>
          </w:tcPr>
          <w:p w14:paraId="49EBFB80"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№.of</w:t>
            </w:r>
          </w:p>
          <w:p w14:paraId="7D1C2FD8" w14:textId="77777777" w:rsidR="009379F3" w:rsidRPr="00F5725A" w:rsidRDefault="009379F3" w:rsidP="0068437B">
            <w:pPr>
              <w:keepLines/>
              <w:jc w:val="center"/>
              <w:rPr>
                <w:rFonts w:ascii="Arial Narrow" w:hAnsi="Arial Narrow"/>
                <w:b/>
                <w:sz w:val="18"/>
                <w:szCs w:val="18"/>
              </w:rPr>
            </w:pPr>
            <w:r w:rsidRPr="00F5725A">
              <w:rPr>
                <w:rFonts w:ascii="Arial Narrow" w:hAnsi="Arial Narrow"/>
                <w:b/>
                <w:sz w:val="18"/>
                <w:szCs w:val="18"/>
              </w:rPr>
              <w:t>Rpts</w:t>
            </w:r>
          </w:p>
        </w:tc>
        <w:tc>
          <w:tcPr>
            <w:tcW w:w="941" w:type="dxa"/>
          </w:tcPr>
          <w:p w14:paraId="3D646336" w14:textId="77777777" w:rsidR="009379F3" w:rsidRPr="00F5725A" w:rsidRDefault="009379F3" w:rsidP="0068437B">
            <w:pPr>
              <w:keepLines/>
              <w:rPr>
                <w:rFonts w:ascii="Arial Narrow" w:hAnsi="Arial Narrow"/>
                <w:b/>
                <w:sz w:val="18"/>
                <w:szCs w:val="18"/>
                <w:lang w:val="fr-FR"/>
              </w:rPr>
            </w:pPr>
            <w:r w:rsidRPr="00F5725A">
              <w:rPr>
                <w:rFonts w:ascii="Arial Narrow" w:hAnsi="Arial Narrow"/>
                <w:b/>
                <w:sz w:val="18"/>
                <w:szCs w:val="18"/>
              </w:rPr>
              <w:t>Available brands</w:t>
            </w:r>
          </w:p>
        </w:tc>
      </w:tr>
      <w:tr w:rsidR="009379F3" w:rsidRPr="00F5725A" w14:paraId="22BA309C" w14:textId="77777777" w:rsidTr="0068437B">
        <w:trPr>
          <w:trHeight w:val="20"/>
        </w:trPr>
        <w:tc>
          <w:tcPr>
            <w:tcW w:w="9017" w:type="dxa"/>
            <w:gridSpan w:val="7"/>
          </w:tcPr>
          <w:p w14:paraId="39E1B3C4"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 xml:space="preserve">SAPROPTERIN </w:t>
            </w:r>
          </w:p>
        </w:tc>
      </w:tr>
      <w:tr w:rsidR="009379F3" w:rsidRPr="00F5725A" w14:paraId="0EDDAD27" w14:textId="77777777" w:rsidTr="0068437B">
        <w:trPr>
          <w:trHeight w:val="20"/>
        </w:trPr>
        <w:tc>
          <w:tcPr>
            <w:tcW w:w="4249" w:type="dxa"/>
            <w:gridSpan w:val="2"/>
          </w:tcPr>
          <w:p w14:paraId="5BE7924F" w14:textId="77777777" w:rsidR="009379F3" w:rsidRPr="00F5725A" w:rsidRDefault="009379F3" w:rsidP="0068437B">
            <w:pPr>
              <w:keepLines/>
              <w:rPr>
                <w:rFonts w:ascii="Arial Narrow" w:hAnsi="Arial Narrow"/>
                <w:sz w:val="18"/>
                <w:szCs w:val="18"/>
              </w:rPr>
            </w:pPr>
            <w:r w:rsidRPr="00F5725A">
              <w:rPr>
                <w:rFonts w:ascii="Arial Narrow" w:eastAsia="Calibri" w:hAnsi="Arial Narrow"/>
                <w:sz w:val="18"/>
                <w:szCs w:val="18"/>
                <w:lang w:eastAsia="en-AU"/>
              </w:rPr>
              <w:t>sapropterin dihydrochloride 100 mg soluble tablet, 30</w:t>
            </w:r>
          </w:p>
        </w:tc>
        <w:tc>
          <w:tcPr>
            <w:tcW w:w="1134" w:type="dxa"/>
          </w:tcPr>
          <w:p w14:paraId="5DE4BF08"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11691H</w:t>
            </w:r>
          </w:p>
        </w:tc>
        <w:tc>
          <w:tcPr>
            <w:tcW w:w="850" w:type="dxa"/>
          </w:tcPr>
          <w:p w14:paraId="2B818A0C" w14:textId="683DBB1C" w:rsidR="009379F3" w:rsidRPr="00F5725A" w:rsidRDefault="00505150" w:rsidP="0068437B">
            <w:pPr>
              <w:keepLines/>
              <w:jc w:val="center"/>
              <w:rPr>
                <w:rFonts w:ascii="Arial Narrow" w:hAnsi="Arial Narrow"/>
                <w:sz w:val="18"/>
                <w:szCs w:val="18"/>
              </w:rPr>
            </w:pPr>
            <w:r w:rsidRPr="00F5725A">
              <w:rPr>
                <w:rFonts w:ascii="Arial Narrow" w:hAnsi="Arial Narrow"/>
                <w:sz w:val="18"/>
                <w:szCs w:val="18"/>
              </w:rPr>
              <w:t>6</w:t>
            </w:r>
          </w:p>
        </w:tc>
        <w:tc>
          <w:tcPr>
            <w:tcW w:w="993" w:type="dxa"/>
          </w:tcPr>
          <w:p w14:paraId="2399B6AB" w14:textId="36C13505" w:rsidR="009379F3" w:rsidRPr="00F5725A" w:rsidRDefault="00505150" w:rsidP="0068437B">
            <w:pPr>
              <w:keepLines/>
              <w:jc w:val="center"/>
              <w:rPr>
                <w:rFonts w:ascii="Arial Narrow" w:hAnsi="Arial Narrow"/>
                <w:sz w:val="18"/>
                <w:szCs w:val="18"/>
              </w:rPr>
            </w:pPr>
            <w:r w:rsidRPr="00F5725A">
              <w:rPr>
                <w:rFonts w:ascii="Arial Narrow" w:hAnsi="Arial Narrow"/>
                <w:sz w:val="18"/>
                <w:szCs w:val="18"/>
              </w:rPr>
              <w:t>180</w:t>
            </w:r>
          </w:p>
        </w:tc>
        <w:tc>
          <w:tcPr>
            <w:tcW w:w="850" w:type="dxa"/>
          </w:tcPr>
          <w:p w14:paraId="5B017C76" w14:textId="2742A6FE"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5</w:t>
            </w:r>
          </w:p>
        </w:tc>
        <w:tc>
          <w:tcPr>
            <w:tcW w:w="941" w:type="dxa"/>
          </w:tcPr>
          <w:p w14:paraId="63109980"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Kuvan</w:t>
            </w:r>
          </w:p>
        </w:tc>
      </w:tr>
      <w:tr w:rsidR="009379F3" w:rsidRPr="00F5725A" w14:paraId="6E177551" w14:textId="77777777" w:rsidTr="0068437B">
        <w:trPr>
          <w:trHeight w:val="20"/>
        </w:trPr>
        <w:tc>
          <w:tcPr>
            <w:tcW w:w="4249" w:type="dxa"/>
            <w:gridSpan w:val="2"/>
          </w:tcPr>
          <w:p w14:paraId="694868FD" w14:textId="77777777" w:rsidR="009379F3" w:rsidRPr="00F5725A" w:rsidRDefault="009379F3" w:rsidP="0068437B">
            <w:pPr>
              <w:keepLines/>
              <w:rPr>
                <w:rFonts w:ascii="Arial Narrow" w:hAnsi="Arial Narrow"/>
                <w:sz w:val="18"/>
                <w:szCs w:val="18"/>
              </w:rPr>
            </w:pPr>
            <w:r w:rsidRPr="00F5725A">
              <w:rPr>
                <w:rFonts w:ascii="Arial Narrow" w:eastAsia="Calibri" w:hAnsi="Arial Narrow"/>
                <w:sz w:val="18"/>
                <w:szCs w:val="18"/>
                <w:lang w:eastAsia="en-AU"/>
              </w:rPr>
              <w:t>sapropterin dihydrochloride 500 mg powder for oral liquid, 30 sachets</w:t>
            </w:r>
          </w:p>
        </w:tc>
        <w:tc>
          <w:tcPr>
            <w:tcW w:w="1134" w:type="dxa"/>
          </w:tcPr>
          <w:p w14:paraId="19F0981D"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11983Q</w:t>
            </w:r>
          </w:p>
        </w:tc>
        <w:tc>
          <w:tcPr>
            <w:tcW w:w="850" w:type="dxa"/>
          </w:tcPr>
          <w:p w14:paraId="3E086115"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1</w:t>
            </w:r>
          </w:p>
        </w:tc>
        <w:tc>
          <w:tcPr>
            <w:tcW w:w="993" w:type="dxa"/>
          </w:tcPr>
          <w:p w14:paraId="62814695" w14:textId="77777777"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30</w:t>
            </w:r>
          </w:p>
        </w:tc>
        <w:tc>
          <w:tcPr>
            <w:tcW w:w="850" w:type="dxa"/>
          </w:tcPr>
          <w:p w14:paraId="147DA7CF" w14:textId="7B7A8B65" w:rsidR="009379F3" w:rsidRPr="00F5725A" w:rsidRDefault="009379F3" w:rsidP="0068437B">
            <w:pPr>
              <w:keepLines/>
              <w:jc w:val="center"/>
              <w:rPr>
                <w:rFonts w:ascii="Arial Narrow" w:hAnsi="Arial Narrow"/>
                <w:sz w:val="18"/>
                <w:szCs w:val="18"/>
              </w:rPr>
            </w:pPr>
            <w:r w:rsidRPr="00F5725A">
              <w:rPr>
                <w:rFonts w:ascii="Arial Narrow" w:hAnsi="Arial Narrow"/>
                <w:sz w:val="18"/>
                <w:szCs w:val="18"/>
              </w:rPr>
              <w:t>5</w:t>
            </w:r>
          </w:p>
        </w:tc>
        <w:tc>
          <w:tcPr>
            <w:tcW w:w="941" w:type="dxa"/>
          </w:tcPr>
          <w:p w14:paraId="339B7655" w14:textId="77777777" w:rsidR="009379F3" w:rsidRPr="00F5725A" w:rsidRDefault="009379F3" w:rsidP="0068437B">
            <w:pPr>
              <w:keepLines/>
              <w:rPr>
                <w:rFonts w:ascii="Arial Narrow" w:hAnsi="Arial Narrow"/>
                <w:sz w:val="18"/>
                <w:szCs w:val="18"/>
              </w:rPr>
            </w:pPr>
            <w:r w:rsidRPr="00F5725A">
              <w:rPr>
                <w:rFonts w:ascii="Arial Narrow" w:hAnsi="Arial Narrow"/>
                <w:sz w:val="18"/>
                <w:szCs w:val="18"/>
              </w:rPr>
              <w:t>Kuvan</w:t>
            </w:r>
          </w:p>
        </w:tc>
      </w:tr>
      <w:tr w:rsidR="009379F3" w:rsidRPr="00F5725A" w14:paraId="36E6589E" w14:textId="77777777" w:rsidTr="0068437B">
        <w:trPr>
          <w:trHeight w:val="20"/>
        </w:trPr>
        <w:tc>
          <w:tcPr>
            <w:tcW w:w="9017" w:type="dxa"/>
            <w:gridSpan w:val="7"/>
          </w:tcPr>
          <w:p w14:paraId="14FC877C" w14:textId="77777777" w:rsidR="009379F3" w:rsidRPr="00F5725A" w:rsidRDefault="009379F3" w:rsidP="0068437B">
            <w:pPr>
              <w:rPr>
                <w:rFonts w:ascii="Arial Narrow" w:hAnsi="Arial Narrow"/>
                <w:sz w:val="18"/>
                <w:szCs w:val="18"/>
              </w:rPr>
            </w:pPr>
          </w:p>
        </w:tc>
      </w:tr>
      <w:tr w:rsidR="009379F3" w:rsidRPr="00F5725A" w14:paraId="36042FA7" w14:textId="77777777" w:rsidTr="0068437B">
        <w:trPr>
          <w:trHeight w:val="20"/>
        </w:trPr>
        <w:tc>
          <w:tcPr>
            <w:tcW w:w="9017" w:type="dxa"/>
            <w:gridSpan w:val="7"/>
          </w:tcPr>
          <w:p w14:paraId="3DE2848F" w14:textId="77777777" w:rsidR="009379F3" w:rsidRPr="00F5725A" w:rsidDel="00F95439" w:rsidRDefault="009379F3" w:rsidP="0068437B">
            <w:pPr>
              <w:rPr>
                <w:rFonts w:ascii="Arial Narrow" w:eastAsia="Calibri" w:hAnsi="Arial Narrow"/>
                <w:sz w:val="18"/>
                <w:szCs w:val="18"/>
                <w:lang w:eastAsia="en-AU"/>
              </w:rPr>
            </w:pPr>
          </w:p>
        </w:tc>
      </w:tr>
      <w:tr w:rsidR="009379F3" w:rsidRPr="00F5725A" w14:paraId="24729E31" w14:textId="77777777" w:rsidTr="0068437B">
        <w:tc>
          <w:tcPr>
            <w:tcW w:w="9017" w:type="dxa"/>
            <w:gridSpan w:val="7"/>
          </w:tcPr>
          <w:p w14:paraId="59A4DB01" w14:textId="0A7778B9" w:rsidR="009379F3" w:rsidRPr="00F5725A" w:rsidRDefault="00F5725A" w:rsidP="0068437B">
            <w:pPr>
              <w:keepNext/>
              <w:rPr>
                <w:rFonts w:ascii="Arial Narrow" w:eastAsia="Calibri" w:hAnsi="Arial Narrow"/>
                <w:b/>
                <w:sz w:val="18"/>
                <w:szCs w:val="18"/>
              </w:rPr>
            </w:pPr>
            <w:r>
              <w:rPr>
                <w:rFonts w:ascii="Arial Narrow" w:eastAsia="Calibri" w:hAnsi="Arial Narrow"/>
                <w:b/>
                <w:sz w:val="18"/>
                <w:szCs w:val="18"/>
              </w:rPr>
              <w:t xml:space="preserve">Edit </w:t>
            </w:r>
            <w:r w:rsidR="009379F3" w:rsidRPr="00F5725A">
              <w:rPr>
                <w:rFonts w:ascii="Arial Narrow" w:eastAsia="Calibri" w:hAnsi="Arial Narrow"/>
                <w:b/>
                <w:sz w:val="18"/>
                <w:szCs w:val="18"/>
              </w:rPr>
              <w:t>Restriction Summary 8817 / ToC: 8926</w:t>
            </w:r>
          </w:p>
        </w:tc>
      </w:tr>
      <w:tr w:rsidR="009379F3" w:rsidRPr="00F5725A" w14:paraId="07A165F4" w14:textId="77777777" w:rsidTr="0068437B">
        <w:tc>
          <w:tcPr>
            <w:tcW w:w="1130" w:type="dxa"/>
            <w:vMerge w:val="restart"/>
          </w:tcPr>
          <w:p w14:paraId="0A4F1AD7" w14:textId="4B4F2207" w:rsidR="009379F3" w:rsidRPr="00F5725A" w:rsidRDefault="009379F3" w:rsidP="0068437B">
            <w:pPr>
              <w:keepNext/>
              <w:jc w:val="center"/>
              <w:rPr>
                <w:rFonts w:ascii="Arial Narrow" w:eastAsia="Calibri" w:hAnsi="Arial Narrow"/>
                <w:sz w:val="18"/>
                <w:szCs w:val="18"/>
              </w:rPr>
            </w:pPr>
          </w:p>
        </w:tc>
        <w:tc>
          <w:tcPr>
            <w:tcW w:w="7887" w:type="dxa"/>
            <w:gridSpan w:val="6"/>
            <w:hideMark/>
          </w:tcPr>
          <w:p w14:paraId="17C5502C" w14:textId="77777777" w:rsidR="009379F3" w:rsidRPr="00F5725A" w:rsidRDefault="009379F3" w:rsidP="0068437B">
            <w:pPr>
              <w:keepNext/>
              <w:rPr>
                <w:rFonts w:ascii="Arial Narrow" w:eastAsia="Calibri" w:hAnsi="Arial Narrow"/>
                <w:sz w:val="18"/>
                <w:szCs w:val="18"/>
              </w:rPr>
            </w:pPr>
            <w:r w:rsidRPr="00F5725A">
              <w:rPr>
                <w:rFonts w:ascii="Arial Narrow" w:eastAsia="Calibri" w:hAnsi="Arial Narrow"/>
                <w:b/>
                <w:sz w:val="18"/>
                <w:szCs w:val="18"/>
              </w:rPr>
              <w:t xml:space="preserve">Category / Program: </w:t>
            </w:r>
            <w:r w:rsidRPr="00F5725A">
              <w:rPr>
                <w:rFonts w:ascii="Arial Narrow" w:eastAsia="Calibri" w:hAnsi="Arial Narrow"/>
                <w:sz w:val="18"/>
                <w:szCs w:val="18"/>
              </w:rPr>
              <w:t xml:space="preserve">GENERAL – General Schedule (Code GE) </w:t>
            </w:r>
          </w:p>
        </w:tc>
      </w:tr>
      <w:tr w:rsidR="009379F3" w:rsidRPr="00F5725A" w14:paraId="43C6114B" w14:textId="77777777" w:rsidTr="0068437B">
        <w:trPr>
          <w:trHeight w:val="240"/>
        </w:trPr>
        <w:tc>
          <w:tcPr>
            <w:tcW w:w="1130" w:type="dxa"/>
            <w:vMerge/>
            <w:hideMark/>
          </w:tcPr>
          <w:p w14:paraId="55D0FD6F"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hideMark/>
          </w:tcPr>
          <w:p w14:paraId="4D976337" w14:textId="77777777" w:rsidR="009379F3" w:rsidRPr="00F5725A" w:rsidRDefault="009379F3" w:rsidP="0068437B">
            <w:pPr>
              <w:rPr>
                <w:rFonts w:ascii="Arial Narrow" w:eastAsia="Calibri" w:hAnsi="Arial Narrow"/>
                <w:b/>
                <w:sz w:val="18"/>
                <w:szCs w:val="18"/>
              </w:rPr>
            </w:pPr>
            <w:r w:rsidRPr="00F5725A">
              <w:rPr>
                <w:rFonts w:ascii="Arial Narrow" w:eastAsia="Calibri" w:hAnsi="Arial Narrow"/>
                <w:b/>
                <w:sz w:val="18"/>
                <w:szCs w:val="18"/>
              </w:rPr>
              <w:t xml:space="preserve">Prescriber type: </w:t>
            </w:r>
            <w:r w:rsidRPr="00F5725A">
              <w:rPr>
                <w:rFonts w:ascii="Arial Narrow" w:eastAsia="Calibri" w:hAnsi="Arial Narrow"/>
                <w:sz w:val="18"/>
                <w:szCs w:val="18"/>
              </w:rPr>
              <w:fldChar w:fldCharType="begin">
                <w:ffData>
                  <w:name w:val=""/>
                  <w:enabled/>
                  <w:calcOnExit w:val="0"/>
                  <w:checkBox>
                    <w:sizeAuto/>
                    <w:default w:val="1"/>
                  </w:checkBox>
                </w:ffData>
              </w:fldChar>
            </w:r>
            <w:r w:rsidRPr="00F5725A">
              <w:rPr>
                <w:rFonts w:ascii="Arial Narrow" w:eastAsia="Calibri" w:hAnsi="Arial Narrow"/>
                <w:sz w:val="18"/>
                <w:szCs w:val="18"/>
              </w:rPr>
              <w:instrText xml:space="preserve"> FORMCHECKBOX </w:instrText>
            </w:r>
            <w:r w:rsidR="009A5ECB">
              <w:rPr>
                <w:rFonts w:ascii="Arial Narrow" w:eastAsia="Calibri" w:hAnsi="Arial Narrow"/>
                <w:sz w:val="18"/>
                <w:szCs w:val="18"/>
              </w:rPr>
            </w:r>
            <w:r w:rsidR="009A5ECB">
              <w:rPr>
                <w:rFonts w:ascii="Arial Narrow" w:eastAsia="Calibri" w:hAnsi="Arial Narrow"/>
                <w:sz w:val="18"/>
                <w:szCs w:val="18"/>
              </w:rPr>
              <w:fldChar w:fldCharType="separate"/>
            </w:r>
            <w:r w:rsidRPr="00F5725A">
              <w:rPr>
                <w:rFonts w:ascii="Arial Narrow" w:eastAsia="Calibri" w:hAnsi="Arial Narrow"/>
                <w:sz w:val="18"/>
                <w:szCs w:val="18"/>
              </w:rPr>
              <w:fldChar w:fldCharType="end"/>
            </w:r>
            <w:r w:rsidRPr="00F5725A">
              <w:rPr>
                <w:rFonts w:ascii="Arial Narrow" w:eastAsia="Calibri" w:hAnsi="Arial Narrow"/>
                <w:sz w:val="18"/>
                <w:szCs w:val="18"/>
              </w:rPr>
              <w:t xml:space="preserve">Medical Practitioners </w:t>
            </w:r>
            <w:r w:rsidRPr="00F5725A">
              <w:rPr>
                <w:rFonts w:ascii="Arial Narrow" w:eastAsia="Calibri" w:hAnsi="Arial Narrow"/>
                <w:sz w:val="18"/>
                <w:szCs w:val="18"/>
              </w:rPr>
              <w:fldChar w:fldCharType="begin">
                <w:ffData>
                  <w:name w:val=""/>
                  <w:enabled/>
                  <w:calcOnExit w:val="0"/>
                  <w:checkBox>
                    <w:sizeAuto/>
                    <w:default w:val="1"/>
                  </w:checkBox>
                </w:ffData>
              </w:fldChar>
            </w:r>
            <w:r w:rsidRPr="00F5725A">
              <w:rPr>
                <w:rFonts w:ascii="Arial Narrow" w:eastAsia="Calibri" w:hAnsi="Arial Narrow"/>
                <w:sz w:val="18"/>
                <w:szCs w:val="18"/>
              </w:rPr>
              <w:instrText xml:space="preserve"> FORMCHECKBOX </w:instrText>
            </w:r>
            <w:r w:rsidR="009A5ECB">
              <w:rPr>
                <w:rFonts w:ascii="Arial Narrow" w:eastAsia="Calibri" w:hAnsi="Arial Narrow"/>
                <w:sz w:val="18"/>
                <w:szCs w:val="18"/>
              </w:rPr>
            </w:r>
            <w:r w:rsidR="009A5ECB">
              <w:rPr>
                <w:rFonts w:ascii="Arial Narrow" w:eastAsia="Calibri" w:hAnsi="Arial Narrow"/>
                <w:sz w:val="18"/>
                <w:szCs w:val="18"/>
              </w:rPr>
              <w:fldChar w:fldCharType="separate"/>
            </w:r>
            <w:r w:rsidRPr="00F5725A">
              <w:rPr>
                <w:rFonts w:ascii="Arial Narrow" w:eastAsia="Calibri" w:hAnsi="Arial Narrow"/>
                <w:sz w:val="18"/>
                <w:szCs w:val="18"/>
              </w:rPr>
              <w:fldChar w:fldCharType="end"/>
            </w:r>
            <w:r w:rsidRPr="00F5725A">
              <w:rPr>
                <w:rFonts w:ascii="Arial Narrow" w:eastAsia="Calibri" w:hAnsi="Arial Narrow"/>
                <w:sz w:val="18"/>
                <w:szCs w:val="18"/>
              </w:rPr>
              <w:t xml:space="preserve">Nurse practitioners </w:t>
            </w:r>
          </w:p>
        </w:tc>
      </w:tr>
      <w:tr w:rsidR="009379F3" w:rsidRPr="00F5725A" w14:paraId="608BEC64" w14:textId="77777777" w:rsidTr="0068437B">
        <w:trPr>
          <w:trHeight w:val="85"/>
        </w:trPr>
        <w:tc>
          <w:tcPr>
            <w:tcW w:w="1130" w:type="dxa"/>
            <w:vMerge/>
            <w:hideMark/>
          </w:tcPr>
          <w:p w14:paraId="20923BB2"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hideMark/>
          </w:tcPr>
          <w:p w14:paraId="2508E027" w14:textId="77777777" w:rsidR="009379F3" w:rsidRPr="00F5725A" w:rsidRDefault="009379F3" w:rsidP="0068437B">
            <w:pPr>
              <w:rPr>
                <w:rFonts w:ascii="Arial Narrow" w:eastAsia="Calibri" w:hAnsi="Arial Narrow"/>
                <w:b/>
                <w:sz w:val="18"/>
                <w:szCs w:val="18"/>
              </w:rPr>
            </w:pPr>
            <w:r w:rsidRPr="00F5725A">
              <w:rPr>
                <w:rFonts w:ascii="Arial Narrow" w:eastAsia="Calibri" w:hAnsi="Arial Narrow"/>
                <w:b/>
                <w:sz w:val="18"/>
                <w:szCs w:val="18"/>
              </w:rPr>
              <w:t xml:space="preserve">Restriction type: </w:t>
            </w:r>
            <w:r w:rsidRPr="00F5725A">
              <w:rPr>
                <w:rFonts w:ascii="Arial Narrow" w:eastAsia="Calibri" w:hAnsi="Arial Narrow"/>
                <w:sz w:val="18"/>
                <w:szCs w:val="18"/>
              </w:rPr>
              <w:fldChar w:fldCharType="begin">
                <w:ffData>
                  <w:name w:val="Check3"/>
                  <w:enabled/>
                  <w:calcOnExit w:val="0"/>
                  <w:checkBox>
                    <w:sizeAuto/>
                    <w:default w:val="1"/>
                  </w:checkBox>
                </w:ffData>
              </w:fldChar>
            </w:r>
            <w:r w:rsidRPr="00F5725A">
              <w:rPr>
                <w:rFonts w:ascii="Arial Narrow" w:eastAsia="Calibri" w:hAnsi="Arial Narrow"/>
                <w:sz w:val="18"/>
                <w:szCs w:val="18"/>
              </w:rPr>
              <w:instrText xml:space="preserve"> FORMCHECKBOX </w:instrText>
            </w:r>
            <w:r w:rsidR="009A5ECB">
              <w:rPr>
                <w:rFonts w:ascii="Arial Narrow" w:eastAsia="Calibri" w:hAnsi="Arial Narrow"/>
                <w:sz w:val="18"/>
                <w:szCs w:val="18"/>
              </w:rPr>
            </w:r>
            <w:r w:rsidR="009A5ECB">
              <w:rPr>
                <w:rFonts w:ascii="Arial Narrow" w:eastAsia="Calibri" w:hAnsi="Arial Narrow"/>
                <w:sz w:val="18"/>
                <w:szCs w:val="18"/>
              </w:rPr>
              <w:fldChar w:fldCharType="separate"/>
            </w:r>
            <w:r w:rsidRPr="00F5725A">
              <w:rPr>
                <w:rFonts w:ascii="Arial Narrow" w:eastAsia="Calibri" w:hAnsi="Arial Narrow"/>
                <w:sz w:val="18"/>
                <w:szCs w:val="18"/>
              </w:rPr>
              <w:fldChar w:fldCharType="end"/>
            </w:r>
            <w:r w:rsidRPr="00F5725A">
              <w:rPr>
                <w:rFonts w:ascii="Arial Narrow" w:eastAsia="Calibri" w:hAnsi="Arial Narrow"/>
                <w:sz w:val="18"/>
                <w:szCs w:val="18"/>
              </w:rPr>
              <w:t>Authority Required (telephone/online PBS Authorities system)</w:t>
            </w:r>
          </w:p>
        </w:tc>
      </w:tr>
      <w:tr w:rsidR="009379F3" w:rsidRPr="00F5725A" w14:paraId="1EFBDFED" w14:textId="77777777" w:rsidTr="0068437B">
        <w:trPr>
          <w:trHeight w:val="85"/>
        </w:trPr>
        <w:tc>
          <w:tcPr>
            <w:tcW w:w="1130" w:type="dxa"/>
          </w:tcPr>
          <w:p w14:paraId="72F8A951" w14:textId="77777777" w:rsidR="009379F3" w:rsidRPr="00F5725A" w:rsidRDefault="009379F3" w:rsidP="0068437B">
            <w:pPr>
              <w:spacing w:line="276" w:lineRule="auto"/>
              <w:rPr>
                <w:rFonts w:ascii="Arial Narrow" w:eastAsia="Calibri" w:hAnsi="Arial Narrow"/>
                <w:b/>
                <w:sz w:val="18"/>
                <w:szCs w:val="18"/>
              </w:rPr>
            </w:pPr>
          </w:p>
        </w:tc>
        <w:tc>
          <w:tcPr>
            <w:tcW w:w="7887" w:type="dxa"/>
            <w:gridSpan w:val="6"/>
          </w:tcPr>
          <w:p w14:paraId="48848555" w14:textId="77777777" w:rsidR="009379F3" w:rsidRPr="00F5725A" w:rsidRDefault="009379F3" w:rsidP="0068437B">
            <w:pPr>
              <w:rPr>
                <w:rFonts w:ascii="Arial Narrow" w:eastAsia="Calibri" w:hAnsi="Arial Narrow"/>
                <w:b/>
                <w:sz w:val="18"/>
                <w:szCs w:val="18"/>
              </w:rPr>
            </w:pPr>
          </w:p>
        </w:tc>
      </w:tr>
      <w:tr w:rsidR="009379F3" w:rsidRPr="00F5725A" w14:paraId="03C7ED1C" w14:textId="77777777" w:rsidTr="0068437B">
        <w:tc>
          <w:tcPr>
            <w:tcW w:w="1130" w:type="dxa"/>
          </w:tcPr>
          <w:p w14:paraId="3FCA5CF7" w14:textId="35D9553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515D4FB6"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 xml:space="preserve">Administrative Advice: </w:t>
            </w:r>
            <w:r w:rsidRPr="00F5725A">
              <w:rPr>
                <w:rFonts w:ascii="Arial Narrow" w:eastAsia="Times New Roman" w:hAnsi="Arial Narrow"/>
                <w:sz w:val="18"/>
                <w:szCs w:val="18"/>
                <w:lang w:eastAsia="en-AU"/>
              </w:rPr>
              <w:t xml:space="preserve">Special pricing arrangements apply. </w:t>
            </w:r>
          </w:p>
        </w:tc>
      </w:tr>
      <w:tr w:rsidR="009379F3" w:rsidRPr="00F5725A" w14:paraId="76BDB77E" w14:textId="77777777" w:rsidTr="0068437B">
        <w:tc>
          <w:tcPr>
            <w:tcW w:w="1130" w:type="dxa"/>
          </w:tcPr>
          <w:p w14:paraId="27E0058B" w14:textId="6DA6DD51"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58416C14"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 xml:space="preserve">Administrative Advice: </w:t>
            </w:r>
          </w:p>
          <w:p w14:paraId="60DC1926"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sz w:val="18"/>
                <w:szCs w:val="18"/>
                <w:lang w:eastAsia="en-AU"/>
              </w:rPr>
              <w:t>Applications for authorisation under this restriction may be made in real time using the Online PBS Authorities system (see www.servicesaustralia.gov.au/HPOS) or by telephone by contacting Services Australia on 1800 888 333.</w:t>
            </w:r>
          </w:p>
        </w:tc>
      </w:tr>
      <w:tr w:rsidR="009379F3" w:rsidRPr="00F5725A" w14:paraId="5F4FB489" w14:textId="77777777" w:rsidTr="0068437B">
        <w:tc>
          <w:tcPr>
            <w:tcW w:w="1130" w:type="dxa"/>
          </w:tcPr>
          <w:p w14:paraId="6735642B"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650A828"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72F08ED6" w14:textId="77777777" w:rsidTr="00D020EA">
        <w:tc>
          <w:tcPr>
            <w:tcW w:w="1130" w:type="dxa"/>
          </w:tcPr>
          <w:p w14:paraId="0FCDD9D8" w14:textId="3585716D"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672AE06C"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Indication:</w:t>
            </w:r>
            <w:r w:rsidRPr="00F5725A">
              <w:rPr>
                <w:rFonts w:ascii="Arial Narrow" w:eastAsia="Times New Roman" w:hAnsi="Arial Narrow"/>
                <w:sz w:val="18"/>
                <w:szCs w:val="18"/>
                <w:lang w:eastAsia="en-AU"/>
              </w:rPr>
              <w:t xml:space="preserve"> Hyperphenylalaninemia (HPA) due to phenylketonuria (PKU)</w:t>
            </w:r>
          </w:p>
        </w:tc>
      </w:tr>
      <w:tr w:rsidR="009379F3" w:rsidRPr="00F5725A" w14:paraId="63E2C6E8" w14:textId="77777777" w:rsidTr="0068437B">
        <w:tc>
          <w:tcPr>
            <w:tcW w:w="1130" w:type="dxa"/>
          </w:tcPr>
          <w:p w14:paraId="11A48E66"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70F78CD5"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30348B78" w14:textId="77777777" w:rsidTr="0068437B">
        <w:tc>
          <w:tcPr>
            <w:tcW w:w="1130" w:type="dxa"/>
            <w:hideMark/>
          </w:tcPr>
          <w:p w14:paraId="0DF5921E" w14:textId="77777777" w:rsidR="009379F3" w:rsidRPr="00F5725A" w:rsidRDefault="009379F3" w:rsidP="0068437B">
            <w:pPr>
              <w:spacing w:line="360" w:lineRule="auto"/>
              <w:rPr>
                <w:rFonts w:ascii="Arial Narrow" w:eastAsia="Times New Roman" w:hAnsi="Arial Narrow"/>
                <w:sz w:val="18"/>
                <w:szCs w:val="18"/>
                <w:lang w:eastAsia="en-AU"/>
              </w:rPr>
            </w:pPr>
          </w:p>
        </w:tc>
        <w:tc>
          <w:tcPr>
            <w:tcW w:w="7887" w:type="dxa"/>
            <w:gridSpan w:val="6"/>
            <w:hideMark/>
          </w:tcPr>
          <w:p w14:paraId="20F34897"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Treatment Phase:</w:t>
            </w:r>
            <w:r w:rsidRPr="00F5725A">
              <w:rPr>
                <w:rFonts w:ascii="Arial Narrow" w:eastAsia="Times New Roman" w:hAnsi="Arial Narrow"/>
                <w:sz w:val="18"/>
                <w:szCs w:val="18"/>
                <w:lang w:eastAsia="en-AU"/>
              </w:rPr>
              <w:t xml:space="preserve"> First continuing treatment</w:t>
            </w:r>
          </w:p>
        </w:tc>
      </w:tr>
      <w:tr w:rsidR="009379F3" w:rsidRPr="00F5725A" w14:paraId="589C5A4B" w14:textId="77777777" w:rsidTr="0068437B">
        <w:trPr>
          <w:trHeight w:val="206"/>
        </w:trPr>
        <w:tc>
          <w:tcPr>
            <w:tcW w:w="1130" w:type="dxa"/>
          </w:tcPr>
          <w:p w14:paraId="6AD7406D" w14:textId="77777777" w:rsidR="009379F3" w:rsidRPr="00F5725A" w:rsidRDefault="009379F3" w:rsidP="0068437B">
            <w:pPr>
              <w:rPr>
                <w:rFonts w:ascii="Arial Narrow" w:eastAsia="Times New Roman" w:hAnsi="Arial Narrow"/>
                <w:sz w:val="18"/>
                <w:szCs w:val="18"/>
                <w:lang w:eastAsia="en-AU"/>
              </w:rPr>
            </w:pPr>
          </w:p>
        </w:tc>
        <w:tc>
          <w:tcPr>
            <w:tcW w:w="7887" w:type="dxa"/>
            <w:gridSpan w:val="6"/>
          </w:tcPr>
          <w:p w14:paraId="5ECF7A86"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7BCD2BF3" w14:textId="77777777" w:rsidTr="0068437B">
        <w:trPr>
          <w:trHeight w:val="206"/>
        </w:trPr>
        <w:tc>
          <w:tcPr>
            <w:tcW w:w="1130" w:type="dxa"/>
          </w:tcPr>
          <w:p w14:paraId="0140D381" w14:textId="5B5D25F5"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2EFEB0B0"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Treatment criteria:</w:t>
            </w:r>
          </w:p>
        </w:tc>
      </w:tr>
      <w:tr w:rsidR="009379F3" w:rsidRPr="00F5725A" w14:paraId="4BB96864" w14:textId="77777777" w:rsidTr="0068437B">
        <w:trPr>
          <w:trHeight w:val="206"/>
        </w:trPr>
        <w:tc>
          <w:tcPr>
            <w:tcW w:w="1130" w:type="dxa"/>
          </w:tcPr>
          <w:p w14:paraId="091BF0B8" w14:textId="1F860D29"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FEE8037"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 xml:space="preserve">Must be treated by a metabolic physician; or </w:t>
            </w:r>
          </w:p>
        </w:tc>
      </w:tr>
      <w:tr w:rsidR="009379F3" w:rsidRPr="00F5725A" w14:paraId="21CCF25A" w14:textId="77777777" w:rsidTr="0068437B">
        <w:trPr>
          <w:trHeight w:val="206"/>
        </w:trPr>
        <w:tc>
          <w:tcPr>
            <w:tcW w:w="1130" w:type="dxa"/>
          </w:tcPr>
          <w:p w14:paraId="22E696D4" w14:textId="74B3999C"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334F5F9"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Must be treated by a nurse practitioner experienced in the treatment of phenylketonuria in consultation with a metabolic physician</w:t>
            </w:r>
          </w:p>
        </w:tc>
      </w:tr>
      <w:tr w:rsidR="009379F3" w:rsidRPr="00F5725A" w14:paraId="418AD247" w14:textId="77777777" w:rsidTr="0068437B">
        <w:trPr>
          <w:trHeight w:val="206"/>
        </w:trPr>
        <w:tc>
          <w:tcPr>
            <w:tcW w:w="1130" w:type="dxa"/>
          </w:tcPr>
          <w:p w14:paraId="4E7A3692"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418C61A5"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47CDD390" w14:textId="77777777" w:rsidTr="00D020EA">
        <w:tc>
          <w:tcPr>
            <w:tcW w:w="1130" w:type="dxa"/>
          </w:tcPr>
          <w:p w14:paraId="05B1D7BF" w14:textId="2918ECF6"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12AE67B9"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518AEEDD" w14:textId="77777777" w:rsidTr="00D020EA">
        <w:tc>
          <w:tcPr>
            <w:tcW w:w="1130" w:type="dxa"/>
          </w:tcPr>
          <w:p w14:paraId="3E3A0D5C" w14:textId="3C475370"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541F584A"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Patient must have previously received PBS-subsidised treatment under the Initial - responsiveness testing restriction with this drug for this condition;</w:t>
            </w:r>
          </w:p>
        </w:tc>
      </w:tr>
      <w:tr w:rsidR="009379F3" w:rsidRPr="00F5725A" w14:paraId="7EA0FFD6" w14:textId="77777777" w:rsidTr="00D020EA">
        <w:tc>
          <w:tcPr>
            <w:tcW w:w="1130" w:type="dxa"/>
          </w:tcPr>
          <w:p w14:paraId="59FA8846" w14:textId="77777777" w:rsidR="009379F3" w:rsidRPr="00F5725A" w:rsidRDefault="009379F3" w:rsidP="0068437B">
            <w:pPr>
              <w:spacing w:line="360" w:lineRule="auto"/>
              <w:rPr>
                <w:rFonts w:ascii="Arial Narrow" w:eastAsia="Times New Roman" w:hAnsi="Arial Narrow"/>
                <w:sz w:val="18"/>
                <w:szCs w:val="18"/>
                <w:lang w:eastAsia="en-AU"/>
              </w:rPr>
            </w:pPr>
          </w:p>
        </w:tc>
        <w:tc>
          <w:tcPr>
            <w:tcW w:w="7887" w:type="dxa"/>
            <w:gridSpan w:val="6"/>
            <w:hideMark/>
          </w:tcPr>
          <w:p w14:paraId="7B4AC629"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AND</w:t>
            </w:r>
          </w:p>
        </w:tc>
      </w:tr>
      <w:tr w:rsidR="009379F3" w:rsidRPr="00F5725A" w14:paraId="1CCC52A2" w14:textId="77777777" w:rsidTr="0068437B">
        <w:trPr>
          <w:trHeight w:val="117"/>
        </w:trPr>
        <w:tc>
          <w:tcPr>
            <w:tcW w:w="1130" w:type="dxa"/>
          </w:tcPr>
          <w:p w14:paraId="0183B925" w14:textId="1758C0C3"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562726B"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5BFA8E75" w14:textId="77777777" w:rsidTr="00D020EA">
        <w:tc>
          <w:tcPr>
            <w:tcW w:w="1130" w:type="dxa"/>
          </w:tcPr>
          <w:p w14:paraId="1A1B9F5A"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30BCF472"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Patient must have demonstrated a response to treatment with this drug of greater than or equal to a 30% reduction in phenylalanine levels from baseline during initial responsiveness testing</w:t>
            </w:r>
          </w:p>
        </w:tc>
      </w:tr>
      <w:tr w:rsidR="009379F3" w:rsidRPr="00F5725A" w14:paraId="7C9BD6E4" w14:textId="77777777" w:rsidTr="0068437B">
        <w:tc>
          <w:tcPr>
            <w:tcW w:w="1130" w:type="dxa"/>
          </w:tcPr>
          <w:p w14:paraId="3637FE90"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1D2DAEE9" w14:textId="77777777" w:rsidR="009379F3" w:rsidRPr="00F5725A" w:rsidRDefault="009379F3" w:rsidP="0068437B">
            <w:pPr>
              <w:rPr>
                <w:rFonts w:ascii="Arial Narrow" w:eastAsia="Times New Roman" w:hAnsi="Arial Narrow"/>
                <w:sz w:val="18"/>
                <w:szCs w:val="18"/>
                <w:lang w:eastAsia="en-AU"/>
              </w:rPr>
            </w:pPr>
          </w:p>
        </w:tc>
      </w:tr>
      <w:tr w:rsidR="009379F3" w:rsidRPr="00F5725A" w14:paraId="46880F94" w14:textId="77777777" w:rsidTr="0068437B">
        <w:tc>
          <w:tcPr>
            <w:tcW w:w="1130" w:type="dxa"/>
          </w:tcPr>
          <w:p w14:paraId="018FD627" w14:textId="4FDE0DA9"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6174A3F" w14:textId="77777777" w:rsidR="009379F3" w:rsidRPr="00F5725A" w:rsidRDefault="009379F3" w:rsidP="0068437B">
            <w:pPr>
              <w:autoSpaceDE w:val="0"/>
              <w:autoSpaceDN w:val="0"/>
              <w:adjustRightInd w:val="0"/>
              <w:rPr>
                <w:rFonts w:ascii="Arial Narrow" w:eastAsia="Calibri" w:hAnsi="Arial Narrow" w:cs="Arial Narrow"/>
                <w:b/>
                <w:bCs/>
                <w:strike/>
                <w:sz w:val="18"/>
                <w:szCs w:val="18"/>
              </w:rPr>
            </w:pPr>
            <w:r w:rsidRPr="00F5725A">
              <w:rPr>
                <w:rFonts w:ascii="Arial Narrow" w:eastAsia="Calibri" w:hAnsi="Arial Narrow" w:cs="Arial Narrow"/>
                <w:b/>
                <w:bCs/>
                <w:strike/>
                <w:sz w:val="18"/>
                <w:szCs w:val="18"/>
              </w:rPr>
              <w:t>Population criteria:</w:t>
            </w:r>
          </w:p>
        </w:tc>
      </w:tr>
      <w:tr w:rsidR="009379F3" w:rsidRPr="00F5725A" w14:paraId="44748A11" w14:textId="77777777" w:rsidTr="0068437B">
        <w:tc>
          <w:tcPr>
            <w:tcW w:w="1130" w:type="dxa"/>
          </w:tcPr>
          <w:p w14:paraId="6CCA8B0B" w14:textId="14BEFB84"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14523A0" w14:textId="77777777" w:rsidR="009379F3" w:rsidRPr="00F5725A" w:rsidRDefault="009379F3" w:rsidP="0068437B">
            <w:pPr>
              <w:autoSpaceDE w:val="0"/>
              <w:autoSpaceDN w:val="0"/>
              <w:adjustRightInd w:val="0"/>
              <w:rPr>
                <w:rFonts w:ascii="Arial Narrow" w:eastAsia="Calibri" w:hAnsi="Arial Narrow" w:cs="Arial Narrow"/>
                <w:strike/>
                <w:sz w:val="18"/>
                <w:szCs w:val="18"/>
              </w:rPr>
            </w:pPr>
            <w:r w:rsidRPr="00F5725A">
              <w:rPr>
                <w:rFonts w:ascii="Arial Narrow" w:eastAsia="Calibri" w:hAnsi="Arial Narrow" w:cs="Arial Narrow"/>
                <w:strike/>
                <w:sz w:val="18"/>
                <w:szCs w:val="18"/>
              </w:rPr>
              <w:t>Patient must have been under 18 years of age at the time treatment with this drug was initiated for this condition</w:t>
            </w:r>
          </w:p>
        </w:tc>
      </w:tr>
      <w:tr w:rsidR="009379F3" w:rsidRPr="00F5725A" w14:paraId="2F0627FE" w14:textId="77777777" w:rsidTr="0068437B">
        <w:tc>
          <w:tcPr>
            <w:tcW w:w="1130" w:type="dxa"/>
          </w:tcPr>
          <w:p w14:paraId="45E178F4"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75EA0D1E" w14:textId="77777777" w:rsidR="009379F3" w:rsidRPr="00F5725A" w:rsidRDefault="009379F3" w:rsidP="0068437B">
            <w:pPr>
              <w:autoSpaceDE w:val="0"/>
              <w:autoSpaceDN w:val="0"/>
              <w:adjustRightInd w:val="0"/>
              <w:rPr>
                <w:rFonts w:ascii="Arial Narrow" w:eastAsia="Calibri" w:hAnsi="Arial Narrow" w:cs="Arial Narrow"/>
                <w:sz w:val="18"/>
                <w:szCs w:val="18"/>
              </w:rPr>
            </w:pPr>
          </w:p>
        </w:tc>
      </w:tr>
      <w:tr w:rsidR="009379F3" w:rsidRPr="00F5725A" w14:paraId="7425B196" w14:textId="77777777" w:rsidTr="0068437B">
        <w:tc>
          <w:tcPr>
            <w:tcW w:w="1130" w:type="dxa"/>
            <w:hideMark/>
          </w:tcPr>
          <w:p w14:paraId="1A390AED" w14:textId="7DC3B8BD"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4D774883" w14:textId="4440031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Prescribing Instructions:</w:t>
            </w:r>
            <w:r w:rsidR="00F5725A">
              <w:rPr>
                <w:rFonts w:ascii="Arial Narrow" w:eastAsia="Times New Roman" w:hAnsi="Arial Narrow"/>
                <w:b/>
                <w:bCs/>
                <w:sz w:val="18"/>
                <w:szCs w:val="18"/>
                <w:lang w:eastAsia="en-AU"/>
              </w:rPr>
              <w:t xml:space="preserve"> </w:t>
            </w:r>
            <w:r w:rsidRPr="00F5725A">
              <w:rPr>
                <w:rFonts w:ascii="Arial Narrow" w:eastAsia="Times New Roman" w:hAnsi="Arial Narrow"/>
                <w:sz w:val="18"/>
                <w:szCs w:val="18"/>
                <w:lang w:eastAsia="en-AU"/>
              </w:rPr>
              <w:t xml:space="preserve">Blood phenylalanine levels must be based on measurements taken during stable periods of the condition. </w:t>
            </w:r>
          </w:p>
        </w:tc>
      </w:tr>
      <w:tr w:rsidR="009379F3" w:rsidRPr="00F5725A" w14:paraId="5F956822" w14:textId="77777777" w:rsidTr="0068437B">
        <w:tc>
          <w:tcPr>
            <w:tcW w:w="1130" w:type="dxa"/>
          </w:tcPr>
          <w:p w14:paraId="651ACC30" w14:textId="589316EE"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4D9B72F1" w14:textId="4D066C48"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Prescribing Instructions:</w:t>
            </w:r>
            <w:r w:rsidR="00F5725A">
              <w:rPr>
                <w:rFonts w:ascii="Arial Narrow" w:eastAsia="Times New Roman" w:hAnsi="Arial Narrow"/>
                <w:b/>
                <w:bCs/>
                <w:sz w:val="18"/>
                <w:szCs w:val="18"/>
                <w:lang w:eastAsia="en-AU"/>
              </w:rPr>
              <w:t xml:space="preserve"> </w:t>
            </w:r>
            <w:r w:rsidRPr="00F5725A">
              <w:rPr>
                <w:rFonts w:ascii="Arial Narrow" w:eastAsia="Times New Roman" w:hAnsi="Arial Narrow"/>
                <w:sz w:val="18"/>
                <w:szCs w:val="18"/>
                <w:lang w:eastAsia="en-AU"/>
              </w:rPr>
              <w:t>Dietary phenylalanine intake must be maintained at a constant level.</w:t>
            </w:r>
          </w:p>
        </w:tc>
      </w:tr>
      <w:tr w:rsidR="009379F3" w:rsidRPr="00F5725A" w14:paraId="0D62128D" w14:textId="77777777" w:rsidTr="0068437B">
        <w:tblPrEx>
          <w:tblLook w:val="04A0" w:firstRow="1" w:lastRow="0" w:firstColumn="1" w:lastColumn="0" w:noHBand="0" w:noVBand="1"/>
        </w:tblPrEx>
        <w:tc>
          <w:tcPr>
            <w:tcW w:w="9017" w:type="dxa"/>
            <w:gridSpan w:val="7"/>
          </w:tcPr>
          <w:p w14:paraId="01C8BF5D"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5683DB8D" w14:textId="77777777" w:rsidTr="0068437B">
        <w:tblPrEx>
          <w:tblLook w:val="04A0" w:firstRow="1" w:lastRow="0" w:firstColumn="1" w:lastColumn="0" w:noHBand="0" w:noVBand="1"/>
        </w:tblPrEx>
        <w:tc>
          <w:tcPr>
            <w:tcW w:w="9017" w:type="dxa"/>
            <w:gridSpan w:val="7"/>
          </w:tcPr>
          <w:p w14:paraId="066E74CF" w14:textId="0F9C2F20" w:rsidR="009379F3" w:rsidRPr="00F5725A" w:rsidRDefault="00F5725A" w:rsidP="0068437B">
            <w:pPr>
              <w:rPr>
                <w:rFonts w:ascii="Arial Narrow" w:eastAsia="Times New Roman" w:hAnsi="Arial Narrow"/>
                <w:b/>
                <w:bCs/>
                <w:sz w:val="18"/>
                <w:szCs w:val="18"/>
                <w:lang w:eastAsia="en-AU"/>
              </w:rPr>
            </w:pPr>
            <w:r>
              <w:rPr>
                <w:rFonts w:ascii="Arial Narrow" w:eastAsia="Times New Roman" w:hAnsi="Arial Narrow"/>
                <w:b/>
                <w:bCs/>
                <w:sz w:val="18"/>
                <w:szCs w:val="18"/>
                <w:lang w:eastAsia="en-AU"/>
              </w:rPr>
              <w:t xml:space="preserve">Edit </w:t>
            </w:r>
            <w:r w:rsidR="009379F3" w:rsidRPr="00F5725A">
              <w:rPr>
                <w:rFonts w:ascii="Arial Narrow" w:eastAsia="Times New Roman" w:hAnsi="Arial Narrow"/>
                <w:b/>
                <w:bCs/>
                <w:sz w:val="18"/>
                <w:szCs w:val="18"/>
                <w:lang w:eastAsia="en-AU"/>
              </w:rPr>
              <w:t>Restriction Summary 10354 / ToC: 10364</w:t>
            </w:r>
          </w:p>
        </w:tc>
      </w:tr>
      <w:tr w:rsidR="009379F3" w:rsidRPr="00F5725A" w14:paraId="5845FFF0" w14:textId="77777777" w:rsidTr="00D020EA">
        <w:tblPrEx>
          <w:tblLook w:val="04A0" w:firstRow="1" w:lastRow="0" w:firstColumn="1" w:lastColumn="0" w:noHBand="0" w:noVBand="1"/>
        </w:tblPrEx>
        <w:tc>
          <w:tcPr>
            <w:tcW w:w="1130" w:type="dxa"/>
          </w:tcPr>
          <w:p w14:paraId="1B8A8C76" w14:textId="1DE3946F"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2D3B5559"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Indication:</w:t>
            </w:r>
            <w:r w:rsidRPr="00F5725A">
              <w:rPr>
                <w:rFonts w:ascii="Arial Narrow" w:eastAsia="Times New Roman" w:hAnsi="Arial Narrow"/>
                <w:sz w:val="18"/>
                <w:szCs w:val="18"/>
                <w:lang w:eastAsia="en-AU"/>
              </w:rPr>
              <w:t xml:space="preserve"> Hyperphenylalaninemia (HPA) due to phenylketonuria (PKU)</w:t>
            </w:r>
          </w:p>
        </w:tc>
      </w:tr>
      <w:tr w:rsidR="009379F3" w:rsidRPr="00F5725A" w14:paraId="0DA9E2D4" w14:textId="77777777" w:rsidTr="0068437B">
        <w:tblPrEx>
          <w:tblLook w:val="04A0" w:firstRow="1" w:lastRow="0" w:firstColumn="1" w:lastColumn="0" w:noHBand="0" w:noVBand="1"/>
        </w:tblPrEx>
        <w:tc>
          <w:tcPr>
            <w:tcW w:w="1130" w:type="dxa"/>
          </w:tcPr>
          <w:p w14:paraId="10787468"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78166191"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7C62A5CC" w14:textId="77777777" w:rsidTr="00D020EA">
        <w:tblPrEx>
          <w:tblLook w:val="04A0" w:firstRow="1" w:lastRow="0" w:firstColumn="1" w:lastColumn="0" w:noHBand="0" w:noVBand="1"/>
        </w:tblPrEx>
        <w:tc>
          <w:tcPr>
            <w:tcW w:w="1130" w:type="dxa"/>
          </w:tcPr>
          <w:p w14:paraId="496F88E6"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56E3CDFF"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Treatment Phase:</w:t>
            </w:r>
            <w:r w:rsidRPr="00F5725A">
              <w:rPr>
                <w:rFonts w:ascii="Arial Narrow" w:eastAsia="Times New Roman" w:hAnsi="Arial Narrow"/>
                <w:sz w:val="18"/>
                <w:szCs w:val="18"/>
                <w:lang w:eastAsia="en-AU"/>
              </w:rPr>
              <w:t xml:space="preserve"> Subsequent continuing </w:t>
            </w:r>
          </w:p>
        </w:tc>
      </w:tr>
      <w:tr w:rsidR="009379F3" w:rsidRPr="00F5725A" w14:paraId="25BDA7B5" w14:textId="77777777" w:rsidTr="0068437B">
        <w:tblPrEx>
          <w:tblLook w:val="04A0" w:firstRow="1" w:lastRow="0" w:firstColumn="1" w:lastColumn="0" w:noHBand="0" w:noVBand="1"/>
        </w:tblPrEx>
        <w:trPr>
          <w:trHeight w:val="104"/>
        </w:trPr>
        <w:tc>
          <w:tcPr>
            <w:tcW w:w="1130" w:type="dxa"/>
          </w:tcPr>
          <w:p w14:paraId="6F7F6E1B"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6AFEA56" w14:textId="77777777" w:rsidR="009379F3" w:rsidRPr="00F5725A" w:rsidRDefault="009379F3" w:rsidP="0068437B">
            <w:pPr>
              <w:rPr>
                <w:rFonts w:ascii="Arial Narrow" w:eastAsia="Times New Roman" w:hAnsi="Arial Narrow"/>
                <w:b/>
                <w:bCs/>
                <w:sz w:val="18"/>
                <w:szCs w:val="18"/>
                <w:lang w:eastAsia="en-AU"/>
              </w:rPr>
            </w:pPr>
          </w:p>
        </w:tc>
      </w:tr>
      <w:tr w:rsidR="009379F3" w:rsidRPr="00F5725A" w14:paraId="45779FD2" w14:textId="77777777" w:rsidTr="0068437B">
        <w:tblPrEx>
          <w:tblLook w:val="04A0" w:firstRow="1" w:lastRow="0" w:firstColumn="1" w:lastColumn="0" w:noHBand="0" w:noVBand="1"/>
        </w:tblPrEx>
        <w:trPr>
          <w:trHeight w:val="104"/>
        </w:trPr>
        <w:tc>
          <w:tcPr>
            <w:tcW w:w="1130" w:type="dxa"/>
          </w:tcPr>
          <w:p w14:paraId="77D782A6" w14:textId="3EC23659"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21BC077A"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Treatment criteria:</w:t>
            </w:r>
          </w:p>
        </w:tc>
      </w:tr>
      <w:tr w:rsidR="009379F3" w:rsidRPr="00F5725A" w14:paraId="0A86E150" w14:textId="77777777" w:rsidTr="0068437B">
        <w:tblPrEx>
          <w:tblLook w:val="04A0" w:firstRow="1" w:lastRow="0" w:firstColumn="1" w:lastColumn="0" w:noHBand="0" w:noVBand="1"/>
        </w:tblPrEx>
        <w:trPr>
          <w:trHeight w:val="104"/>
        </w:trPr>
        <w:tc>
          <w:tcPr>
            <w:tcW w:w="1130" w:type="dxa"/>
          </w:tcPr>
          <w:p w14:paraId="193B2697" w14:textId="3BABCDDF"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0D442688"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 xml:space="preserve">Must be treated by a metabolic physician; or </w:t>
            </w:r>
          </w:p>
        </w:tc>
      </w:tr>
      <w:tr w:rsidR="009379F3" w:rsidRPr="00F5725A" w14:paraId="3F13A5C2" w14:textId="77777777" w:rsidTr="0068437B">
        <w:tblPrEx>
          <w:tblLook w:val="04A0" w:firstRow="1" w:lastRow="0" w:firstColumn="1" w:lastColumn="0" w:noHBand="0" w:noVBand="1"/>
        </w:tblPrEx>
        <w:trPr>
          <w:trHeight w:val="104"/>
        </w:trPr>
        <w:tc>
          <w:tcPr>
            <w:tcW w:w="1130" w:type="dxa"/>
          </w:tcPr>
          <w:p w14:paraId="737E6C7D" w14:textId="4905C02C"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5414DA9D"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sz w:val="18"/>
                <w:szCs w:val="18"/>
                <w:lang w:eastAsia="en-AU"/>
              </w:rPr>
              <w:t>Must be treated by a nurse practitioner experienced in the treatment of phenylketonuria in consultation with a metabolic physician</w:t>
            </w:r>
          </w:p>
        </w:tc>
      </w:tr>
      <w:tr w:rsidR="009379F3" w:rsidRPr="00F5725A" w14:paraId="2A0D0D26" w14:textId="77777777" w:rsidTr="0068437B">
        <w:tblPrEx>
          <w:tblLook w:val="04A0" w:firstRow="1" w:lastRow="0" w:firstColumn="1" w:lastColumn="0" w:noHBand="0" w:noVBand="1"/>
        </w:tblPrEx>
        <w:trPr>
          <w:trHeight w:val="104"/>
        </w:trPr>
        <w:tc>
          <w:tcPr>
            <w:tcW w:w="1130" w:type="dxa"/>
          </w:tcPr>
          <w:p w14:paraId="6FCACC74"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52127B32" w14:textId="77777777" w:rsidR="009379F3" w:rsidRPr="00F5725A" w:rsidRDefault="009379F3" w:rsidP="0068437B">
            <w:pPr>
              <w:rPr>
                <w:rFonts w:ascii="Arial Narrow" w:eastAsia="Times New Roman" w:hAnsi="Arial Narrow"/>
                <w:sz w:val="18"/>
                <w:szCs w:val="18"/>
                <w:lang w:eastAsia="en-AU"/>
              </w:rPr>
            </w:pPr>
          </w:p>
        </w:tc>
      </w:tr>
      <w:tr w:rsidR="009379F3" w:rsidRPr="00F5725A" w14:paraId="362BD73F" w14:textId="77777777" w:rsidTr="00D020EA">
        <w:tblPrEx>
          <w:tblLook w:val="04A0" w:firstRow="1" w:lastRow="0" w:firstColumn="1" w:lastColumn="0" w:noHBand="0" w:noVBand="1"/>
        </w:tblPrEx>
        <w:tc>
          <w:tcPr>
            <w:tcW w:w="1130" w:type="dxa"/>
          </w:tcPr>
          <w:p w14:paraId="51BE386E" w14:textId="7CAA41DB"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0987B4B2"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38F41402" w14:textId="77777777" w:rsidTr="00D020EA">
        <w:tblPrEx>
          <w:tblLook w:val="04A0" w:firstRow="1" w:lastRow="0" w:firstColumn="1" w:lastColumn="0" w:noHBand="0" w:noVBand="1"/>
        </w:tblPrEx>
        <w:tc>
          <w:tcPr>
            <w:tcW w:w="1130" w:type="dxa"/>
          </w:tcPr>
          <w:p w14:paraId="4AED69C6" w14:textId="2AAD61A6"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10FF9B43"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Patient must have previously received PBS-subsidised treatment with this drug for this condition under the First continuing treatment restriction;</w:t>
            </w:r>
          </w:p>
        </w:tc>
      </w:tr>
      <w:tr w:rsidR="009379F3" w:rsidRPr="00F5725A" w14:paraId="35D5D726" w14:textId="77777777" w:rsidTr="00D020EA">
        <w:tblPrEx>
          <w:tblLook w:val="04A0" w:firstRow="1" w:lastRow="0" w:firstColumn="1" w:lastColumn="0" w:noHBand="0" w:noVBand="1"/>
        </w:tblPrEx>
        <w:tc>
          <w:tcPr>
            <w:tcW w:w="1130" w:type="dxa"/>
          </w:tcPr>
          <w:p w14:paraId="06B07330" w14:textId="77777777" w:rsidR="009379F3" w:rsidRPr="00F5725A" w:rsidRDefault="009379F3" w:rsidP="0068437B">
            <w:pPr>
              <w:rPr>
                <w:rFonts w:ascii="Arial Narrow" w:eastAsia="Times New Roman" w:hAnsi="Arial Narrow"/>
                <w:sz w:val="18"/>
                <w:szCs w:val="18"/>
                <w:lang w:eastAsia="en-AU"/>
              </w:rPr>
            </w:pPr>
          </w:p>
        </w:tc>
        <w:tc>
          <w:tcPr>
            <w:tcW w:w="7887" w:type="dxa"/>
            <w:gridSpan w:val="6"/>
            <w:hideMark/>
          </w:tcPr>
          <w:p w14:paraId="3A3F9F7A"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b/>
                <w:bCs/>
                <w:sz w:val="18"/>
                <w:szCs w:val="18"/>
                <w:lang w:eastAsia="en-AU"/>
              </w:rPr>
              <w:t>AND</w:t>
            </w:r>
          </w:p>
        </w:tc>
      </w:tr>
      <w:tr w:rsidR="009379F3" w:rsidRPr="00F5725A" w14:paraId="626F277B" w14:textId="77777777" w:rsidTr="0068437B">
        <w:tblPrEx>
          <w:tblLook w:val="04A0" w:firstRow="1" w:lastRow="0" w:firstColumn="1" w:lastColumn="0" w:noHBand="0" w:noVBand="1"/>
        </w:tblPrEx>
        <w:tc>
          <w:tcPr>
            <w:tcW w:w="1130" w:type="dxa"/>
          </w:tcPr>
          <w:p w14:paraId="67AB9FC0" w14:textId="5887F724"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3E1C6583" w14:textId="77777777" w:rsidR="009379F3" w:rsidRPr="00F5725A" w:rsidRDefault="009379F3" w:rsidP="0068437B">
            <w:pPr>
              <w:rPr>
                <w:rFonts w:ascii="Arial Narrow" w:eastAsia="Times New Roman" w:hAnsi="Arial Narrow"/>
                <w:b/>
                <w:bCs/>
                <w:sz w:val="18"/>
                <w:szCs w:val="18"/>
                <w:lang w:eastAsia="en-AU"/>
              </w:rPr>
            </w:pPr>
            <w:r w:rsidRPr="00F5725A">
              <w:rPr>
                <w:rFonts w:ascii="Arial Narrow" w:eastAsia="Times New Roman" w:hAnsi="Arial Narrow"/>
                <w:b/>
                <w:bCs/>
                <w:sz w:val="18"/>
                <w:szCs w:val="18"/>
                <w:lang w:eastAsia="en-AU"/>
              </w:rPr>
              <w:t>Clinical criteria:</w:t>
            </w:r>
          </w:p>
        </w:tc>
      </w:tr>
      <w:tr w:rsidR="009379F3" w:rsidRPr="00F5725A" w14:paraId="0A0C5C5F" w14:textId="77777777" w:rsidTr="00D020EA">
        <w:tblPrEx>
          <w:tblLook w:val="04A0" w:firstRow="1" w:lastRow="0" w:firstColumn="1" w:lastColumn="0" w:noHBand="0" w:noVBand="1"/>
        </w:tblPrEx>
        <w:tc>
          <w:tcPr>
            <w:tcW w:w="1130" w:type="dxa"/>
          </w:tcPr>
          <w:p w14:paraId="5D4A922B" w14:textId="7321181C" w:rsidR="009379F3" w:rsidRPr="00F5725A" w:rsidRDefault="009379F3" w:rsidP="0068437B">
            <w:pPr>
              <w:jc w:val="center"/>
              <w:rPr>
                <w:rFonts w:ascii="Arial Narrow" w:eastAsia="Times New Roman" w:hAnsi="Arial Narrow"/>
                <w:sz w:val="18"/>
                <w:szCs w:val="18"/>
                <w:lang w:eastAsia="en-AU"/>
              </w:rPr>
            </w:pPr>
          </w:p>
        </w:tc>
        <w:tc>
          <w:tcPr>
            <w:tcW w:w="7887" w:type="dxa"/>
            <w:gridSpan w:val="6"/>
            <w:hideMark/>
          </w:tcPr>
          <w:p w14:paraId="10D65876" w14:textId="77777777" w:rsidR="009379F3" w:rsidRPr="00F5725A" w:rsidRDefault="009379F3" w:rsidP="0068437B">
            <w:pPr>
              <w:rPr>
                <w:rFonts w:ascii="Arial Narrow" w:eastAsia="Times New Roman" w:hAnsi="Arial Narrow"/>
                <w:sz w:val="18"/>
                <w:szCs w:val="18"/>
                <w:lang w:eastAsia="en-AU"/>
              </w:rPr>
            </w:pPr>
            <w:r w:rsidRPr="00F5725A">
              <w:rPr>
                <w:rFonts w:ascii="Arial Narrow" w:eastAsia="Times New Roman" w:hAnsi="Arial Narrow"/>
                <w:sz w:val="18"/>
                <w:szCs w:val="18"/>
                <w:lang w:eastAsia="en-AU"/>
              </w:rPr>
              <w:t>Patient must be undergoing regular phenylalanine testing and assessment of adherence to dietary modifications.</w:t>
            </w:r>
          </w:p>
        </w:tc>
      </w:tr>
      <w:tr w:rsidR="009379F3" w:rsidRPr="00F5725A" w14:paraId="1E9434CC" w14:textId="77777777" w:rsidTr="0068437B">
        <w:tblPrEx>
          <w:tblLook w:val="04A0" w:firstRow="1" w:lastRow="0" w:firstColumn="1" w:lastColumn="0" w:noHBand="0" w:noVBand="1"/>
        </w:tblPrEx>
        <w:tc>
          <w:tcPr>
            <w:tcW w:w="1130" w:type="dxa"/>
          </w:tcPr>
          <w:p w14:paraId="17405027" w14:textId="77777777"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194F9F05" w14:textId="77777777" w:rsidR="009379F3" w:rsidRPr="00F5725A" w:rsidRDefault="009379F3" w:rsidP="0068437B">
            <w:pPr>
              <w:rPr>
                <w:rFonts w:ascii="Arial Narrow" w:eastAsia="Times New Roman" w:hAnsi="Arial Narrow"/>
                <w:sz w:val="18"/>
                <w:szCs w:val="18"/>
                <w:lang w:eastAsia="en-AU"/>
              </w:rPr>
            </w:pPr>
          </w:p>
        </w:tc>
      </w:tr>
      <w:tr w:rsidR="009379F3" w:rsidRPr="00F5725A" w14:paraId="3B579F03" w14:textId="77777777" w:rsidTr="0068437B">
        <w:tblPrEx>
          <w:tblLook w:val="04A0" w:firstRow="1" w:lastRow="0" w:firstColumn="1" w:lastColumn="0" w:noHBand="0" w:noVBand="1"/>
        </w:tblPrEx>
        <w:tc>
          <w:tcPr>
            <w:tcW w:w="1130" w:type="dxa"/>
          </w:tcPr>
          <w:p w14:paraId="36BA2F81" w14:textId="57A6E9EC"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1FBD46F3" w14:textId="77777777" w:rsidR="009379F3" w:rsidRPr="00F5725A" w:rsidRDefault="009379F3" w:rsidP="0068437B">
            <w:pPr>
              <w:autoSpaceDE w:val="0"/>
              <w:autoSpaceDN w:val="0"/>
              <w:adjustRightInd w:val="0"/>
              <w:rPr>
                <w:rFonts w:ascii="Arial Narrow" w:eastAsia="Calibri" w:hAnsi="Arial Narrow" w:cs="Arial Narrow"/>
                <w:b/>
                <w:bCs/>
                <w:strike/>
                <w:sz w:val="18"/>
                <w:szCs w:val="18"/>
              </w:rPr>
            </w:pPr>
            <w:r w:rsidRPr="00F5725A">
              <w:rPr>
                <w:rFonts w:ascii="Arial Narrow" w:eastAsia="Calibri" w:hAnsi="Arial Narrow" w:cs="Arial Narrow"/>
                <w:b/>
                <w:bCs/>
                <w:strike/>
                <w:sz w:val="18"/>
                <w:szCs w:val="18"/>
              </w:rPr>
              <w:t>Population criteria:</w:t>
            </w:r>
          </w:p>
        </w:tc>
      </w:tr>
      <w:tr w:rsidR="009379F3" w:rsidRPr="00F5725A" w14:paraId="6FC1427A" w14:textId="77777777" w:rsidTr="0068437B">
        <w:tblPrEx>
          <w:tblLook w:val="04A0" w:firstRow="1" w:lastRow="0" w:firstColumn="1" w:lastColumn="0" w:noHBand="0" w:noVBand="1"/>
        </w:tblPrEx>
        <w:tc>
          <w:tcPr>
            <w:tcW w:w="1130" w:type="dxa"/>
          </w:tcPr>
          <w:p w14:paraId="2B7BFB8D" w14:textId="3968F766" w:rsidR="009379F3" w:rsidRPr="00F5725A" w:rsidRDefault="009379F3" w:rsidP="0068437B">
            <w:pPr>
              <w:jc w:val="center"/>
              <w:rPr>
                <w:rFonts w:ascii="Arial Narrow" w:eastAsia="Times New Roman" w:hAnsi="Arial Narrow"/>
                <w:sz w:val="18"/>
                <w:szCs w:val="18"/>
                <w:lang w:eastAsia="en-AU"/>
              </w:rPr>
            </w:pPr>
          </w:p>
        </w:tc>
        <w:tc>
          <w:tcPr>
            <w:tcW w:w="7887" w:type="dxa"/>
            <w:gridSpan w:val="6"/>
          </w:tcPr>
          <w:p w14:paraId="4E6E124F" w14:textId="77777777" w:rsidR="009379F3" w:rsidRPr="00F5725A" w:rsidRDefault="009379F3" w:rsidP="0068437B">
            <w:pPr>
              <w:autoSpaceDE w:val="0"/>
              <w:autoSpaceDN w:val="0"/>
              <w:adjustRightInd w:val="0"/>
              <w:rPr>
                <w:rFonts w:ascii="Arial Narrow" w:eastAsia="Calibri" w:hAnsi="Arial Narrow" w:cs="Arial Narrow"/>
                <w:strike/>
                <w:sz w:val="18"/>
                <w:szCs w:val="18"/>
              </w:rPr>
            </w:pPr>
            <w:r w:rsidRPr="00F5725A">
              <w:rPr>
                <w:rFonts w:ascii="Arial Narrow" w:eastAsia="Calibri" w:hAnsi="Arial Narrow" w:cs="Arial Narrow"/>
                <w:strike/>
                <w:sz w:val="18"/>
                <w:szCs w:val="18"/>
              </w:rPr>
              <w:t>Patient must have been under 18 years of age at the time treatment with this drug was initiated for this condition</w:t>
            </w:r>
          </w:p>
        </w:tc>
      </w:tr>
      <w:tr w:rsidR="009379F3" w:rsidRPr="00F5725A" w14:paraId="44E13DA3" w14:textId="77777777" w:rsidTr="0068437B">
        <w:tblPrEx>
          <w:tblLook w:val="04A0" w:firstRow="1" w:lastRow="0" w:firstColumn="1" w:lastColumn="0" w:noHBand="0" w:noVBand="1"/>
        </w:tblPrEx>
        <w:tc>
          <w:tcPr>
            <w:tcW w:w="9017" w:type="dxa"/>
            <w:gridSpan w:val="7"/>
          </w:tcPr>
          <w:p w14:paraId="64204418" w14:textId="77777777" w:rsidR="009379F3" w:rsidRPr="00F5725A" w:rsidRDefault="009379F3" w:rsidP="0068437B">
            <w:pPr>
              <w:autoSpaceDE w:val="0"/>
              <w:autoSpaceDN w:val="0"/>
              <w:adjustRightInd w:val="0"/>
              <w:rPr>
                <w:rFonts w:ascii="Arial Narrow" w:eastAsia="Calibri" w:hAnsi="Arial Narrow" w:cs="Arial Narrow"/>
                <w:strike/>
                <w:sz w:val="18"/>
                <w:szCs w:val="18"/>
              </w:rPr>
            </w:pPr>
          </w:p>
        </w:tc>
      </w:tr>
      <w:tr w:rsidR="009379F3" w:rsidRPr="00F5725A" w14:paraId="607BCC79" w14:textId="77777777" w:rsidTr="0068437B">
        <w:tblPrEx>
          <w:tblLook w:val="04A0" w:firstRow="1" w:lastRow="0" w:firstColumn="1" w:lastColumn="0" w:noHBand="0" w:noVBand="1"/>
        </w:tblPrEx>
        <w:tc>
          <w:tcPr>
            <w:tcW w:w="9017" w:type="dxa"/>
            <w:gridSpan w:val="7"/>
          </w:tcPr>
          <w:p w14:paraId="100665CB" w14:textId="77777777" w:rsidR="009379F3" w:rsidRPr="00F5725A" w:rsidRDefault="009379F3" w:rsidP="0068437B">
            <w:pPr>
              <w:autoSpaceDE w:val="0"/>
              <w:autoSpaceDN w:val="0"/>
              <w:adjustRightInd w:val="0"/>
              <w:rPr>
                <w:rFonts w:ascii="Arial Narrow" w:eastAsia="Calibri" w:hAnsi="Arial Narrow" w:cs="Arial Narrow"/>
                <w:i/>
                <w:iCs/>
                <w:sz w:val="18"/>
                <w:szCs w:val="18"/>
              </w:rPr>
            </w:pPr>
            <w:r w:rsidRPr="00F5725A">
              <w:rPr>
                <w:rFonts w:ascii="Arial Narrow" w:eastAsia="Calibri" w:hAnsi="Arial Narrow" w:cs="Arial Narrow"/>
                <w:i/>
                <w:iCs/>
                <w:sz w:val="18"/>
                <w:szCs w:val="18"/>
              </w:rPr>
              <w:t>The following restrictions attached to the powder for oral liquid (11983Q) relating to maternal HPA/PKU are unaltered and therefore not displayed here:</w:t>
            </w:r>
          </w:p>
        </w:tc>
      </w:tr>
      <w:tr w:rsidR="009379F3" w:rsidRPr="00F5725A" w14:paraId="78B04431" w14:textId="77777777" w:rsidTr="0068437B">
        <w:tblPrEx>
          <w:tblLook w:val="04A0" w:firstRow="1" w:lastRow="0" w:firstColumn="1" w:lastColumn="0" w:noHBand="0" w:noVBand="1"/>
        </w:tblPrEx>
        <w:tc>
          <w:tcPr>
            <w:tcW w:w="9017" w:type="dxa"/>
            <w:gridSpan w:val="7"/>
          </w:tcPr>
          <w:p w14:paraId="086032D9" w14:textId="77777777" w:rsidR="009379F3" w:rsidRPr="00F5725A" w:rsidRDefault="009379F3" w:rsidP="0068437B">
            <w:pPr>
              <w:autoSpaceDE w:val="0"/>
              <w:autoSpaceDN w:val="0"/>
              <w:adjustRightInd w:val="0"/>
              <w:rPr>
                <w:rFonts w:ascii="Arial Narrow" w:eastAsia="Calibri" w:hAnsi="Arial Narrow" w:cs="Arial Narrow"/>
                <w:b/>
                <w:bCs/>
                <w:sz w:val="18"/>
                <w:szCs w:val="18"/>
              </w:rPr>
            </w:pPr>
            <w:r w:rsidRPr="00F5725A">
              <w:rPr>
                <w:rFonts w:ascii="Arial Narrow" w:eastAsia="Calibri" w:hAnsi="Arial Narrow" w:cs="Arial Narrow"/>
                <w:b/>
                <w:bCs/>
                <w:sz w:val="18"/>
                <w:szCs w:val="18"/>
              </w:rPr>
              <w:t>Restriction Summary 11982 / ToC: 11836</w:t>
            </w:r>
          </w:p>
          <w:p w14:paraId="6D8B7018" w14:textId="77777777" w:rsidR="009379F3" w:rsidRPr="00F5725A" w:rsidRDefault="009379F3" w:rsidP="0068437B">
            <w:pPr>
              <w:autoSpaceDE w:val="0"/>
              <w:autoSpaceDN w:val="0"/>
              <w:adjustRightInd w:val="0"/>
              <w:rPr>
                <w:rFonts w:ascii="Arial Narrow" w:eastAsia="Calibri" w:hAnsi="Arial Narrow" w:cs="Arial Narrow"/>
                <w:sz w:val="18"/>
                <w:szCs w:val="18"/>
              </w:rPr>
            </w:pPr>
            <w:r w:rsidRPr="00F5725A">
              <w:rPr>
                <w:rFonts w:ascii="Arial Narrow" w:eastAsia="Calibri" w:hAnsi="Arial Narrow" w:cs="Arial Narrow"/>
                <w:b/>
                <w:bCs/>
                <w:sz w:val="18"/>
                <w:szCs w:val="18"/>
              </w:rPr>
              <w:t>Indication:</w:t>
            </w:r>
            <w:r w:rsidRPr="00F5725A">
              <w:rPr>
                <w:rFonts w:ascii="Arial Narrow" w:eastAsia="Calibri" w:hAnsi="Arial Narrow" w:cs="Arial Narrow"/>
                <w:sz w:val="18"/>
                <w:szCs w:val="18"/>
              </w:rPr>
              <w:t xml:space="preserve"> Maternal hyperphenylalaninaemia (HPA) due to phenylketonuria (PKU)</w:t>
            </w:r>
          </w:p>
          <w:p w14:paraId="19582A94" w14:textId="77777777" w:rsidR="009379F3" w:rsidRPr="00F5725A" w:rsidRDefault="009379F3" w:rsidP="0068437B">
            <w:pPr>
              <w:autoSpaceDE w:val="0"/>
              <w:autoSpaceDN w:val="0"/>
              <w:adjustRightInd w:val="0"/>
              <w:rPr>
                <w:rFonts w:ascii="Arial Narrow" w:eastAsia="Calibri" w:hAnsi="Arial Narrow" w:cs="Arial Narrow"/>
                <w:sz w:val="18"/>
                <w:szCs w:val="18"/>
              </w:rPr>
            </w:pPr>
            <w:r w:rsidRPr="00F5725A">
              <w:rPr>
                <w:rFonts w:ascii="Arial Narrow" w:eastAsia="Calibri" w:hAnsi="Arial Narrow" w:cs="Arial Narrow"/>
                <w:b/>
                <w:bCs/>
                <w:sz w:val="18"/>
                <w:szCs w:val="18"/>
              </w:rPr>
              <w:t>Treatment Phase:</w:t>
            </w:r>
            <w:r w:rsidRPr="00F5725A">
              <w:rPr>
                <w:rFonts w:ascii="Arial Narrow" w:eastAsia="Calibri" w:hAnsi="Arial Narrow" w:cs="Arial Narrow"/>
                <w:sz w:val="18"/>
                <w:szCs w:val="18"/>
              </w:rPr>
              <w:t xml:space="preserve"> Pre-conception through to when pregnancy first becomes known</w:t>
            </w:r>
          </w:p>
          <w:p w14:paraId="66662BEE" w14:textId="77777777" w:rsidR="009379F3" w:rsidRPr="00F5725A" w:rsidRDefault="009379F3" w:rsidP="0068437B">
            <w:pPr>
              <w:autoSpaceDE w:val="0"/>
              <w:autoSpaceDN w:val="0"/>
              <w:adjustRightInd w:val="0"/>
              <w:rPr>
                <w:rFonts w:ascii="Arial Narrow" w:eastAsia="Calibri" w:hAnsi="Arial Narrow" w:cs="Arial Narrow"/>
                <w:sz w:val="18"/>
                <w:szCs w:val="18"/>
              </w:rPr>
            </w:pPr>
          </w:p>
        </w:tc>
      </w:tr>
      <w:tr w:rsidR="009379F3" w:rsidRPr="00F5725A" w14:paraId="1A8CD872" w14:textId="77777777" w:rsidTr="0068437B">
        <w:tblPrEx>
          <w:tblLook w:val="04A0" w:firstRow="1" w:lastRow="0" w:firstColumn="1" w:lastColumn="0" w:noHBand="0" w:noVBand="1"/>
        </w:tblPrEx>
        <w:tc>
          <w:tcPr>
            <w:tcW w:w="9017" w:type="dxa"/>
            <w:gridSpan w:val="7"/>
          </w:tcPr>
          <w:p w14:paraId="1D34F9DF" w14:textId="77777777" w:rsidR="009379F3" w:rsidRPr="00F5725A" w:rsidRDefault="009379F3" w:rsidP="0068437B">
            <w:pPr>
              <w:autoSpaceDE w:val="0"/>
              <w:autoSpaceDN w:val="0"/>
              <w:adjustRightInd w:val="0"/>
              <w:rPr>
                <w:rFonts w:ascii="Arial Narrow" w:eastAsia="Calibri" w:hAnsi="Arial Narrow" w:cs="Arial Narrow"/>
                <w:b/>
                <w:bCs/>
                <w:sz w:val="18"/>
                <w:szCs w:val="18"/>
              </w:rPr>
            </w:pPr>
            <w:r w:rsidRPr="00F5725A">
              <w:rPr>
                <w:rFonts w:ascii="Arial Narrow" w:eastAsia="Calibri" w:hAnsi="Arial Narrow" w:cs="Arial Narrow"/>
                <w:b/>
                <w:bCs/>
                <w:sz w:val="18"/>
                <w:szCs w:val="18"/>
              </w:rPr>
              <w:t>Restriction Summary 11837 / ToC: 11960</w:t>
            </w:r>
          </w:p>
          <w:p w14:paraId="1462B369" w14:textId="77777777" w:rsidR="009379F3" w:rsidRPr="00F5725A" w:rsidRDefault="009379F3" w:rsidP="0068437B">
            <w:pPr>
              <w:autoSpaceDE w:val="0"/>
              <w:autoSpaceDN w:val="0"/>
              <w:adjustRightInd w:val="0"/>
              <w:rPr>
                <w:rFonts w:ascii="Arial Narrow" w:eastAsia="Calibri" w:hAnsi="Arial Narrow" w:cs="Arial Narrow"/>
                <w:sz w:val="18"/>
                <w:szCs w:val="18"/>
              </w:rPr>
            </w:pPr>
            <w:r w:rsidRPr="00F5725A">
              <w:rPr>
                <w:rFonts w:ascii="Arial Narrow" w:eastAsia="Calibri" w:hAnsi="Arial Narrow" w:cs="Arial Narrow"/>
                <w:b/>
                <w:bCs/>
                <w:sz w:val="18"/>
                <w:szCs w:val="18"/>
              </w:rPr>
              <w:t>Indication:</w:t>
            </w:r>
            <w:r w:rsidRPr="00F5725A">
              <w:rPr>
                <w:rFonts w:ascii="Arial Narrow" w:eastAsia="Calibri" w:hAnsi="Arial Narrow" w:cs="Arial Narrow"/>
                <w:sz w:val="18"/>
                <w:szCs w:val="18"/>
              </w:rPr>
              <w:t xml:space="preserve"> Maternal hyperphenylalaninaemia (HPA) due to phenylketonuria (PKU)</w:t>
            </w:r>
          </w:p>
          <w:p w14:paraId="29897CFE" w14:textId="77777777" w:rsidR="009379F3" w:rsidRPr="00F5725A" w:rsidRDefault="009379F3" w:rsidP="0068437B">
            <w:pPr>
              <w:autoSpaceDE w:val="0"/>
              <w:autoSpaceDN w:val="0"/>
              <w:adjustRightInd w:val="0"/>
              <w:rPr>
                <w:rFonts w:ascii="Arial Narrow" w:eastAsia="Calibri" w:hAnsi="Arial Narrow" w:cs="Arial Narrow"/>
                <w:sz w:val="18"/>
                <w:szCs w:val="18"/>
              </w:rPr>
            </w:pPr>
            <w:r w:rsidRPr="00F5725A">
              <w:rPr>
                <w:rFonts w:ascii="Arial Narrow" w:eastAsia="Calibri" w:hAnsi="Arial Narrow" w:cs="Arial Narrow"/>
                <w:b/>
                <w:bCs/>
                <w:sz w:val="18"/>
                <w:szCs w:val="18"/>
              </w:rPr>
              <w:t>Treatment Phase:</w:t>
            </w:r>
            <w:r w:rsidRPr="00F5725A">
              <w:rPr>
                <w:rFonts w:ascii="Arial Narrow" w:eastAsia="Calibri" w:hAnsi="Arial Narrow" w:cs="Arial Narrow"/>
                <w:sz w:val="18"/>
                <w:szCs w:val="18"/>
              </w:rPr>
              <w:t xml:space="preserve"> Existing pregnancy to birth</w:t>
            </w:r>
          </w:p>
        </w:tc>
      </w:tr>
    </w:tbl>
    <w:p w14:paraId="2598800C" w14:textId="3DDA7EBE" w:rsidR="002A7CCD" w:rsidRDefault="002A7CCD" w:rsidP="002265D0">
      <w:pPr>
        <w:spacing w:after="200" w:line="276" w:lineRule="auto"/>
        <w:jc w:val="left"/>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r>
        <w:rPr>
          <w:rFonts w:asciiTheme="minorHAnsi" w:hAnsiTheme="minorHAnsi"/>
          <w:b/>
          <w:bCs/>
          <w:i/>
          <w:szCs w:val="22"/>
        </w:rPr>
        <w:t>.</w:t>
      </w:r>
    </w:p>
    <w:p w14:paraId="7F11CF62" w14:textId="2FF9E255" w:rsidR="00D020EA" w:rsidRDefault="00D020EA" w:rsidP="00D020EA">
      <w:pPr>
        <w:pStyle w:val="2-SectionHeading"/>
        <w:rPr>
          <w:bCs/>
          <w:lang w:val="en-GB"/>
        </w:rPr>
      </w:pPr>
      <w:r w:rsidRPr="00C07617">
        <w:t>Context for Decision</w:t>
      </w:r>
    </w:p>
    <w:p w14:paraId="694DD29F" w14:textId="77777777" w:rsidR="00D020EA" w:rsidRPr="007129F2" w:rsidRDefault="00D020EA" w:rsidP="00D020EA">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995FD71" w14:textId="5571F7F4" w:rsidR="00D020EA" w:rsidRPr="00C07617" w:rsidRDefault="00D020EA" w:rsidP="00D020EA">
      <w:pPr>
        <w:pStyle w:val="2-SectionHeading"/>
      </w:pPr>
      <w:r>
        <w:t>Sponsor’s Comment</w:t>
      </w:r>
    </w:p>
    <w:p w14:paraId="023D271A" w14:textId="4F9A58C9" w:rsidR="00D020EA" w:rsidRPr="0094758E" w:rsidRDefault="00EA0C60" w:rsidP="0094758E">
      <w:pPr>
        <w:ind w:left="426"/>
        <w:rPr>
          <w:rFonts w:cs="Calibri"/>
          <w:sz w:val="22"/>
          <w:szCs w:val="22"/>
        </w:rPr>
      </w:pPr>
      <w:r>
        <w:t>BioMarin would like to thank the PBAC for its recognition of the high unmet need in the adult PKU population and looks forward to finalising the listing.</w:t>
      </w:r>
    </w:p>
    <w:sectPr w:rsidR="00D020EA" w:rsidRPr="0094758E"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72AD" w14:textId="77777777" w:rsidR="0053368E" w:rsidRDefault="0053368E" w:rsidP="00124A51">
      <w:r>
        <w:separator/>
      </w:r>
    </w:p>
    <w:p w14:paraId="74C739AD" w14:textId="77777777" w:rsidR="0053368E" w:rsidRDefault="0053368E"/>
  </w:endnote>
  <w:endnote w:type="continuationSeparator" w:id="0">
    <w:p w14:paraId="0BA8210F" w14:textId="77777777" w:rsidR="0053368E" w:rsidRDefault="0053368E" w:rsidP="00124A51">
      <w:r>
        <w:continuationSeparator/>
      </w:r>
    </w:p>
    <w:p w14:paraId="4C08FC23" w14:textId="77777777" w:rsidR="0053368E" w:rsidRDefault="0053368E"/>
  </w:endnote>
  <w:endnote w:type="continuationNotice" w:id="1">
    <w:p w14:paraId="7BA35321" w14:textId="77777777" w:rsidR="0053368E" w:rsidRDefault="0053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FPEF">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3806" w14:textId="77777777" w:rsidR="00542E3B" w:rsidRDefault="00542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8F29" w14:textId="77777777" w:rsidR="0035299E" w:rsidRDefault="0035299E" w:rsidP="00682360">
    <w:pPr>
      <w:contextualSpacing/>
      <w:jc w:val="center"/>
      <w:rPr>
        <w:rFonts w:eastAsia="Calibri"/>
        <w:szCs w:val="22"/>
      </w:rPr>
    </w:pPr>
  </w:p>
  <w:p w14:paraId="234F28B8" w14:textId="192E5226" w:rsidR="0035299E" w:rsidRDefault="0035299E" w:rsidP="00682360">
    <w:pPr>
      <w:pStyle w:val="Footer"/>
      <w:jc w:val="center"/>
    </w:pPr>
    <w:r>
      <w:rPr>
        <w:b/>
        <w:bCs/>
      </w:rPr>
      <w:fldChar w:fldCharType="begin"/>
    </w:r>
    <w:r>
      <w:rPr>
        <w:b/>
        <w:bCs/>
      </w:rPr>
      <w:instrText xml:space="preserve"> PAGE   \* MERGEFORMAT </w:instrText>
    </w:r>
    <w:r>
      <w:rPr>
        <w:b/>
        <w:bCs/>
      </w:rPr>
      <w:fldChar w:fldCharType="separate"/>
    </w:r>
    <w:r>
      <w:rPr>
        <w:b/>
        <w:bCs/>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D530" w14:textId="77777777" w:rsidR="00542E3B" w:rsidRDefault="0054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344C" w14:textId="77777777" w:rsidR="0053368E" w:rsidRDefault="0053368E" w:rsidP="00124A51">
      <w:r>
        <w:separator/>
      </w:r>
    </w:p>
    <w:p w14:paraId="65C10845" w14:textId="77777777" w:rsidR="0053368E" w:rsidRDefault="0053368E"/>
  </w:footnote>
  <w:footnote w:type="continuationSeparator" w:id="0">
    <w:p w14:paraId="478BBBE7" w14:textId="77777777" w:rsidR="0053368E" w:rsidRDefault="0053368E" w:rsidP="00124A51">
      <w:r>
        <w:continuationSeparator/>
      </w:r>
    </w:p>
    <w:p w14:paraId="56B476B7" w14:textId="77777777" w:rsidR="0053368E" w:rsidRDefault="0053368E"/>
  </w:footnote>
  <w:footnote w:type="continuationNotice" w:id="1">
    <w:p w14:paraId="4EAA8FE8" w14:textId="77777777" w:rsidR="0053368E" w:rsidRDefault="0053368E"/>
  </w:footnote>
  <w:footnote w:id="2">
    <w:p w14:paraId="7B87588E" w14:textId="77777777" w:rsidR="0035299E" w:rsidRPr="00EA0FD7" w:rsidRDefault="0035299E" w:rsidP="008D48FE">
      <w:pPr>
        <w:pStyle w:val="FootnoteText"/>
        <w:rPr>
          <w:rFonts w:asciiTheme="minorHAnsi" w:hAnsiTheme="minorHAnsi" w:cstheme="minorHAnsi"/>
        </w:rPr>
      </w:pPr>
      <w:r w:rsidRPr="00EA0FD7">
        <w:rPr>
          <w:rStyle w:val="FootnoteReference"/>
          <w:rFonts w:asciiTheme="minorHAnsi" w:hAnsiTheme="minorHAnsi" w:cstheme="minorHAnsi"/>
        </w:rPr>
        <w:footnoteRef/>
      </w:r>
      <w:r w:rsidRPr="00EA0FD7">
        <w:rPr>
          <w:rFonts w:asciiTheme="minorHAnsi" w:hAnsiTheme="minorHAnsi" w:cstheme="minorHAnsi"/>
        </w:rPr>
        <w:t xml:space="preserve"> </w:t>
      </w:r>
      <w:r w:rsidRPr="00EA0FD7">
        <w:rPr>
          <w:rFonts w:asciiTheme="minorHAnsi" w:hAnsiTheme="minorHAnsi" w:cstheme="minorHAnsi"/>
          <w:color w:val="212121"/>
          <w:shd w:val="clear" w:color="auto" w:fill="FFFFFF"/>
        </w:rPr>
        <w:t>Burgess NM, Kelso W, Malpas CB, Winton-Brown T, Fazio T, Panetta J, De Jong G, Neath J, Atherton S, Velakoulis D, Walterfang M. The effect of improved dietary control on cognitive and psychiatric functioning in adults with phenylketonuria: the ReDAPT study. Orphanet J Rare Dis. 2021 Jan 18;16(1):35. doi: 10.1186/s13023-020-01668-2. PMID: 33461585; PMCID: PMC7814424.</w:t>
      </w:r>
    </w:p>
  </w:footnote>
  <w:footnote w:id="3">
    <w:p w14:paraId="125D2B56" w14:textId="77777777" w:rsidR="0035299E" w:rsidRDefault="0035299E" w:rsidP="008D48FE">
      <w:pPr>
        <w:pStyle w:val="FootnoteText"/>
      </w:pPr>
      <w:r w:rsidRPr="00EA0FD7">
        <w:rPr>
          <w:rStyle w:val="FootnoteReference"/>
          <w:rFonts w:asciiTheme="minorHAnsi" w:hAnsiTheme="minorHAnsi" w:cstheme="minorHAnsi"/>
        </w:rPr>
        <w:footnoteRef/>
      </w:r>
      <w:r w:rsidRPr="00EA0FD7">
        <w:rPr>
          <w:rFonts w:asciiTheme="minorHAnsi" w:hAnsiTheme="minorHAnsi" w:cstheme="minorHAnsi"/>
        </w:rPr>
        <w:t xml:space="preserve"> </w:t>
      </w:r>
      <w:r w:rsidRPr="00EA0FD7">
        <w:rPr>
          <w:rFonts w:asciiTheme="minorHAnsi" w:hAnsiTheme="minorHAnsi" w:cstheme="minorHAnsi"/>
          <w:color w:val="212121"/>
          <w:shd w:val="clear" w:color="auto" w:fill="FFFFFF"/>
        </w:rPr>
        <w:t>Anderson PJ, Leuzzi V. White matter pathology in phenylketonuria. Mol Genet Metab. 2010;99 Suppl 1:S3-9. doi: 10.1016/j.ymgme.2009.10.005. PMID: 20123467.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4C58" w14:textId="77777777" w:rsidR="00542E3B" w:rsidRDefault="0054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EA6D" w14:textId="14444AE2" w:rsidR="0035299E" w:rsidRDefault="00D020EA" w:rsidP="001A41BB">
    <w:pPr>
      <w:jc w:val="center"/>
      <w:rPr>
        <w:i/>
        <w:iCs/>
      </w:rPr>
    </w:pPr>
    <w:r>
      <w:rPr>
        <w:i/>
        <w:iCs/>
      </w:rPr>
      <w:t>Public Summary Document</w:t>
    </w:r>
    <w:r w:rsidR="0035299E">
      <w:rPr>
        <w:i/>
        <w:iCs/>
      </w:rPr>
      <w:t xml:space="preserve"> </w:t>
    </w:r>
    <w:r w:rsidR="0035299E" w:rsidRPr="0044512C">
      <w:rPr>
        <w:i/>
        <w:iCs/>
      </w:rPr>
      <w:t>– July 2022 PBAC Meeting</w:t>
    </w:r>
  </w:p>
  <w:p w14:paraId="1AF97C7F" w14:textId="77777777" w:rsidR="001A41BB" w:rsidRPr="0044512C" w:rsidRDefault="001A41BB" w:rsidP="001A41BB">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37D9" w14:textId="77777777" w:rsidR="00542E3B" w:rsidRDefault="00542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00D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E001D"/>
    <w:multiLevelType w:val="hybridMultilevel"/>
    <w:tmpl w:val="308E38E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10400BB"/>
    <w:multiLevelType w:val="hybridMultilevel"/>
    <w:tmpl w:val="762A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3E1D"/>
    <w:multiLevelType w:val="hybridMultilevel"/>
    <w:tmpl w:val="6FFEE5A4"/>
    <w:lvl w:ilvl="0" w:tplc="B9E061D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8B02BB"/>
    <w:multiLevelType w:val="hybridMultilevel"/>
    <w:tmpl w:val="ECDC4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804C5"/>
    <w:multiLevelType w:val="hybridMultilevel"/>
    <w:tmpl w:val="D128942E"/>
    <w:lvl w:ilvl="0" w:tplc="2A3CBB38">
      <w:numFmt w:val="bullet"/>
      <w:lvlText w:val="-"/>
      <w:lvlJc w:val="left"/>
      <w:pPr>
        <w:ind w:left="1437" w:hanging="360"/>
      </w:pPr>
      <w:rPr>
        <w:rFonts w:ascii="Times New Roman" w:eastAsiaTheme="minorHAnsi" w:hAnsi="Times New Roman" w:cs="Times New Roman"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9" w15:restartNumberingAfterBreak="0">
    <w:nsid w:val="22DD274E"/>
    <w:multiLevelType w:val="hybridMultilevel"/>
    <w:tmpl w:val="FCBE983C"/>
    <w:lvl w:ilvl="0" w:tplc="B9E061D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E71C7"/>
    <w:multiLevelType w:val="hybridMultilevel"/>
    <w:tmpl w:val="FA78876E"/>
    <w:lvl w:ilvl="0" w:tplc="0E98531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51C59F5"/>
    <w:multiLevelType w:val="hybridMultilevel"/>
    <w:tmpl w:val="7290786C"/>
    <w:lvl w:ilvl="0" w:tplc="0C09000F">
      <w:start w:val="1"/>
      <w:numFmt w:val="decimal"/>
      <w:lvlText w:val="%1."/>
      <w:lvlJc w:val="left"/>
      <w:pPr>
        <w:ind w:left="1080" w:hanging="720"/>
      </w:pPr>
      <w:rPr>
        <w:rFonts w:hint="default"/>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B0D510B"/>
    <w:multiLevelType w:val="hybridMultilevel"/>
    <w:tmpl w:val="D6C61BAA"/>
    <w:lvl w:ilvl="0" w:tplc="B9E061DA">
      <w:start w:val="1"/>
      <w:numFmt w:val="bullet"/>
      <w:lvlText w:val=""/>
      <w:lvlJc w:val="left"/>
      <w:pPr>
        <w:ind w:left="720" w:hanging="360"/>
      </w:pPr>
      <w:rPr>
        <w:rFonts w:ascii="Symbol" w:hAnsi="Symbol" w:hint="default"/>
        <w:color w:val="000000" w:themeColor="text1"/>
      </w:rPr>
    </w:lvl>
    <w:lvl w:ilvl="1" w:tplc="0C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B370F"/>
    <w:multiLevelType w:val="hybridMultilevel"/>
    <w:tmpl w:val="964C8D00"/>
    <w:lvl w:ilvl="0" w:tplc="94A61ED0">
      <w:numFmt w:val="bullet"/>
      <w:lvlText w:val="-"/>
      <w:lvlJc w:val="left"/>
      <w:pPr>
        <w:ind w:left="1080" w:hanging="360"/>
      </w:pPr>
      <w:rPr>
        <w:rFonts w:ascii="Times New Roman" w:eastAsiaTheme="minorHAnsi"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D5768E"/>
    <w:multiLevelType w:val="hybridMultilevel"/>
    <w:tmpl w:val="E51E73CC"/>
    <w:lvl w:ilvl="0" w:tplc="0C09001B">
      <w:start w:val="1"/>
      <w:numFmt w:val="lowerRoman"/>
      <w:lvlText w:val="%1."/>
      <w:lvlJc w:val="right"/>
      <w:pPr>
        <w:ind w:left="1440" w:hanging="360"/>
      </w:p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15:restartNumberingAfterBreak="0">
    <w:nsid w:val="36255D43"/>
    <w:multiLevelType w:val="hybridMultilevel"/>
    <w:tmpl w:val="FA541AD6"/>
    <w:lvl w:ilvl="0" w:tplc="09488154">
      <w:numFmt w:val="bullet"/>
      <w:lvlText w:val="-"/>
      <w:lvlJc w:val="left"/>
      <w:pPr>
        <w:ind w:left="720" w:hanging="360"/>
      </w:pPr>
      <w:rPr>
        <w:rFonts w:ascii="Times New Roman" w:eastAsia="Times New Roman" w:hAnsi="Times New Roman"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D50AB0"/>
    <w:multiLevelType w:val="hybridMultilevel"/>
    <w:tmpl w:val="60D437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2376C72"/>
    <w:multiLevelType w:val="hybridMultilevel"/>
    <w:tmpl w:val="FE6AE19E"/>
    <w:lvl w:ilvl="0" w:tplc="150858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00359"/>
    <w:multiLevelType w:val="hybridMultilevel"/>
    <w:tmpl w:val="3CE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9597A"/>
    <w:multiLevelType w:val="hybridMultilevel"/>
    <w:tmpl w:val="C44E9564"/>
    <w:lvl w:ilvl="0" w:tplc="94B6A454">
      <w:start w:val="1"/>
      <w:numFmt w:val="bullet"/>
      <w:lvlText w:val="•"/>
      <w:lvlJc w:val="left"/>
      <w:pPr>
        <w:tabs>
          <w:tab w:val="num" w:pos="720"/>
        </w:tabs>
        <w:ind w:left="720" w:hanging="360"/>
      </w:pPr>
      <w:rPr>
        <w:rFonts w:ascii="Arial" w:hAnsi="Arial" w:hint="default"/>
      </w:rPr>
    </w:lvl>
    <w:lvl w:ilvl="1" w:tplc="A9080414" w:tentative="1">
      <w:start w:val="1"/>
      <w:numFmt w:val="bullet"/>
      <w:lvlText w:val="•"/>
      <w:lvlJc w:val="left"/>
      <w:pPr>
        <w:tabs>
          <w:tab w:val="num" w:pos="1440"/>
        </w:tabs>
        <w:ind w:left="1440" w:hanging="360"/>
      </w:pPr>
      <w:rPr>
        <w:rFonts w:ascii="Arial" w:hAnsi="Arial" w:hint="default"/>
      </w:rPr>
    </w:lvl>
    <w:lvl w:ilvl="2" w:tplc="EE16845A" w:tentative="1">
      <w:start w:val="1"/>
      <w:numFmt w:val="bullet"/>
      <w:lvlText w:val="•"/>
      <w:lvlJc w:val="left"/>
      <w:pPr>
        <w:tabs>
          <w:tab w:val="num" w:pos="2160"/>
        </w:tabs>
        <w:ind w:left="2160" w:hanging="360"/>
      </w:pPr>
      <w:rPr>
        <w:rFonts w:ascii="Arial" w:hAnsi="Arial" w:hint="default"/>
      </w:rPr>
    </w:lvl>
    <w:lvl w:ilvl="3" w:tplc="FB6604EA" w:tentative="1">
      <w:start w:val="1"/>
      <w:numFmt w:val="bullet"/>
      <w:lvlText w:val="•"/>
      <w:lvlJc w:val="left"/>
      <w:pPr>
        <w:tabs>
          <w:tab w:val="num" w:pos="2880"/>
        </w:tabs>
        <w:ind w:left="2880" w:hanging="360"/>
      </w:pPr>
      <w:rPr>
        <w:rFonts w:ascii="Arial" w:hAnsi="Arial" w:hint="default"/>
      </w:rPr>
    </w:lvl>
    <w:lvl w:ilvl="4" w:tplc="E9BC8E7C" w:tentative="1">
      <w:start w:val="1"/>
      <w:numFmt w:val="bullet"/>
      <w:lvlText w:val="•"/>
      <w:lvlJc w:val="left"/>
      <w:pPr>
        <w:tabs>
          <w:tab w:val="num" w:pos="3600"/>
        </w:tabs>
        <w:ind w:left="3600" w:hanging="360"/>
      </w:pPr>
      <w:rPr>
        <w:rFonts w:ascii="Arial" w:hAnsi="Arial" w:hint="default"/>
      </w:rPr>
    </w:lvl>
    <w:lvl w:ilvl="5" w:tplc="C77A304C" w:tentative="1">
      <w:start w:val="1"/>
      <w:numFmt w:val="bullet"/>
      <w:lvlText w:val="•"/>
      <w:lvlJc w:val="left"/>
      <w:pPr>
        <w:tabs>
          <w:tab w:val="num" w:pos="4320"/>
        </w:tabs>
        <w:ind w:left="4320" w:hanging="360"/>
      </w:pPr>
      <w:rPr>
        <w:rFonts w:ascii="Arial" w:hAnsi="Arial" w:hint="default"/>
      </w:rPr>
    </w:lvl>
    <w:lvl w:ilvl="6" w:tplc="5382F8A6" w:tentative="1">
      <w:start w:val="1"/>
      <w:numFmt w:val="bullet"/>
      <w:lvlText w:val="•"/>
      <w:lvlJc w:val="left"/>
      <w:pPr>
        <w:tabs>
          <w:tab w:val="num" w:pos="5040"/>
        </w:tabs>
        <w:ind w:left="5040" w:hanging="360"/>
      </w:pPr>
      <w:rPr>
        <w:rFonts w:ascii="Arial" w:hAnsi="Arial" w:hint="default"/>
      </w:rPr>
    </w:lvl>
    <w:lvl w:ilvl="7" w:tplc="ABC08C0A" w:tentative="1">
      <w:start w:val="1"/>
      <w:numFmt w:val="bullet"/>
      <w:lvlText w:val="•"/>
      <w:lvlJc w:val="left"/>
      <w:pPr>
        <w:tabs>
          <w:tab w:val="num" w:pos="5760"/>
        </w:tabs>
        <w:ind w:left="5760" w:hanging="360"/>
      </w:pPr>
      <w:rPr>
        <w:rFonts w:ascii="Arial" w:hAnsi="Arial" w:hint="default"/>
      </w:rPr>
    </w:lvl>
    <w:lvl w:ilvl="8" w:tplc="00D2DF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4D033C"/>
    <w:multiLevelType w:val="multilevel"/>
    <w:tmpl w:val="DC682DB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1"/>
  </w:num>
  <w:num w:numId="3">
    <w:abstractNumId w:val="0"/>
  </w:num>
  <w:num w:numId="4">
    <w:abstractNumId w:val="29"/>
  </w:num>
  <w:num w:numId="5">
    <w:abstractNumId w:val="20"/>
  </w:num>
  <w:num w:numId="6">
    <w:abstractNumId w:val="22"/>
  </w:num>
  <w:num w:numId="7">
    <w:abstractNumId w:val="5"/>
  </w:num>
  <w:num w:numId="8">
    <w:abstractNumId w:val="9"/>
  </w:num>
  <w:num w:numId="9">
    <w:abstractNumId w:val="6"/>
  </w:num>
  <w:num w:numId="10">
    <w:abstractNumId w:val="19"/>
  </w:num>
  <w:num w:numId="11">
    <w:abstractNumId w:val="4"/>
  </w:num>
  <w:num w:numId="12">
    <w:abstractNumId w:val="13"/>
  </w:num>
  <w:num w:numId="13">
    <w:abstractNumId w:val="17"/>
  </w:num>
  <w:num w:numId="14">
    <w:abstractNumId w:val="8"/>
  </w:num>
  <w:num w:numId="15">
    <w:abstractNumId w:val="26"/>
  </w:num>
  <w:num w:numId="16">
    <w:abstractNumId w:val="7"/>
  </w:num>
  <w:num w:numId="17">
    <w:abstractNumId w:val="14"/>
  </w:num>
  <w:num w:numId="18">
    <w:abstractNumId w:val="2"/>
  </w:num>
  <w:num w:numId="19">
    <w:abstractNumId w:val="23"/>
  </w:num>
  <w:num w:numId="20">
    <w:abstractNumId w:val="24"/>
  </w:num>
  <w:num w:numId="21">
    <w:abstractNumId w:val="3"/>
  </w:num>
  <w:num w:numId="22">
    <w:abstractNumId w:val="1"/>
  </w:num>
  <w:num w:numId="23">
    <w:abstractNumId w:val="11"/>
  </w:num>
  <w:num w:numId="24">
    <w:abstractNumId w:val="15"/>
  </w:num>
  <w:num w:numId="25">
    <w:abstractNumId w:val="10"/>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num>
  <w:num w:numId="29">
    <w:abstractNumId w:val="12"/>
  </w:num>
  <w:num w:numId="30">
    <w:abstractNumId w:val="29"/>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9"/>
  </w:num>
  <w:num w:numId="35">
    <w:abstractNumId w:val="27"/>
  </w:num>
  <w:num w:numId="36">
    <w:abstractNumId w:val="16"/>
  </w:num>
  <w:num w:numId="37">
    <w:abstractNumId w:val="18"/>
  </w:num>
  <w:num w:numId="38">
    <w:abstractNumId w:val="21"/>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04E"/>
    <w:rsid w:val="0000110B"/>
    <w:rsid w:val="0000117F"/>
    <w:rsid w:val="00001B7B"/>
    <w:rsid w:val="0000266E"/>
    <w:rsid w:val="00003499"/>
    <w:rsid w:val="000039B7"/>
    <w:rsid w:val="00005209"/>
    <w:rsid w:val="0000639A"/>
    <w:rsid w:val="00006EA6"/>
    <w:rsid w:val="00006EEE"/>
    <w:rsid w:val="00007797"/>
    <w:rsid w:val="0001186C"/>
    <w:rsid w:val="00011A2D"/>
    <w:rsid w:val="00011C27"/>
    <w:rsid w:val="00013247"/>
    <w:rsid w:val="00013584"/>
    <w:rsid w:val="00014465"/>
    <w:rsid w:val="000151CB"/>
    <w:rsid w:val="00015886"/>
    <w:rsid w:val="000162EF"/>
    <w:rsid w:val="00016A74"/>
    <w:rsid w:val="000207C9"/>
    <w:rsid w:val="0002225F"/>
    <w:rsid w:val="000230B8"/>
    <w:rsid w:val="00023763"/>
    <w:rsid w:val="00025296"/>
    <w:rsid w:val="000274B8"/>
    <w:rsid w:val="00030EA8"/>
    <w:rsid w:val="00032BD1"/>
    <w:rsid w:val="00033863"/>
    <w:rsid w:val="00035772"/>
    <w:rsid w:val="00035DC0"/>
    <w:rsid w:val="00036089"/>
    <w:rsid w:val="00036208"/>
    <w:rsid w:val="00036829"/>
    <w:rsid w:val="000378D0"/>
    <w:rsid w:val="00040791"/>
    <w:rsid w:val="00040895"/>
    <w:rsid w:val="000408D8"/>
    <w:rsid w:val="000410B2"/>
    <w:rsid w:val="000435EE"/>
    <w:rsid w:val="00043C37"/>
    <w:rsid w:val="00045017"/>
    <w:rsid w:val="00045A2B"/>
    <w:rsid w:val="00045A65"/>
    <w:rsid w:val="00045E9C"/>
    <w:rsid w:val="0004698F"/>
    <w:rsid w:val="00050BA3"/>
    <w:rsid w:val="00051E52"/>
    <w:rsid w:val="00052654"/>
    <w:rsid w:val="00052B68"/>
    <w:rsid w:val="000539D0"/>
    <w:rsid w:val="00053B18"/>
    <w:rsid w:val="00053F94"/>
    <w:rsid w:val="00054621"/>
    <w:rsid w:val="000546BC"/>
    <w:rsid w:val="000546D7"/>
    <w:rsid w:val="00054E33"/>
    <w:rsid w:val="00054F62"/>
    <w:rsid w:val="000550A3"/>
    <w:rsid w:val="000559E5"/>
    <w:rsid w:val="00055BAA"/>
    <w:rsid w:val="00056ECF"/>
    <w:rsid w:val="00057B38"/>
    <w:rsid w:val="000604DF"/>
    <w:rsid w:val="00061430"/>
    <w:rsid w:val="00061B1F"/>
    <w:rsid w:val="0006359C"/>
    <w:rsid w:val="00063658"/>
    <w:rsid w:val="00063A25"/>
    <w:rsid w:val="00063DD2"/>
    <w:rsid w:val="000653B5"/>
    <w:rsid w:val="00066360"/>
    <w:rsid w:val="00066AF8"/>
    <w:rsid w:val="000670F1"/>
    <w:rsid w:val="00070905"/>
    <w:rsid w:val="00071248"/>
    <w:rsid w:val="00071DF0"/>
    <w:rsid w:val="00071FE6"/>
    <w:rsid w:val="000720B9"/>
    <w:rsid w:val="00072DF4"/>
    <w:rsid w:val="000737F7"/>
    <w:rsid w:val="00073801"/>
    <w:rsid w:val="00074CE4"/>
    <w:rsid w:val="0007581D"/>
    <w:rsid w:val="00075CDE"/>
    <w:rsid w:val="0007672F"/>
    <w:rsid w:val="00076B54"/>
    <w:rsid w:val="00077383"/>
    <w:rsid w:val="000774F0"/>
    <w:rsid w:val="00080391"/>
    <w:rsid w:val="00080909"/>
    <w:rsid w:val="000812CA"/>
    <w:rsid w:val="000813AF"/>
    <w:rsid w:val="00081504"/>
    <w:rsid w:val="00081CD1"/>
    <w:rsid w:val="00081E63"/>
    <w:rsid w:val="0008258D"/>
    <w:rsid w:val="00083E99"/>
    <w:rsid w:val="00084672"/>
    <w:rsid w:val="00084FA8"/>
    <w:rsid w:val="000856C5"/>
    <w:rsid w:val="00085C31"/>
    <w:rsid w:val="000866B9"/>
    <w:rsid w:val="00086A0A"/>
    <w:rsid w:val="000876AD"/>
    <w:rsid w:val="000902D9"/>
    <w:rsid w:val="00090C7E"/>
    <w:rsid w:val="000916D8"/>
    <w:rsid w:val="00092600"/>
    <w:rsid w:val="0009262B"/>
    <w:rsid w:val="00093310"/>
    <w:rsid w:val="0009445C"/>
    <w:rsid w:val="00095200"/>
    <w:rsid w:val="00095A65"/>
    <w:rsid w:val="00095B4B"/>
    <w:rsid w:val="00095FE5"/>
    <w:rsid w:val="00096284"/>
    <w:rsid w:val="00096C12"/>
    <w:rsid w:val="000A0009"/>
    <w:rsid w:val="000A07B2"/>
    <w:rsid w:val="000A1BC0"/>
    <w:rsid w:val="000A4915"/>
    <w:rsid w:val="000A496D"/>
    <w:rsid w:val="000A6039"/>
    <w:rsid w:val="000A687C"/>
    <w:rsid w:val="000A7204"/>
    <w:rsid w:val="000A7453"/>
    <w:rsid w:val="000A7D08"/>
    <w:rsid w:val="000B0121"/>
    <w:rsid w:val="000B0273"/>
    <w:rsid w:val="000B0670"/>
    <w:rsid w:val="000B0E75"/>
    <w:rsid w:val="000B169D"/>
    <w:rsid w:val="000B1E2F"/>
    <w:rsid w:val="000B2DCB"/>
    <w:rsid w:val="000B3130"/>
    <w:rsid w:val="000B4B0F"/>
    <w:rsid w:val="000B58DA"/>
    <w:rsid w:val="000B5A59"/>
    <w:rsid w:val="000B5CE0"/>
    <w:rsid w:val="000B6B95"/>
    <w:rsid w:val="000B6CAC"/>
    <w:rsid w:val="000B6E59"/>
    <w:rsid w:val="000B7612"/>
    <w:rsid w:val="000B78AE"/>
    <w:rsid w:val="000C049F"/>
    <w:rsid w:val="000C143C"/>
    <w:rsid w:val="000C3DF9"/>
    <w:rsid w:val="000C4831"/>
    <w:rsid w:val="000C5C22"/>
    <w:rsid w:val="000C64D3"/>
    <w:rsid w:val="000C65CD"/>
    <w:rsid w:val="000C6713"/>
    <w:rsid w:val="000D0F55"/>
    <w:rsid w:val="000D1B90"/>
    <w:rsid w:val="000D1BFC"/>
    <w:rsid w:val="000D1D5D"/>
    <w:rsid w:val="000D267C"/>
    <w:rsid w:val="000D281A"/>
    <w:rsid w:val="000D2848"/>
    <w:rsid w:val="000D326A"/>
    <w:rsid w:val="000D51FB"/>
    <w:rsid w:val="000D52F5"/>
    <w:rsid w:val="000D556C"/>
    <w:rsid w:val="000D619A"/>
    <w:rsid w:val="000D7AC9"/>
    <w:rsid w:val="000E0640"/>
    <w:rsid w:val="000E135D"/>
    <w:rsid w:val="000E1CA3"/>
    <w:rsid w:val="000E2472"/>
    <w:rsid w:val="000E2E4D"/>
    <w:rsid w:val="000E37D9"/>
    <w:rsid w:val="000E4D8A"/>
    <w:rsid w:val="000F00BA"/>
    <w:rsid w:val="000F1DD0"/>
    <w:rsid w:val="000F2125"/>
    <w:rsid w:val="000F316A"/>
    <w:rsid w:val="000F3C3F"/>
    <w:rsid w:val="000F3C74"/>
    <w:rsid w:val="000F3D68"/>
    <w:rsid w:val="000F4BB8"/>
    <w:rsid w:val="000F4FA9"/>
    <w:rsid w:val="000F53FB"/>
    <w:rsid w:val="000F670B"/>
    <w:rsid w:val="000F6DE9"/>
    <w:rsid w:val="000F7127"/>
    <w:rsid w:val="000F768A"/>
    <w:rsid w:val="000F7B54"/>
    <w:rsid w:val="00100F8A"/>
    <w:rsid w:val="00101723"/>
    <w:rsid w:val="001036E8"/>
    <w:rsid w:val="0010452E"/>
    <w:rsid w:val="00105AE2"/>
    <w:rsid w:val="001060C6"/>
    <w:rsid w:val="00106A9A"/>
    <w:rsid w:val="00106B80"/>
    <w:rsid w:val="0011032E"/>
    <w:rsid w:val="001110E9"/>
    <w:rsid w:val="00111D5B"/>
    <w:rsid w:val="00111DCE"/>
    <w:rsid w:val="00113094"/>
    <w:rsid w:val="0011348B"/>
    <w:rsid w:val="001147B4"/>
    <w:rsid w:val="00115982"/>
    <w:rsid w:val="00116BDA"/>
    <w:rsid w:val="00116C53"/>
    <w:rsid w:val="00117265"/>
    <w:rsid w:val="00117D88"/>
    <w:rsid w:val="001201BF"/>
    <w:rsid w:val="001206D9"/>
    <w:rsid w:val="00120CBE"/>
    <w:rsid w:val="00121400"/>
    <w:rsid w:val="00121799"/>
    <w:rsid w:val="001222FC"/>
    <w:rsid w:val="00123902"/>
    <w:rsid w:val="00124A51"/>
    <w:rsid w:val="00125BD8"/>
    <w:rsid w:val="00126621"/>
    <w:rsid w:val="001267E3"/>
    <w:rsid w:val="00126B1D"/>
    <w:rsid w:val="0012710A"/>
    <w:rsid w:val="00127150"/>
    <w:rsid w:val="00127B1D"/>
    <w:rsid w:val="001301E9"/>
    <w:rsid w:val="00131021"/>
    <w:rsid w:val="00131D82"/>
    <w:rsid w:val="00132218"/>
    <w:rsid w:val="00132B22"/>
    <w:rsid w:val="00133521"/>
    <w:rsid w:val="00133624"/>
    <w:rsid w:val="001336AE"/>
    <w:rsid w:val="001338CD"/>
    <w:rsid w:val="00133BAB"/>
    <w:rsid w:val="00133D36"/>
    <w:rsid w:val="00134CF5"/>
    <w:rsid w:val="00134E54"/>
    <w:rsid w:val="00135228"/>
    <w:rsid w:val="001367AB"/>
    <w:rsid w:val="00136AB4"/>
    <w:rsid w:val="00136BA4"/>
    <w:rsid w:val="00137645"/>
    <w:rsid w:val="0014015A"/>
    <w:rsid w:val="0014073A"/>
    <w:rsid w:val="00140E99"/>
    <w:rsid w:val="0014172F"/>
    <w:rsid w:val="00141B35"/>
    <w:rsid w:val="001433AB"/>
    <w:rsid w:val="00143595"/>
    <w:rsid w:val="00143F67"/>
    <w:rsid w:val="00144015"/>
    <w:rsid w:val="00145540"/>
    <w:rsid w:val="001456B0"/>
    <w:rsid w:val="00145FD9"/>
    <w:rsid w:val="00146E1B"/>
    <w:rsid w:val="00147382"/>
    <w:rsid w:val="0015089A"/>
    <w:rsid w:val="00151497"/>
    <w:rsid w:val="0015159C"/>
    <w:rsid w:val="00151BDE"/>
    <w:rsid w:val="001521EB"/>
    <w:rsid w:val="001539F1"/>
    <w:rsid w:val="00155A94"/>
    <w:rsid w:val="0015652A"/>
    <w:rsid w:val="00156F8F"/>
    <w:rsid w:val="00157130"/>
    <w:rsid w:val="00157302"/>
    <w:rsid w:val="001576B1"/>
    <w:rsid w:val="0016047B"/>
    <w:rsid w:val="00160A4C"/>
    <w:rsid w:val="00160DF2"/>
    <w:rsid w:val="00161C69"/>
    <w:rsid w:val="00162913"/>
    <w:rsid w:val="00163EFF"/>
    <w:rsid w:val="00163F66"/>
    <w:rsid w:val="001656EF"/>
    <w:rsid w:val="001661FB"/>
    <w:rsid w:val="001668BB"/>
    <w:rsid w:val="001671A0"/>
    <w:rsid w:val="0016767F"/>
    <w:rsid w:val="00167EA1"/>
    <w:rsid w:val="00171D24"/>
    <w:rsid w:val="0017279B"/>
    <w:rsid w:val="00172AD6"/>
    <w:rsid w:val="00173565"/>
    <w:rsid w:val="00173B07"/>
    <w:rsid w:val="00173C28"/>
    <w:rsid w:val="00174B26"/>
    <w:rsid w:val="001751FA"/>
    <w:rsid w:val="0017601D"/>
    <w:rsid w:val="0017714E"/>
    <w:rsid w:val="00180094"/>
    <w:rsid w:val="0018049C"/>
    <w:rsid w:val="00181D9C"/>
    <w:rsid w:val="00181F19"/>
    <w:rsid w:val="00183147"/>
    <w:rsid w:val="00183CFE"/>
    <w:rsid w:val="0018408F"/>
    <w:rsid w:val="0018433E"/>
    <w:rsid w:val="001845AD"/>
    <w:rsid w:val="00184756"/>
    <w:rsid w:val="00184B0E"/>
    <w:rsid w:val="00184F7F"/>
    <w:rsid w:val="00185ADC"/>
    <w:rsid w:val="00186C14"/>
    <w:rsid w:val="00186D33"/>
    <w:rsid w:val="00187344"/>
    <w:rsid w:val="0018752F"/>
    <w:rsid w:val="00187D19"/>
    <w:rsid w:val="00190E6B"/>
    <w:rsid w:val="00191408"/>
    <w:rsid w:val="00192AA5"/>
    <w:rsid w:val="00193818"/>
    <w:rsid w:val="00193838"/>
    <w:rsid w:val="0019492C"/>
    <w:rsid w:val="00194AD8"/>
    <w:rsid w:val="00195222"/>
    <w:rsid w:val="00195273"/>
    <w:rsid w:val="001975D8"/>
    <w:rsid w:val="001A178E"/>
    <w:rsid w:val="001A2BF5"/>
    <w:rsid w:val="001A3805"/>
    <w:rsid w:val="001A41BB"/>
    <w:rsid w:val="001A43FA"/>
    <w:rsid w:val="001A47C5"/>
    <w:rsid w:val="001A5170"/>
    <w:rsid w:val="001A59FB"/>
    <w:rsid w:val="001A5E9E"/>
    <w:rsid w:val="001A6354"/>
    <w:rsid w:val="001A6366"/>
    <w:rsid w:val="001A7AE8"/>
    <w:rsid w:val="001B204E"/>
    <w:rsid w:val="001B2372"/>
    <w:rsid w:val="001B3443"/>
    <w:rsid w:val="001B4CDA"/>
    <w:rsid w:val="001B4D20"/>
    <w:rsid w:val="001B7794"/>
    <w:rsid w:val="001B7A80"/>
    <w:rsid w:val="001B7E07"/>
    <w:rsid w:val="001C01C9"/>
    <w:rsid w:val="001C0892"/>
    <w:rsid w:val="001C08C1"/>
    <w:rsid w:val="001C0CDF"/>
    <w:rsid w:val="001C162D"/>
    <w:rsid w:val="001C2361"/>
    <w:rsid w:val="001C278C"/>
    <w:rsid w:val="001C2A9B"/>
    <w:rsid w:val="001C3F19"/>
    <w:rsid w:val="001C4299"/>
    <w:rsid w:val="001C4329"/>
    <w:rsid w:val="001C486E"/>
    <w:rsid w:val="001C4874"/>
    <w:rsid w:val="001C522A"/>
    <w:rsid w:val="001C5F94"/>
    <w:rsid w:val="001C6E66"/>
    <w:rsid w:val="001C74B1"/>
    <w:rsid w:val="001C771C"/>
    <w:rsid w:val="001C7FD9"/>
    <w:rsid w:val="001D0D8E"/>
    <w:rsid w:val="001D1100"/>
    <w:rsid w:val="001D1391"/>
    <w:rsid w:val="001D1F9F"/>
    <w:rsid w:val="001D25D7"/>
    <w:rsid w:val="001D3486"/>
    <w:rsid w:val="001D49DF"/>
    <w:rsid w:val="001D50B2"/>
    <w:rsid w:val="001D65AF"/>
    <w:rsid w:val="001D7645"/>
    <w:rsid w:val="001D7A16"/>
    <w:rsid w:val="001E19FD"/>
    <w:rsid w:val="001E1E86"/>
    <w:rsid w:val="001E238E"/>
    <w:rsid w:val="001E2483"/>
    <w:rsid w:val="001E2B1E"/>
    <w:rsid w:val="001E2CFF"/>
    <w:rsid w:val="001E2F24"/>
    <w:rsid w:val="001E30D4"/>
    <w:rsid w:val="001E34DF"/>
    <w:rsid w:val="001E4774"/>
    <w:rsid w:val="001E52EB"/>
    <w:rsid w:val="001E57C8"/>
    <w:rsid w:val="001E6038"/>
    <w:rsid w:val="001E61D2"/>
    <w:rsid w:val="001E740C"/>
    <w:rsid w:val="001F1235"/>
    <w:rsid w:val="001F1CB3"/>
    <w:rsid w:val="001F25AD"/>
    <w:rsid w:val="001F28AA"/>
    <w:rsid w:val="001F38B5"/>
    <w:rsid w:val="001F3D1A"/>
    <w:rsid w:val="001F4081"/>
    <w:rsid w:val="001F4B2A"/>
    <w:rsid w:val="001F5A31"/>
    <w:rsid w:val="001F7361"/>
    <w:rsid w:val="001F78D7"/>
    <w:rsid w:val="002011B0"/>
    <w:rsid w:val="00202667"/>
    <w:rsid w:val="00202B06"/>
    <w:rsid w:val="00203181"/>
    <w:rsid w:val="00203783"/>
    <w:rsid w:val="0020385F"/>
    <w:rsid w:val="002038E9"/>
    <w:rsid w:val="002041F4"/>
    <w:rsid w:val="00204F0E"/>
    <w:rsid w:val="0020562A"/>
    <w:rsid w:val="002068A0"/>
    <w:rsid w:val="00207003"/>
    <w:rsid w:val="00207021"/>
    <w:rsid w:val="0020732F"/>
    <w:rsid w:val="002077C3"/>
    <w:rsid w:val="00207D00"/>
    <w:rsid w:val="002105C1"/>
    <w:rsid w:val="00211010"/>
    <w:rsid w:val="00211DFA"/>
    <w:rsid w:val="00212235"/>
    <w:rsid w:val="00212939"/>
    <w:rsid w:val="002130F4"/>
    <w:rsid w:val="00213EF5"/>
    <w:rsid w:val="002146C5"/>
    <w:rsid w:val="002148B2"/>
    <w:rsid w:val="00214A0E"/>
    <w:rsid w:val="00216361"/>
    <w:rsid w:val="00216BF5"/>
    <w:rsid w:val="00216CED"/>
    <w:rsid w:val="00220B04"/>
    <w:rsid w:val="00221F28"/>
    <w:rsid w:val="002228BB"/>
    <w:rsid w:val="00222ABF"/>
    <w:rsid w:val="00222D7A"/>
    <w:rsid w:val="00223B49"/>
    <w:rsid w:val="00223D5A"/>
    <w:rsid w:val="002241B3"/>
    <w:rsid w:val="00224655"/>
    <w:rsid w:val="00224DD4"/>
    <w:rsid w:val="00225104"/>
    <w:rsid w:val="002258C6"/>
    <w:rsid w:val="002265D0"/>
    <w:rsid w:val="00226BAE"/>
    <w:rsid w:val="002278A0"/>
    <w:rsid w:val="00227A61"/>
    <w:rsid w:val="002309CC"/>
    <w:rsid w:val="00231B3A"/>
    <w:rsid w:val="0023209F"/>
    <w:rsid w:val="00233C01"/>
    <w:rsid w:val="0023413C"/>
    <w:rsid w:val="002346F0"/>
    <w:rsid w:val="0023629D"/>
    <w:rsid w:val="0023648D"/>
    <w:rsid w:val="00236598"/>
    <w:rsid w:val="00237255"/>
    <w:rsid w:val="00237E06"/>
    <w:rsid w:val="002424AF"/>
    <w:rsid w:val="00242C75"/>
    <w:rsid w:val="002437DE"/>
    <w:rsid w:val="002439DC"/>
    <w:rsid w:val="002441D2"/>
    <w:rsid w:val="00244DC8"/>
    <w:rsid w:val="00244E19"/>
    <w:rsid w:val="002458BA"/>
    <w:rsid w:val="00245CE9"/>
    <w:rsid w:val="0024636C"/>
    <w:rsid w:val="00247925"/>
    <w:rsid w:val="0025014B"/>
    <w:rsid w:val="00250EDB"/>
    <w:rsid w:val="00250EEA"/>
    <w:rsid w:val="00251006"/>
    <w:rsid w:val="00251226"/>
    <w:rsid w:val="002524D5"/>
    <w:rsid w:val="00253B1D"/>
    <w:rsid w:val="00254DCF"/>
    <w:rsid w:val="0025534B"/>
    <w:rsid w:val="00255BB7"/>
    <w:rsid w:val="002571F5"/>
    <w:rsid w:val="00257492"/>
    <w:rsid w:val="00257541"/>
    <w:rsid w:val="00257A39"/>
    <w:rsid w:val="00257AC4"/>
    <w:rsid w:val="00257C2E"/>
    <w:rsid w:val="0026114C"/>
    <w:rsid w:val="00261EEF"/>
    <w:rsid w:val="00262183"/>
    <w:rsid w:val="00262A1A"/>
    <w:rsid w:val="00262A87"/>
    <w:rsid w:val="00262E02"/>
    <w:rsid w:val="00263C83"/>
    <w:rsid w:val="0026456A"/>
    <w:rsid w:val="00264757"/>
    <w:rsid w:val="00264D26"/>
    <w:rsid w:val="002657BA"/>
    <w:rsid w:val="002657DF"/>
    <w:rsid w:val="00267642"/>
    <w:rsid w:val="00267AEA"/>
    <w:rsid w:val="002700E6"/>
    <w:rsid w:val="002707F0"/>
    <w:rsid w:val="00271FFA"/>
    <w:rsid w:val="0027294B"/>
    <w:rsid w:val="00273EB4"/>
    <w:rsid w:val="00274682"/>
    <w:rsid w:val="00275679"/>
    <w:rsid w:val="00275C5A"/>
    <w:rsid w:val="00275E22"/>
    <w:rsid w:val="00276E2B"/>
    <w:rsid w:val="00280311"/>
    <w:rsid w:val="00280E0E"/>
    <w:rsid w:val="00281014"/>
    <w:rsid w:val="00281E35"/>
    <w:rsid w:val="00282217"/>
    <w:rsid w:val="00282CAF"/>
    <w:rsid w:val="0028326E"/>
    <w:rsid w:val="00285635"/>
    <w:rsid w:val="00285916"/>
    <w:rsid w:val="0028665D"/>
    <w:rsid w:val="00286912"/>
    <w:rsid w:val="0028734F"/>
    <w:rsid w:val="002873D5"/>
    <w:rsid w:val="002910E4"/>
    <w:rsid w:val="00293C3D"/>
    <w:rsid w:val="00293E31"/>
    <w:rsid w:val="00295D3C"/>
    <w:rsid w:val="002A0684"/>
    <w:rsid w:val="002A14AB"/>
    <w:rsid w:val="002A2ADE"/>
    <w:rsid w:val="002A2F50"/>
    <w:rsid w:val="002A48CE"/>
    <w:rsid w:val="002A63D4"/>
    <w:rsid w:val="002A7CCD"/>
    <w:rsid w:val="002B05A1"/>
    <w:rsid w:val="002B09A4"/>
    <w:rsid w:val="002B0DF1"/>
    <w:rsid w:val="002B1C1F"/>
    <w:rsid w:val="002B1C8F"/>
    <w:rsid w:val="002B20AB"/>
    <w:rsid w:val="002B432F"/>
    <w:rsid w:val="002B45D0"/>
    <w:rsid w:val="002B49D1"/>
    <w:rsid w:val="002B62B3"/>
    <w:rsid w:val="002B6754"/>
    <w:rsid w:val="002B68A1"/>
    <w:rsid w:val="002B6CCE"/>
    <w:rsid w:val="002B789D"/>
    <w:rsid w:val="002C0C8E"/>
    <w:rsid w:val="002C2510"/>
    <w:rsid w:val="002C2775"/>
    <w:rsid w:val="002C27C1"/>
    <w:rsid w:val="002C5099"/>
    <w:rsid w:val="002C5889"/>
    <w:rsid w:val="002C656D"/>
    <w:rsid w:val="002C71CE"/>
    <w:rsid w:val="002C7240"/>
    <w:rsid w:val="002D08F8"/>
    <w:rsid w:val="002D1233"/>
    <w:rsid w:val="002D2806"/>
    <w:rsid w:val="002D39AD"/>
    <w:rsid w:val="002D5367"/>
    <w:rsid w:val="002D577C"/>
    <w:rsid w:val="002D5A6D"/>
    <w:rsid w:val="002E068C"/>
    <w:rsid w:val="002E1071"/>
    <w:rsid w:val="002E15B9"/>
    <w:rsid w:val="002E2158"/>
    <w:rsid w:val="002E3026"/>
    <w:rsid w:val="002E4D8C"/>
    <w:rsid w:val="002E4F02"/>
    <w:rsid w:val="002E5CF5"/>
    <w:rsid w:val="002E71C8"/>
    <w:rsid w:val="002E7722"/>
    <w:rsid w:val="002F07BA"/>
    <w:rsid w:val="002F0DA9"/>
    <w:rsid w:val="002F1014"/>
    <w:rsid w:val="002F1DE2"/>
    <w:rsid w:val="002F2D69"/>
    <w:rsid w:val="002F2D84"/>
    <w:rsid w:val="002F33AC"/>
    <w:rsid w:val="002F39FB"/>
    <w:rsid w:val="002F63C6"/>
    <w:rsid w:val="002F643C"/>
    <w:rsid w:val="002F69EF"/>
    <w:rsid w:val="002F71C0"/>
    <w:rsid w:val="002F74F1"/>
    <w:rsid w:val="00301017"/>
    <w:rsid w:val="00301267"/>
    <w:rsid w:val="0030155F"/>
    <w:rsid w:val="003016E5"/>
    <w:rsid w:val="00304338"/>
    <w:rsid w:val="00304E1B"/>
    <w:rsid w:val="00305003"/>
    <w:rsid w:val="0030587B"/>
    <w:rsid w:val="00306636"/>
    <w:rsid w:val="00306D98"/>
    <w:rsid w:val="0030786C"/>
    <w:rsid w:val="0031031A"/>
    <w:rsid w:val="003108AF"/>
    <w:rsid w:val="00310981"/>
    <w:rsid w:val="003124D9"/>
    <w:rsid w:val="00312594"/>
    <w:rsid w:val="00312867"/>
    <w:rsid w:val="00313563"/>
    <w:rsid w:val="0031379F"/>
    <w:rsid w:val="00314DF9"/>
    <w:rsid w:val="00315498"/>
    <w:rsid w:val="00316152"/>
    <w:rsid w:val="00316474"/>
    <w:rsid w:val="00317710"/>
    <w:rsid w:val="00317717"/>
    <w:rsid w:val="00320A11"/>
    <w:rsid w:val="00321DF5"/>
    <w:rsid w:val="00322107"/>
    <w:rsid w:val="00322355"/>
    <w:rsid w:val="00322846"/>
    <w:rsid w:val="00323707"/>
    <w:rsid w:val="0032402B"/>
    <w:rsid w:val="00326DA7"/>
    <w:rsid w:val="003270E4"/>
    <w:rsid w:val="00327A2D"/>
    <w:rsid w:val="00330AED"/>
    <w:rsid w:val="00330DAA"/>
    <w:rsid w:val="00330F5C"/>
    <w:rsid w:val="003331C7"/>
    <w:rsid w:val="00333A13"/>
    <w:rsid w:val="00333D04"/>
    <w:rsid w:val="003343EF"/>
    <w:rsid w:val="00334728"/>
    <w:rsid w:val="003364F2"/>
    <w:rsid w:val="003366C9"/>
    <w:rsid w:val="003371B0"/>
    <w:rsid w:val="00340DF1"/>
    <w:rsid w:val="00341F46"/>
    <w:rsid w:val="0034260C"/>
    <w:rsid w:val="003437FF"/>
    <w:rsid w:val="00344837"/>
    <w:rsid w:val="0034637B"/>
    <w:rsid w:val="0034717C"/>
    <w:rsid w:val="00347BFF"/>
    <w:rsid w:val="00347C90"/>
    <w:rsid w:val="003502B8"/>
    <w:rsid w:val="00350708"/>
    <w:rsid w:val="003517F9"/>
    <w:rsid w:val="00351BA9"/>
    <w:rsid w:val="00351C3B"/>
    <w:rsid w:val="0035248F"/>
    <w:rsid w:val="0035299E"/>
    <w:rsid w:val="003535F0"/>
    <w:rsid w:val="0035418F"/>
    <w:rsid w:val="00354F64"/>
    <w:rsid w:val="003559C7"/>
    <w:rsid w:val="0035620E"/>
    <w:rsid w:val="00356354"/>
    <w:rsid w:val="003563D9"/>
    <w:rsid w:val="00357851"/>
    <w:rsid w:val="00360203"/>
    <w:rsid w:val="00360345"/>
    <w:rsid w:val="0036146D"/>
    <w:rsid w:val="003614E2"/>
    <w:rsid w:val="00361A05"/>
    <w:rsid w:val="00361DEA"/>
    <w:rsid w:val="003624C4"/>
    <w:rsid w:val="00363017"/>
    <w:rsid w:val="00363B00"/>
    <w:rsid w:val="00364267"/>
    <w:rsid w:val="003654AC"/>
    <w:rsid w:val="00365AAB"/>
    <w:rsid w:val="00366FCA"/>
    <w:rsid w:val="00370311"/>
    <w:rsid w:val="003708F3"/>
    <w:rsid w:val="003710CF"/>
    <w:rsid w:val="00371CAF"/>
    <w:rsid w:val="003725A3"/>
    <w:rsid w:val="003731DC"/>
    <w:rsid w:val="0037358A"/>
    <w:rsid w:val="003750F6"/>
    <w:rsid w:val="00375760"/>
    <w:rsid w:val="003760FC"/>
    <w:rsid w:val="00376B39"/>
    <w:rsid w:val="00376FB0"/>
    <w:rsid w:val="003821CF"/>
    <w:rsid w:val="0038337A"/>
    <w:rsid w:val="0038365C"/>
    <w:rsid w:val="0038369B"/>
    <w:rsid w:val="00383B78"/>
    <w:rsid w:val="003847EE"/>
    <w:rsid w:val="00384812"/>
    <w:rsid w:val="00384D82"/>
    <w:rsid w:val="003854F6"/>
    <w:rsid w:val="00385A9D"/>
    <w:rsid w:val="003875DE"/>
    <w:rsid w:val="00387B17"/>
    <w:rsid w:val="00387E68"/>
    <w:rsid w:val="003902B1"/>
    <w:rsid w:val="0039179C"/>
    <w:rsid w:val="00393A58"/>
    <w:rsid w:val="00396896"/>
    <w:rsid w:val="00396FD0"/>
    <w:rsid w:val="00397875"/>
    <w:rsid w:val="00397CA5"/>
    <w:rsid w:val="00397D29"/>
    <w:rsid w:val="003A0E52"/>
    <w:rsid w:val="003A1A7A"/>
    <w:rsid w:val="003A2299"/>
    <w:rsid w:val="003A2392"/>
    <w:rsid w:val="003A2831"/>
    <w:rsid w:val="003A2A8B"/>
    <w:rsid w:val="003A32B2"/>
    <w:rsid w:val="003A3926"/>
    <w:rsid w:val="003A3CB6"/>
    <w:rsid w:val="003A3ED1"/>
    <w:rsid w:val="003A44DB"/>
    <w:rsid w:val="003A7C25"/>
    <w:rsid w:val="003A7CB0"/>
    <w:rsid w:val="003B04CD"/>
    <w:rsid w:val="003B0B9A"/>
    <w:rsid w:val="003B11BB"/>
    <w:rsid w:val="003B1CE5"/>
    <w:rsid w:val="003B1FBE"/>
    <w:rsid w:val="003B381D"/>
    <w:rsid w:val="003B3971"/>
    <w:rsid w:val="003B3B9E"/>
    <w:rsid w:val="003B54D7"/>
    <w:rsid w:val="003B55D1"/>
    <w:rsid w:val="003B5B61"/>
    <w:rsid w:val="003B5C4B"/>
    <w:rsid w:val="003B67ED"/>
    <w:rsid w:val="003B7520"/>
    <w:rsid w:val="003B7A86"/>
    <w:rsid w:val="003B7DD3"/>
    <w:rsid w:val="003C0B1D"/>
    <w:rsid w:val="003C131D"/>
    <w:rsid w:val="003C1654"/>
    <w:rsid w:val="003C2DB4"/>
    <w:rsid w:val="003C2FFE"/>
    <w:rsid w:val="003C4C16"/>
    <w:rsid w:val="003C5542"/>
    <w:rsid w:val="003C5858"/>
    <w:rsid w:val="003C5D46"/>
    <w:rsid w:val="003C7D19"/>
    <w:rsid w:val="003C7D2F"/>
    <w:rsid w:val="003D1828"/>
    <w:rsid w:val="003D1DE4"/>
    <w:rsid w:val="003D1E9A"/>
    <w:rsid w:val="003D2422"/>
    <w:rsid w:val="003D39A1"/>
    <w:rsid w:val="003D3AB9"/>
    <w:rsid w:val="003D3FBF"/>
    <w:rsid w:val="003D4A30"/>
    <w:rsid w:val="003D59CA"/>
    <w:rsid w:val="003D6751"/>
    <w:rsid w:val="003D69A8"/>
    <w:rsid w:val="003D6A59"/>
    <w:rsid w:val="003D6D5C"/>
    <w:rsid w:val="003D7452"/>
    <w:rsid w:val="003D782C"/>
    <w:rsid w:val="003D79BB"/>
    <w:rsid w:val="003D7A4A"/>
    <w:rsid w:val="003D7C98"/>
    <w:rsid w:val="003D7D9D"/>
    <w:rsid w:val="003E0448"/>
    <w:rsid w:val="003E0543"/>
    <w:rsid w:val="003E3641"/>
    <w:rsid w:val="003E4165"/>
    <w:rsid w:val="003E4FB9"/>
    <w:rsid w:val="003E6DA7"/>
    <w:rsid w:val="003E749E"/>
    <w:rsid w:val="003E7BD9"/>
    <w:rsid w:val="003F1FCC"/>
    <w:rsid w:val="003F2DC2"/>
    <w:rsid w:val="003F4156"/>
    <w:rsid w:val="003F4A4E"/>
    <w:rsid w:val="003F5ADF"/>
    <w:rsid w:val="003F5BC5"/>
    <w:rsid w:val="003F60FD"/>
    <w:rsid w:val="003F62D5"/>
    <w:rsid w:val="003F682A"/>
    <w:rsid w:val="003F75C3"/>
    <w:rsid w:val="00400B29"/>
    <w:rsid w:val="00401A68"/>
    <w:rsid w:val="00403112"/>
    <w:rsid w:val="0040314C"/>
    <w:rsid w:val="004042A3"/>
    <w:rsid w:val="00404F74"/>
    <w:rsid w:val="0040504B"/>
    <w:rsid w:val="004059F4"/>
    <w:rsid w:val="00406F61"/>
    <w:rsid w:val="0040760C"/>
    <w:rsid w:val="00407FE5"/>
    <w:rsid w:val="004100C9"/>
    <w:rsid w:val="004101B0"/>
    <w:rsid w:val="00410326"/>
    <w:rsid w:val="00410708"/>
    <w:rsid w:val="00410EC7"/>
    <w:rsid w:val="004110B2"/>
    <w:rsid w:val="00411B39"/>
    <w:rsid w:val="00412252"/>
    <w:rsid w:val="004127A7"/>
    <w:rsid w:val="004135FF"/>
    <w:rsid w:val="00413627"/>
    <w:rsid w:val="00413A1E"/>
    <w:rsid w:val="00413D27"/>
    <w:rsid w:val="0041402F"/>
    <w:rsid w:val="00414476"/>
    <w:rsid w:val="00414C2E"/>
    <w:rsid w:val="004151CF"/>
    <w:rsid w:val="0041575D"/>
    <w:rsid w:val="00416364"/>
    <w:rsid w:val="00416976"/>
    <w:rsid w:val="00416EE5"/>
    <w:rsid w:val="004172F1"/>
    <w:rsid w:val="0041780A"/>
    <w:rsid w:val="0042047F"/>
    <w:rsid w:val="00420AA6"/>
    <w:rsid w:val="00420B9F"/>
    <w:rsid w:val="00420E2D"/>
    <w:rsid w:val="0042192C"/>
    <w:rsid w:val="00421B7C"/>
    <w:rsid w:val="00422260"/>
    <w:rsid w:val="0042413F"/>
    <w:rsid w:val="00424886"/>
    <w:rsid w:val="004248AA"/>
    <w:rsid w:val="004305CD"/>
    <w:rsid w:val="00430EBD"/>
    <w:rsid w:val="00431014"/>
    <w:rsid w:val="00431053"/>
    <w:rsid w:val="004319F8"/>
    <w:rsid w:val="00431BFF"/>
    <w:rsid w:val="00431E55"/>
    <w:rsid w:val="0043204B"/>
    <w:rsid w:val="004321F6"/>
    <w:rsid w:val="0043270F"/>
    <w:rsid w:val="00433044"/>
    <w:rsid w:val="00434088"/>
    <w:rsid w:val="004346B4"/>
    <w:rsid w:val="0043663A"/>
    <w:rsid w:val="004375B9"/>
    <w:rsid w:val="00437706"/>
    <w:rsid w:val="0044194D"/>
    <w:rsid w:val="00441D69"/>
    <w:rsid w:val="00441DE2"/>
    <w:rsid w:val="004426FF"/>
    <w:rsid w:val="004428D0"/>
    <w:rsid w:val="00442ECF"/>
    <w:rsid w:val="00443340"/>
    <w:rsid w:val="004439E1"/>
    <w:rsid w:val="00444185"/>
    <w:rsid w:val="004443A7"/>
    <w:rsid w:val="0044442C"/>
    <w:rsid w:val="0044512C"/>
    <w:rsid w:val="00445941"/>
    <w:rsid w:val="00445DE6"/>
    <w:rsid w:val="004464EB"/>
    <w:rsid w:val="0044672A"/>
    <w:rsid w:val="00447D0F"/>
    <w:rsid w:val="00447D26"/>
    <w:rsid w:val="00447DFC"/>
    <w:rsid w:val="0045211C"/>
    <w:rsid w:val="00453365"/>
    <w:rsid w:val="00455846"/>
    <w:rsid w:val="00455D45"/>
    <w:rsid w:val="00460143"/>
    <w:rsid w:val="00460D91"/>
    <w:rsid w:val="00461122"/>
    <w:rsid w:val="00462EBE"/>
    <w:rsid w:val="00464595"/>
    <w:rsid w:val="00464C14"/>
    <w:rsid w:val="004658B5"/>
    <w:rsid w:val="00465A7C"/>
    <w:rsid w:val="00467EBF"/>
    <w:rsid w:val="00470E49"/>
    <w:rsid w:val="004715A9"/>
    <w:rsid w:val="00471C44"/>
    <w:rsid w:val="00471EA5"/>
    <w:rsid w:val="004726FD"/>
    <w:rsid w:val="00472A79"/>
    <w:rsid w:val="0047355A"/>
    <w:rsid w:val="00473F19"/>
    <w:rsid w:val="004750DC"/>
    <w:rsid w:val="004750E1"/>
    <w:rsid w:val="00475855"/>
    <w:rsid w:val="00475CEE"/>
    <w:rsid w:val="00475E22"/>
    <w:rsid w:val="00476235"/>
    <w:rsid w:val="00476403"/>
    <w:rsid w:val="00476B24"/>
    <w:rsid w:val="00477214"/>
    <w:rsid w:val="00477D34"/>
    <w:rsid w:val="004800B4"/>
    <w:rsid w:val="0048088E"/>
    <w:rsid w:val="00480CEA"/>
    <w:rsid w:val="00480F2B"/>
    <w:rsid w:val="004810E5"/>
    <w:rsid w:val="004826B8"/>
    <w:rsid w:val="00482720"/>
    <w:rsid w:val="00482887"/>
    <w:rsid w:val="00482B98"/>
    <w:rsid w:val="004835E7"/>
    <w:rsid w:val="004837C8"/>
    <w:rsid w:val="00483F5D"/>
    <w:rsid w:val="00483F83"/>
    <w:rsid w:val="004867E2"/>
    <w:rsid w:val="004878A7"/>
    <w:rsid w:val="00490B17"/>
    <w:rsid w:val="00490D6D"/>
    <w:rsid w:val="00491B3A"/>
    <w:rsid w:val="00492CFD"/>
    <w:rsid w:val="00492F05"/>
    <w:rsid w:val="00492FF1"/>
    <w:rsid w:val="00493709"/>
    <w:rsid w:val="00493C38"/>
    <w:rsid w:val="00494207"/>
    <w:rsid w:val="004942C9"/>
    <w:rsid w:val="0049459A"/>
    <w:rsid w:val="00494681"/>
    <w:rsid w:val="00494DD5"/>
    <w:rsid w:val="00495401"/>
    <w:rsid w:val="00495B74"/>
    <w:rsid w:val="00496047"/>
    <w:rsid w:val="0049616C"/>
    <w:rsid w:val="004962D2"/>
    <w:rsid w:val="004A0DA1"/>
    <w:rsid w:val="004A13B1"/>
    <w:rsid w:val="004A13D6"/>
    <w:rsid w:val="004A1543"/>
    <w:rsid w:val="004A372A"/>
    <w:rsid w:val="004A52E9"/>
    <w:rsid w:val="004A5E38"/>
    <w:rsid w:val="004A6040"/>
    <w:rsid w:val="004A6597"/>
    <w:rsid w:val="004A7848"/>
    <w:rsid w:val="004A7880"/>
    <w:rsid w:val="004B0E64"/>
    <w:rsid w:val="004B1CB4"/>
    <w:rsid w:val="004B263A"/>
    <w:rsid w:val="004B2F18"/>
    <w:rsid w:val="004B3DDB"/>
    <w:rsid w:val="004B4450"/>
    <w:rsid w:val="004B44FD"/>
    <w:rsid w:val="004B5678"/>
    <w:rsid w:val="004B5B12"/>
    <w:rsid w:val="004B5CFC"/>
    <w:rsid w:val="004B64AC"/>
    <w:rsid w:val="004B6F79"/>
    <w:rsid w:val="004B774D"/>
    <w:rsid w:val="004C2066"/>
    <w:rsid w:val="004C4AED"/>
    <w:rsid w:val="004D1B93"/>
    <w:rsid w:val="004D1CAC"/>
    <w:rsid w:val="004D2C2D"/>
    <w:rsid w:val="004D2E8E"/>
    <w:rsid w:val="004D31A4"/>
    <w:rsid w:val="004D4307"/>
    <w:rsid w:val="004D4EBE"/>
    <w:rsid w:val="004D57BE"/>
    <w:rsid w:val="004D5C2F"/>
    <w:rsid w:val="004D69B5"/>
    <w:rsid w:val="004D7227"/>
    <w:rsid w:val="004D78C0"/>
    <w:rsid w:val="004E00D5"/>
    <w:rsid w:val="004E0163"/>
    <w:rsid w:val="004E0910"/>
    <w:rsid w:val="004E0C17"/>
    <w:rsid w:val="004E0E7F"/>
    <w:rsid w:val="004E0EB8"/>
    <w:rsid w:val="004E18E9"/>
    <w:rsid w:val="004E2488"/>
    <w:rsid w:val="004E2ADC"/>
    <w:rsid w:val="004E43B2"/>
    <w:rsid w:val="004E4E6B"/>
    <w:rsid w:val="004E5718"/>
    <w:rsid w:val="004E6279"/>
    <w:rsid w:val="004F0599"/>
    <w:rsid w:val="004F1496"/>
    <w:rsid w:val="004F1D02"/>
    <w:rsid w:val="004F2679"/>
    <w:rsid w:val="004F2F21"/>
    <w:rsid w:val="004F3DE5"/>
    <w:rsid w:val="004F3FD3"/>
    <w:rsid w:val="004F5783"/>
    <w:rsid w:val="004F5889"/>
    <w:rsid w:val="004F5A66"/>
    <w:rsid w:val="004F6913"/>
    <w:rsid w:val="004F6E0E"/>
    <w:rsid w:val="004F7865"/>
    <w:rsid w:val="005000F4"/>
    <w:rsid w:val="00500FED"/>
    <w:rsid w:val="005010D0"/>
    <w:rsid w:val="00501526"/>
    <w:rsid w:val="0050174E"/>
    <w:rsid w:val="00501854"/>
    <w:rsid w:val="00501885"/>
    <w:rsid w:val="00501DD4"/>
    <w:rsid w:val="0050219B"/>
    <w:rsid w:val="005028FD"/>
    <w:rsid w:val="00503F17"/>
    <w:rsid w:val="00504907"/>
    <w:rsid w:val="0050505D"/>
    <w:rsid w:val="00505150"/>
    <w:rsid w:val="00506928"/>
    <w:rsid w:val="005077EF"/>
    <w:rsid w:val="00507A7A"/>
    <w:rsid w:val="00507E0A"/>
    <w:rsid w:val="00510B71"/>
    <w:rsid w:val="00511AD5"/>
    <w:rsid w:val="00511DC7"/>
    <w:rsid w:val="005142C5"/>
    <w:rsid w:val="00514A80"/>
    <w:rsid w:val="0051501B"/>
    <w:rsid w:val="005152B5"/>
    <w:rsid w:val="0052123C"/>
    <w:rsid w:val="00521319"/>
    <w:rsid w:val="0052206A"/>
    <w:rsid w:val="00522A1C"/>
    <w:rsid w:val="00522BC8"/>
    <w:rsid w:val="00522CD5"/>
    <w:rsid w:val="00523590"/>
    <w:rsid w:val="00523C28"/>
    <w:rsid w:val="0052428E"/>
    <w:rsid w:val="0052469B"/>
    <w:rsid w:val="005252AD"/>
    <w:rsid w:val="00526F7A"/>
    <w:rsid w:val="0053176B"/>
    <w:rsid w:val="0053368E"/>
    <w:rsid w:val="0053400E"/>
    <w:rsid w:val="005341CB"/>
    <w:rsid w:val="005345B8"/>
    <w:rsid w:val="0053490F"/>
    <w:rsid w:val="005361BC"/>
    <w:rsid w:val="005363DB"/>
    <w:rsid w:val="00536F42"/>
    <w:rsid w:val="00537182"/>
    <w:rsid w:val="0054003C"/>
    <w:rsid w:val="005407BD"/>
    <w:rsid w:val="00540CD9"/>
    <w:rsid w:val="00540DBB"/>
    <w:rsid w:val="00541290"/>
    <w:rsid w:val="00541C6B"/>
    <w:rsid w:val="00541EDD"/>
    <w:rsid w:val="00542743"/>
    <w:rsid w:val="00542C2D"/>
    <w:rsid w:val="00542E3B"/>
    <w:rsid w:val="00542EFA"/>
    <w:rsid w:val="00543353"/>
    <w:rsid w:val="00543622"/>
    <w:rsid w:val="00543C62"/>
    <w:rsid w:val="00543EE1"/>
    <w:rsid w:val="005443F1"/>
    <w:rsid w:val="0054462E"/>
    <w:rsid w:val="00544A88"/>
    <w:rsid w:val="00544FE6"/>
    <w:rsid w:val="005478BD"/>
    <w:rsid w:val="005479E3"/>
    <w:rsid w:val="00550416"/>
    <w:rsid w:val="0055081C"/>
    <w:rsid w:val="00551985"/>
    <w:rsid w:val="00552465"/>
    <w:rsid w:val="00552BD3"/>
    <w:rsid w:val="005532A0"/>
    <w:rsid w:val="00554118"/>
    <w:rsid w:val="005542E9"/>
    <w:rsid w:val="005543F2"/>
    <w:rsid w:val="00554B82"/>
    <w:rsid w:val="00555109"/>
    <w:rsid w:val="00555FB7"/>
    <w:rsid w:val="00556B35"/>
    <w:rsid w:val="0055741A"/>
    <w:rsid w:val="00557916"/>
    <w:rsid w:val="00557E3F"/>
    <w:rsid w:val="005611B7"/>
    <w:rsid w:val="005612BF"/>
    <w:rsid w:val="005618D4"/>
    <w:rsid w:val="005623A2"/>
    <w:rsid w:val="00562E8B"/>
    <w:rsid w:val="005640F0"/>
    <w:rsid w:val="00565511"/>
    <w:rsid w:val="00565DF0"/>
    <w:rsid w:val="0056696F"/>
    <w:rsid w:val="0057098E"/>
    <w:rsid w:val="00570EA7"/>
    <w:rsid w:val="00572269"/>
    <w:rsid w:val="0057244A"/>
    <w:rsid w:val="00572F26"/>
    <w:rsid w:val="0057317B"/>
    <w:rsid w:val="0057337A"/>
    <w:rsid w:val="0057348E"/>
    <w:rsid w:val="005750C5"/>
    <w:rsid w:val="005752DE"/>
    <w:rsid w:val="005752FE"/>
    <w:rsid w:val="005756E1"/>
    <w:rsid w:val="00575860"/>
    <w:rsid w:val="00575BFD"/>
    <w:rsid w:val="00575D8D"/>
    <w:rsid w:val="00576774"/>
    <w:rsid w:val="00576972"/>
    <w:rsid w:val="00576CD8"/>
    <w:rsid w:val="0057707D"/>
    <w:rsid w:val="00577F24"/>
    <w:rsid w:val="00580F38"/>
    <w:rsid w:val="005813B0"/>
    <w:rsid w:val="00583699"/>
    <w:rsid w:val="00583B0B"/>
    <w:rsid w:val="00583FE5"/>
    <w:rsid w:val="00584983"/>
    <w:rsid w:val="005858E7"/>
    <w:rsid w:val="00585941"/>
    <w:rsid w:val="00585CDD"/>
    <w:rsid w:val="00587058"/>
    <w:rsid w:val="005913D1"/>
    <w:rsid w:val="00591957"/>
    <w:rsid w:val="00591D67"/>
    <w:rsid w:val="005936AF"/>
    <w:rsid w:val="00596B60"/>
    <w:rsid w:val="00597BF9"/>
    <w:rsid w:val="005A107C"/>
    <w:rsid w:val="005A1493"/>
    <w:rsid w:val="005A200B"/>
    <w:rsid w:val="005A229E"/>
    <w:rsid w:val="005A258B"/>
    <w:rsid w:val="005A2883"/>
    <w:rsid w:val="005A309A"/>
    <w:rsid w:val="005A3661"/>
    <w:rsid w:val="005A373D"/>
    <w:rsid w:val="005A3809"/>
    <w:rsid w:val="005A4876"/>
    <w:rsid w:val="005A513B"/>
    <w:rsid w:val="005A55DA"/>
    <w:rsid w:val="005A5CA9"/>
    <w:rsid w:val="005A5D7E"/>
    <w:rsid w:val="005A6DA9"/>
    <w:rsid w:val="005A7C7A"/>
    <w:rsid w:val="005B0B58"/>
    <w:rsid w:val="005B16AB"/>
    <w:rsid w:val="005B29FD"/>
    <w:rsid w:val="005B4E53"/>
    <w:rsid w:val="005B5857"/>
    <w:rsid w:val="005B59E5"/>
    <w:rsid w:val="005C0BBF"/>
    <w:rsid w:val="005C0F79"/>
    <w:rsid w:val="005C168B"/>
    <w:rsid w:val="005C19C4"/>
    <w:rsid w:val="005C1B83"/>
    <w:rsid w:val="005C245B"/>
    <w:rsid w:val="005C25FF"/>
    <w:rsid w:val="005C2D55"/>
    <w:rsid w:val="005C346B"/>
    <w:rsid w:val="005C4432"/>
    <w:rsid w:val="005C4FF5"/>
    <w:rsid w:val="005D044D"/>
    <w:rsid w:val="005D0493"/>
    <w:rsid w:val="005D0AB6"/>
    <w:rsid w:val="005D0ABD"/>
    <w:rsid w:val="005D0FE2"/>
    <w:rsid w:val="005D18AD"/>
    <w:rsid w:val="005D26B4"/>
    <w:rsid w:val="005D2DE2"/>
    <w:rsid w:val="005D4A41"/>
    <w:rsid w:val="005D78BB"/>
    <w:rsid w:val="005E0731"/>
    <w:rsid w:val="005E0DDF"/>
    <w:rsid w:val="005E297C"/>
    <w:rsid w:val="005E33B2"/>
    <w:rsid w:val="005E3CD0"/>
    <w:rsid w:val="005E400C"/>
    <w:rsid w:val="005E46E9"/>
    <w:rsid w:val="005E48B0"/>
    <w:rsid w:val="005E4DD2"/>
    <w:rsid w:val="005E4E21"/>
    <w:rsid w:val="005E5817"/>
    <w:rsid w:val="005E6CBC"/>
    <w:rsid w:val="005E72FF"/>
    <w:rsid w:val="005E73C0"/>
    <w:rsid w:val="005E7A2B"/>
    <w:rsid w:val="005F05A4"/>
    <w:rsid w:val="005F16E9"/>
    <w:rsid w:val="005F1FB2"/>
    <w:rsid w:val="005F2706"/>
    <w:rsid w:val="005F61B6"/>
    <w:rsid w:val="005F6A8F"/>
    <w:rsid w:val="005F6BB7"/>
    <w:rsid w:val="005F6E3A"/>
    <w:rsid w:val="005F750F"/>
    <w:rsid w:val="005F7588"/>
    <w:rsid w:val="005F7DE9"/>
    <w:rsid w:val="005F7EAA"/>
    <w:rsid w:val="00600224"/>
    <w:rsid w:val="00601AF9"/>
    <w:rsid w:val="0060208D"/>
    <w:rsid w:val="00603DB9"/>
    <w:rsid w:val="006050ED"/>
    <w:rsid w:val="00605449"/>
    <w:rsid w:val="00606FBA"/>
    <w:rsid w:val="00607669"/>
    <w:rsid w:val="006076F4"/>
    <w:rsid w:val="00607AFD"/>
    <w:rsid w:val="00607CA6"/>
    <w:rsid w:val="00610BAB"/>
    <w:rsid w:val="00611C9F"/>
    <w:rsid w:val="00612F97"/>
    <w:rsid w:val="00613114"/>
    <w:rsid w:val="006133D0"/>
    <w:rsid w:val="0061345D"/>
    <w:rsid w:val="00613B1C"/>
    <w:rsid w:val="0061549B"/>
    <w:rsid w:val="00616802"/>
    <w:rsid w:val="00617E12"/>
    <w:rsid w:val="00620C25"/>
    <w:rsid w:val="00620F02"/>
    <w:rsid w:val="00621477"/>
    <w:rsid w:val="00621ADA"/>
    <w:rsid w:val="00623F7B"/>
    <w:rsid w:val="00625DEE"/>
    <w:rsid w:val="00630063"/>
    <w:rsid w:val="0063158F"/>
    <w:rsid w:val="00631D6B"/>
    <w:rsid w:val="00632183"/>
    <w:rsid w:val="00632334"/>
    <w:rsid w:val="006330A1"/>
    <w:rsid w:val="00633D93"/>
    <w:rsid w:val="00634533"/>
    <w:rsid w:val="0063479F"/>
    <w:rsid w:val="006353F0"/>
    <w:rsid w:val="006357B5"/>
    <w:rsid w:val="006358AF"/>
    <w:rsid w:val="0063610B"/>
    <w:rsid w:val="006364A1"/>
    <w:rsid w:val="0063678E"/>
    <w:rsid w:val="00637BFD"/>
    <w:rsid w:val="00637DC5"/>
    <w:rsid w:val="00640686"/>
    <w:rsid w:val="0064181E"/>
    <w:rsid w:val="00641C4E"/>
    <w:rsid w:val="00641FB3"/>
    <w:rsid w:val="00643B3A"/>
    <w:rsid w:val="00643FD0"/>
    <w:rsid w:val="0064434C"/>
    <w:rsid w:val="00644721"/>
    <w:rsid w:val="006454C7"/>
    <w:rsid w:val="006471CC"/>
    <w:rsid w:val="00647A29"/>
    <w:rsid w:val="0065079F"/>
    <w:rsid w:val="006516F1"/>
    <w:rsid w:val="00652A28"/>
    <w:rsid w:val="00653173"/>
    <w:rsid w:val="00653218"/>
    <w:rsid w:val="0065379F"/>
    <w:rsid w:val="006546CB"/>
    <w:rsid w:val="006548FC"/>
    <w:rsid w:val="00654DFB"/>
    <w:rsid w:val="00656188"/>
    <w:rsid w:val="0065715A"/>
    <w:rsid w:val="0065737C"/>
    <w:rsid w:val="00657AA2"/>
    <w:rsid w:val="00657AA3"/>
    <w:rsid w:val="00657EB7"/>
    <w:rsid w:val="006610F1"/>
    <w:rsid w:val="00661C6B"/>
    <w:rsid w:val="00662531"/>
    <w:rsid w:val="00662975"/>
    <w:rsid w:val="00665D6C"/>
    <w:rsid w:val="0066738D"/>
    <w:rsid w:val="00671004"/>
    <w:rsid w:val="0067162E"/>
    <w:rsid w:val="00671A53"/>
    <w:rsid w:val="00672425"/>
    <w:rsid w:val="00672646"/>
    <w:rsid w:val="00672DE9"/>
    <w:rsid w:val="00672F05"/>
    <w:rsid w:val="00674374"/>
    <w:rsid w:val="006744F0"/>
    <w:rsid w:val="00674BC6"/>
    <w:rsid w:val="00674E42"/>
    <w:rsid w:val="0067542B"/>
    <w:rsid w:val="00675A75"/>
    <w:rsid w:val="00675DCA"/>
    <w:rsid w:val="006768CF"/>
    <w:rsid w:val="006776EE"/>
    <w:rsid w:val="00677D5D"/>
    <w:rsid w:val="00680899"/>
    <w:rsid w:val="006813F8"/>
    <w:rsid w:val="00682112"/>
    <w:rsid w:val="00682360"/>
    <w:rsid w:val="00682BA6"/>
    <w:rsid w:val="0068437B"/>
    <w:rsid w:val="00684A23"/>
    <w:rsid w:val="00684F55"/>
    <w:rsid w:val="00685434"/>
    <w:rsid w:val="006860C5"/>
    <w:rsid w:val="00686957"/>
    <w:rsid w:val="006872BA"/>
    <w:rsid w:val="00687745"/>
    <w:rsid w:val="00690795"/>
    <w:rsid w:val="00691648"/>
    <w:rsid w:val="006917D7"/>
    <w:rsid w:val="00691962"/>
    <w:rsid w:val="00691F64"/>
    <w:rsid w:val="006922D5"/>
    <w:rsid w:val="0069434C"/>
    <w:rsid w:val="00694621"/>
    <w:rsid w:val="00694F44"/>
    <w:rsid w:val="006951F9"/>
    <w:rsid w:val="00696524"/>
    <w:rsid w:val="00696F51"/>
    <w:rsid w:val="006979A5"/>
    <w:rsid w:val="006A0135"/>
    <w:rsid w:val="006A2EA7"/>
    <w:rsid w:val="006A4062"/>
    <w:rsid w:val="006A4932"/>
    <w:rsid w:val="006A4B5B"/>
    <w:rsid w:val="006A54E3"/>
    <w:rsid w:val="006A5B95"/>
    <w:rsid w:val="006A63A4"/>
    <w:rsid w:val="006A6B99"/>
    <w:rsid w:val="006A7623"/>
    <w:rsid w:val="006A7CD6"/>
    <w:rsid w:val="006A7E5F"/>
    <w:rsid w:val="006A7F1F"/>
    <w:rsid w:val="006B008F"/>
    <w:rsid w:val="006B12DA"/>
    <w:rsid w:val="006B1495"/>
    <w:rsid w:val="006B261B"/>
    <w:rsid w:val="006B2C90"/>
    <w:rsid w:val="006B2C9E"/>
    <w:rsid w:val="006B2D44"/>
    <w:rsid w:val="006B344A"/>
    <w:rsid w:val="006B35E6"/>
    <w:rsid w:val="006B423F"/>
    <w:rsid w:val="006B446E"/>
    <w:rsid w:val="006B465A"/>
    <w:rsid w:val="006B4D1E"/>
    <w:rsid w:val="006B60C8"/>
    <w:rsid w:val="006B6DD0"/>
    <w:rsid w:val="006B6F2B"/>
    <w:rsid w:val="006B707A"/>
    <w:rsid w:val="006C0399"/>
    <w:rsid w:val="006C0993"/>
    <w:rsid w:val="006C0E20"/>
    <w:rsid w:val="006C10D2"/>
    <w:rsid w:val="006C27A8"/>
    <w:rsid w:val="006C2A8E"/>
    <w:rsid w:val="006C3255"/>
    <w:rsid w:val="006C3EB4"/>
    <w:rsid w:val="006C3F26"/>
    <w:rsid w:val="006C3FF7"/>
    <w:rsid w:val="006C4664"/>
    <w:rsid w:val="006C4C66"/>
    <w:rsid w:val="006C585A"/>
    <w:rsid w:val="006C6030"/>
    <w:rsid w:val="006C6A7D"/>
    <w:rsid w:val="006C7123"/>
    <w:rsid w:val="006C7321"/>
    <w:rsid w:val="006C73F5"/>
    <w:rsid w:val="006D0445"/>
    <w:rsid w:val="006D0CC3"/>
    <w:rsid w:val="006D0D17"/>
    <w:rsid w:val="006D0DDD"/>
    <w:rsid w:val="006D32F6"/>
    <w:rsid w:val="006D3C7D"/>
    <w:rsid w:val="006D4659"/>
    <w:rsid w:val="006D4CC5"/>
    <w:rsid w:val="006D5D5F"/>
    <w:rsid w:val="006D5FE4"/>
    <w:rsid w:val="006D68FB"/>
    <w:rsid w:val="006E0C55"/>
    <w:rsid w:val="006E1415"/>
    <w:rsid w:val="006E21F0"/>
    <w:rsid w:val="006E2868"/>
    <w:rsid w:val="006E2C3B"/>
    <w:rsid w:val="006E2DBD"/>
    <w:rsid w:val="006E2F1C"/>
    <w:rsid w:val="006E3166"/>
    <w:rsid w:val="006E653C"/>
    <w:rsid w:val="006E656E"/>
    <w:rsid w:val="006F0ED2"/>
    <w:rsid w:val="006F11BD"/>
    <w:rsid w:val="006F1290"/>
    <w:rsid w:val="006F2C03"/>
    <w:rsid w:val="006F306C"/>
    <w:rsid w:val="006F372A"/>
    <w:rsid w:val="006F49B9"/>
    <w:rsid w:val="006F544C"/>
    <w:rsid w:val="006F63A5"/>
    <w:rsid w:val="006F7EC4"/>
    <w:rsid w:val="00700538"/>
    <w:rsid w:val="00701188"/>
    <w:rsid w:val="0070142B"/>
    <w:rsid w:val="0070203A"/>
    <w:rsid w:val="0070276E"/>
    <w:rsid w:val="00702F8F"/>
    <w:rsid w:val="007041F2"/>
    <w:rsid w:val="007055A9"/>
    <w:rsid w:val="007079FC"/>
    <w:rsid w:val="00707C1D"/>
    <w:rsid w:val="0071195C"/>
    <w:rsid w:val="00711A36"/>
    <w:rsid w:val="00711CCC"/>
    <w:rsid w:val="00712393"/>
    <w:rsid w:val="00712884"/>
    <w:rsid w:val="00712EEC"/>
    <w:rsid w:val="00714C26"/>
    <w:rsid w:val="0071529C"/>
    <w:rsid w:val="00715657"/>
    <w:rsid w:val="00715CA2"/>
    <w:rsid w:val="007170DA"/>
    <w:rsid w:val="007172AD"/>
    <w:rsid w:val="007173B7"/>
    <w:rsid w:val="00720801"/>
    <w:rsid w:val="007214AA"/>
    <w:rsid w:val="00721D73"/>
    <w:rsid w:val="00722B1B"/>
    <w:rsid w:val="00723A86"/>
    <w:rsid w:val="00723B2B"/>
    <w:rsid w:val="00723C08"/>
    <w:rsid w:val="0072416F"/>
    <w:rsid w:val="00724205"/>
    <w:rsid w:val="0072463A"/>
    <w:rsid w:val="00724ADB"/>
    <w:rsid w:val="0072555F"/>
    <w:rsid w:val="00725588"/>
    <w:rsid w:val="007270B5"/>
    <w:rsid w:val="00727C94"/>
    <w:rsid w:val="0073097D"/>
    <w:rsid w:val="00731B0A"/>
    <w:rsid w:val="00731D41"/>
    <w:rsid w:val="00731EAE"/>
    <w:rsid w:val="00732011"/>
    <w:rsid w:val="00732E8E"/>
    <w:rsid w:val="00733073"/>
    <w:rsid w:val="00733C01"/>
    <w:rsid w:val="0073460F"/>
    <w:rsid w:val="00734DBF"/>
    <w:rsid w:val="00734FC5"/>
    <w:rsid w:val="00735033"/>
    <w:rsid w:val="00735328"/>
    <w:rsid w:val="0073574F"/>
    <w:rsid w:val="0073685B"/>
    <w:rsid w:val="00736F0D"/>
    <w:rsid w:val="00737223"/>
    <w:rsid w:val="0073738F"/>
    <w:rsid w:val="00737463"/>
    <w:rsid w:val="00737BED"/>
    <w:rsid w:val="0074137F"/>
    <w:rsid w:val="00742080"/>
    <w:rsid w:val="00743EE8"/>
    <w:rsid w:val="007449BF"/>
    <w:rsid w:val="0074580F"/>
    <w:rsid w:val="00746BC0"/>
    <w:rsid w:val="00750A84"/>
    <w:rsid w:val="00750AE2"/>
    <w:rsid w:val="007510B4"/>
    <w:rsid w:val="0075112D"/>
    <w:rsid w:val="007519A3"/>
    <w:rsid w:val="00752142"/>
    <w:rsid w:val="007523F9"/>
    <w:rsid w:val="007531D6"/>
    <w:rsid w:val="0075357E"/>
    <w:rsid w:val="007544B5"/>
    <w:rsid w:val="00754925"/>
    <w:rsid w:val="007553FA"/>
    <w:rsid w:val="007562BA"/>
    <w:rsid w:val="00756C74"/>
    <w:rsid w:val="007573E8"/>
    <w:rsid w:val="0075770D"/>
    <w:rsid w:val="00760C4E"/>
    <w:rsid w:val="00760F9E"/>
    <w:rsid w:val="007627BE"/>
    <w:rsid w:val="00762C6E"/>
    <w:rsid w:val="00762D9C"/>
    <w:rsid w:val="007647F4"/>
    <w:rsid w:val="00764F03"/>
    <w:rsid w:val="00765560"/>
    <w:rsid w:val="00765B1A"/>
    <w:rsid w:val="0076622A"/>
    <w:rsid w:val="00767571"/>
    <w:rsid w:val="00767B53"/>
    <w:rsid w:val="00767B57"/>
    <w:rsid w:val="00771B32"/>
    <w:rsid w:val="00771BFA"/>
    <w:rsid w:val="00773FBC"/>
    <w:rsid w:val="007741F2"/>
    <w:rsid w:val="00775E26"/>
    <w:rsid w:val="00775E8D"/>
    <w:rsid w:val="00776EB5"/>
    <w:rsid w:val="00777335"/>
    <w:rsid w:val="007818C6"/>
    <w:rsid w:val="007843F2"/>
    <w:rsid w:val="00784ADE"/>
    <w:rsid w:val="007850D9"/>
    <w:rsid w:val="00785A9F"/>
    <w:rsid w:val="00785DCC"/>
    <w:rsid w:val="00791425"/>
    <w:rsid w:val="00792443"/>
    <w:rsid w:val="007925DF"/>
    <w:rsid w:val="0079423F"/>
    <w:rsid w:val="007943E9"/>
    <w:rsid w:val="00794C1D"/>
    <w:rsid w:val="007970B3"/>
    <w:rsid w:val="007A0275"/>
    <w:rsid w:val="007A08AA"/>
    <w:rsid w:val="007A0A12"/>
    <w:rsid w:val="007A0F3F"/>
    <w:rsid w:val="007A132D"/>
    <w:rsid w:val="007A1345"/>
    <w:rsid w:val="007A2DDB"/>
    <w:rsid w:val="007A39B1"/>
    <w:rsid w:val="007A3A1A"/>
    <w:rsid w:val="007A3C48"/>
    <w:rsid w:val="007A478D"/>
    <w:rsid w:val="007A51FB"/>
    <w:rsid w:val="007A5C3F"/>
    <w:rsid w:val="007A679F"/>
    <w:rsid w:val="007A689E"/>
    <w:rsid w:val="007A70BA"/>
    <w:rsid w:val="007A7EDB"/>
    <w:rsid w:val="007B092E"/>
    <w:rsid w:val="007B0B18"/>
    <w:rsid w:val="007B0D68"/>
    <w:rsid w:val="007B251D"/>
    <w:rsid w:val="007B4F58"/>
    <w:rsid w:val="007B528D"/>
    <w:rsid w:val="007B5F36"/>
    <w:rsid w:val="007B63CA"/>
    <w:rsid w:val="007B6603"/>
    <w:rsid w:val="007B740D"/>
    <w:rsid w:val="007B77D1"/>
    <w:rsid w:val="007B7D4C"/>
    <w:rsid w:val="007B7DE5"/>
    <w:rsid w:val="007C07C7"/>
    <w:rsid w:val="007C1BA2"/>
    <w:rsid w:val="007C1CD9"/>
    <w:rsid w:val="007C32EF"/>
    <w:rsid w:val="007C361D"/>
    <w:rsid w:val="007C4B84"/>
    <w:rsid w:val="007C70FF"/>
    <w:rsid w:val="007C7C25"/>
    <w:rsid w:val="007D004F"/>
    <w:rsid w:val="007D01C1"/>
    <w:rsid w:val="007D09B3"/>
    <w:rsid w:val="007D0B38"/>
    <w:rsid w:val="007D0EDE"/>
    <w:rsid w:val="007D190C"/>
    <w:rsid w:val="007D1DE9"/>
    <w:rsid w:val="007D22EA"/>
    <w:rsid w:val="007D2BE4"/>
    <w:rsid w:val="007D3EC3"/>
    <w:rsid w:val="007D45C8"/>
    <w:rsid w:val="007D4E55"/>
    <w:rsid w:val="007D5440"/>
    <w:rsid w:val="007D69EB"/>
    <w:rsid w:val="007D732B"/>
    <w:rsid w:val="007E128F"/>
    <w:rsid w:val="007E1C7A"/>
    <w:rsid w:val="007E264D"/>
    <w:rsid w:val="007E328C"/>
    <w:rsid w:val="007E454C"/>
    <w:rsid w:val="007E54BC"/>
    <w:rsid w:val="007E5E82"/>
    <w:rsid w:val="007E66A9"/>
    <w:rsid w:val="007E7194"/>
    <w:rsid w:val="007E7D55"/>
    <w:rsid w:val="007F0BB7"/>
    <w:rsid w:val="007F1017"/>
    <w:rsid w:val="007F24C3"/>
    <w:rsid w:val="007F356E"/>
    <w:rsid w:val="007F4A3F"/>
    <w:rsid w:val="007F4A61"/>
    <w:rsid w:val="007F5255"/>
    <w:rsid w:val="007F56CC"/>
    <w:rsid w:val="007F61C2"/>
    <w:rsid w:val="007F69AA"/>
    <w:rsid w:val="007F72AC"/>
    <w:rsid w:val="007F7950"/>
    <w:rsid w:val="007F7C68"/>
    <w:rsid w:val="007F7EFE"/>
    <w:rsid w:val="00801748"/>
    <w:rsid w:val="00805142"/>
    <w:rsid w:val="00805648"/>
    <w:rsid w:val="00805FCE"/>
    <w:rsid w:val="00807A8B"/>
    <w:rsid w:val="00810EF7"/>
    <w:rsid w:val="00811383"/>
    <w:rsid w:val="008115E6"/>
    <w:rsid w:val="00812149"/>
    <w:rsid w:val="00812CAC"/>
    <w:rsid w:val="00813701"/>
    <w:rsid w:val="0081396C"/>
    <w:rsid w:val="00813A76"/>
    <w:rsid w:val="00813D6A"/>
    <w:rsid w:val="0081594D"/>
    <w:rsid w:val="00816361"/>
    <w:rsid w:val="008166EF"/>
    <w:rsid w:val="00816FEF"/>
    <w:rsid w:val="00820A8C"/>
    <w:rsid w:val="008214A6"/>
    <w:rsid w:val="008215FB"/>
    <w:rsid w:val="00821AC6"/>
    <w:rsid w:val="00823174"/>
    <w:rsid w:val="00825018"/>
    <w:rsid w:val="00825751"/>
    <w:rsid w:val="00825E45"/>
    <w:rsid w:val="008264EB"/>
    <w:rsid w:val="008272BE"/>
    <w:rsid w:val="008308AB"/>
    <w:rsid w:val="00830F0E"/>
    <w:rsid w:val="00831EA4"/>
    <w:rsid w:val="008322AA"/>
    <w:rsid w:val="00832F0F"/>
    <w:rsid w:val="00833B05"/>
    <w:rsid w:val="00834C01"/>
    <w:rsid w:val="008362B4"/>
    <w:rsid w:val="00836504"/>
    <w:rsid w:val="00837041"/>
    <w:rsid w:val="008374EC"/>
    <w:rsid w:val="00840CA2"/>
    <w:rsid w:val="0084222E"/>
    <w:rsid w:val="0084374F"/>
    <w:rsid w:val="00844649"/>
    <w:rsid w:val="00844A22"/>
    <w:rsid w:val="00847703"/>
    <w:rsid w:val="00847AB3"/>
    <w:rsid w:val="00847D59"/>
    <w:rsid w:val="00847DF5"/>
    <w:rsid w:val="008501CE"/>
    <w:rsid w:val="008508DE"/>
    <w:rsid w:val="00851372"/>
    <w:rsid w:val="00851459"/>
    <w:rsid w:val="008520C3"/>
    <w:rsid w:val="0085222A"/>
    <w:rsid w:val="00852498"/>
    <w:rsid w:val="0085309D"/>
    <w:rsid w:val="0085315F"/>
    <w:rsid w:val="00853585"/>
    <w:rsid w:val="00853BF5"/>
    <w:rsid w:val="00853D03"/>
    <w:rsid w:val="00856897"/>
    <w:rsid w:val="00856E9A"/>
    <w:rsid w:val="00857639"/>
    <w:rsid w:val="00860514"/>
    <w:rsid w:val="0086075D"/>
    <w:rsid w:val="008610B0"/>
    <w:rsid w:val="00862029"/>
    <w:rsid w:val="00862238"/>
    <w:rsid w:val="00862502"/>
    <w:rsid w:val="008629B0"/>
    <w:rsid w:val="00862CC1"/>
    <w:rsid w:val="00863464"/>
    <w:rsid w:val="0086409B"/>
    <w:rsid w:val="008646A5"/>
    <w:rsid w:val="008660D4"/>
    <w:rsid w:val="00866D12"/>
    <w:rsid w:val="00866DCB"/>
    <w:rsid w:val="00870562"/>
    <w:rsid w:val="00870653"/>
    <w:rsid w:val="00871FA9"/>
    <w:rsid w:val="008728E9"/>
    <w:rsid w:val="008734A0"/>
    <w:rsid w:val="008738E4"/>
    <w:rsid w:val="00873DAA"/>
    <w:rsid w:val="00873E18"/>
    <w:rsid w:val="00875894"/>
    <w:rsid w:val="00877ED0"/>
    <w:rsid w:val="0088068A"/>
    <w:rsid w:val="0088207A"/>
    <w:rsid w:val="008822DA"/>
    <w:rsid w:val="008826D3"/>
    <w:rsid w:val="00882874"/>
    <w:rsid w:val="00882E3C"/>
    <w:rsid w:val="00883353"/>
    <w:rsid w:val="00883787"/>
    <w:rsid w:val="00883A2C"/>
    <w:rsid w:val="008855E4"/>
    <w:rsid w:val="00886CD2"/>
    <w:rsid w:val="00887869"/>
    <w:rsid w:val="0089004F"/>
    <w:rsid w:val="00891151"/>
    <w:rsid w:val="00891542"/>
    <w:rsid w:val="00891E6F"/>
    <w:rsid w:val="0089275D"/>
    <w:rsid w:val="00892A36"/>
    <w:rsid w:val="00893239"/>
    <w:rsid w:val="008934EF"/>
    <w:rsid w:val="00893E06"/>
    <w:rsid w:val="00894489"/>
    <w:rsid w:val="008945EE"/>
    <w:rsid w:val="008963A5"/>
    <w:rsid w:val="00896D5D"/>
    <w:rsid w:val="008A0196"/>
    <w:rsid w:val="008A0B50"/>
    <w:rsid w:val="008A291C"/>
    <w:rsid w:val="008A3363"/>
    <w:rsid w:val="008A3371"/>
    <w:rsid w:val="008A3C3E"/>
    <w:rsid w:val="008A414D"/>
    <w:rsid w:val="008A5899"/>
    <w:rsid w:val="008A63F8"/>
    <w:rsid w:val="008A71F9"/>
    <w:rsid w:val="008A79DE"/>
    <w:rsid w:val="008B05EE"/>
    <w:rsid w:val="008B1757"/>
    <w:rsid w:val="008B24B5"/>
    <w:rsid w:val="008B317F"/>
    <w:rsid w:val="008B552F"/>
    <w:rsid w:val="008B630A"/>
    <w:rsid w:val="008B6861"/>
    <w:rsid w:val="008B7992"/>
    <w:rsid w:val="008B7D7E"/>
    <w:rsid w:val="008B7F15"/>
    <w:rsid w:val="008C076E"/>
    <w:rsid w:val="008C2004"/>
    <w:rsid w:val="008C2ACE"/>
    <w:rsid w:val="008C2F6A"/>
    <w:rsid w:val="008C3192"/>
    <w:rsid w:val="008C40AE"/>
    <w:rsid w:val="008C4E07"/>
    <w:rsid w:val="008C53B1"/>
    <w:rsid w:val="008C5610"/>
    <w:rsid w:val="008C5739"/>
    <w:rsid w:val="008C5DBF"/>
    <w:rsid w:val="008C5F3C"/>
    <w:rsid w:val="008C646B"/>
    <w:rsid w:val="008C7ECB"/>
    <w:rsid w:val="008D1287"/>
    <w:rsid w:val="008D35AB"/>
    <w:rsid w:val="008D3B86"/>
    <w:rsid w:val="008D4755"/>
    <w:rsid w:val="008D48FE"/>
    <w:rsid w:val="008D4C3D"/>
    <w:rsid w:val="008D57DD"/>
    <w:rsid w:val="008D6D4F"/>
    <w:rsid w:val="008D743C"/>
    <w:rsid w:val="008E0D3C"/>
    <w:rsid w:val="008E1A8D"/>
    <w:rsid w:val="008E1B9E"/>
    <w:rsid w:val="008E2A2B"/>
    <w:rsid w:val="008E4254"/>
    <w:rsid w:val="008E55AB"/>
    <w:rsid w:val="008E6E37"/>
    <w:rsid w:val="008E6F37"/>
    <w:rsid w:val="008F120A"/>
    <w:rsid w:val="008F27E0"/>
    <w:rsid w:val="008F31C2"/>
    <w:rsid w:val="008F329E"/>
    <w:rsid w:val="008F3CA9"/>
    <w:rsid w:val="008F48EB"/>
    <w:rsid w:val="008F4F0B"/>
    <w:rsid w:val="008F55DF"/>
    <w:rsid w:val="008F704C"/>
    <w:rsid w:val="00900A9A"/>
    <w:rsid w:val="00902B90"/>
    <w:rsid w:val="00903766"/>
    <w:rsid w:val="009046C4"/>
    <w:rsid w:val="009062A5"/>
    <w:rsid w:val="0091069E"/>
    <w:rsid w:val="00910C9F"/>
    <w:rsid w:val="00910FA7"/>
    <w:rsid w:val="00911272"/>
    <w:rsid w:val="00912256"/>
    <w:rsid w:val="0091285A"/>
    <w:rsid w:val="009135D6"/>
    <w:rsid w:val="0091414C"/>
    <w:rsid w:val="0091491D"/>
    <w:rsid w:val="00914C77"/>
    <w:rsid w:val="009159F6"/>
    <w:rsid w:val="00915FDF"/>
    <w:rsid w:val="00916918"/>
    <w:rsid w:val="00917176"/>
    <w:rsid w:val="0091733C"/>
    <w:rsid w:val="009173C0"/>
    <w:rsid w:val="009177B7"/>
    <w:rsid w:val="00917B5C"/>
    <w:rsid w:val="0092024F"/>
    <w:rsid w:val="00920474"/>
    <w:rsid w:val="00920A47"/>
    <w:rsid w:val="00921ACB"/>
    <w:rsid w:val="0092369B"/>
    <w:rsid w:val="00924665"/>
    <w:rsid w:val="00924EE8"/>
    <w:rsid w:val="00926C0E"/>
    <w:rsid w:val="009275EA"/>
    <w:rsid w:val="00931A2C"/>
    <w:rsid w:val="009325AF"/>
    <w:rsid w:val="009326BA"/>
    <w:rsid w:val="0093284F"/>
    <w:rsid w:val="00934988"/>
    <w:rsid w:val="009349B3"/>
    <w:rsid w:val="00935DDA"/>
    <w:rsid w:val="00937089"/>
    <w:rsid w:val="009379F3"/>
    <w:rsid w:val="00937E47"/>
    <w:rsid w:val="00940719"/>
    <w:rsid w:val="00940781"/>
    <w:rsid w:val="00941EEE"/>
    <w:rsid w:val="00942AEA"/>
    <w:rsid w:val="0094419D"/>
    <w:rsid w:val="00944F8A"/>
    <w:rsid w:val="009464BD"/>
    <w:rsid w:val="0094758E"/>
    <w:rsid w:val="0095100B"/>
    <w:rsid w:val="009510A2"/>
    <w:rsid w:val="00953257"/>
    <w:rsid w:val="0095414D"/>
    <w:rsid w:val="0095474C"/>
    <w:rsid w:val="00954CE9"/>
    <w:rsid w:val="00954E17"/>
    <w:rsid w:val="00955BF0"/>
    <w:rsid w:val="00956C95"/>
    <w:rsid w:val="0096032B"/>
    <w:rsid w:val="00961DA1"/>
    <w:rsid w:val="009629AB"/>
    <w:rsid w:val="00962CB9"/>
    <w:rsid w:val="009630B5"/>
    <w:rsid w:val="00964312"/>
    <w:rsid w:val="00965AAE"/>
    <w:rsid w:val="00965B8A"/>
    <w:rsid w:val="00966C04"/>
    <w:rsid w:val="00966D5B"/>
    <w:rsid w:val="0097071F"/>
    <w:rsid w:val="0097088D"/>
    <w:rsid w:val="009717AC"/>
    <w:rsid w:val="009745DC"/>
    <w:rsid w:val="009751C1"/>
    <w:rsid w:val="00975DB1"/>
    <w:rsid w:val="009811F1"/>
    <w:rsid w:val="0098391F"/>
    <w:rsid w:val="00983E57"/>
    <w:rsid w:val="00985315"/>
    <w:rsid w:val="00985DE2"/>
    <w:rsid w:val="0098675D"/>
    <w:rsid w:val="00987DD1"/>
    <w:rsid w:val="00987E58"/>
    <w:rsid w:val="009906BC"/>
    <w:rsid w:val="00990E0B"/>
    <w:rsid w:val="00990F2B"/>
    <w:rsid w:val="0099160E"/>
    <w:rsid w:val="00991A90"/>
    <w:rsid w:val="009926E0"/>
    <w:rsid w:val="00993B2E"/>
    <w:rsid w:val="00994382"/>
    <w:rsid w:val="0099451E"/>
    <w:rsid w:val="009956F1"/>
    <w:rsid w:val="00995E1E"/>
    <w:rsid w:val="00995F94"/>
    <w:rsid w:val="00996B1A"/>
    <w:rsid w:val="00997993"/>
    <w:rsid w:val="009A0A9F"/>
    <w:rsid w:val="009A1802"/>
    <w:rsid w:val="009A1E21"/>
    <w:rsid w:val="009A2DCC"/>
    <w:rsid w:val="009A418A"/>
    <w:rsid w:val="009A46EE"/>
    <w:rsid w:val="009A489E"/>
    <w:rsid w:val="009A4C11"/>
    <w:rsid w:val="009A5ABC"/>
    <w:rsid w:val="009A5ECB"/>
    <w:rsid w:val="009A7F10"/>
    <w:rsid w:val="009B08C4"/>
    <w:rsid w:val="009B22A9"/>
    <w:rsid w:val="009B33E2"/>
    <w:rsid w:val="009B3A49"/>
    <w:rsid w:val="009B3E26"/>
    <w:rsid w:val="009B7B47"/>
    <w:rsid w:val="009C02B8"/>
    <w:rsid w:val="009C1838"/>
    <w:rsid w:val="009C1AC2"/>
    <w:rsid w:val="009C2282"/>
    <w:rsid w:val="009C25CB"/>
    <w:rsid w:val="009C3706"/>
    <w:rsid w:val="009C3A3A"/>
    <w:rsid w:val="009C3C19"/>
    <w:rsid w:val="009C493D"/>
    <w:rsid w:val="009C5073"/>
    <w:rsid w:val="009C6102"/>
    <w:rsid w:val="009C651B"/>
    <w:rsid w:val="009C65F0"/>
    <w:rsid w:val="009C6CEA"/>
    <w:rsid w:val="009C7B85"/>
    <w:rsid w:val="009D0254"/>
    <w:rsid w:val="009D1A64"/>
    <w:rsid w:val="009D2BC7"/>
    <w:rsid w:val="009D2EB7"/>
    <w:rsid w:val="009D47D7"/>
    <w:rsid w:val="009D4876"/>
    <w:rsid w:val="009D4902"/>
    <w:rsid w:val="009D5B91"/>
    <w:rsid w:val="009D6BB3"/>
    <w:rsid w:val="009D792E"/>
    <w:rsid w:val="009D7979"/>
    <w:rsid w:val="009E0991"/>
    <w:rsid w:val="009E0DFE"/>
    <w:rsid w:val="009E1849"/>
    <w:rsid w:val="009E201D"/>
    <w:rsid w:val="009E29C8"/>
    <w:rsid w:val="009E2A3C"/>
    <w:rsid w:val="009E31F6"/>
    <w:rsid w:val="009E3278"/>
    <w:rsid w:val="009E3CC3"/>
    <w:rsid w:val="009E4C07"/>
    <w:rsid w:val="009E4DA8"/>
    <w:rsid w:val="009E4DF2"/>
    <w:rsid w:val="009E5D1D"/>
    <w:rsid w:val="009E6EDF"/>
    <w:rsid w:val="009E722E"/>
    <w:rsid w:val="009F01FF"/>
    <w:rsid w:val="009F0951"/>
    <w:rsid w:val="009F0A15"/>
    <w:rsid w:val="009F102E"/>
    <w:rsid w:val="009F1D8C"/>
    <w:rsid w:val="009F2F01"/>
    <w:rsid w:val="009F4524"/>
    <w:rsid w:val="009F4A3A"/>
    <w:rsid w:val="009F52C8"/>
    <w:rsid w:val="009F570F"/>
    <w:rsid w:val="009F7190"/>
    <w:rsid w:val="009F7F06"/>
    <w:rsid w:val="009F7F27"/>
    <w:rsid w:val="00A009FA"/>
    <w:rsid w:val="00A01184"/>
    <w:rsid w:val="00A01A5C"/>
    <w:rsid w:val="00A02262"/>
    <w:rsid w:val="00A02842"/>
    <w:rsid w:val="00A028E2"/>
    <w:rsid w:val="00A037C2"/>
    <w:rsid w:val="00A03D43"/>
    <w:rsid w:val="00A04380"/>
    <w:rsid w:val="00A04877"/>
    <w:rsid w:val="00A05472"/>
    <w:rsid w:val="00A05A37"/>
    <w:rsid w:val="00A05C32"/>
    <w:rsid w:val="00A0653F"/>
    <w:rsid w:val="00A0759B"/>
    <w:rsid w:val="00A077C9"/>
    <w:rsid w:val="00A11769"/>
    <w:rsid w:val="00A11CD0"/>
    <w:rsid w:val="00A1390F"/>
    <w:rsid w:val="00A13948"/>
    <w:rsid w:val="00A1417C"/>
    <w:rsid w:val="00A141EB"/>
    <w:rsid w:val="00A1433A"/>
    <w:rsid w:val="00A1555B"/>
    <w:rsid w:val="00A155C5"/>
    <w:rsid w:val="00A15970"/>
    <w:rsid w:val="00A15C70"/>
    <w:rsid w:val="00A16AD8"/>
    <w:rsid w:val="00A17493"/>
    <w:rsid w:val="00A201B5"/>
    <w:rsid w:val="00A21C95"/>
    <w:rsid w:val="00A21CF3"/>
    <w:rsid w:val="00A22032"/>
    <w:rsid w:val="00A227FA"/>
    <w:rsid w:val="00A24813"/>
    <w:rsid w:val="00A24D18"/>
    <w:rsid w:val="00A24E0E"/>
    <w:rsid w:val="00A27422"/>
    <w:rsid w:val="00A27565"/>
    <w:rsid w:val="00A27AEC"/>
    <w:rsid w:val="00A319B6"/>
    <w:rsid w:val="00A31CB4"/>
    <w:rsid w:val="00A320DB"/>
    <w:rsid w:val="00A34FD1"/>
    <w:rsid w:val="00A35D16"/>
    <w:rsid w:val="00A36FA2"/>
    <w:rsid w:val="00A37BCD"/>
    <w:rsid w:val="00A409C3"/>
    <w:rsid w:val="00A41689"/>
    <w:rsid w:val="00A42592"/>
    <w:rsid w:val="00A43C59"/>
    <w:rsid w:val="00A446F1"/>
    <w:rsid w:val="00A4580F"/>
    <w:rsid w:val="00A46FA8"/>
    <w:rsid w:val="00A50ECD"/>
    <w:rsid w:val="00A50F24"/>
    <w:rsid w:val="00A5105A"/>
    <w:rsid w:val="00A5142A"/>
    <w:rsid w:val="00A518F3"/>
    <w:rsid w:val="00A52729"/>
    <w:rsid w:val="00A53675"/>
    <w:rsid w:val="00A561BB"/>
    <w:rsid w:val="00A564D7"/>
    <w:rsid w:val="00A568A9"/>
    <w:rsid w:val="00A56B6A"/>
    <w:rsid w:val="00A56E21"/>
    <w:rsid w:val="00A56EED"/>
    <w:rsid w:val="00A578DC"/>
    <w:rsid w:val="00A6053E"/>
    <w:rsid w:val="00A60943"/>
    <w:rsid w:val="00A61B87"/>
    <w:rsid w:val="00A629E3"/>
    <w:rsid w:val="00A63014"/>
    <w:rsid w:val="00A640E2"/>
    <w:rsid w:val="00A6422C"/>
    <w:rsid w:val="00A649C5"/>
    <w:rsid w:val="00A64D65"/>
    <w:rsid w:val="00A65072"/>
    <w:rsid w:val="00A65153"/>
    <w:rsid w:val="00A6572B"/>
    <w:rsid w:val="00A6711D"/>
    <w:rsid w:val="00A6725B"/>
    <w:rsid w:val="00A67849"/>
    <w:rsid w:val="00A703FE"/>
    <w:rsid w:val="00A70605"/>
    <w:rsid w:val="00A71204"/>
    <w:rsid w:val="00A72005"/>
    <w:rsid w:val="00A73134"/>
    <w:rsid w:val="00A73EA2"/>
    <w:rsid w:val="00A742F2"/>
    <w:rsid w:val="00A755B2"/>
    <w:rsid w:val="00A76001"/>
    <w:rsid w:val="00A760CA"/>
    <w:rsid w:val="00A7736A"/>
    <w:rsid w:val="00A775FE"/>
    <w:rsid w:val="00A777B2"/>
    <w:rsid w:val="00A77854"/>
    <w:rsid w:val="00A77E55"/>
    <w:rsid w:val="00A80CBF"/>
    <w:rsid w:val="00A8112C"/>
    <w:rsid w:val="00A81E8E"/>
    <w:rsid w:val="00A81F5D"/>
    <w:rsid w:val="00A825D4"/>
    <w:rsid w:val="00A828F6"/>
    <w:rsid w:val="00A82B73"/>
    <w:rsid w:val="00A86E8B"/>
    <w:rsid w:val="00A87164"/>
    <w:rsid w:val="00A871AA"/>
    <w:rsid w:val="00A91275"/>
    <w:rsid w:val="00A91648"/>
    <w:rsid w:val="00A92945"/>
    <w:rsid w:val="00A93072"/>
    <w:rsid w:val="00A938BD"/>
    <w:rsid w:val="00A93953"/>
    <w:rsid w:val="00A959D8"/>
    <w:rsid w:val="00A96A3E"/>
    <w:rsid w:val="00A97329"/>
    <w:rsid w:val="00AA0272"/>
    <w:rsid w:val="00AA113D"/>
    <w:rsid w:val="00AA15AD"/>
    <w:rsid w:val="00AA4AC7"/>
    <w:rsid w:val="00AA4E43"/>
    <w:rsid w:val="00AA4EBC"/>
    <w:rsid w:val="00AA6BD5"/>
    <w:rsid w:val="00AA6BD8"/>
    <w:rsid w:val="00AA6C7D"/>
    <w:rsid w:val="00AA785E"/>
    <w:rsid w:val="00AA7EDE"/>
    <w:rsid w:val="00AA7F9B"/>
    <w:rsid w:val="00AA7FD6"/>
    <w:rsid w:val="00AB042A"/>
    <w:rsid w:val="00AB19EF"/>
    <w:rsid w:val="00AB2D34"/>
    <w:rsid w:val="00AB3430"/>
    <w:rsid w:val="00AB37B9"/>
    <w:rsid w:val="00AB3C3F"/>
    <w:rsid w:val="00AB4AD1"/>
    <w:rsid w:val="00AB4D25"/>
    <w:rsid w:val="00AB4DB4"/>
    <w:rsid w:val="00AB5E07"/>
    <w:rsid w:val="00AB7CFA"/>
    <w:rsid w:val="00AC161B"/>
    <w:rsid w:val="00AC1695"/>
    <w:rsid w:val="00AC1F93"/>
    <w:rsid w:val="00AC3787"/>
    <w:rsid w:val="00AC54C6"/>
    <w:rsid w:val="00AC5B48"/>
    <w:rsid w:val="00AD1450"/>
    <w:rsid w:val="00AD21C8"/>
    <w:rsid w:val="00AD2E65"/>
    <w:rsid w:val="00AD3321"/>
    <w:rsid w:val="00AD3A1C"/>
    <w:rsid w:val="00AD3DAA"/>
    <w:rsid w:val="00AD3E7D"/>
    <w:rsid w:val="00AD5364"/>
    <w:rsid w:val="00AD56A3"/>
    <w:rsid w:val="00AD6502"/>
    <w:rsid w:val="00AD7661"/>
    <w:rsid w:val="00AE0695"/>
    <w:rsid w:val="00AE0B82"/>
    <w:rsid w:val="00AE2730"/>
    <w:rsid w:val="00AE27BF"/>
    <w:rsid w:val="00AE32C3"/>
    <w:rsid w:val="00AE3E7E"/>
    <w:rsid w:val="00AE4C94"/>
    <w:rsid w:val="00AE57CB"/>
    <w:rsid w:val="00AE5834"/>
    <w:rsid w:val="00AF1315"/>
    <w:rsid w:val="00AF19BF"/>
    <w:rsid w:val="00AF2A0B"/>
    <w:rsid w:val="00AF2DC3"/>
    <w:rsid w:val="00AF3EAA"/>
    <w:rsid w:val="00AF6B9C"/>
    <w:rsid w:val="00B0034D"/>
    <w:rsid w:val="00B0087D"/>
    <w:rsid w:val="00B0106B"/>
    <w:rsid w:val="00B033E5"/>
    <w:rsid w:val="00B03A63"/>
    <w:rsid w:val="00B06506"/>
    <w:rsid w:val="00B06B59"/>
    <w:rsid w:val="00B079BC"/>
    <w:rsid w:val="00B07E15"/>
    <w:rsid w:val="00B07E9C"/>
    <w:rsid w:val="00B101F6"/>
    <w:rsid w:val="00B10396"/>
    <w:rsid w:val="00B11E1F"/>
    <w:rsid w:val="00B12EF7"/>
    <w:rsid w:val="00B13187"/>
    <w:rsid w:val="00B131EA"/>
    <w:rsid w:val="00B13ECC"/>
    <w:rsid w:val="00B142B5"/>
    <w:rsid w:val="00B14B0C"/>
    <w:rsid w:val="00B168B6"/>
    <w:rsid w:val="00B172D2"/>
    <w:rsid w:val="00B201A4"/>
    <w:rsid w:val="00B201D1"/>
    <w:rsid w:val="00B20778"/>
    <w:rsid w:val="00B213A6"/>
    <w:rsid w:val="00B22023"/>
    <w:rsid w:val="00B233D9"/>
    <w:rsid w:val="00B235B0"/>
    <w:rsid w:val="00B238E8"/>
    <w:rsid w:val="00B241B1"/>
    <w:rsid w:val="00B24537"/>
    <w:rsid w:val="00B24D3A"/>
    <w:rsid w:val="00B24DF6"/>
    <w:rsid w:val="00B26E43"/>
    <w:rsid w:val="00B3079A"/>
    <w:rsid w:val="00B3213E"/>
    <w:rsid w:val="00B32585"/>
    <w:rsid w:val="00B338DD"/>
    <w:rsid w:val="00B33E39"/>
    <w:rsid w:val="00B34FE2"/>
    <w:rsid w:val="00B35166"/>
    <w:rsid w:val="00B3529B"/>
    <w:rsid w:val="00B3535D"/>
    <w:rsid w:val="00B357D8"/>
    <w:rsid w:val="00B360F4"/>
    <w:rsid w:val="00B36A00"/>
    <w:rsid w:val="00B36ACF"/>
    <w:rsid w:val="00B37BFC"/>
    <w:rsid w:val="00B400A7"/>
    <w:rsid w:val="00B40358"/>
    <w:rsid w:val="00B41614"/>
    <w:rsid w:val="00B41636"/>
    <w:rsid w:val="00B42851"/>
    <w:rsid w:val="00B42F80"/>
    <w:rsid w:val="00B4339A"/>
    <w:rsid w:val="00B435CB"/>
    <w:rsid w:val="00B45B76"/>
    <w:rsid w:val="00B45C10"/>
    <w:rsid w:val="00B46F28"/>
    <w:rsid w:val="00B505C8"/>
    <w:rsid w:val="00B50DB8"/>
    <w:rsid w:val="00B513AF"/>
    <w:rsid w:val="00B53654"/>
    <w:rsid w:val="00B53905"/>
    <w:rsid w:val="00B54B5B"/>
    <w:rsid w:val="00B54C32"/>
    <w:rsid w:val="00B5562E"/>
    <w:rsid w:val="00B556B7"/>
    <w:rsid w:val="00B55862"/>
    <w:rsid w:val="00B5586C"/>
    <w:rsid w:val="00B55B62"/>
    <w:rsid w:val="00B55D5A"/>
    <w:rsid w:val="00B55D65"/>
    <w:rsid w:val="00B55E3A"/>
    <w:rsid w:val="00B56C15"/>
    <w:rsid w:val="00B57000"/>
    <w:rsid w:val="00B60939"/>
    <w:rsid w:val="00B60AFD"/>
    <w:rsid w:val="00B60D24"/>
    <w:rsid w:val="00B61015"/>
    <w:rsid w:val="00B6103A"/>
    <w:rsid w:val="00B62124"/>
    <w:rsid w:val="00B62715"/>
    <w:rsid w:val="00B65611"/>
    <w:rsid w:val="00B662D1"/>
    <w:rsid w:val="00B7001B"/>
    <w:rsid w:val="00B70E8E"/>
    <w:rsid w:val="00B75552"/>
    <w:rsid w:val="00B756DC"/>
    <w:rsid w:val="00B761B8"/>
    <w:rsid w:val="00B76383"/>
    <w:rsid w:val="00B76683"/>
    <w:rsid w:val="00B76C92"/>
    <w:rsid w:val="00B808FE"/>
    <w:rsid w:val="00B80B65"/>
    <w:rsid w:val="00B811A2"/>
    <w:rsid w:val="00B818A4"/>
    <w:rsid w:val="00B82A1B"/>
    <w:rsid w:val="00B84117"/>
    <w:rsid w:val="00B8446B"/>
    <w:rsid w:val="00B858F0"/>
    <w:rsid w:val="00B85AA2"/>
    <w:rsid w:val="00B8649C"/>
    <w:rsid w:val="00B8695D"/>
    <w:rsid w:val="00B87F0A"/>
    <w:rsid w:val="00B91004"/>
    <w:rsid w:val="00B915C8"/>
    <w:rsid w:val="00B91A36"/>
    <w:rsid w:val="00B91ABD"/>
    <w:rsid w:val="00B92D0B"/>
    <w:rsid w:val="00B93770"/>
    <w:rsid w:val="00B93830"/>
    <w:rsid w:val="00B94787"/>
    <w:rsid w:val="00B94945"/>
    <w:rsid w:val="00B949FF"/>
    <w:rsid w:val="00B94DD6"/>
    <w:rsid w:val="00B96FE1"/>
    <w:rsid w:val="00B9729E"/>
    <w:rsid w:val="00BA12CE"/>
    <w:rsid w:val="00BA178F"/>
    <w:rsid w:val="00BA322D"/>
    <w:rsid w:val="00BA3A18"/>
    <w:rsid w:val="00BA3EAA"/>
    <w:rsid w:val="00BA55E5"/>
    <w:rsid w:val="00BA63FA"/>
    <w:rsid w:val="00BA6607"/>
    <w:rsid w:val="00BA7B9E"/>
    <w:rsid w:val="00BB00B3"/>
    <w:rsid w:val="00BB0BDD"/>
    <w:rsid w:val="00BB176C"/>
    <w:rsid w:val="00BB2370"/>
    <w:rsid w:val="00BB2A73"/>
    <w:rsid w:val="00BB3A45"/>
    <w:rsid w:val="00BB415B"/>
    <w:rsid w:val="00BB4ACC"/>
    <w:rsid w:val="00BB57C6"/>
    <w:rsid w:val="00BB703E"/>
    <w:rsid w:val="00BB732D"/>
    <w:rsid w:val="00BB7405"/>
    <w:rsid w:val="00BB7BC0"/>
    <w:rsid w:val="00BB7DE4"/>
    <w:rsid w:val="00BB7EA4"/>
    <w:rsid w:val="00BC08F3"/>
    <w:rsid w:val="00BC193C"/>
    <w:rsid w:val="00BC216B"/>
    <w:rsid w:val="00BC260B"/>
    <w:rsid w:val="00BC3033"/>
    <w:rsid w:val="00BC3631"/>
    <w:rsid w:val="00BC591F"/>
    <w:rsid w:val="00BC6732"/>
    <w:rsid w:val="00BC6B10"/>
    <w:rsid w:val="00BC7539"/>
    <w:rsid w:val="00BC7D6D"/>
    <w:rsid w:val="00BD00EF"/>
    <w:rsid w:val="00BD092C"/>
    <w:rsid w:val="00BD0DD8"/>
    <w:rsid w:val="00BD2108"/>
    <w:rsid w:val="00BD68A3"/>
    <w:rsid w:val="00BD6938"/>
    <w:rsid w:val="00BD6CF3"/>
    <w:rsid w:val="00BD7021"/>
    <w:rsid w:val="00BD7DDF"/>
    <w:rsid w:val="00BE0683"/>
    <w:rsid w:val="00BE0ECA"/>
    <w:rsid w:val="00BE13E8"/>
    <w:rsid w:val="00BE193A"/>
    <w:rsid w:val="00BE2180"/>
    <w:rsid w:val="00BE21F2"/>
    <w:rsid w:val="00BE40D4"/>
    <w:rsid w:val="00BE4275"/>
    <w:rsid w:val="00BE43A8"/>
    <w:rsid w:val="00BE4BEA"/>
    <w:rsid w:val="00BE5219"/>
    <w:rsid w:val="00BE7263"/>
    <w:rsid w:val="00BE77FA"/>
    <w:rsid w:val="00BE7F6D"/>
    <w:rsid w:val="00BF06AE"/>
    <w:rsid w:val="00BF0E91"/>
    <w:rsid w:val="00BF0F95"/>
    <w:rsid w:val="00BF1018"/>
    <w:rsid w:val="00BF2433"/>
    <w:rsid w:val="00BF2BC3"/>
    <w:rsid w:val="00BF46A5"/>
    <w:rsid w:val="00BF61C9"/>
    <w:rsid w:val="00BF6C94"/>
    <w:rsid w:val="00BF6E8D"/>
    <w:rsid w:val="00C00424"/>
    <w:rsid w:val="00C04933"/>
    <w:rsid w:val="00C05358"/>
    <w:rsid w:val="00C063C4"/>
    <w:rsid w:val="00C06F3A"/>
    <w:rsid w:val="00C076AB"/>
    <w:rsid w:val="00C10E38"/>
    <w:rsid w:val="00C1179F"/>
    <w:rsid w:val="00C11AE2"/>
    <w:rsid w:val="00C11CD7"/>
    <w:rsid w:val="00C12949"/>
    <w:rsid w:val="00C12C14"/>
    <w:rsid w:val="00C1481F"/>
    <w:rsid w:val="00C15B99"/>
    <w:rsid w:val="00C15F04"/>
    <w:rsid w:val="00C16B3F"/>
    <w:rsid w:val="00C16FEE"/>
    <w:rsid w:val="00C179B3"/>
    <w:rsid w:val="00C17E3F"/>
    <w:rsid w:val="00C20037"/>
    <w:rsid w:val="00C200AA"/>
    <w:rsid w:val="00C20908"/>
    <w:rsid w:val="00C21123"/>
    <w:rsid w:val="00C228B5"/>
    <w:rsid w:val="00C22F3A"/>
    <w:rsid w:val="00C235C5"/>
    <w:rsid w:val="00C237ED"/>
    <w:rsid w:val="00C23E44"/>
    <w:rsid w:val="00C24632"/>
    <w:rsid w:val="00C25418"/>
    <w:rsid w:val="00C25BCC"/>
    <w:rsid w:val="00C25D9C"/>
    <w:rsid w:val="00C25DC6"/>
    <w:rsid w:val="00C2778B"/>
    <w:rsid w:val="00C27B43"/>
    <w:rsid w:val="00C27F7B"/>
    <w:rsid w:val="00C302B9"/>
    <w:rsid w:val="00C306F2"/>
    <w:rsid w:val="00C30B2B"/>
    <w:rsid w:val="00C31553"/>
    <w:rsid w:val="00C31649"/>
    <w:rsid w:val="00C31C14"/>
    <w:rsid w:val="00C32174"/>
    <w:rsid w:val="00C32BEB"/>
    <w:rsid w:val="00C32DC5"/>
    <w:rsid w:val="00C33034"/>
    <w:rsid w:val="00C3434C"/>
    <w:rsid w:val="00C3461B"/>
    <w:rsid w:val="00C34F44"/>
    <w:rsid w:val="00C3531B"/>
    <w:rsid w:val="00C35952"/>
    <w:rsid w:val="00C36710"/>
    <w:rsid w:val="00C36D0E"/>
    <w:rsid w:val="00C3710C"/>
    <w:rsid w:val="00C371EB"/>
    <w:rsid w:val="00C37698"/>
    <w:rsid w:val="00C40385"/>
    <w:rsid w:val="00C40B7D"/>
    <w:rsid w:val="00C40C0A"/>
    <w:rsid w:val="00C41768"/>
    <w:rsid w:val="00C418B9"/>
    <w:rsid w:val="00C424C3"/>
    <w:rsid w:val="00C4372D"/>
    <w:rsid w:val="00C46927"/>
    <w:rsid w:val="00C46DDC"/>
    <w:rsid w:val="00C475AA"/>
    <w:rsid w:val="00C50B36"/>
    <w:rsid w:val="00C50DBD"/>
    <w:rsid w:val="00C51A29"/>
    <w:rsid w:val="00C52760"/>
    <w:rsid w:val="00C53A26"/>
    <w:rsid w:val="00C53C98"/>
    <w:rsid w:val="00C54691"/>
    <w:rsid w:val="00C56B3D"/>
    <w:rsid w:val="00C56FCF"/>
    <w:rsid w:val="00C57B6C"/>
    <w:rsid w:val="00C60278"/>
    <w:rsid w:val="00C62775"/>
    <w:rsid w:val="00C628A6"/>
    <w:rsid w:val="00C62A04"/>
    <w:rsid w:val="00C63EEA"/>
    <w:rsid w:val="00C64344"/>
    <w:rsid w:val="00C65108"/>
    <w:rsid w:val="00C65408"/>
    <w:rsid w:val="00C65576"/>
    <w:rsid w:val="00C65C4E"/>
    <w:rsid w:val="00C66165"/>
    <w:rsid w:val="00C7060A"/>
    <w:rsid w:val="00C70C1D"/>
    <w:rsid w:val="00C70F84"/>
    <w:rsid w:val="00C7151A"/>
    <w:rsid w:val="00C717E3"/>
    <w:rsid w:val="00C71DC3"/>
    <w:rsid w:val="00C71F60"/>
    <w:rsid w:val="00C72241"/>
    <w:rsid w:val="00C72F1E"/>
    <w:rsid w:val="00C731B2"/>
    <w:rsid w:val="00C7344D"/>
    <w:rsid w:val="00C74102"/>
    <w:rsid w:val="00C7424D"/>
    <w:rsid w:val="00C74B49"/>
    <w:rsid w:val="00C750C8"/>
    <w:rsid w:val="00C7560F"/>
    <w:rsid w:val="00C80A0E"/>
    <w:rsid w:val="00C8213F"/>
    <w:rsid w:val="00C821C2"/>
    <w:rsid w:val="00C85154"/>
    <w:rsid w:val="00C85430"/>
    <w:rsid w:val="00C8618A"/>
    <w:rsid w:val="00C8797A"/>
    <w:rsid w:val="00C87FCC"/>
    <w:rsid w:val="00C900B8"/>
    <w:rsid w:val="00C90338"/>
    <w:rsid w:val="00C90C71"/>
    <w:rsid w:val="00C91841"/>
    <w:rsid w:val="00C91FD1"/>
    <w:rsid w:val="00C92872"/>
    <w:rsid w:val="00C931CF"/>
    <w:rsid w:val="00C938CF"/>
    <w:rsid w:val="00C9392D"/>
    <w:rsid w:val="00C93D63"/>
    <w:rsid w:val="00C94053"/>
    <w:rsid w:val="00C9541B"/>
    <w:rsid w:val="00C954AD"/>
    <w:rsid w:val="00C95F81"/>
    <w:rsid w:val="00C9624D"/>
    <w:rsid w:val="00C969DA"/>
    <w:rsid w:val="00C97703"/>
    <w:rsid w:val="00CA0BFB"/>
    <w:rsid w:val="00CA2C77"/>
    <w:rsid w:val="00CA35AC"/>
    <w:rsid w:val="00CA444F"/>
    <w:rsid w:val="00CA4BF1"/>
    <w:rsid w:val="00CA5245"/>
    <w:rsid w:val="00CA54DA"/>
    <w:rsid w:val="00CA659B"/>
    <w:rsid w:val="00CA66E3"/>
    <w:rsid w:val="00CA71F4"/>
    <w:rsid w:val="00CA7B09"/>
    <w:rsid w:val="00CB0CF1"/>
    <w:rsid w:val="00CB12A5"/>
    <w:rsid w:val="00CB1CAC"/>
    <w:rsid w:val="00CB2194"/>
    <w:rsid w:val="00CB2F2A"/>
    <w:rsid w:val="00CB3509"/>
    <w:rsid w:val="00CB3E28"/>
    <w:rsid w:val="00CB5654"/>
    <w:rsid w:val="00CB5B1A"/>
    <w:rsid w:val="00CB5C21"/>
    <w:rsid w:val="00CB6B22"/>
    <w:rsid w:val="00CB7205"/>
    <w:rsid w:val="00CB7368"/>
    <w:rsid w:val="00CB7A76"/>
    <w:rsid w:val="00CB7B23"/>
    <w:rsid w:val="00CB7F5F"/>
    <w:rsid w:val="00CC142A"/>
    <w:rsid w:val="00CC143B"/>
    <w:rsid w:val="00CC1B39"/>
    <w:rsid w:val="00CC1BED"/>
    <w:rsid w:val="00CC1C54"/>
    <w:rsid w:val="00CC22EF"/>
    <w:rsid w:val="00CC35CA"/>
    <w:rsid w:val="00CC35EA"/>
    <w:rsid w:val="00CC3848"/>
    <w:rsid w:val="00CC737E"/>
    <w:rsid w:val="00CD0BE2"/>
    <w:rsid w:val="00CD2A6A"/>
    <w:rsid w:val="00CD35E8"/>
    <w:rsid w:val="00CD3F77"/>
    <w:rsid w:val="00CD3FC6"/>
    <w:rsid w:val="00CD400F"/>
    <w:rsid w:val="00CD424E"/>
    <w:rsid w:val="00CD5281"/>
    <w:rsid w:val="00CD5D95"/>
    <w:rsid w:val="00CD65BC"/>
    <w:rsid w:val="00CD6ADC"/>
    <w:rsid w:val="00CD7193"/>
    <w:rsid w:val="00CD7877"/>
    <w:rsid w:val="00CE1F6B"/>
    <w:rsid w:val="00CE2ADB"/>
    <w:rsid w:val="00CE38C8"/>
    <w:rsid w:val="00CE3B4E"/>
    <w:rsid w:val="00CE3CA5"/>
    <w:rsid w:val="00CE5034"/>
    <w:rsid w:val="00CE6274"/>
    <w:rsid w:val="00CE6B01"/>
    <w:rsid w:val="00CE72E3"/>
    <w:rsid w:val="00CE77B6"/>
    <w:rsid w:val="00CF00E0"/>
    <w:rsid w:val="00CF0D69"/>
    <w:rsid w:val="00CF0F20"/>
    <w:rsid w:val="00CF2B8D"/>
    <w:rsid w:val="00CF3FFE"/>
    <w:rsid w:val="00CF456B"/>
    <w:rsid w:val="00CF52FB"/>
    <w:rsid w:val="00CF5A1A"/>
    <w:rsid w:val="00CF5A22"/>
    <w:rsid w:val="00D00C7E"/>
    <w:rsid w:val="00D020EA"/>
    <w:rsid w:val="00D0262E"/>
    <w:rsid w:val="00D02BCA"/>
    <w:rsid w:val="00D05E38"/>
    <w:rsid w:val="00D05E3D"/>
    <w:rsid w:val="00D06139"/>
    <w:rsid w:val="00D07B28"/>
    <w:rsid w:val="00D07F2B"/>
    <w:rsid w:val="00D1099B"/>
    <w:rsid w:val="00D110BD"/>
    <w:rsid w:val="00D11BDC"/>
    <w:rsid w:val="00D11FC1"/>
    <w:rsid w:val="00D12B82"/>
    <w:rsid w:val="00D13675"/>
    <w:rsid w:val="00D141E1"/>
    <w:rsid w:val="00D15314"/>
    <w:rsid w:val="00D15C4D"/>
    <w:rsid w:val="00D17751"/>
    <w:rsid w:val="00D17BEE"/>
    <w:rsid w:val="00D17C7E"/>
    <w:rsid w:val="00D17D04"/>
    <w:rsid w:val="00D17D6C"/>
    <w:rsid w:val="00D20A55"/>
    <w:rsid w:val="00D2155B"/>
    <w:rsid w:val="00D231AE"/>
    <w:rsid w:val="00D23D11"/>
    <w:rsid w:val="00D244B6"/>
    <w:rsid w:val="00D252FA"/>
    <w:rsid w:val="00D25CAD"/>
    <w:rsid w:val="00D25D04"/>
    <w:rsid w:val="00D266B9"/>
    <w:rsid w:val="00D2754D"/>
    <w:rsid w:val="00D2787D"/>
    <w:rsid w:val="00D27B27"/>
    <w:rsid w:val="00D300D5"/>
    <w:rsid w:val="00D30FE7"/>
    <w:rsid w:val="00D31654"/>
    <w:rsid w:val="00D316E7"/>
    <w:rsid w:val="00D31E0F"/>
    <w:rsid w:val="00D322C6"/>
    <w:rsid w:val="00D33BE9"/>
    <w:rsid w:val="00D33E7C"/>
    <w:rsid w:val="00D33F93"/>
    <w:rsid w:val="00D34C90"/>
    <w:rsid w:val="00D3545E"/>
    <w:rsid w:val="00D357FF"/>
    <w:rsid w:val="00D35B22"/>
    <w:rsid w:val="00D37B77"/>
    <w:rsid w:val="00D417B3"/>
    <w:rsid w:val="00D4201B"/>
    <w:rsid w:val="00D424C7"/>
    <w:rsid w:val="00D426DD"/>
    <w:rsid w:val="00D43B2A"/>
    <w:rsid w:val="00D43D83"/>
    <w:rsid w:val="00D474F7"/>
    <w:rsid w:val="00D47575"/>
    <w:rsid w:val="00D50020"/>
    <w:rsid w:val="00D505E9"/>
    <w:rsid w:val="00D50B3A"/>
    <w:rsid w:val="00D5128E"/>
    <w:rsid w:val="00D5243B"/>
    <w:rsid w:val="00D533EC"/>
    <w:rsid w:val="00D56A95"/>
    <w:rsid w:val="00D60386"/>
    <w:rsid w:val="00D61CAB"/>
    <w:rsid w:val="00D63D77"/>
    <w:rsid w:val="00D64594"/>
    <w:rsid w:val="00D652CC"/>
    <w:rsid w:val="00D653B0"/>
    <w:rsid w:val="00D67729"/>
    <w:rsid w:val="00D70C15"/>
    <w:rsid w:val="00D70F16"/>
    <w:rsid w:val="00D71890"/>
    <w:rsid w:val="00D72A2A"/>
    <w:rsid w:val="00D72F57"/>
    <w:rsid w:val="00D749F9"/>
    <w:rsid w:val="00D75313"/>
    <w:rsid w:val="00D759D7"/>
    <w:rsid w:val="00D76A44"/>
    <w:rsid w:val="00D76CB7"/>
    <w:rsid w:val="00D775F8"/>
    <w:rsid w:val="00D80350"/>
    <w:rsid w:val="00D8062D"/>
    <w:rsid w:val="00D80A2F"/>
    <w:rsid w:val="00D815EF"/>
    <w:rsid w:val="00D81F26"/>
    <w:rsid w:val="00D82A7D"/>
    <w:rsid w:val="00D86231"/>
    <w:rsid w:val="00D909D3"/>
    <w:rsid w:val="00D915EF"/>
    <w:rsid w:val="00D91923"/>
    <w:rsid w:val="00D93549"/>
    <w:rsid w:val="00D93753"/>
    <w:rsid w:val="00D9413C"/>
    <w:rsid w:val="00D948C9"/>
    <w:rsid w:val="00D963F8"/>
    <w:rsid w:val="00DA030A"/>
    <w:rsid w:val="00DA0AB3"/>
    <w:rsid w:val="00DA1BD4"/>
    <w:rsid w:val="00DA2F99"/>
    <w:rsid w:val="00DA3167"/>
    <w:rsid w:val="00DA3240"/>
    <w:rsid w:val="00DA3332"/>
    <w:rsid w:val="00DA47E4"/>
    <w:rsid w:val="00DA4814"/>
    <w:rsid w:val="00DA4DC3"/>
    <w:rsid w:val="00DA773C"/>
    <w:rsid w:val="00DA77A5"/>
    <w:rsid w:val="00DA7C74"/>
    <w:rsid w:val="00DB0C7D"/>
    <w:rsid w:val="00DB12AF"/>
    <w:rsid w:val="00DB2EC9"/>
    <w:rsid w:val="00DB3DBF"/>
    <w:rsid w:val="00DB484F"/>
    <w:rsid w:val="00DB4AE5"/>
    <w:rsid w:val="00DB551C"/>
    <w:rsid w:val="00DB7090"/>
    <w:rsid w:val="00DC0111"/>
    <w:rsid w:val="00DC04F6"/>
    <w:rsid w:val="00DC0690"/>
    <w:rsid w:val="00DC1D65"/>
    <w:rsid w:val="00DC252D"/>
    <w:rsid w:val="00DC2AC0"/>
    <w:rsid w:val="00DC3C57"/>
    <w:rsid w:val="00DC432B"/>
    <w:rsid w:val="00DC5501"/>
    <w:rsid w:val="00DC6468"/>
    <w:rsid w:val="00DC674E"/>
    <w:rsid w:val="00DC7154"/>
    <w:rsid w:val="00DC72E4"/>
    <w:rsid w:val="00DC7378"/>
    <w:rsid w:val="00DC7E8A"/>
    <w:rsid w:val="00DD00C2"/>
    <w:rsid w:val="00DD0F78"/>
    <w:rsid w:val="00DD1205"/>
    <w:rsid w:val="00DD26E1"/>
    <w:rsid w:val="00DD273C"/>
    <w:rsid w:val="00DD2E91"/>
    <w:rsid w:val="00DD37F6"/>
    <w:rsid w:val="00DD3F28"/>
    <w:rsid w:val="00DD415E"/>
    <w:rsid w:val="00DD416A"/>
    <w:rsid w:val="00DD4537"/>
    <w:rsid w:val="00DD4E15"/>
    <w:rsid w:val="00DE0DA4"/>
    <w:rsid w:val="00DE1C4E"/>
    <w:rsid w:val="00DE2304"/>
    <w:rsid w:val="00DE3138"/>
    <w:rsid w:val="00DE37F8"/>
    <w:rsid w:val="00DE4181"/>
    <w:rsid w:val="00DE4FCB"/>
    <w:rsid w:val="00DE5D07"/>
    <w:rsid w:val="00DE72A7"/>
    <w:rsid w:val="00DE7698"/>
    <w:rsid w:val="00DE7832"/>
    <w:rsid w:val="00DF0710"/>
    <w:rsid w:val="00DF18FC"/>
    <w:rsid w:val="00DF1CCE"/>
    <w:rsid w:val="00DF3A52"/>
    <w:rsid w:val="00DF5880"/>
    <w:rsid w:val="00DF5A36"/>
    <w:rsid w:val="00DF5D2B"/>
    <w:rsid w:val="00DF688F"/>
    <w:rsid w:val="00DF755D"/>
    <w:rsid w:val="00E00E8E"/>
    <w:rsid w:val="00E02D1D"/>
    <w:rsid w:val="00E03CAA"/>
    <w:rsid w:val="00E05058"/>
    <w:rsid w:val="00E053C8"/>
    <w:rsid w:val="00E05546"/>
    <w:rsid w:val="00E05630"/>
    <w:rsid w:val="00E06DBB"/>
    <w:rsid w:val="00E10149"/>
    <w:rsid w:val="00E1084E"/>
    <w:rsid w:val="00E11340"/>
    <w:rsid w:val="00E11D35"/>
    <w:rsid w:val="00E122A1"/>
    <w:rsid w:val="00E13EDE"/>
    <w:rsid w:val="00E15FB2"/>
    <w:rsid w:val="00E16372"/>
    <w:rsid w:val="00E172CF"/>
    <w:rsid w:val="00E17A37"/>
    <w:rsid w:val="00E20444"/>
    <w:rsid w:val="00E20A43"/>
    <w:rsid w:val="00E20E4D"/>
    <w:rsid w:val="00E20ED6"/>
    <w:rsid w:val="00E211E6"/>
    <w:rsid w:val="00E21358"/>
    <w:rsid w:val="00E2249B"/>
    <w:rsid w:val="00E22A0D"/>
    <w:rsid w:val="00E22A8C"/>
    <w:rsid w:val="00E233DE"/>
    <w:rsid w:val="00E244F6"/>
    <w:rsid w:val="00E24BD3"/>
    <w:rsid w:val="00E27305"/>
    <w:rsid w:val="00E273CC"/>
    <w:rsid w:val="00E2771E"/>
    <w:rsid w:val="00E30172"/>
    <w:rsid w:val="00E311EF"/>
    <w:rsid w:val="00E31FA8"/>
    <w:rsid w:val="00E32180"/>
    <w:rsid w:val="00E325C2"/>
    <w:rsid w:val="00E34948"/>
    <w:rsid w:val="00E36177"/>
    <w:rsid w:val="00E363A0"/>
    <w:rsid w:val="00E36A9E"/>
    <w:rsid w:val="00E37569"/>
    <w:rsid w:val="00E37BD9"/>
    <w:rsid w:val="00E37DC2"/>
    <w:rsid w:val="00E401B2"/>
    <w:rsid w:val="00E40C88"/>
    <w:rsid w:val="00E41E30"/>
    <w:rsid w:val="00E41ECD"/>
    <w:rsid w:val="00E42F73"/>
    <w:rsid w:val="00E43D70"/>
    <w:rsid w:val="00E44582"/>
    <w:rsid w:val="00E446A4"/>
    <w:rsid w:val="00E45821"/>
    <w:rsid w:val="00E45990"/>
    <w:rsid w:val="00E4599B"/>
    <w:rsid w:val="00E466F3"/>
    <w:rsid w:val="00E46BF5"/>
    <w:rsid w:val="00E47B2C"/>
    <w:rsid w:val="00E47C7C"/>
    <w:rsid w:val="00E5008E"/>
    <w:rsid w:val="00E500FE"/>
    <w:rsid w:val="00E505E4"/>
    <w:rsid w:val="00E50EE5"/>
    <w:rsid w:val="00E51560"/>
    <w:rsid w:val="00E53FC8"/>
    <w:rsid w:val="00E54347"/>
    <w:rsid w:val="00E5489A"/>
    <w:rsid w:val="00E55424"/>
    <w:rsid w:val="00E55915"/>
    <w:rsid w:val="00E5594F"/>
    <w:rsid w:val="00E55BB5"/>
    <w:rsid w:val="00E57A2A"/>
    <w:rsid w:val="00E57C72"/>
    <w:rsid w:val="00E604EA"/>
    <w:rsid w:val="00E60FDA"/>
    <w:rsid w:val="00E6192C"/>
    <w:rsid w:val="00E64A4F"/>
    <w:rsid w:val="00E65D17"/>
    <w:rsid w:val="00E65E79"/>
    <w:rsid w:val="00E66BA2"/>
    <w:rsid w:val="00E67416"/>
    <w:rsid w:val="00E702A3"/>
    <w:rsid w:val="00E718B6"/>
    <w:rsid w:val="00E71A2D"/>
    <w:rsid w:val="00E723BA"/>
    <w:rsid w:val="00E726F7"/>
    <w:rsid w:val="00E72A5E"/>
    <w:rsid w:val="00E73581"/>
    <w:rsid w:val="00E7378C"/>
    <w:rsid w:val="00E75A63"/>
    <w:rsid w:val="00E7775F"/>
    <w:rsid w:val="00E812C1"/>
    <w:rsid w:val="00E8222B"/>
    <w:rsid w:val="00E822BB"/>
    <w:rsid w:val="00E833F7"/>
    <w:rsid w:val="00E835EA"/>
    <w:rsid w:val="00E83BDF"/>
    <w:rsid w:val="00E863D1"/>
    <w:rsid w:val="00E87796"/>
    <w:rsid w:val="00E87976"/>
    <w:rsid w:val="00E87A1D"/>
    <w:rsid w:val="00E90034"/>
    <w:rsid w:val="00E9094A"/>
    <w:rsid w:val="00E91CF9"/>
    <w:rsid w:val="00E91D35"/>
    <w:rsid w:val="00E91F04"/>
    <w:rsid w:val="00E91FF4"/>
    <w:rsid w:val="00E926A5"/>
    <w:rsid w:val="00E92F2D"/>
    <w:rsid w:val="00E94977"/>
    <w:rsid w:val="00E94E99"/>
    <w:rsid w:val="00EA0C60"/>
    <w:rsid w:val="00EA0FD7"/>
    <w:rsid w:val="00EA17C3"/>
    <w:rsid w:val="00EA1A58"/>
    <w:rsid w:val="00EA2C7A"/>
    <w:rsid w:val="00EA2CAA"/>
    <w:rsid w:val="00EA3864"/>
    <w:rsid w:val="00EA7611"/>
    <w:rsid w:val="00EA7F1C"/>
    <w:rsid w:val="00EA7F2F"/>
    <w:rsid w:val="00EA7FE4"/>
    <w:rsid w:val="00EB1433"/>
    <w:rsid w:val="00EB15B6"/>
    <w:rsid w:val="00EB1A39"/>
    <w:rsid w:val="00EB1E87"/>
    <w:rsid w:val="00EB3D06"/>
    <w:rsid w:val="00EB3FB3"/>
    <w:rsid w:val="00EB47A5"/>
    <w:rsid w:val="00EB4916"/>
    <w:rsid w:val="00EB6169"/>
    <w:rsid w:val="00EC00C9"/>
    <w:rsid w:val="00EC016E"/>
    <w:rsid w:val="00EC0DD9"/>
    <w:rsid w:val="00EC2649"/>
    <w:rsid w:val="00EC31ED"/>
    <w:rsid w:val="00EC33F0"/>
    <w:rsid w:val="00EC34AA"/>
    <w:rsid w:val="00EC47B3"/>
    <w:rsid w:val="00EC5669"/>
    <w:rsid w:val="00EC5836"/>
    <w:rsid w:val="00EC66DC"/>
    <w:rsid w:val="00EC688C"/>
    <w:rsid w:val="00EC7BCD"/>
    <w:rsid w:val="00ED0008"/>
    <w:rsid w:val="00ED0177"/>
    <w:rsid w:val="00ED0314"/>
    <w:rsid w:val="00ED0E48"/>
    <w:rsid w:val="00ED1EAB"/>
    <w:rsid w:val="00ED2DB6"/>
    <w:rsid w:val="00ED304B"/>
    <w:rsid w:val="00ED3BC8"/>
    <w:rsid w:val="00ED57EA"/>
    <w:rsid w:val="00ED5BD4"/>
    <w:rsid w:val="00EE07D3"/>
    <w:rsid w:val="00EE0E9D"/>
    <w:rsid w:val="00EE1996"/>
    <w:rsid w:val="00EE1C01"/>
    <w:rsid w:val="00EE1F8E"/>
    <w:rsid w:val="00EE2268"/>
    <w:rsid w:val="00EE22AF"/>
    <w:rsid w:val="00EE4CC4"/>
    <w:rsid w:val="00EE6015"/>
    <w:rsid w:val="00EE6437"/>
    <w:rsid w:val="00EF0171"/>
    <w:rsid w:val="00EF1B25"/>
    <w:rsid w:val="00EF1DA0"/>
    <w:rsid w:val="00EF2760"/>
    <w:rsid w:val="00EF33F7"/>
    <w:rsid w:val="00EF4747"/>
    <w:rsid w:val="00EF4958"/>
    <w:rsid w:val="00EF4BF8"/>
    <w:rsid w:val="00EF4D1B"/>
    <w:rsid w:val="00EF662B"/>
    <w:rsid w:val="00EF6D14"/>
    <w:rsid w:val="00EF7C81"/>
    <w:rsid w:val="00F02253"/>
    <w:rsid w:val="00F0326A"/>
    <w:rsid w:val="00F03C2E"/>
    <w:rsid w:val="00F03FE6"/>
    <w:rsid w:val="00F04A66"/>
    <w:rsid w:val="00F04B4B"/>
    <w:rsid w:val="00F0516C"/>
    <w:rsid w:val="00F0621D"/>
    <w:rsid w:val="00F065C1"/>
    <w:rsid w:val="00F066A2"/>
    <w:rsid w:val="00F067A2"/>
    <w:rsid w:val="00F06C36"/>
    <w:rsid w:val="00F07B9E"/>
    <w:rsid w:val="00F10B4A"/>
    <w:rsid w:val="00F110B7"/>
    <w:rsid w:val="00F1116F"/>
    <w:rsid w:val="00F124BE"/>
    <w:rsid w:val="00F1263A"/>
    <w:rsid w:val="00F13DE3"/>
    <w:rsid w:val="00F14E3A"/>
    <w:rsid w:val="00F15341"/>
    <w:rsid w:val="00F15B77"/>
    <w:rsid w:val="00F163C7"/>
    <w:rsid w:val="00F20EF7"/>
    <w:rsid w:val="00F2149B"/>
    <w:rsid w:val="00F23A13"/>
    <w:rsid w:val="00F24837"/>
    <w:rsid w:val="00F249E6"/>
    <w:rsid w:val="00F24CDC"/>
    <w:rsid w:val="00F24DED"/>
    <w:rsid w:val="00F2575F"/>
    <w:rsid w:val="00F261BA"/>
    <w:rsid w:val="00F26C39"/>
    <w:rsid w:val="00F27565"/>
    <w:rsid w:val="00F307A1"/>
    <w:rsid w:val="00F3104E"/>
    <w:rsid w:val="00F310D4"/>
    <w:rsid w:val="00F31D5A"/>
    <w:rsid w:val="00F3228B"/>
    <w:rsid w:val="00F32EA6"/>
    <w:rsid w:val="00F33435"/>
    <w:rsid w:val="00F3360C"/>
    <w:rsid w:val="00F33975"/>
    <w:rsid w:val="00F33DE9"/>
    <w:rsid w:val="00F33F38"/>
    <w:rsid w:val="00F3578A"/>
    <w:rsid w:val="00F35DFD"/>
    <w:rsid w:val="00F35E6D"/>
    <w:rsid w:val="00F3619A"/>
    <w:rsid w:val="00F36455"/>
    <w:rsid w:val="00F36629"/>
    <w:rsid w:val="00F36988"/>
    <w:rsid w:val="00F36BAB"/>
    <w:rsid w:val="00F36EC6"/>
    <w:rsid w:val="00F407DB"/>
    <w:rsid w:val="00F40AAA"/>
    <w:rsid w:val="00F40BA7"/>
    <w:rsid w:val="00F40C65"/>
    <w:rsid w:val="00F40F9D"/>
    <w:rsid w:val="00F41ACD"/>
    <w:rsid w:val="00F41B07"/>
    <w:rsid w:val="00F41E3C"/>
    <w:rsid w:val="00F42231"/>
    <w:rsid w:val="00F45C39"/>
    <w:rsid w:val="00F46BF2"/>
    <w:rsid w:val="00F46CB6"/>
    <w:rsid w:val="00F4756D"/>
    <w:rsid w:val="00F47DE8"/>
    <w:rsid w:val="00F51FEC"/>
    <w:rsid w:val="00F532F4"/>
    <w:rsid w:val="00F542C1"/>
    <w:rsid w:val="00F55E73"/>
    <w:rsid w:val="00F55EDA"/>
    <w:rsid w:val="00F565C7"/>
    <w:rsid w:val="00F56C80"/>
    <w:rsid w:val="00F5725A"/>
    <w:rsid w:val="00F60092"/>
    <w:rsid w:val="00F61C18"/>
    <w:rsid w:val="00F62F18"/>
    <w:rsid w:val="00F64DF4"/>
    <w:rsid w:val="00F65745"/>
    <w:rsid w:val="00F65F4B"/>
    <w:rsid w:val="00F66EDD"/>
    <w:rsid w:val="00F679FE"/>
    <w:rsid w:val="00F67A69"/>
    <w:rsid w:val="00F70B79"/>
    <w:rsid w:val="00F70BFF"/>
    <w:rsid w:val="00F70C9D"/>
    <w:rsid w:val="00F73462"/>
    <w:rsid w:val="00F73ECC"/>
    <w:rsid w:val="00F742D7"/>
    <w:rsid w:val="00F747FC"/>
    <w:rsid w:val="00F74CD9"/>
    <w:rsid w:val="00F7675F"/>
    <w:rsid w:val="00F769FE"/>
    <w:rsid w:val="00F77123"/>
    <w:rsid w:val="00F8079F"/>
    <w:rsid w:val="00F80A7B"/>
    <w:rsid w:val="00F80E5D"/>
    <w:rsid w:val="00F8142C"/>
    <w:rsid w:val="00F81E78"/>
    <w:rsid w:val="00F82ADF"/>
    <w:rsid w:val="00F82EF2"/>
    <w:rsid w:val="00F8312A"/>
    <w:rsid w:val="00F834C5"/>
    <w:rsid w:val="00F83775"/>
    <w:rsid w:val="00F84281"/>
    <w:rsid w:val="00F851CE"/>
    <w:rsid w:val="00F85B97"/>
    <w:rsid w:val="00F87E6B"/>
    <w:rsid w:val="00F91219"/>
    <w:rsid w:val="00F91A01"/>
    <w:rsid w:val="00F92444"/>
    <w:rsid w:val="00F92463"/>
    <w:rsid w:val="00F92B64"/>
    <w:rsid w:val="00F9393E"/>
    <w:rsid w:val="00F939E1"/>
    <w:rsid w:val="00F9486F"/>
    <w:rsid w:val="00F94C34"/>
    <w:rsid w:val="00F955CA"/>
    <w:rsid w:val="00F959CA"/>
    <w:rsid w:val="00F96CFA"/>
    <w:rsid w:val="00F96FD0"/>
    <w:rsid w:val="00F97A78"/>
    <w:rsid w:val="00FA0761"/>
    <w:rsid w:val="00FA0B20"/>
    <w:rsid w:val="00FA24E7"/>
    <w:rsid w:val="00FA5533"/>
    <w:rsid w:val="00FA57AF"/>
    <w:rsid w:val="00FA5EE6"/>
    <w:rsid w:val="00FA6582"/>
    <w:rsid w:val="00FA754A"/>
    <w:rsid w:val="00FA759D"/>
    <w:rsid w:val="00FA7956"/>
    <w:rsid w:val="00FA7B04"/>
    <w:rsid w:val="00FB1941"/>
    <w:rsid w:val="00FB244A"/>
    <w:rsid w:val="00FB2FCB"/>
    <w:rsid w:val="00FB35C1"/>
    <w:rsid w:val="00FB5698"/>
    <w:rsid w:val="00FB6D54"/>
    <w:rsid w:val="00FB7C55"/>
    <w:rsid w:val="00FC0462"/>
    <w:rsid w:val="00FC1074"/>
    <w:rsid w:val="00FC1884"/>
    <w:rsid w:val="00FC221C"/>
    <w:rsid w:val="00FC3300"/>
    <w:rsid w:val="00FC371D"/>
    <w:rsid w:val="00FC5F0B"/>
    <w:rsid w:val="00FC5F89"/>
    <w:rsid w:val="00FC61A9"/>
    <w:rsid w:val="00FC7508"/>
    <w:rsid w:val="00FD01F7"/>
    <w:rsid w:val="00FD0A9D"/>
    <w:rsid w:val="00FD0B45"/>
    <w:rsid w:val="00FD0C2E"/>
    <w:rsid w:val="00FD2100"/>
    <w:rsid w:val="00FD34B4"/>
    <w:rsid w:val="00FD436C"/>
    <w:rsid w:val="00FD446D"/>
    <w:rsid w:val="00FD4F2C"/>
    <w:rsid w:val="00FD5282"/>
    <w:rsid w:val="00FD6394"/>
    <w:rsid w:val="00FD68BC"/>
    <w:rsid w:val="00FD74E7"/>
    <w:rsid w:val="00FD7971"/>
    <w:rsid w:val="00FE0E6C"/>
    <w:rsid w:val="00FE0FA9"/>
    <w:rsid w:val="00FE1CDC"/>
    <w:rsid w:val="00FE30D2"/>
    <w:rsid w:val="00FE32C6"/>
    <w:rsid w:val="00FE3971"/>
    <w:rsid w:val="00FE4ECB"/>
    <w:rsid w:val="00FE587C"/>
    <w:rsid w:val="00FE70C3"/>
    <w:rsid w:val="00FF0A09"/>
    <w:rsid w:val="00FF2AD9"/>
    <w:rsid w:val="00FF359F"/>
    <w:rsid w:val="00FF3B04"/>
    <w:rsid w:val="00FF3DCF"/>
    <w:rsid w:val="00FF407B"/>
    <w:rsid w:val="00FF492C"/>
    <w:rsid w:val="00FF4A21"/>
    <w:rsid w:val="00FF520A"/>
    <w:rsid w:val="00FF5AA3"/>
    <w:rsid w:val="00FF5AD8"/>
    <w:rsid w:val="00FF6103"/>
    <w:rsid w:val="00FF64E6"/>
    <w:rsid w:val="00FF67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EB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Summarybox1">
    <w:name w:val="Summary box1"/>
    <w:basedOn w:val="TableNormal"/>
    <w:next w:val="TableGrid"/>
    <w:uiPriority w:val="59"/>
    <w:rsid w:val="006B12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12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Web3">
    <w:name w:val="Table Web 3"/>
    <w:basedOn w:val="TableNormal"/>
    <w:rsid w:val="006B12D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1">
    <w:name w:val="Plain Table 1"/>
    <w:basedOn w:val="TableNormal"/>
    <w:uiPriority w:val="41"/>
    <w:rsid w:val="006B12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1">
    <w:name w:val="Table Grid141"/>
    <w:basedOn w:val="TableNormal"/>
    <w:next w:val="TableGrid"/>
    <w:rsid w:val="006B12D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SyneviNormal">
    <w:name w:val="Synevi Normal"/>
    <w:basedOn w:val="Normal"/>
    <w:link w:val="SyneviNormalChar"/>
    <w:rsid w:val="00CA35AC"/>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CA35AC"/>
    <w:rPr>
      <w:rFonts w:asciiTheme="minorHAnsi" w:hAnsiTheme="minorHAnsi"/>
      <w:sz w:val="22"/>
      <w:lang w:val="en-US" w:eastAsia="en-US"/>
    </w:rPr>
  </w:style>
  <w:style w:type="table" w:customStyle="1" w:styleId="Summarybox8">
    <w:name w:val="Summary box8"/>
    <w:basedOn w:val="TableNormal"/>
    <w:next w:val="TableGrid"/>
    <w:uiPriority w:val="59"/>
    <w:rsid w:val="00061B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68BB"/>
    <w:pPr>
      <w:autoSpaceDE w:val="0"/>
      <w:autoSpaceDN w:val="0"/>
      <w:adjustRightInd w:val="0"/>
    </w:pPr>
    <w:rPr>
      <w:rFonts w:ascii="Arial Narrow" w:hAnsi="Arial Narrow" w:cs="Arial Narrow"/>
      <w:color w:val="000000"/>
      <w:sz w:val="24"/>
      <w:szCs w:val="24"/>
      <w:lang w:val="en-US"/>
    </w:rPr>
  </w:style>
  <w:style w:type="table" w:customStyle="1" w:styleId="TableGrid1">
    <w:name w:val="Table Grid1"/>
    <w:basedOn w:val="TableNormal"/>
    <w:next w:val="TableGrid"/>
    <w:uiPriority w:val="39"/>
    <w:rsid w:val="00B41636"/>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742F2"/>
    <w:rPr>
      <w:sz w:val="20"/>
      <w:szCs w:val="20"/>
    </w:rPr>
  </w:style>
  <w:style w:type="character" w:customStyle="1" w:styleId="FootnoteTextChar">
    <w:name w:val="Footnote Text Char"/>
    <w:basedOn w:val="DefaultParagraphFont"/>
    <w:link w:val="FootnoteText"/>
    <w:semiHidden/>
    <w:rsid w:val="00A742F2"/>
    <w:rPr>
      <w:rFonts w:ascii="Calibri" w:hAnsi="Calibri" w:cs="Arial"/>
    </w:rPr>
  </w:style>
  <w:style w:type="character" w:styleId="FootnoteReference">
    <w:name w:val="footnote reference"/>
    <w:basedOn w:val="DefaultParagraphFont"/>
    <w:semiHidden/>
    <w:unhideWhenUsed/>
    <w:rsid w:val="00A74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3802">
      <w:bodyDiv w:val="1"/>
      <w:marLeft w:val="0"/>
      <w:marRight w:val="0"/>
      <w:marTop w:val="0"/>
      <w:marBottom w:val="0"/>
      <w:divBdr>
        <w:top w:val="none" w:sz="0" w:space="0" w:color="auto"/>
        <w:left w:val="none" w:sz="0" w:space="0" w:color="auto"/>
        <w:bottom w:val="none" w:sz="0" w:space="0" w:color="auto"/>
        <w:right w:val="none" w:sz="0" w:space="0" w:color="auto"/>
      </w:divBdr>
      <w:divsChild>
        <w:div w:id="303969764">
          <w:marLeft w:val="1800"/>
          <w:marRight w:val="0"/>
          <w:marTop w:val="100"/>
          <w:marBottom w:val="0"/>
          <w:divBdr>
            <w:top w:val="none" w:sz="0" w:space="0" w:color="auto"/>
            <w:left w:val="none" w:sz="0" w:space="0" w:color="auto"/>
            <w:bottom w:val="none" w:sz="0" w:space="0" w:color="auto"/>
            <w:right w:val="none" w:sz="0" w:space="0" w:color="auto"/>
          </w:divBdr>
        </w:div>
      </w:divsChild>
    </w:div>
    <w:div w:id="64954603">
      <w:bodyDiv w:val="1"/>
      <w:marLeft w:val="0"/>
      <w:marRight w:val="0"/>
      <w:marTop w:val="0"/>
      <w:marBottom w:val="0"/>
      <w:divBdr>
        <w:top w:val="none" w:sz="0" w:space="0" w:color="auto"/>
        <w:left w:val="none" w:sz="0" w:space="0" w:color="auto"/>
        <w:bottom w:val="none" w:sz="0" w:space="0" w:color="auto"/>
        <w:right w:val="none" w:sz="0" w:space="0" w:color="auto"/>
      </w:divBdr>
      <w:divsChild>
        <w:div w:id="241767380">
          <w:marLeft w:val="1800"/>
          <w:marRight w:val="0"/>
          <w:marTop w:val="100"/>
          <w:marBottom w:val="0"/>
          <w:divBdr>
            <w:top w:val="none" w:sz="0" w:space="0" w:color="auto"/>
            <w:left w:val="none" w:sz="0" w:space="0" w:color="auto"/>
            <w:bottom w:val="none" w:sz="0" w:space="0" w:color="auto"/>
            <w:right w:val="none" w:sz="0" w:space="0" w:color="auto"/>
          </w:divBdr>
        </w:div>
        <w:div w:id="817038073">
          <w:marLeft w:val="1800"/>
          <w:marRight w:val="0"/>
          <w:marTop w:val="100"/>
          <w:marBottom w:val="0"/>
          <w:divBdr>
            <w:top w:val="none" w:sz="0" w:space="0" w:color="auto"/>
            <w:left w:val="none" w:sz="0" w:space="0" w:color="auto"/>
            <w:bottom w:val="none" w:sz="0" w:space="0" w:color="auto"/>
            <w:right w:val="none" w:sz="0" w:space="0" w:color="auto"/>
          </w:divBdr>
        </w:div>
        <w:div w:id="1216623792">
          <w:marLeft w:val="1800"/>
          <w:marRight w:val="0"/>
          <w:marTop w:val="100"/>
          <w:marBottom w:val="0"/>
          <w:divBdr>
            <w:top w:val="none" w:sz="0" w:space="0" w:color="auto"/>
            <w:left w:val="none" w:sz="0" w:space="0" w:color="auto"/>
            <w:bottom w:val="none" w:sz="0" w:space="0" w:color="auto"/>
            <w:right w:val="none" w:sz="0" w:space="0" w:color="auto"/>
          </w:divBdr>
        </w:div>
        <w:div w:id="1714192271">
          <w:marLeft w:val="180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947708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0751240">
      <w:bodyDiv w:val="1"/>
      <w:marLeft w:val="0"/>
      <w:marRight w:val="0"/>
      <w:marTop w:val="0"/>
      <w:marBottom w:val="0"/>
      <w:divBdr>
        <w:top w:val="none" w:sz="0" w:space="0" w:color="auto"/>
        <w:left w:val="none" w:sz="0" w:space="0" w:color="auto"/>
        <w:bottom w:val="none" w:sz="0" w:space="0" w:color="auto"/>
        <w:right w:val="none" w:sz="0" w:space="0" w:color="auto"/>
      </w:divBdr>
    </w:div>
    <w:div w:id="132211782">
      <w:bodyDiv w:val="1"/>
      <w:marLeft w:val="0"/>
      <w:marRight w:val="0"/>
      <w:marTop w:val="0"/>
      <w:marBottom w:val="0"/>
      <w:divBdr>
        <w:top w:val="none" w:sz="0" w:space="0" w:color="auto"/>
        <w:left w:val="none" w:sz="0" w:space="0" w:color="auto"/>
        <w:bottom w:val="none" w:sz="0" w:space="0" w:color="auto"/>
        <w:right w:val="none" w:sz="0" w:space="0" w:color="auto"/>
      </w:divBdr>
    </w:div>
    <w:div w:id="147213584">
      <w:bodyDiv w:val="1"/>
      <w:marLeft w:val="0"/>
      <w:marRight w:val="0"/>
      <w:marTop w:val="0"/>
      <w:marBottom w:val="0"/>
      <w:divBdr>
        <w:top w:val="none" w:sz="0" w:space="0" w:color="auto"/>
        <w:left w:val="none" w:sz="0" w:space="0" w:color="auto"/>
        <w:bottom w:val="none" w:sz="0" w:space="0" w:color="auto"/>
        <w:right w:val="none" w:sz="0" w:space="0" w:color="auto"/>
      </w:divBdr>
    </w:div>
    <w:div w:id="224877403">
      <w:bodyDiv w:val="1"/>
      <w:marLeft w:val="0"/>
      <w:marRight w:val="0"/>
      <w:marTop w:val="0"/>
      <w:marBottom w:val="0"/>
      <w:divBdr>
        <w:top w:val="none" w:sz="0" w:space="0" w:color="auto"/>
        <w:left w:val="none" w:sz="0" w:space="0" w:color="auto"/>
        <w:bottom w:val="none" w:sz="0" w:space="0" w:color="auto"/>
        <w:right w:val="none" w:sz="0" w:space="0" w:color="auto"/>
      </w:divBdr>
    </w:div>
    <w:div w:id="2866706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8673233">
      <w:bodyDiv w:val="1"/>
      <w:marLeft w:val="0"/>
      <w:marRight w:val="0"/>
      <w:marTop w:val="0"/>
      <w:marBottom w:val="0"/>
      <w:divBdr>
        <w:top w:val="none" w:sz="0" w:space="0" w:color="auto"/>
        <w:left w:val="none" w:sz="0" w:space="0" w:color="auto"/>
        <w:bottom w:val="none" w:sz="0" w:space="0" w:color="auto"/>
        <w:right w:val="none" w:sz="0" w:space="0" w:color="auto"/>
      </w:divBdr>
    </w:div>
    <w:div w:id="386533955">
      <w:bodyDiv w:val="1"/>
      <w:marLeft w:val="0"/>
      <w:marRight w:val="0"/>
      <w:marTop w:val="0"/>
      <w:marBottom w:val="0"/>
      <w:divBdr>
        <w:top w:val="none" w:sz="0" w:space="0" w:color="auto"/>
        <w:left w:val="none" w:sz="0" w:space="0" w:color="auto"/>
        <w:bottom w:val="none" w:sz="0" w:space="0" w:color="auto"/>
        <w:right w:val="none" w:sz="0" w:space="0" w:color="auto"/>
      </w:divBdr>
      <w:divsChild>
        <w:div w:id="675423473">
          <w:marLeft w:val="1080"/>
          <w:marRight w:val="0"/>
          <w:marTop w:val="100"/>
          <w:marBottom w:val="0"/>
          <w:divBdr>
            <w:top w:val="none" w:sz="0" w:space="0" w:color="auto"/>
            <w:left w:val="none" w:sz="0" w:space="0" w:color="auto"/>
            <w:bottom w:val="none" w:sz="0" w:space="0" w:color="auto"/>
            <w:right w:val="none" w:sz="0" w:space="0" w:color="auto"/>
          </w:divBdr>
        </w:div>
        <w:div w:id="1914317961">
          <w:marLeft w:val="1800"/>
          <w:marRight w:val="0"/>
          <w:marTop w:val="100"/>
          <w:marBottom w:val="0"/>
          <w:divBdr>
            <w:top w:val="none" w:sz="0" w:space="0" w:color="auto"/>
            <w:left w:val="none" w:sz="0" w:space="0" w:color="auto"/>
            <w:bottom w:val="none" w:sz="0" w:space="0" w:color="auto"/>
            <w:right w:val="none" w:sz="0" w:space="0" w:color="auto"/>
          </w:divBdr>
        </w:div>
        <w:div w:id="1973976356">
          <w:marLeft w:val="1800"/>
          <w:marRight w:val="0"/>
          <w:marTop w:val="100"/>
          <w:marBottom w:val="0"/>
          <w:divBdr>
            <w:top w:val="none" w:sz="0" w:space="0" w:color="auto"/>
            <w:left w:val="none" w:sz="0" w:space="0" w:color="auto"/>
            <w:bottom w:val="none" w:sz="0" w:space="0" w:color="auto"/>
            <w:right w:val="none" w:sz="0" w:space="0" w:color="auto"/>
          </w:divBdr>
        </w:div>
      </w:divsChild>
    </w:div>
    <w:div w:id="434134216">
      <w:bodyDiv w:val="1"/>
      <w:marLeft w:val="0"/>
      <w:marRight w:val="0"/>
      <w:marTop w:val="0"/>
      <w:marBottom w:val="0"/>
      <w:divBdr>
        <w:top w:val="none" w:sz="0" w:space="0" w:color="auto"/>
        <w:left w:val="none" w:sz="0" w:space="0" w:color="auto"/>
        <w:bottom w:val="none" w:sz="0" w:space="0" w:color="auto"/>
        <w:right w:val="none" w:sz="0" w:space="0" w:color="auto"/>
      </w:divBdr>
    </w:div>
    <w:div w:id="472723755">
      <w:bodyDiv w:val="1"/>
      <w:marLeft w:val="0"/>
      <w:marRight w:val="0"/>
      <w:marTop w:val="0"/>
      <w:marBottom w:val="0"/>
      <w:divBdr>
        <w:top w:val="none" w:sz="0" w:space="0" w:color="auto"/>
        <w:left w:val="none" w:sz="0" w:space="0" w:color="auto"/>
        <w:bottom w:val="none" w:sz="0" w:space="0" w:color="auto"/>
        <w:right w:val="none" w:sz="0" w:space="0" w:color="auto"/>
      </w:divBdr>
    </w:div>
    <w:div w:id="477696747">
      <w:bodyDiv w:val="1"/>
      <w:marLeft w:val="0"/>
      <w:marRight w:val="0"/>
      <w:marTop w:val="0"/>
      <w:marBottom w:val="0"/>
      <w:divBdr>
        <w:top w:val="none" w:sz="0" w:space="0" w:color="auto"/>
        <w:left w:val="none" w:sz="0" w:space="0" w:color="auto"/>
        <w:bottom w:val="none" w:sz="0" w:space="0" w:color="auto"/>
        <w:right w:val="none" w:sz="0" w:space="0" w:color="auto"/>
      </w:divBdr>
    </w:div>
    <w:div w:id="485511585">
      <w:bodyDiv w:val="1"/>
      <w:marLeft w:val="0"/>
      <w:marRight w:val="0"/>
      <w:marTop w:val="0"/>
      <w:marBottom w:val="0"/>
      <w:divBdr>
        <w:top w:val="none" w:sz="0" w:space="0" w:color="auto"/>
        <w:left w:val="none" w:sz="0" w:space="0" w:color="auto"/>
        <w:bottom w:val="none" w:sz="0" w:space="0" w:color="auto"/>
        <w:right w:val="none" w:sz="0" w:space="0" w:color="auto"/>
      </w:divBdr>
    </w:div>
    <w:div w:id="561870936">
      <w:bodyDiv w:val="1"/>
      <w:marLeft w:val="0"/>
      <w:marRight w:val="0"/>
      <w:marTop w:val="0"/>
      <w:marBottom w:val="0"/>
      <w:divBdr>
        <w:top w:val="none" w:sz="0" w:space="0" w:color="auto"/>
        <w:left w:val="none" w:sz="0" w:space="0" w:color="auto"/>
        <w:bottom w:val="none" w:sz="0" w:space="0" w:color="auto"/>
        <w:right w:val="none" w:sz="0" w:space="0" w:color="auto"/>
      </w:divBdr>
    </w:div>
    <w:div w:id="583997537">
      <w:bodyDiv w:val="1"/>
      <w:marLeft w:val="0"/>
      <w:marRight w:val="0"/>
      <w:marTop w:val="0"/>
      <w:marBottom w:val="0"/>
      <w:divBdr>
        <w:top w:val="none" w:sz="0" w:space="0" w:color="auto"/>
        <w:left w:val="none" w:sz="0" w:space="0" w:color="auto"/>
        <w:bottom w:val="none" w:sz="0" w:space="0" w:color="auto"/>
        <w:right w:val="none" w:sz="0" w:space="0" w:color="auto"/>
      </w:divBdr>
    </w:div>
    <w:div w:id="619459775">
      <w:bodyDiv w:val="1"/>
      <w:marLeft w:val="0"/>
      <w:marRight w:val="0"/>
      <w:marTop w:val="0"/>
      <w:marBottom w:val="0"/>
      <w:divBdr>
        <w:top w:val="none" w:sz="0" w:space="0" w:color="auto"/>
        <w:left w:val="none" w:sz="0" w:space="0" w:color="auto"/>
        <w:bottom w:val="none" w:sz="0" w:space="0" w:color="auto"/>
        <w:right w:val="none" w:sz="0" w:space="0" w:color="auto"/>
      </w:divBdr>
    </w:div>
    <w:div w:id="705565218">
      <w:bodyDiv w:val="1"/>
      <w:marLeft w:val="0"/>
      <w:marRight w:val="0"/>
      <w:marTop w:val="0"/>
      <w:marBottom w:val="0"/>
      <w:divBdr>
        <w:top w:val="none" w:sz="0" w:space="0" w:color="auto"/>
        <w:left w:val="none" w:sz="0" w:space="0" w:color="auto"/>
        <w:bottom w:val="none" w:sz="0" w:space="0" w:color="auto"/>
        <w:right w:val="none" w:sz="0" w:space="0" w:color="auto"/>
      </w:divBdr>
    </w:div>
    <w:div w:id="712922192">
      <w:bodyDiv w:val="1"/>
      <w:marLeft w:val="0"/>
      <w:marRight w:val="0"/>
      <w:marTop w:val="0"/>
      <w:marBottom w:val="0"/>
      <w:divBdr>
        <w:top w:val="none" w:sz="0" w:space="0" w:color="auto"/>
        <w:left w:val="none" w:sz="0" w:space="0" w:color="auto"/>
        <w:bottom w:val="none" w:sz="0" w:space="0" w:color="auto"/>
        <w:right w:val="none" w:sz="0" w:space="0" w:color="auto"/>
      </w:divBdr>
    </w:div>
    <w:div w:id="744228567">
      <w:bodyDiv w:val="1"/>
      <w:marLeft w:val="0"/>
      <w:marRight w:val="0"/>
      <w:marTop w:val="0"/>
      <w:marBottom w:val="0"/>
      <w:divBdr>
        <w:top w:val="none" w:sz="0" w:space="0" w:color="auto"/>
        <w:left w:val="none" w:sz="0" w:space="0" w:color="auto"/>
        <w:bottom w:val="none" w:sz="0" w:space="0" w:color="auto"/>
        <w:right w:val="none" w:sz="0" w:space="0" w:color="auto"/>
      </w:divBdr>
    </w:div>
    <w:div w:id="824707616">
      <w:bodyDiv w:val="1"/>
      <w:marLeft w:val="0"/>
      <w:marRight w:val="0"/>
      <w:marTop w:val="0"/>
      <w:marBottom w:val="0"/>
      <w:divBdr>
        <w:top w:val="none" w:sz="0" w:space="0" w:color="auto"/>
        <w:left w:val="none" w:sz="0" w:space="0" w:color="auto"/>
        <w:bottom w:val="none" w:sz="0" w:space="0" w:color="auto"/>
        <w:right w:val="none" w:sz="0" w:space="0" w:color="auto"/>
      </w:divBdr>
    </w:div>
    <w:div w:id="900990727">
      <w:bodyDiv w:val="1"/>
      <w:marLeft w:val="0"/>
      <w:marRight w:val="0"/>
      <w:marTop w:val="0"/>
      <w:marBottom w:val="0"/>
      <w:divBdr>
        <w:top w:val="none" w:sz="0" w:space="0" w:color="auto"/>
        <w:left w:val="none" w:sz="0" w:space="0" w:color="auto"/>
        <w:bottom w:val="none" w:sz="0" w:space="0" w:color="auto"/>
        <w:right w:val="none" w:sz="0" w:space="0" w:color="auto"/>
      </w:divBdr>
    </w:div>
    <w:div w:id="948194384">
      <w:bodyDiv w:val="1"/>
      <w:marLeft w:val="0"/>
      <w:marRight w:val="0"/>
      <w:marTop w:val="0"/>
      <w:marBottom w:val="0"/>
      <w:divBdr>
        <w:top w:val="none" w:sz="0" w:space="0" w:color="auto"/>
        <w:left w:val="none" w:sz="0" w:space="0" w:color="auto"/>
        <w:bottom w:val="none" w:sz="0" w:space="0" w:color="auto"/>
        <w:right w:val="none" w:sz="0" w:space="0" w:color="auto"/>
      </w:divBdr>
    </w:div>
    <w:div w:id="951668095">
      <w:bodyDiv w:val="1"/>
      <w:marLeft w:val="0"/>
      <w:marRight w:val="0"/>
      <w:marTop w:val="0"/>
      <w:marBottom w:val="0"/>
      <w:divBdr>
        <w:top w:val="none" w:sz="0" w:space="0" w:color="auto"/>
        <w:left w:val="none" w:sz="0" w:space="0" w:color="auto"/>
        <w:bottom w:val="none" w:sz="0" w:space="0" w:color="auto"/>
        <w:right w:val="none" w:sz="0" w:space="0" w:color="auto"/>
      </w:divBdr>
    </w:div>
    <w:div w:id="963736770">
      <w:bodyDiv w:val="1"/>
      <w:marLeft w:val="0"/>
      <w:marRight w:val="0"/>
      <w:marTop w:val="0"/>
      <w:marBottom w:val="0"/>
      <w:divBdr>
        <w:top w:val="none" w:sz="0" w:space="0" w:color="auto"/>
        <w:left w:val="none" w:sz="0" w:space="0" w:color="auto"/>
        <w:bottom w:val="none" w:sz="0" w:space="0" w:color="auto"/>
        <w:right w:val="none" w:sz="0" w:space="0" w:color="auto"/>
      </w:divBdr>
    </w:div>
    <w:div w:id="978387673">
      <w:bodyDiv w:val="1"/>
      <w:marLeft w:val="0"/>
      <w:marRight w:val="0"/>
      <w:marTop w:val="0"/>
      <w:marBottom w:val="0"/>
      <w:divBdr>
        <w:top w:val="none" w:sz="0" w:space="0" w:color="auto"/>
        <w:left w:val="none" w:sz="0" w:space="0" w:color="auto"/>
        <w:bottom w:val="none" w:sz="0" w:space="0" w:color="auto"/>
        <w:right w:val="none" w:sz="0" w:space="0" w:color="auto"/>
      </w:divBdr>
    </w:div>
    <w:div w:id="979267118">
      <w:bodyDiv w:val="1"/>
      <w:marLeft w:val="0"/>
      <w:marRight w:val="0"/>
      <w:marTop w:val="0"/>
      <w:marBottom w:val="0"/>
      <w:divBdr>
        <w:top w:val="none" w:sz="0" w:space="0" w:color="auto"/>
        <w:left w:val="none" w:sz="0" w:space="0" w:color="auto"/>
        <w:bottom w:val="none" w:sz="0" w:space="0" w:color="auto"/>
        <w:right w:val="none" w:sz="0" w:space="0" w:color="auto"/>
      </w:divBdr>
    </w:div>
    <w:div w:id="1001271436">
      <w:bodyDiv w:val="1"/>
      <w:marLeft w:val="0"/>
      <w:marRight w:val="0"/>
      <w:marTop w:val="0"/>
      <w:marBottom w:val="0"/>
      <w:divBdr>
        <w:top w:val="none" w:sz="0" w:space="0" w:color="auto"/>
        <w:left w:val="none" w:sz="0" w:space="0" w:color="auto"/>
        <w:bottom w:val="none" w:sz="0" w:space="0" w:color="auto"/>
        <w:right w:val="none" w:sz="0" w:space="0" w:color="auto"/>
      </w:divBdr>
    </w:div>
    <w:div w:id="1020274720">
      <w:bodyDiv w:val="1"/>
      <w:marLeft w:val="0"/>
      <w:marRight w:val="0"/>
      <w:marTop w:val="0"/>
      <w:marBottom w:val="0"/>
      <w:divBdr>
        <w:top w:val="none" w:sz="0" w:space="0" w:color="auto"/>
        <w:left w:val="none" w:sz="0" w:space="0" w:color="auto"/>
        <w:bottom w:val="none" w:sz="0" w:space="0" w:color="auto"/>
        <w:right w:val="none" w:sz="0" w:space="0" w:color="auto"/>
      </w:divBdr>
    </w:div>
    <w:div w:id="1023092298">
      <w:bodyDiv w:val="1"/>
      <w:marLeft w:val="0"/>
      <w:marRight w:val="0"/>
      <w:marTop w:val="0"/>
      <w:marBottom w:val="0"/>
      <w:divBdr>
        <w:top w:val="none" w:sz="0" w:space="0" w:color="auto"/>
        <w:left w:val="none" w:sz="0" w:space="0" w:color="auto"/>
        <w:bottom w:val="none" w:sz="0" w:space="0" w:color="auto"/>
        <w:right w:val="none" w:sz="0" w:space="0" w:color="auto"/>
      </w:divBdr>
      <w:divsChild>
        <w:div w:id="907108887">
          <w:marLeft w:val="360"/>
          <w:marRight w:val="0"/>
          <w:marTop w:val="200"/>
          <w:marBottom w:val="0"/>
          <w:divBdr>
            <w:top w:val="none" w:sz="0" w:space="0" w:color="auto"/>
            <w:left w:val="none" w:sz="0" w:space="0" w:color="auto"/>
            <w:bottom w:val="none" w:sz="0" w:space="0" w:color="auto"/>
            <w:right w:val="none" w:sz="0" w:space="0" w:color="auto"/>
          </w:divBdr>
        </w:div>
      </w:divsChild>
    </w:div>
    <w:div w:id="1048533049">
      <w:bodyDiv w:val="1"/>
      <w:marLeft w:val="0"/>
      <w:marRight w:val="0"/>
      <w:marTop w:val="0"/>
      <w:marBottom w:val="0"/>
      <w:divBdr>
        <w:top w:val="none" w:sz="0" w:space="0" w:color="auto"/>
        <w:left w:val="none" w:sz="0" w:space="0" w:color="auto"/>
        <w:bottom w:val="none" w:sz="0" w:space="0" w:color="auto"/>
        <w:right w:val="none" w:sz="0" w:space="0" w:color="auto"/>
      </w:divBdr>
    </w:div>
    <w:div w:id="1065759791">
      <w:bodyDiv w:val="1"/>
      <w:marLeft w:val="0"/>
      <w:marRight w:val="0"/>
      <w:marTop w:val="0"/>
      <w:marBottom w:val="0"/>
      <w:divBdr>
        <w:top w:val="none" w:sz="0" w:space="0" w:color="auto"/>
        <w:left w:val="none" w:sz="0" w:space="0" w:color="auto"/>
        <w:bottom w:val="none" w:sz="0" w:space="0" w:color="auto"/>
        <w:right w:val="none" w:sz="0" w:space="0" w:color="auto"/>
      </w:divBdr>
    </w:div>
    <w:div w:id="107531890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2534">
      <w:bodyDiv w:val="1"/>
      <w:marLeft w:val="0"/>
      <w:marRight w:val="0"/>
      <w:marTop w:val="0"/>
      <w:marBottom w:val="0"/>
      <w:divBdr>
        <w:top w:val="none" w:sz="0" w:space="0" w:color="auto"/>
        <w:left w:val="none" w:sz="0" w:space="0" w:color="auto"/>
        <w:bottom w:val="none" w:sz="0" w:space="0" w:color="auto"/>
        <w:right w:val="none" w:sz="0" w:space="0" w:color="auto"/>
      </w:divBdr>
    </w:div>
    <w:div w:id="1241020144">
      <w:bodyDiv w:val="1"/>
      <w:marLeft w:val="0"/>
      <w:marRight w:val="0"/>
      <w:marTop w:val="0"/>
      <w:marBottom w:val="0"/>
      <w:divBdr>
        <w:top w:val="none" w:sz="0" w:space="0" w:color="auto"/>
        <w:left w:val="none" w:sz="0" w:space="0" w:color="auto"/>
        <w:bottom w:val="none" w:sz="0" w:space="0" w:color="auto"/>
        <w:right w:val="none" w:sz="0" w:space="0" w:color="auto"/>
      </w:divBdr>
    </w:div>
    <w:div w:id="1267539164">
      <w:bodyDiv w:val="1"/>
      <w:marLeft w:val="0"/>
      <w:marRight w:val="0"/>
      <w:marTop w:val="0"/>
      <w:marBottom w:val="0"/>
      <w:divBdr>
        <w:top w:val="none" w:sz="0" w:space="0" w:color="auto"/>
        <w:left w:val="none" w:sz="0" w:space="0" w:color="auto"/>
        <w:bottom w:val="none" w:sz="0" w:space="0" w:color="auto"/>
        <w:right w:val="none" w:sz="0" w:space="0" w:color="auto"/>
      </w:divBdr>
    </w:div>
    <w:div w:id="1280065289">
      <w:bodyDiv w:val="1"/>
      <w:marLeft w:val="0"/>
      <w:marRight w:val="0"/>
      <w:marTop w:val="0"/>
      <w:marBottom w:val="0"/>
      <w:divBdr>
        <w:top w:val="none" w:sz="0" w:space="0" w:color="auto"/>
        <w:left w:val="none" w:sz="0" w:space="0" w:color="auto"/>
        <w:bottom w:val="none" w:sz="0" w:space="0" w:color="auto"/>
        <w:right w:val="none" w:sz="0" w:space="0" w:color="auto"/>
      </w:divBdr>
    </w:div>
    <w:div w:id="1331106895">
      <w:bodyDiv w:val="1"/>
      <w:marLeft w:val="0"/>
      <w:marRight w:val="0"/>
      <w:marTop w:val="0"/>
      <w:marBottom w:val="0"/>
      <w:divBdr>
        <w:top w:val="none" w:sz="0" w:space="0" w:color="auto"/>
        <w:left w:val="none" w:sz="0" w:space="0" w:color="auto"/>
        <w:bottom w:val="none" w:sz="0" w:space="0" w:color="auto"/>
        <w:right w:val="none" w:sz="0" w:space="0" w:color="auto"/>
      </w:divBdr>
    </w:div>
    <w:div w:id="1382363725">
      <w:bodyDiv w:val="1"/>
      <w:marLeft w:val="0"/>
      <w:marRight w:val="0"/>
      <w:marTop w:val="0"/>
      <w:marBottom w:val="0"/>
      <w:divBdr>
        <w:top w:val="none" w:sz="0" w:space="0" w:color="auto"/>
        <w:left w:val="none" w:sz="0" w:space="0" w:color="auto"/>
        <w:bottom w:val="none" w:sz="0" w:space="0" w:color="auto"/>
        <w:right w:val="none" w:sz="0" w:space="0" w:color="auto"/>
      </w:divBdr>
    </w:div>
    <w:div w:id="1424062105">
      <w:bodyDiv w:val="1"/>
      <w:marLeft w:val="0"/>
      <w:marRight w:val="0"/>
      <w:marTop w:val="0"/>
      <w:marBottom w:val="0"/>
      <w:divBdr>
        <w:top w:val="none" w:sz="0" w:space="0" w:color="auto"/>
        <w:left w:val="none" w:sz="0" w:space="0" w:color="auto"/>
        <w:bottom w:val="none" w:sz="0" w:space="0" w:color="auto"/>
        <w:right w:val="none" w:sz="0" w:space="0" w:color="auto"/>
      </w:divBdr>
    </w:div>
    <w:div w:id="1470904031">
      <w:bodyDiv w:val="1"/>
      <w:marLeft w:val="0"/>
      <w:marRight w:val="0"/>
      <w:marTop w:val="0"/>
      <w:marBottom w:val="0"/>
      <w:divBdr>
        <w:top w:val="none" w:sz="0" w:space="0" w:color="auto"/>
        <w:left w:val="none" w:sz="0" w:space="0" w:color="auto"/>
        <w:bottom w:val="none" w:sz="0" w:space="0" w:color="auto"/>
        <w:right w:val="none" w:sz="0" w:space="0" w:color="auto"/>
      </w:divBdr>
    </w:div>
    <w:div w:id="1527981188">
      <w:bodyDiv w:val="1"/>
      <w:marLeft w:val="0"/>
      <w:marRight w:val="0"/>
      <w:marTop w:val="0"/>
      <w:marBottom w:val="0"/>
      <w:divBdr>
        <w:top w:val="none" w:sz="0" w:space="0" w:color="auto"/>
        <w:left w:val="none" w:sz="0" w:space="0" w:color="auto"/>
        <w:bottom w:val="none" w:sz="0" w:space="0" w:color="auto"/>
        <w:right w:val="none" w:sz="0" w:space="0" w:color="auto"/>
      </w:divBdr>
    </w:div>
    <w:div w:id="1627084898">
      <w:bodyDiv w:val="1"/>
      <w:marLeft w:val="0"/>
      <w:marRight w:val="0"/>
      <w:marTop w:val="0"/>
      <w:marBottom w:val="0"/>
      <w:divBdr>
        <w:top w:val="none" w:sz="0" w:space="0" w:color="auto"/>
        <w:left w:val="none" w:sz="0" w:space="0" w:color="auto"/>
        <w:bottom w:val="none" w:sz="0" w:space="0" w:color="auto"/>
        <w:right w:val="none" w:sz="0" w:space="0" w:color="auto"/>
      </w:divBdr>
    </w:div>
    <w:div w:id="1679312689">
      <w:bodyDiv w:val="1"/>
      <w:marLeft w:val="0"/>
      <w:marRight w:val="0"/>
      <w:marTop w:val="0"/>
      <w:marBottom w:val="0"/>
      <w:divBdr>
        <w:top w:val="none" w:sz="0" w:space="0" w:color="auto"/>
        <w:left w:val="none" w:sz="0" w:space="0" w:color="auto"/>
        <w:bottom w:val="none" w:sz="0" w:space="0" w:color="auto"/>
        <w:right w:val="none" w:sz="0" w:space="0" w:color="auto"/>
      </w:divBdr>
    </w:div>
    <w:div w:id="1813324594">
      <w:bodyDiv w:val="1"/>
      <w:marLeft w:val="0"/>
      <w:marRight w:val="0"/>
      <w:marTop w:val="0"/>
      <w:marBottom w:val="0"/>
      <w:divBdr>
        <w:top w:val="none" w:sz="0" w:space="0" w:color="auto"/>
        <w:left w:val="none" w:sz="0" w:space="0" w:color="auto"/>
        <w:bottom w:val="none" w:sz="0" w:space="0" w:color="auto"/>
        <w:right w:val="none" w:sz="0" w:space="0" w:color="auto"/>
      </w:divBdr>
    </w:div>
    <w:div w:id="1870333378">
      <w:bodyDiv w:val="1"/>
      <w:marLeft w:val="0"/>
      <w:marRight w:val="0"/>
      <w:marTop w:val="0"/>
      <w:marBottom w:val="0"/>
      <w:divBdr>
        <w:top w:val="none" w:sz="0" w:space="0" w:color="auto"/>
        <w:left w:val="none" w:sz="0" w:space="0" w:color="auto"/>
        <w:bottom w:val="none" w:sz="0" w:space="0" w:color="auto"/>
        <w:right w:val="none" w:sz="0" w:space="0" w:color="auto"/>
      </w:divBdr>
    </w:div>
    <w:div w:id="193470210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2169138">
      <w:bodyDiv w:val="1"/>
      <w:marLeft w:val="0"/>
      <w:marRight w:val="0"/>
      <w:marTop w:val="0"/>
      <w:marBottom w:val="0"/>
      <w:divBdr>
        <w:top w:val="none" w:sz="0" w:space="0" w:color="auto"/>
        <w:left w:val="none" w:sz="0" w:space="0" w:color="auto"/>
        <w:bottom w:val="none" w:sz="0" w:space="0" w:color="auto"/>
        <w:right w:val="none" w:sz="0" w:space="0" w:color="auto"/>
      </w:divBdr>
    </w:div>
    <w:div w:id="21106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3834-B124-42AB-B831-752AB4C97B7B}">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15332</Words>
  <Characters>87396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2022-10-24T01:27:00Z</dcterms:created>
  <dcterms:modified xsi:type="dcterms:W3CDTF">2022-10-24T01:27:00Z</dcterms:modified>
</cp:coreProperties>
</file>