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1C6701A" w14:textId="1FD7FD63" w:rsidR="00B60939" w:rsidRDefault="00757314" w:rsidP="004A6040">
      <w:pPr>
        <w:pStyle w:val="1-MainHeading"/>
      </w:pPr>
      <w:r>
        <w:t>7</w:t>
      </w:r>
      <w:r w:rsidR="00433044" w:rsidRPr="00262BDA">
        <w:t>.</w:t>
      </w:r>
      <w:r>
        <w:t>04</w:t>
      </w:r>
      <w:r w:rsidR="00163F66" w:rsidRPr="00262BDA">
        <w:tab/>
      </w:r>
      <w:r w:rsidR="007F3A32" w:rsidRPr="00262BDA">
        <w:t>ROMOSOZUMAB</w:t>
      </w:r>
      <w:r w:rsidR="00163F66" w:rsidRPr="00262BDA">
        <w:t>,</w:t>
      </w:r>
      <w:r w:rsidR="00163F66" w:rsidRPr="00262BDA">
        <w:br/>
      </w:r>
      <w:r w:rsidR="007F3A32" w:rsidRPr="00262BDA">
        <w:t>Injection 105 mg in 1.17 mL single use pre-filled syringe</w:t>
      </w:r>
      <w:r w:rsidR="00163F66" w:rsidRPr="00262BDA">
        <w:t>,</w:t>
      </w:r>
      <w:r w:rsidR="00163F66" w:rsidRPr="00262BDA">
        <w:br/>
      </w:r>
      <w:r w:rsidR="00913246" w:rsidRPr="00262BDA">
        <w:t>Evenity</w:t>
      </w:r>
      <w:r w:rsidR="00B60939" w:rsidRPr="00262BDA">
        <w:t>®</w:t>
      </w:r>
      <w:r w:rsidR="004A6040" w:rsidRPr="00262BDA">
        <w:t>,</w:t>
      </w:r>
      <w:r w:rsidR="004A6040" w:rsidRPr="00262BDA">
        <w:br/>
      </w:r>
      <w:r w:rsidR="00913246" w:rsidRPr="00262BDA">
        <w:t>Amgen Australia Pty L</w:t>
      </w:r>
      <w:r w:rsidR="000009E5">
        <w:t>imi</w:t>
      </w:r>
      <w:r w:rsidR="00913246" w:rsidRPr="00262BDA">
        <w:t>t</w:t>
      </w:r>
      <w:r w:rsidR="000009E5">
        <w:t>e</w:t>
      </w:r>
      <w:r w:rsidR="00913246" w:rsidRPr="00262BDA">
        <w:t>d</w:t>
      </w:r>
      <w:r w:rsidR="00B60939" w:rsidRPr="00262BDA">
        <w:t>.</w:t>
      </w:r>
    </w:p>
    <w:p w14:paraId="11C00795" w14:textId="674C8111" w:rsidR="00B50DB8" w:rsidRPr="00262BDA" w:rsidRDefault="00B50DB8" w:rsidP="004A6040">
      <w:pPr>
        <w:pStyle w:val="2-SectionHeading"/>
      </w:pPr>
      <w:bookmarkStart w:id="0" w:name="_Toc103610465"/>
      <w:r w:rsidRPr="00262BDA">
        <w:t xml:space="preserve">Purpose of </w:t>
      </w:r>
      <w:r w:rsidR="00CD7193" w:rsidRPr="00262BDA">
        <w:t>s</w:t>
      </w:r>
      <w:r w:rsidR="00BB3A45" w:rsidRPr="00262BDA">
        <w:t>ubmission</w:t>
      </w:r>
      <w:bookmarkEnd w:id="0"/>
    </w:p>
    <w:p w14:paraId="19414AA1" w14:textId="6828FCFA" w:rsidR="002C2775" w:rsidRPr="00442592" w:rsidRDefault="007170DA" w:rsidP="004E18E9">
      <w:pPr>
        <w:pStyle w:val="ExecSumBodyText"/>
      </w:pPr>
      <w:r w:rsidRPr="00262BDA">
        <w:t xml:space="preserve">The </w:t>
      </w:r>
      <w:r w:rsidR="00E14A8A">
        <w:t>s</w:t>
      </w:r>
      <w:r w:rsidR="00BC1DC6">
        <w:t xml:space="preserve">tandard re-entry </w:t>
      </w:r>
      <w:r w:rsidRPr="00262BDA">
        <w:t xml:space="preserve">submission requested </w:t>
      </w:r>
      <w:r w:rsidR="00821C0E">
        <w:t>a Section 85 (</w:t>
      </w:r>
      <w:r w:rsidR="008B1757" w:rsidRPr="00262BDA">
        <w:t>Authority Required</w:t>
      </w:r>
      <w:r w:rsidR="00821C0E">
        <w:t>)</w:t>
      </w:r>
      <w:r w:rsidR="008B1757" w:rsidRPr="00262BDA">
        <w:t xml:space="preserve"> listing for </w:t>
      </w:r>
      <w:r w:rsidR="00821C0E">
        <w:t>romosozumab</w:t>
      </w:r>
      <w:r w:rsidR="008B1757" w:rsidRPr="00262BDA">
        <w:t xml:space="preserve"> for </w:t>
      </w:r>
      <w:r w:rsidR="0050174E" w:rsidRPr="00262BDA">
        <w:t xml:space="preserve">the </w:t>
      </w:r>
      <w:r w:rsidR="008B1757" w:rsidRPr="00262BDA">
        <w:t xml:space="preserve">treatment of </w:t>
      </w:r>
      <w:r w:rsidR="00821C0E">
        <w:t>severe osteoporosis</w:t>
      </w:r>
      <w:r w:rsidR="00E14A8A">
        <w:t xml:space="preserve"> in</w:t>
      </w:r>
      <w:r w:rsidR="00821C0E">
        <w:t xml:space="preserve"> the first line setting, and an expanded listing in the second line setting. </w:t>
      </w:r>
      <w:r w:rsidR="006F45B5" w:rsidRPr="00442592">
        <w:t>The PBAC previously considered romosozumab fo</w:t>
      </w:r>
      <w:r w:rsidR="00617C05" w:rsidRPr="00442592">
        <w:t>r severe osteoporosis in November 2018 (first</w:t>
      </w:r>
      <w:r w:rsidR="00227950">
        <w:t>-</w:t>
      </w:r>
      <w:r w:rsidR="00617C05" w:rsidRPr="00442592">
        <w:t xml:space="preserve"> and second-line settings), July 2019 (second line setting) and March 2020 (second line setting). Romosozumab is currently listed on the PBS for severe osteo</w:t>
      </w:r>
      <w:r w:rsidR="00DD6B3B" w:rsidRPr="00442592">
        <w:t xml:space="preserve">porosis under a restricted second line setting. </w:t>
      </w:r>
      <w:r w:rsidR="008B1757" w:rsidRPr="00442592">
        <w:t xml:space="preserve"> </w:t>
      </w:r>
    </w:p>
    <w:p w14:paraId="4E9FBCB5" w14:textId="5A7EDE2B" w:rsidR="00C2778B" w:rsidRPr="00262BDA" w:rsidRDefault="005750C5" w:rsidP="004E18E9">
      <w:pPr>
        <w:pStyle w:val="ExecSumBodyText"/>
      </w:pPr>
      <w:r w:rsidRPr="00262BDA">
        <w:t xml:space="preserve">Listing was requested on the basis of a cost-effectiveness analysis versus </w:t>
      </w:r>
      <w:r w:rsidR="00DD6B3B">
        <w:t>alendronate</w:t>
      </w:r>
      <w:r w:rsidRPr="00262BDA">
        <w:t xml:space="preserve">. </w:t>
      </w:r>
      <w:r w:rsidR="00BC591F" w:rsidRPr="00262BDA">
        <w:rPr>
          <w:color w:val="0066FF"/>
        </w:rPr>
        <w:t xml:space="preserve">  </w:t>
      </w:r>
    </w:p>
    <w:p w14:paraId="7EC2F278" w14:textId="45FC25CD" w:rsidR="009674A8" w:rsidRDefault="009674A8" w:rsidP="00781DF7">
      <w:pPr>
        <w:pStyle w:val="TableHeading"/>
      </w:pPr>
      <w:r>
        <w:t xml:space="preserve">Table </w:t>
      </w:r>
      <w:fldSimple w:instr=" SEQ Table \* ARABIC ">
        <w:r w:rsidR="006D00BB">
          <w:rPr>
            <w:noProof/>
          </w:rPr>
          <w:t>1</w:t>
        </w:r>
      </w:fldSimple>
      <w:r w:rsidR="00781DF7">
        <w:t>:</w:t>
      </w:r>
      <w:r w:rsidR="00781DF7" w:rsidRPr="00781DF7">
        <w:t xml:space="preserve"> </w:t>
      </w:r>
      <w:r w:rsidR="00781DF7" w:rsidRPr="00262BDA">
        <w:t xml:space="preserve">Key components of the clinical issue addressed in the </w:t>
      </w:r>
      <w:r w:rsidR="00781DF7">
        <w:t>re</w:t>
      </w:r>
      <w:r w:rsidR="00781DF7" w:rsidRPr="00262BDA">
        <w:t>submission</w:t>
      </w:r>
    </w:p>
    <w:tbl>
      <w:tblPr>
        <w:tblW w:w="91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61"/>
        <w:gridCol w:w="7495"/>
      </w:tblGrid>
      <w:tr w:rsidR="00CE5DF1" w:rsidRPr="00262BDA" w14:paraId="41EC3C0B" w14:textId="77777777" w:rsidTr="00C479AD">
        <w:tc>
          <w:tcPr>
            <w:tcW w:w="1661" w:type="dxa"/>
            <w:vAlign w:val="center"/>
          </w:tcPr>
          <w:p w14:paraId="138AC43F" w14:textId="77777777" w:rsidR="00CE5DF1" w:rsidRPr="00262BDA" w:rsidRDefault="00CE5DF1" w:rsidP="00C479AD">
            <w:pPr>
              <w:pStyle w:val="Tableheadingrow"/>
              <w:rPr>
                <w:lang w:val="en-AU"/>
              </w:rPr>
            </w:pPr>
            <w:r w:rsidRPr="00262BDA">
              <w:rPr>
                <w:lang w:val="en-AU"/>
              </w:rPr>
              <w:t>Component</w:t>
            </w:r>
          </w:p>
        </w:tc>
        <w:tc>
          <w:tcPr>
            <w:tcW w:w="7495" w:type="dxa"/>
            <w:vAlign w:val="center"/>
          </w:tcPr>
          <w:p w14:paraId="4D9756DD" w14:textId="77777777" w:rsidR="00CE5DF1" w:rsidRPr="00262BDA" w:rsidRDefault="00CE5DF1" w:rsidP="00C479AD">
            <w:pPr>
              <w:pStyle w:val="Tableheadingrow"/>
              <w:rPr>
                <w:lang w:val="en-AU"/>
              </w:rPr>
            </w:pPr>
            <w:r w:rsidRPr="00262BDA">
              <w:rPr>
                <w:lang w:val="en-AU"/>
              </w:rPr>
              <w:t>Description</w:t>
            </w:r>
          </w:p>
        </w:tc>
      </w:tr>
      <w:tr w:rsidR="00CE5DF1" w:rsidRPr="00262BDA" w14:paraId="1E18363E" w14:textId="77777777" w:rsidTr="00C479AD">
        <w:tc>
          <w:tcPr>
            <w:tcW w:w="1661" w:type="dxa"/>
            <w:vAlign w:val="center"/>
          </w:tcPr>
          <w:p w14:paraId="1EC85115" w14:textId="77777777" w:rsidR="00CE5DF1" w:rsidRPr="00262BDA" w:rsidRDefault="00CE5DF1" w:rsidP="00C479AD">
            <w:pPr>
              <w:pStyle w:val="TableText"/>
            </w:pPr>
            <w:r w:rsidRPr="00262BDA">
              <w:t>Population</w:t>
            </w:r>
          </w:p>
        </w:tc>
        <w:tc>
          <w:tcPr>
            <w:tcW w:w="7495" w:type="dxa"/>
            <w:vAlign w:val="center"/>
          </w:tcPr>
          <w:p w14:paraId="05DB595D" w14:textId="5ED6AD94" w:rsidR="00CE5DF1" w:rsidRDefault="001B03A6" w:rsidP="00C479AD">
            <w:pPr>
              <w:pStyle w:val="TableText"/>
            </w:pPr>
            <w:r>
              <w:t xml:space="preserve">(First line) </w:t>
            </w:r>
            <w:r w:rsidR="00CE5DF1">
              <w:t>Patients with severe osteoporosis who are at very high risk of fracture defined as those with a BMD T-score of ≤-2.5, and have either:</w:t>
            </w:r>
          </w:p>
          <w:p w14:paraId="4B000A3E" w14:textId="77777777" w:rsidR="00CE5DF1" w:rsidRDefault="00CE5DF1" w:rsidP="00C479AD">
            <w:pPr>
              <w:pStyle w:val="TableText"/>
            </w:pPr>
            <w:r>
              <w:t>A recent hip or clinical vertebral fracture, or multiple clinical fractures (including 1 recent), OR</w:t>
            </w:r>
          </w:p>
          <w:p w14:paraId="5B95D4F9" w14:textId="77777777" w:rsidR="00CE5DF1" w:rsidRPr="00262BDA" w:rsidRDefault="00CE5DF1" w:rsidP="00C479AD">
            <w:pPr>
              <w:pStyle w:val="TableText"/>
            </w:pPr>
            <w:r>
              <w:t>At least 1 symptomatic new fracture after 12 months anti-resorptive therapy</w:t>
            </w:r>
          </w:p>
        </w:tc>
      </w:tr>
      <w:tr w:rsidR="00CE5DF1" w:rsidRPr="00262BDA" w14:paraId="670EB893" w14:textId="77777777" w:rsidTr="00C479AD">
        <w:tc>
          <w:tcPr>
            <w:tcW w:w="1661" w:type="dxa"/>
            <w:vAlign w:val="center"/>
          </w:tcPr>
          <w:p w14:paraId="21E59D93" w14:textId="77777777" w:rsidR="00CE5DF1" w:rsidRPr="00262BDA" w:rsidRDefault="00CE5DF1" w:rsidP="00C479AD">
            <w:pPr>
              <w:pStyle w:val="TableText"/>
            </w:pPr>
            <w:r w:rsidRPr="00262BDA">
              <w:t>Intervention</w:t>
            </w:r>
          </w:p>
        </w:tc>
        <w:tc>
          <w:tcPr>
            <w:tcW w:w="7495" w:type="dxa"/>
            <w:vAlign w:val="center"/>
          </w:tcPr>
          <w:p w14:paraId="00DADAF6" w14:textId="68690BEA" w:rsidR="001B03A6" w:rsidRPr="00262BDA" w:rsidRDefault="00CE5DF1" w:rsidP="00C479AD">
            <w:pPr>
              <w:pStyle w:val="TableText"/>
            </w:pPr>
            <w:r>
              <w:t>Romosozumab 210 mg monthly subcutaneous injection for 12 months followed by ongoing anti-resorptive therapy</w:t>
            </w:r>
          </w:p>
        </w:tc>
      </w:tr>
      <w:tr w:rsidR="00CE5DF1" w:rsidRPr="00262BDA" w14:paraId="5798AA40" w14:textId="77777777" w:rsidTr="00C479AD">
        <w:tc>
          <w:tcPr>
            <w:tcW w:w="1661" w:type="dxa"/>
            <w:vAlign w:val="center"/>
          </w:tcPr>
          <w:p w14:paraId="3ACBDBDC" w14:textId="77777777" w:rsidR="00CE5DF1" w:rsidRPr="00262BDA" w:rsidRDefault="00CE5DF1" w:rsidP="00C479AD">
            <w:pPr>
              <w:pStyle w:val="TableText"/>
            </w:pPr>
            <w:r w:rsidRPr="00262BDA">
              <w:t>Comparator</w:t>
            </w:r>
          </w:p>
        </w:tc>
        <w:tc>
          <w:tcPr>
            <w:tcW w:w="7495" w:type="dxa"/>
            <w:vAlign w:val="center"/>
          </w:tcPr>
          <w:p w14:paraId="39BE60E9" w14:textId="77777777" w:rsidR="00CE5DF1" w:rsidRPr="00262BDA" w:rsidRDefault="00CE5DF1" w:rsidP="00C479AD">
            <w:pPr>
              <w:pStyle w:val="TableText"/>
            </w:pPr>
            <w:r>
              <w:t>Alendronate 70 mg weekly oral tablet, ongoing</w:t>
            </w:r>
            <w:r w:rsidRPr="00262BDA">
              <w:t xml:space="preserve"> </w:t>
            </w:r>
          </w:p>
        </w:tc>
      </w:tr>
      <w:tr w:rsidR="00CE5DF1" w:rsidRPr="00262BDA" w14:paraId="2CD171A3" w14:textId="77777777" w:rsidTr="00C479AD">
        <w:tc>
          <w:tcPr>
            <w:tcW w:w="1661" w:type="dxa"/>
            <w:vAlign w:val="center"/>
          </w:tcPr>
          <w:p w14:paraId="16C850C3" w14:textId="77777777" w:rsidR="00CE5DF1" w:rsidRPr="00262BDA" w:rsidRDefault="00CE5DF1" w:rsidP="00C479AD">
            <w:pPr>
              <w:pStyle w:val="TableText"/>
            </w:pPr>
            <w:r w:rsidRPr="00262BDA">
              <w:t>Outcomes</w:t>
            </w:r>
          </w:p>
        </w:tc>
        <w:tc>
          <w:tcPr>
            <w:tcW w:w="7495" w:type="dxa"/>
            <w:vAlign w:val="center"/>
          </w:tcPr>
          <w:p w14:paraId="1DCF17D1" w14:textId="77777777" w:rsidR="00CE5DF1" w:rsidRPr="00262BDA" w:rsidRDefault="00CE5DF1" w:rsidP="00C479AD">
            <w:pPr>
              <w:pStyle w:val="TableText"/>
            </w:pPr>
            <w:r>
              <w:t>Prevention of osteoporosis-related fractures that lead to reduced morbidity and mortality</w:t>
            </w:r>
          </w:p>
        </w:tc>
      </w:tr>
      <w:tr w:rsidR="00CE5DF1" w:rsidRPr="00262BDA" w14:paraId="0909A454" w14:textId="77777777" w:rsidTr="00C479AD">
        <w:tc>
          <w:tcPr>
            <w:tcW w:w="1661" w:type="dxa"/>
            <w:vAlign w:val="center"/>
          </w:tcPr>
          <w:p w14:paraId="7A014357" w14:textId="77777777" w:rsidR="00CE5DF1" w:rsidRPr="00262BDA" w:rsidRDefault="00CE5DF1" w:rsidP="00C479AD">
            <w:pPr>
              <w:pStyle w:val="TableText"/>
            </w:pPr>
            <w:r w:rsidRPr="00262BDA">
              <w:t>Clinical claim</w:t>
            </w:r>
          </w:p>
        </w:tc>
        <w:tc>
          <w:tcPr>
            <w:tcW w:w="7495" w:type="dxa"/>
            <w:vAlign w:val="center"/>
          </w:tcPr>
          <w:p w14:paraId="1D816B9A" w14:textId="77777777" w:rsidR="00CE5DF1" w:rsidRPr="00262BDA" w:rsidRDefault="00CE5DF1" w:rsidP="00C479AD">
            <w:pPr>
              <w:pStyle w:val="TableText"/>
            </w:pPr>
            <w:r>
              <w:t>Romosozumab is superior in terms of efficacy and inferior in terms of safety compared to alendronate.</w:t>
            </w:r>
          </w:p>
        </w:tc>
      </w:tr>
    </w:tbl>
    <w:p w14:paraId="51F1D287" w14:textId="77777777" w:rsidR="00CE5DF1" w:rsidRDefault="00CE5DF1" w:rsidP="00CE5DF1">
      <w:pPr>
        <w:pStyle w:val="TableFigureFooter"/>
      </w:pPr>
      <w:r w:rsidRPr="00262BDA">
        <w:t xml:space="preserve">Source: </w:t>
      </w:r>
      <w:r>
        <w:t>Table 1.1-1, p15 of the resubmission</w:t>
      </w:r>
    </w:p>
    <w:p w14:paraId="6B4AB6C2" w14:textId="7F01D731" w:rsidR="005C25FF" w:rsidRPr="00262BDA" w:rsidRDefault="005C25FF" w:rsidP="004A6040">
      <w:pPr>
        <w:pStyle w:val="2-SectionHeading"/>
      </w:pPr>
      <w:bookmarkStart w:id="1" w:name="_Toc103610466"/>
      <w:r w:rsidRPr="00262BDA">
        <w:t>Background</w:t>
      </w:r>
      <w:bookmarkEnd w:id="1"/>
    </w:p>
    <w:p w14:paraId="2C521D6D" w14:textId="78CF03EE" w:rsidR="005C25FF" w:rsidRPr="00262BDA" w:rsidRDefault="005C25FF" w:rsidP="004A6040">
      <w:pPr>
        <w:pStyle w:val="3-SubsectionHeading"/>
      </w:pPr>
      <w:bookmarkStart w:id="2" w:name="_Toc22897638"/>
      <w:bookmarkStart w:id="3" w:name="_Toc103610467"/>
      <w:r w:rsidRPr="00262BDA">
        <w:t>Registration status</w:t>
      </w:r>
      <w:bookmarkEnd w:id="2"/>
      <w:bookmarkEnd w:id="3"/>
    </w:p>
    <w:p w14:paraId="322FA872" w14:textId="77777777" w:rsidR="005731A9" w:rsidRDefault="005731A9" w:rsidP="005731A9">
      <w:pPr>
        <w:pStyle w:val="ExecSumBodyText"/>
        <w:spacing w:after="0"/>
      </w:pPr>
      <w:r>
        <w:t>Romosozumab was approved by the TGA on 21 June 2019 for the following indications:</w:t>
      </w:r>
    </w:p>
    <w:p w14:paraId="695DF48E" w14:textId="77777777" w:rsidR="005731A9" w:rsidRDefault="005731A9" w:rsidP="006215FA">
      <w:pPr>
        <w:pStyle w:val="ExecSumBodyText"/>
        <w:numPr>
          <w:ilvl w:val="0"/>
          <w:numId w:val="7"/>
        </w:numPr>
        <w:spacing w:after="0"/>
      </w:pPr>
      <w:r>
        <w:t>Treatment of osteoporosis in postmenopausal women at high risk of fracture</w:t>
      </w:r>
    </w:p>
    <w:p w14:paraId="547BCEF1" w14:textId="77777777" w:rsidR="005731A9" w:rsidRDefault="005731A9" w:rsidP="006215FA">
      <w:pPr>
        <w:pStyle w:val="ExecSumBodyText"/>
        <w:numPr>
          <w:ilvl w:val="0"/>
          <w:numId w:val="7"/>
        </w:numPr>
      </w:pPr>
      <w:r>
        <w:t xml:space="preserve">Treatment to increase bone mass in men with osteoporosis at high risk of fracture </w:t>
      </w:r>
    </w:p>
    <w:p w14:paraId="5374AD55" w14:textId="6F4E6BE8" w:rsidR="005C25FF" w:rsidRPr="00262BDA" w:rsidRDefault="004D2D5E" w:rsidP="004E18E9">
      <w:pPr>
        <w:pStyle w:val="ExecSumBodyText"/>
      </w:pPr>
      <w:r w:rsidRPr="004D2D5E">
        <w:t>The product information includes special warnings and precautions for use due to the potential risk of serious events of myocardial infarction and stroke.</w:t>
      </w:r>
    </w:p>
    <w:p w14:paraId="3E2A6EAB" w14:textId="469C8C0C" w:rsidR="005C25FF" w:rsidRPr="00262BDA" w:rsidRDefault="005C25FF" w:rsidP="004E18E9">
      <w:pPr>
        <w:pStyle w:val="3-SubsectionHeading"/>
      </w:pPr>
      <w:bookmarkStart w:id="4" w:name="_Toc22897639"/>
      <w:bookmarkStart w:id="5" w:name="_Toc103610468"/>
      <w:r w:rsidRPr="00262BDA">
        <w:lastRenderedPageBreak/>
        <w:t>Previous PBAC consideration</w:t>
      </w:r>
      <w:bookmarkEnd w:id="4"/>
      <w:bookmarkEnd w:id="5"/>
    </w:p>
    <w:p w14:paraId="65A919C0" w14:textId="3BFC12A5" w:rsidR="00C34685" w:rsidRPr="00C34685" w:rsidRDefault="00F07DA8" w:rsidP="002E4F02">
      <w:pPr>
        <w:pStyle w:val="ExecSumBodyText"/>
      </w:pPr>
      <w:r>
        <w:rPr>
          <w:snapToGrid/>
        </w:rPr>
        <w:t>The table below summarises k</w:t>
      </w:r>
      <w:r w:rsidR="00E74E77">
        <w:rPr>
          <w:snapToGrid/>
        </w:rPr>
        <w:t xml:space="preserve">ey matters of concern from </w:t>
      </w:r>
      <w:r w:rsidR="009878D5">
        <w:rPr>
          <w:snapToGrid/>
        </w:rPr>
        <w:t xml:space="preserve">previous </w:t>
      </w:r>
      <w:r w:rsidR="005501A3">
        <w:rPr>
          <w:snapToGrid/>
        </w:rPr>
        <w:t xml:space="preserve">romosozumab </w:t>
      </w:r>
      <w:r w:rsidR="004C69AC">
        <w:rPr>
          <w:snapToGrid/>
        </w:rPr>
        <w:t xml:space="preserve">submissions </w:t>
      </w:r>
      <w:r w:rsidR="005501A3">
        <w:rPr>
          <w:snapToGrid/>
        </w:rPr>
        <w:t>(</w:t>
      </w:r>
      <w:r w:rsidR="009878D5">
        <w:rPr>
          <w:snapToGrid/>
        </w:rPr>
        <w:t xml:space="preserve">November 2018, July 2019 and </w:t>
      </w:r>
      <w:r w:rsidR="00CC6057">
        <w:rPr>
          <w:snapToGrid/>
        </w:rPr>
        <w:t>March 2020</w:t>
      </w:r>
      <w:r w:rsidR="005501A3">
        <w:rPr>
          <w:snapToGrid/>
        </w:rPr>
        <w:t>)</w:t>
      </w:r>
      <w:r w:rsidR="00CC6057">
        <w:rPr>
          <w:snapToGrid/>
        </w:rPr>
        <w:t xml:space="preserve"> </w:t>
      </w:r>
      <w:r w:rsidR="004C69AC">
        <w:rPr>
          <w:snapToGrid/>
        </w:rPr>
        <w:t xml:space="preserve">that are relevant to the current resubmission for </w:t>
      </w:r>
      <w:r w:rsidR="004977CE">
        <w:rPr>
          <w:snapToGrid/>
        </w:rPr>
        <w:t>a</w:t>
      </w:r>
      <w:r w:rsidR="009A6893">
        <w:rPr>
          <w:snapToGrid/>
        </w:rPr>
        <w:t xml:space="preserve"> </w:t>
      </w:r>
      <w:r w:rsidR="00A275AD">
        <w:rPr>
          <w:snapToGrid/>
        </w:rPr>
        <w:t>first line</w:t>
      </w:r>
      <w:r w:rsidR="009A6893">
        <w:rPr>
          <w:snapToGrid/>
        </w:rPr>
        <w:t xml:space="preserve"> </w:t>
      </w:r>
      <w:r w:rsidR="004977CE">
        <w:rPr>
          <w:snapToGrid/>
        </w:rPr>
        <w:t xml:space="preserve">and expanded </w:t>
      </w:r>
      <w:r w:rsidR="00A275AD">
        <w:rPr>
          <w:snapToGrid/>
        </w:rPr>
        <w:t>second</w:t>
      </w:r>
      <w:r w:rsidR="004977CE">
        <w:rPr>
          <w:snapToGrid/>
        </w:rPr>
        <w:t xml:space="preserve"> line listing</w:t>
      </w:r>
      <w:r w:rsidR="004E6F3A">
        <w:rPr>
          <w:snapToGrid/>
        </w:rPr>
        <w:t xml:space="preserve">. </w:t>
      </w:r>
      <w:r w:rsidR="000571D9">
        <w:rPr>
          <w:snapToGrid/>
        </w:rPr>
        <w:t>Some</w:t>
      </w:r>
      <w:r w:rsidR="004E4243">
        <w:rPr>
          <w:snapToGrid/>
        </w:rPr>
        <w:t xml:space="preserve"> of the key</w:t>
      </w:r>
      <w:r w:rsidR="000571D9">
        <w:rPr>
          <w:snapToGrid/>
        </w:rPr>
        <w:t xml:space="preserve"> matters of concern from the original November 2018 </w:t>
      </w:r>
      <w:r w:rsidR="00C01AC3">
        <w:rPr>
          <w:snapToGrid/>
        </w:rPr>
        <w:t xml:space="preserve">submission </w:t>
      </w:r>
      <w:r w:rsidR="00521DFE">
        <w:rPr>
          <w:snapToGrid/>
        </w:rPr>
        <w:t>are</w:t>
      </w:r>
      <w:r w:rsidR="004E4243">
        <w:rPr>
          <w:snapToGrid/>
        </w:rPr>
        <w:t xml:space="preserve"> outstanding </w:t>
      </w:r>
      <w:r w:rsidR="00EB3C36">
        <w:rPr>
          <w:snapToGrid/>
        </w:rPr>
        <w:t xml:space="preserve">as </w:t>
      </w:r>
      <w:r w:rsidR="00521DFE">
        <w:rPr>
          <w:snapToGrid/>
        </w:rPr>
        <w:t>subsequent</w:t>
      </w:r>
      <w:r w:rsidR="00EB3C36">
        <w:rPr>
          <w:snapToGrid/>
        </w:rPr>
        <w:t xml:space="preserve"> submissions focussed on a restricted </w:t>
      </w:r>
      <w:r w:rsidR="00A275AD">
        <w:rPr>
          <w:snapToGrid/>
        </w:rPr>
        <w:t>second</w:t>
      </w:r>
      <w:r w:rsidR="00EB3C36">
        <w:rPr>
          <w:snapToGrid/>
        </w:rPr>
        <w:t xml:space="preserve"> line listing. </w:t>
      </w:r>
    </w:p>
    <w:p w14:paraId="1BC35A43" w14:textId="3CED10BA" w:rsidR="00781DF7" w:rsidRDefault="00781DF7" w:rsidP="00781DF7">
      <w:pPr>
        <w:pStyle w:val="TableHeading"/>
      </w:pPr>
      <w:bookmarkStart w:id="6" w:name="_Ref110426474"/>
      <w:r>
        <w:t xml:space="preserve">Table </w:t>
      </w:r>
      <w:fldSimple w:instr=" SEQ Table \* ARABIC ">
        <w:r w:rsidR="006D00BB">
          <w:rPr>
            <w:noProof/>
          </w:rPr>
          <w:t>2</w:t>
        </w:r>
      </w:fldSimple>
      <w:bookmarkEnd w:id="6"/>
      <w:r>
        <w:t>:</w:t>
      </w:r>
      <w:r w:rsidRPr="00781DF7">
        <w:t xml:space="preserve"> </w:t>
      </w:r>
      <w:r w:rsidR="0035197C">
        <w:t>Summary of key matters of concern</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4545"/>
        <w:gridCol w:w="4472"/>
      </w:tblGrid>
      <w:tr w:rsidR="008D3F33" w:rsidRPr="009C758C" w14:paraId="6747F8E1" w14:textId="77777777" w:rsidTr="00021559">
        <w:trPr>
          <w:cantSplit/>
          <w:tblHeader/>
        </w:trPr>
        <w:tc>
          <w:tcPr>
            <w:tcW w:w="2520" w:type="pct"/>
            <w:vAlign w:val="center"/>
          </w:tcPr>
          <w:p w14:paraId="2B7F3F42" w14:textId="77777777" w:rsidR="008D3F33" w:rsidRPr="009C758C" w:rsidRDefault="008D3F33" w:rsidP="00781DF7">
            <w:pPr>
              <w:pStyle w:val="TableHeading"/>
            </w:pPr>
            <w:r w:rsidRPr="009C758C">
              <w:t>Matter of concern</w:t>
            </w:r>
          </w:p>
        </w:tc>
        <w:tc>
          <w:tcPr>
            <w:tcW w:w="2480" w:type="pct"/>
            <w:vAlign w:val="center"/>
          </w:tcPr>
          <w:p w14:paraId="4BAA81F2" w14:textId="77777777" w:rsidR="008D3F33" w:rsidRPr="009C758C" w:rsidRDefault="008D3F33" w:rsidP="009C7BA3">
            <w:pPr>
              <w:pStyle w:val="Tableheadingrow"/>
              <w:keepNext w:val="0"/>
              <w:widowControl w:val="0"/>
              <w:rPr>
                <w:lang w:val="en-AU"/>
              </w:rPr>
            </w:pPr>
            <w:r w:rsidRPr="009C758C">
              <w:rPr>
                <w:lang w:val="en-AU"/>
              </w:rPr>
              <w:t>How the resubmission addresses it</w:t>
            </w:r>
          </w:p>
        </w:tc>
      </w:tr>
      <w:tr w:rsidR="0040154C" w:rsidRPr="009C758C" w14:paraId="6325E7D8" w14:textId="77777777" w:rsidTr="004B1E17">
        <w:trPr>
          <w:cantSplit/>
        </w:trPr>
        <w:tc>
          <w:tcPr>
            <w:tcW w:w="5000" w:type="pct"/>
            <w:gridSpan w:val="2"/>
          </w:tcPr>
          <w:p w14:paraId="5E9A5E70" w14:textId="1656356F" w:rsidR="0040154C" w:rsidRPr="0040154C" w:rsidRDefault="0040154C" w:rsidP="009C7BA3">
            <w:pPr>
              <w:pStyle w:val="TableText"/>
              <w:keepNext w:val="0"/>
              <w:widowControl w:val="0"/>
              <w:rPr>
                <w:rFonts w:eastAsia="Times New Roman" w:cs="Arial"/>
                <w:b/>
                <w:snapToGrid w:val="0"/>
                <w:szCs w:val="20"/>
              </w:rPr>
            </w:pPr>
            <w:r w:rsidRPr="0040154C">
              <w:rPr>
                <w:rFonts w:eastAsia="Times New Roman" w:cs="Arial"/>
                <w:b/>
                <w:snapToGrid w:val="0"/>
                <w:szCs w:val="20"/>
              </w:rPr>
              <w:t>First line setting</w:t>
            </w:r>
          </w:p>
        </w:tc>
      </w:tr>
      <w:tr w:rsidR="0040154C" w:rsidRPr="009C758C" w14:paraId="33A139A1" w14:textId="77777777" w:rsidTr="00DE49A2">
        <w:trPr>
          <w:cantSplit/>
        </w:trPr>
        <w:tc>
          <w:tcPr>
            <w:tcW w:w="2520" w:type="pct"/>
          </w:tcPr>
          <w:p w14:paraId="1DFD0550" w14:textId="79AF2998" w:rsidR="0040154C" w:rsidRPr="0040154C" w:rsidRDefault="0040154C" w:rsidP="00DE49A2">
            <w:pPr>
              <w:jc w:val="left"/>
              <w:rPr>
                <w:rFonts w:ascii="Arial Narrow" w:hAnsi="Arial Narrow"/>
                <w:snapToGrid w:val="0"/>
                <w:sz w:val="20"/>
                <w:szCs w:val="20"/>
              </w:rPr>
            </w:pPr>
            <w:r w:rsidRPr="0040154C">
              <w:rPr>
                <w:rFonts w:ascii="Arial Narrow" w:hAnsi="Arial Narrow"/>
                <w:snapToGrid w:val="0"/>
                <w:sz w:val="20"/>
                <w:szCs w:val="20"/>
              </w:rPr>
              <w:t>The PBAC</w:t>
            </w:r>
            <w:r>
              <w:rPr>
                <w:bCs/>
                <w:snapToGrid w:val="0"/>
                <w:szCs w:val="20"/>
              </w:rPr>
              <w:t xml:space="preserve"> </w:t>
            </w:r>
            <w:r w:rsidRPr="0040154C">
              <w:rPr>
                <w:rFonts w:ascii="Arial Narrow" w:hAnsi="Arial Narrow"/>
                <w:snapToGrid w:val="0"/>
                <w:sz w:val="20"/>
                <w:szCs w:val="20"/>
              </w:rPr>
              <w:t xml:space="preserve">considered alendronate was the appropriate comparator but noted comparative evidence against denosumab would have been informative as it is the therapy most likely to be replaced in clinical practice for this patient population (para 7.9, romosozumab PSD, November 2018 PBAC meeting). </w:t>
            </w:r>
          </w:p>
        </w:tc>
        <w:tc>
          <w:tcPr>
            <w:tcW w:w="2480" w:type="pct"/>
          </w:tcPr>
          <w:p w14:paraId="0EC195EC" w14:textId="7B69E721" w:rsidR="0040154C" w:rsidRPr="000361B0" w:rsidRDefault="000361B0" w:rsidP="00DE49A2">
            <w:pPr>
              <w:pStyle w:val="TableText"/>
              <w:keepNext w:val="0"/>
              <w:widowControl w:val="0"/>
              <w:rPr>
                <w:rFonts w:eastAsia="Times New Roman" w:cs="Arial"/>
                <w:bCs w:val="0"/>
                <w:snapToGrid w:val="0"/>
                <w:szCs w:val="20"/>
              </w:rPr>
            </w:pPr>
            <w:r w:rsidRPr="000361B0">
              <w:rPr>
                <w:rFonts w:eastAsia="Times New Roman" w:cs="Arial"/>
                <w:bCs w:val="0"/>
                <w:snapToGrid w:val="0"/>
                <w:szCs w:val="20"/>
              </w:rPr>
              <w:t>The resubmission used results from an indirect comparison of fracture outcomes between denosumab (FREEDOM trial) and alendronate (FIT-VFA, FIT-CFA trials) using placebo as a common reference, to inform a sensitivity analysis with denosumab as an alternative comparator in the economic model</w:t>
            </w:r>
            <w:r>
              <w:rPr>
                <w:rFonts w:eastAsia="Times New Roman" w:cs="Arial"/>
                <w:bCs w:val="0"/>
                <w:snapToGrid w:val="0"/>
                <w:szCs w:val="20"/>
              </w:rPr>
              <w:t>.</w:t>
            </w:r>
          </w:p>
        </w:tc>
      </w:tr>
      <w:tr w:rsidR="0040154C" w:rsidRPr="009C758C" w14:paraId="22AB30C2" w14:textId="77777777" w:rsidTr="00DE49A2">
        <w:trPr>
          <w:cantSplit/>
        </w:trPr>
        <w:tc>
          <w:tcPr>
            <w:tcW w:w="2520" w:type="pct"/>
          </w:tcPr>
          <w:p w14:paraId="620B2315" w14:textId="15F1F5A5" w:rsidR="0040154C" w:rsidRDefault="00282E27" w:rsidP="00DE49A2">
            <w:pPr>
              <w:pStyle w:val="TableText"/>
              <w:keepNext w:val="0"/>
              <w:widowControl w:val="0"/>
              <w:rPr>
                <w:rFonts w:eastAsia="Times New Roman" w:cs="Arial"/>
                <w:bCs w:val="0"/>
                <w:snapToGrid w:val="0"/>
                <w:szCs w:val="20"/>
              </w:rPr>
            </w:pPr>
            <w:r>
              <w:rPr>
                <w:rFonts w:eastAsia="Times New Roman" w:cs="Arial"/>
                <w:bCs w:val="0"/>
                <w:snapToGrid w:val="0"/>
                <w:szCs w:val="20"/>
              </w:rPr>
              <w:t xml:space="preserve">The PBAC considered the long-term comparative efficacy of romosozumab </w:t>
            </w:r>
            <w:r w:rsidR="00181291">
              <w:rPr>
                <w:rFonts w:eastAsia="Times New Roman" w:cs="Arial"/>
                <w:bCs w:val="0"/>
                <w:snapToGrid w:val="0"/>
                <w:szCs w:val="20"/>
              </w:rPr>
              <w:t xml:space="preserve">versus alendronate </w:t>
            </w:r>
            <w:r>
              <w:rPr>
                <w:rFonts w:eastAsia="Times New Roman" w:cs="Arial"/>
                <w:bCs w:val="0"/>
                <w:snapToGrid w:val="0"/>
                <w:szCs w:val="20"/>
              </w:rPr>
              <w:t xml:space="preserve">was uncertain </w:t>
            </w:r>
            <w:r w:rsidR="00181291">
              <w:rPr>
                <w:rFonts w:eastAsia="Times New Roman" w:cs="Arial"/>
                <w:bCs w:val="0"/>
                <w:snapToGrid w:val="0"/>
                <w:szCs w:val="20"/>
              </w:rPr>
              <w:t>and that maintenance of treatment effect after discontinuation</w:t>
            </w:r>
            <w:r w:rsidR="0073684E">
              <w:rPr>
                <w:rFonts w:eastAsia="Times New Roman" w:cs="Arial"/>
                <w:bCs w:val="0"/>
                <w:snapToGrid w:val="0"/>
                <w:szCs w:val="20"/>
              </w:rPr>
              <w:t xml:space="preserve"> of romosozumab would likely depend on persistence with anti-resorptive therapy (para 7.10, romosozumab PSD, November 2018 PBAC meeting).</w:t>
            </w:r>
            <w:r w:rsidR="00181291">
              <w:rPr>
                <w:rFonts w:eastAsia="Times New Roman" w:cs="Arial"/>
                <w:bCs w:val="0"/>
                <w:snapToGrid w:val="0"/>
                <w:szCs w:val="20"/>
              </w:rPr>
              <w:t xml:space="preserve"> </w:t>
            </w:r>
          </w:p>
        </w:tc>
        <w:tc>
          <w:tcPr>
            <w:tcW w:w="2480" w:type="pct"/>
          </w:tcPr>
          <w:p w14:paraId="3C8D8A89" w14:textId="27DCF570" w:rsidR="0040154C" w:rsidRDefault="00203EE7" w:rsidP="00DE49A2">
            <w:pPr>
              <w:pStyle w:val="TableText"/>
              <w:keepNext w:val="0"/>
              <w:widowControl w:val="0"/>
              <w:rPr>
                <w:rFonts w:eastAsia="Times New Roman" w:cs="Arial"/>
                <w:bCs w:val="0"/>
                <w:snapToGrid w:val="0"/>
                <w:szCs w:val="20"/>
              </w:rPr>
            </w:pPr>
            <w:r w:rsidRPr="00203EE7">
              <w:rPr>
                <w:rFonts w:eastAsia="Times New Roman" w:cs="Arial"/>
                <w:bCs w:val="0"/>
                <w:snapToGrid w:val="0"/>
                <w:szCs w:val="20"/>
              </w:rPr>
              <w:t xml:space="preserve">The resubmission claimed that </w:t>
            </w:r>
            <w:r w:rsidR="00255A5B">
              <w:rPr>
                <w:rFonts w:eastAsia="Times New Roman" w:cs="Arial"/>
                <w:bCs w:val="0"/>
                <w:snapToGrid w:val="0"/>
                <w:szCs w:val="20"/>
              </w:rPr>
              <w:t>data from</w:t>
            </w:r>
            <w:r w:rsidRPr="00203EE7">
              <w:rPr>
                <w:rFonts w:eastAsia="Times New Roman" w:cs="Arial"/>
                <w:bCs w:val="0"/>
                <w:snapToGrid w:val="0"/>
                <w:szCs w:val="20"/>
              </w:rPr>
              <w:t xml:space="preserve"> the </w:t>
            </w:r>
            <w:r>
              <w:rPr>
                <w:rFonts w:eastAsia="Times New Roman" w:cs="Arial"/>
                <w:bCs w:val="0"/>
                <w:snapToGrid w:val="0"/>
                <w:szCs w:val="20"/>
              </w:rPr>
              <w:t xml:space="preserve">ARCH </w:t>
            </w:r>
            <w:r w:rsidRPr="00203EE7">
              <w:rPr>
                <w:rFonts w:eastAsia="Times New Roman" w:cs="Arial"/>
                <w:bCs w:val="0"/>
                <w:snapToGrid w:val="0"/>
                <w:szCs w:val="20"/>
              </w:rPr>
              <w:t xml:space="preserve">trial show sustained treatment benefit </w:t>
            </w:r>
            <w:r w:rsidR="00BC6CD0">
              <w:rPr>
                <w:rFonts w:eastAsia="Times New Roman" w:cs="Arial"/>
                <w:bCs w:val="0"/>
                <w:snapToGrid w:val="0"/>
                <w:szCs w:val="20"/>
              </w:rPr>
              <w:t>for up to 2 years after</w:t>
            </w:r>
            <w:r w:rsidRPr="00203EE7">
              <w:rPr>
                <w:rFonts w:eastAsia="Times New Roman" w:cs="Arial"/>
                <w:bCs w:val="0"/>
                <w:snapToGrid w:val="0"/>
                <w:szCs w:val="20"/>
              </w:rPr>
              <w:t xml:space="preserve"> discontinuation of </w:t>
            </w:r>
            <w:r w:rsidR="00BC6CD0">
              <w:rPr>
                <w:rFonts w:eastAsia="Times New Roman" w:cs="Arial"/>
                <w:bCs w:val="0"/>
                <w:snapToGrid w:val="0"/>
                <w:szCs w:val="20"/>
              </w:rPr>
              <w:t xml:space="preserve">12 months of </w:t>
            </w:r>
            <w:r w:rsidRPr="00203EE7">
              <w:rPr>
                <w:rFonts w:eastAsia="Times New Roman" w:cs="Arial"/>
                <w:bCs w:val="0"/>
                <w:snapToGrid w:val="0"/>
                <w:szCs w:val="20"/>
              </w:rPr>
              <w:t xml:space="preserve">romosozumab. Therefore, the resubmission assumed that treatment benefit would not immediately diminish to zero after the 3-year trial period. In the </w:t>
            </w:r>
            <w:r>
              <w:rPr>
                <w:rFonts w:eastAsia="Times New Roman" w:cs="Arial"/>
                <w:bCs w:val="0"/>
                <w:snapToGrid w:val="0"/>
                <w:szCs w:val="20"/>
              </w:rPr>
              <w:t>economic model</w:t>
            </w:r>
            <w:r w:rsidRPr="00203EE7">
              <w:rPr>
                <w:rFonts w:eastAsia="Times New Roman" w:cs="Arial"/>
                <w:bCs w:val="0"/>
                <w:snapToGrid w:val="0"/>
                <w:szCs w:val="20"/>
              </w:rPr>
              <w:t xml:space="preserve">, the resubmission assumed that treatment efficacy </w:t>
            </w:r>
            <w:r w:rsidR="00677F27">
              <w:rPr>
                <w:rFonts w:eastAsia="Times New Roman" w:cs="Arial"/>
                <w:bCs w:val="0"/>
                <w:snapToGrid w:val="0"/>
                <w:szCs w:val="20"/>
              </w:rPr>
              <w:t xml:space="preserve">was fixed for 3 years </w:t>
            </w:r>
            <w:r w:rsidR="00AC5D25">
              <w:rPr>
                <w:rFonts w:eastAsia="Times New Roman" w:cs="Arial"/>
                <w:bCs w:val="0"/>
                <w:snapToGrid w:val="0"/>
                <w:szCs w:val="20"/>
              </w:rPr>
              <w:t xml:space="preserve">then declined linearly to zero by Year 6. </w:t>
            </w:r>
          </w:p>
          <w:p w14:paraId="689FCC79" w14:textId="77777777" w:rsidR="00E30E8E" w:rsidRDefault="00E30E8E" w:rsidP="00DE49A2">
            <w:pPr>
              <w:pStyle w:val="TableText"/>
              <w:keepNext w:val="0"/>
              <w:widowControl w:val="0"/>
              <w:rPr>
                <w:rFonts w:eastAsia="Times New Roman" w:cs="Arial"/>
                <w:bCs w:val="0"/>
                <w:snapToGrid w:val="0"/>
                <w:color w:val="0070C0"/>
                <w:szCs w:val="20"/>
              </w:rPr>
            </w:pPr>
          </w:p>
          <w:p w14:paraId="604DC5D4" w14:textId="4B9BAF7E" w:rsidR="00E30E8E" w:rsidRPr="0031642C" w:rsidRDefault="00E30E8E" w:rsidP="00DE49A2">
            <w:pPr>
              <w:pStyle w:val="TableText"/>
              <w:keepNext w:val="0"/>
              <w:widowControl w:val="0"/>
              <w:rPr>
                <w:rFonts w:eastAsia="Times New Roman" w:cs="Arial"/>
                <w:bCs w:val="0"/>
                <w:snapToGrid w:val="0"/>
                <w:color w:val="0070C0"/>
                <w:szCs w:val="20"/>
              </w:rPr>
            </w:pPr>
            <w:r w:rsidRPr="00E30E8E">
              <w:rPr>
                <w:rFonts w:eastAsia="Times New Roman" w:cs="Arial"/>
                <w:bCs w:val="0"/>
                <w:snapToGrid w:val="0"/>
                <w:szCs w:val="20"/>
              </w:rPr>
              <w:t>The resubmission assumed treatment persistence of 95% per year</w:t>
            </w:r>
            <w:r w:rsidR="0038786F">
              <w:rPr>
                <w:rFonts w:eastAsia="Times New Roman" w:cs="Arial"/>
                <w:bCs w:val="0"/>
                <w:snapToGrid w:val="0"/>
                <w:szCs w:val="20"/>
              </w:rPr>
              <w:t xml:space="preserve"> to all treatments. </w:t>
            </w:r>
          </w:p>
        </w:tc>
      </w:tr>
      <w:tr w:rsidR="00527391" w:rsidRPr="009C758C" w14:paraId="076D82B1" w14:textId="77777777" w:rsidTr="00DE49A2">
        <w:trPr>
          <w:cantSplit/>
        </w:trPr>
        <w:tc>
          <w:tcPr>
            <w:tcW w:w="2520" w:type="pct"/>
          </w:tcPr>
          <w:p w14:paraId="23BFD731" w14:textId="4B960596" w:rsidR="00527391" w:rsidRDefault="004B1E17" w:rsidP="00DE49A2">
            <w:pPr>
              <w:pStyle w:val="TableText"/>
              <w:keepNext w:val="0"/>
              <w:widowControl w:val="0"/>
              <w:rPr>
                <w:rFonts w:eastAsia="Times New Roman" w:cs="Arial"/>
                <w:bCs w:val="0"/>
                <w:snapToGrid w:val="0"/>
                <w:szCs w:val="20"/>
              </w:rPr>
            </w:pPr>
            <w:r>
              <w:rPr>
                <w:rFonts w:eastAsia="Times New Roman" w:cs="Arial"/>
                <w:bCs w:val="0"/>
                <w:snapToGrid w:val="0"/>
                <w:szCs w:val="20"/>
              </w:rPr>
              <w:t>The PBAC</w:t>
            </w:r>
            <w:r w:rsidR="009767F4">
              <w:rPr>
                <w:rFonts w:eastAsia="Times New Roman" w:cs="Arial"/>
                <w:bCs w:val="0"/>
                <w:snapToGrid w:val="0"/>
                <w:szCs w:val="20"/>
              </w:rPr>
              <w:t xml:space="preserve"> </w:t>
            </w:r>
            <w:r w:rsidR="00CA30CB">
              <w:rPr>
                <w:rFonts w:eastAsia="Times New Roman" w:cs="Arial"/>
                <w:bCs w:val="0"/>
                <w:snapToGrid w:val="0"/>
                <w:szCs w:val="20"/>
              </w:rPr>
              <w:t>considered that the economic model comparing romosozumab and alendronate did not form a reliable basis for decision making due to overestimation of fracture risk and treatment effect, the assumption of continuing treatment effect (</w:t>
            </w:r>
            <w:r w:rsidR="00D04E79">
              <w:rPr>
                <w:rFonts w:eastAsia="Times New Roman" w:cs="Arial"/>
                <w:bCs w:val="0"/>
                <w:snapToGrid w:val="0"/>
                <w:szCs w:val="20"/>
              </w:rPr>
              <w:t>which relied on adherence and persistence rates unlikely to be achieved in the PBS population), and potentially unreliable fracture disutilities (para 7.13, romosozumab PSD, November 2018 PBAC meeting).</w:t>
            </w:r>
          </w:p>
        </w:tc>
        <w:tc>
          <w:tcPr>
            <w:tcW w:w="2480" w:type="pct"/>
          </w:tcPr>
          <w:p w14:paraId="11AF26BB" w14:textId="415A1F85" w:rsidR="00527391" w:rsidRPr="00DA5160" w:rsidRDefault="00074336" w:rsidP="00DE49A2">
            <w:pPr>
              <w:pStyle w:val="TableText"/>
              <w:keepNext w:val="0"/>
              <w:widowControl w:val="0"/>
              <w:rPr>
                <w:rFonts w:eastAsia="Times New Roman" w:cs="Arial"/>
                <w:bCs w:val="0"/>
                <w:snapToGrid w:val="0"/>
                <w:color w:val="0070C0"/>
                <w:szCs w:val="20"/>
              </w:rPr>
            </w:pPr>
            <w:r w:rsidRPr="00074336">
              <w:rPr>
                <w:rFonts w:eastAsia="Times New Roman" w:cs="Arial"/>
                <w:bCs w:val="0"/>
                <w:snapToGrid w:val="0"/>
                <w:szCs w:val="20"/>
              </w:rPr>
              <w:t>Multiple revisions were made to model inputs including the extrapolation of treatment effect, fracture risks, mortality, utility values and cardiovascular events. There were additional changes to the model structure with the inclusion of off-treatment health states, and all cost inputs have been revised.</w:t>
            </w:r>
          </w:p>
        </w:tc>
      </w:tr>
      <w:tr w:rsidR="006644A5" w:rsidRPr="009C758C" w14:paraId="6432EB0B" w14:textId="77777777" w:rsidTr="00DE49A2">
        <w:trPr>
          <w:cantSplit/>
        </w:trPr>
        <w:tc>
          <w:tcPr>
            <w:tcW w:w="2520" w:type="pct"/>
          </w:tcPr>
          <w:p w14:paraId="4338FA1E" w14:textId="54AE456F" w:rsidR="006644A5" w:rsidRDefault="00142A49" w:rsidP="00DE49A2">
            <w:pPr>
              <w:pStyle w:val="TableText"/>
              <w:keepNext w:val="0"/>
              <w:widowControl w:val="0"/>
              <w:rPr>
                <w:rFonts w:eastAsia="Times New Roman" w:cs="Arial"/>
                <w:bCs w:val="0"/>
                <w:snapToGrid w:val="0"/>
                <w:szCs w:val="20"/>
              </w:rPr>
            </w:pPr>
            <w:r>
              <w:rPr>
                <w:rFonts w:eastAsia="Times New Roman" w:cs="Arial"/>
                <w:bCs w:val="0"/>
                <w:snapToGrid w:val="0"/>
                <w:szCs w:val="20"/>
              </w:rPr>
              <w:t>The PBAC considered the financial estimates were highly uncertain</w:t>
            </w:r>
            <w:r w:rsidR="007046AB">
              <w:rPr>
                <w:rFonts w:eastAsia="Times New Roman" w:cs="Arial"/>
                <w:bCs w:val="0"/>
                <w:snapToGrid w:val="0"/>
                <w:szCs w:val="20"/>
              </w:rPr>
              <w:t xml:space="preserve">. The PBAC considered the estimated number of patients treated with romosozumab </w:t>
            </w:r>
            <w:r w:rsidR="004C1671">
              <w:rPr>
                <w:rFonts w:eastAsia="Times New Roman" w:cs="Arial"/>
                <w:bCs w:val="0"/>
                <w:snapToGrid w:val="0"/>
                <w:szCs w:val="20"/>
              </w:rPr>
              <w:t>was underestimated with uptake of &lt;</w:t>
            </w:r>
            <w:r w:rsidR="009A7DC1" w:rsidRPr="009A7DC1">
              <w:rPr>
                <w:rFonts w:eastAsia="Times New Roman" w:cs="Arial"/>
                <w:bCs w:val="0"/>
                <w:snapToGrid w:val="0"/>
                <w:color w:val="000000"/>
                <w:spacing w:val="51"/>
                <w:szCs w:val="20"/>
                <w:shd w:val="solid" w:color="000000" w:fill="000000"/>
                <w:fitText w:val="326" w:id="-1435317248"/>
                <w14:textFill>
                  <w14:solidFill>
                    <w14:srgbClr w14:val="000000">
                      <w14:alpha w14:val="100000"/>
                    </w14:srgbClr>
                  </w14:solidFill>
                </w14:textFill>
              </w:rPr>
              <w:t>|||</w:t>
            </w:r>
            <w:r w:rsidR="009A7DC1" w:rsidRPr="009A7DC1">
              <w:rPr>
                <w:rFonts w:eastAsia="Times New Roman" w:cs="Arial"/>
                <w:bCs w:val="0"/>
                <w:snapToGrid w:val="0"/>
                <w:color w:val="000000"/>
                <w:spacing w:val="3"/>
                <w:szCs w:val="20"/>
                <w:shd w:val="solid" w:color="000000" w:fill="000000"/>
                <w:fitText w:val="326" w:id="-1435317248"/>
                <w14:textFill>
                  <w14:solidFill>
                    <w14:srgbClr w14:val="000000">
                      <w14:alpha w14:val="100000"/>
                    </w14:srgbClr>
                  </w14:solidFill>
                </w14:textFill>
              </w:rPr>
              <w:t>|</w:t>
            </w:r>
            <w:r w:rsidR="004C1671">
              <w:rPr>
                <w:rFonts w:eastAsia="Times New Roman" w:cs="Arial"/>
                <w:bCs w:val="0"/>
                <w:snapToGrid w:val="0"/>
                <w:szCs w:val="20"/>
              </w:rPr>
              <w:t xml:space="preserve">% of the total treated osteoporosis population. The PBAC noted the approach to estimating the eligible population did not consider the pool of prevalent patients that may be appropriate for treatment with romosozumab, which would significantly </w:t>
            </w:r>
            <w:r w:rsidR="00476A19">
              <w:rPr>
                <w:rFonts w:eastAsia="Times New Roman" w:cs="Arial"/>
                <w:bCs w:val="0"/>
                <w:snapToGrid w:val="0"/>
                <w:szCs w:val="20"/>
              </w:rPr>
              <w:t xml:space="preserve">underestimate the treated patient population (para 7.14, romosozumab PSD, November 2018 PBAC meeting). </w:t>
            </w:r>
          </w:p>
        </w:tc>
        <w:tc>
          <w:tcPr>
            <w:tcW w:w="2480" w:type="pct"/>
          </w:tcPr>
          <w:p w14:paraId="7BE03A8B" w14:textId="70C3C5FB" w:rsidR="006644A5" w:rsidRPr="00E943BE" w:rsidRDefault="00E53CAF" w:rsidP="00DE49A2">
            <w:pPr>
              <w:pStyle w:val="TableText"/>
              <w:keepNext w:val="0"/>
              <w:widowControl w:val="0"/>
              <w:rPr>
                <w:rFonts w:eastAsia="Times New Roman" w:cs="Arial"/>
                <w:bCs w:val="0"/>
                <w:snapToGrid w:val="0"/>
                <w:szCs w:val="20"/>
              </w:rPr>
            </w:pPr>
            <w:r w:rsidRPr="00E943BE">
              <w:rPr>
                <w:rFonts w:eastAsia="Times New Roman" w:cs="Arial"/>
                <w:bCs w:val="0"/>
                <w:snapToGrid w:val="0"/>
                <w:szCs w:val="20"/>
              </w:rPr>
              <w:t>The resubmission</w:t>
            </w:r>
            <w:r w:rsidR="00E44A01" w:rsidRPr="00E943BE">
              <w:rPr>
                <w:rFonts w:eastAsia="Times New Roman" w:cs="Arial"/>
                <w:bCs w:val="0"/>
                <w:snapToGrid w:val="0"/>
                <w:szCs w:val="20"/>
              </w:rPr>
              <w:t xml:space="preserve">’s financial estimates </w:t>
            </w:r>
            <w:r w:rsidR="00E943BE" w:rsidRPr="00E943BE">
              <w:rPr>
                <w:rFonts w:eastAsia="Times New Roman" w:cs="Arial"/>
                <w:bCs w:val="0"/>
                <w:snapToGrid w:val="0"/>
                <w:szCs w:val="20"/>
              </w:rPr>
              <w:t>remain</w:t>
            </w:r>
            <w:r w:rsidR="00E44A01" w:rsidRPr="00E943BE">
              <w:rPr>
                <w:rFonts w:eastAsia="Times New Roman" w:cs="Arial"/>
                <w:bCs w:val="0"/>
                <w:snapToGrid w:val="0"/>
                <w:szCs w:val="20"/>
              </w:rPr>
              <w:t xml:space="preserve"> based on treated osteoporosis patients with a prevalent fracture</w:t>
            </w:r>
            <w:r w:rsidR="00AA55B5" w:rsidRPr="00E943BE">
              <w:rPr>
                <w:rFonts w:eastAsia="Times New Roman" w:cs="Arial"/>
                <w:bCs w:val="0"/>
                <w:snapToGrid w:val="0"/>
                <w:szCs w:val="20"/>
              </w:rPr>
              <w:t xml:space="preserve">, with changes to accommodate </w:t>
            </w:r>
            <w:r w:rsidR="00DE49A2">
              <w:rPr>
                <w:rFonts w:eastAsia="Times New Roman" w:cs="Arial"/>
                <w:bCs w:val="0"/>
                <w:snapToGrid w:val="0"/>
                <w:szCs w:val="20"/>
              </w:rPr>
              <w:t>the</w:t>
            </w:r>
            <w:r w:rsidR="00AA55B5" w:rsidRPr="00E943BE">
              <w:rPr>
                <w:rFonts w:eastAsia="Times New Roman" w:cs="Arial"/>
                <w:bCs w:val="0"/>
                <w:snapToGrid w:val="0"/>
                <w:szCs w:val="20"/>
              </w:rPr>
              <w:t xml:space="preserve"> newly proposed </w:t>
            </w:r>
            <w:r w:rsidR="00E943BE" w:rsidRPr="00E943BE">
              <w:rPr>
                <w:rFonts w:eastAsia="Times New Roman" w:cs="Arial"/>
                <w:bCs w:val="0"/>
                <w:snapToGrid w:val="0"/>
                <w:szCs w:val="20"/>
              </w:rPr>
              <w:t xml:space="preserve">clinical criteria in the PBS restriction relating to </w:t>
            </w:r>
            <w:r w:rsidR="00E943BE" w:rsidRPr="00E943BE">
              <w:t>fracture history (number, location, severity, recency) and BMD T-scores.</w:t>
            </w:r>
          </w:p>
        </w:tc>
      </w:tr>
      <w:tr w:rsidR="00021559" w:rsidRPr="009C758C" w14:paraId="32B8050E" w14:textId="77777777" w:rsidTr="00021559">
        <w:trPr>
          <w:cantSplit/>
        </w:trPr>
        <w:tc>
          <w:tcPr>
            <w:tcW w:w="5000" w:type="pct"/>
            <w:gridSpan w:val="2"/>
          </w:tcPr>
          <w:p w14:paraId="74F33EAA" w14:textId="335954EC" w:rsidR="00021559" w:rsidRPr="00DA5160" w:rsidRDefault="00021559" w:rsidP="009C7BA3">
            <w:pPr>
              <w:pStyle w:val="TableText"/>
              <w:keepNext w:val="0"/>
              <w:widowControl w:val="0"/>
              <w:rPr>
                <w:rFonts w:eastAsia="Times New Roman" w:cs="Arial"/>
                <w:bCs w:val="0"/>
                <w:snapToGrid w:val="0"/>
                <w:color w:val="0070C0"/>
                <w:szCs w:val="20"/>
              </w:rPr>
            </w:pPr>
            <w:r>
              <w:rPr>
                <w:rFonts w:eastAsia="Times New Roman" w:cs="Arial"/>
                <w:b/>
                <w:snapToGrid w:val="0"/>
                <w:szCs w:val="20"/>
              </w:rPr>
              <w:t>Second line setting</w:t>
            </w:r>
          </w:p>
        </w:tc>
      </w:tr>
      <w:tr w:rsidR="006D3E14" w:rsidRPr="009C758C" w14:paraId="0A5866F5" w14:textId="77777777" w:rsidTr="00DE49A2">
        <w:trPr>
          <w:cantSplit/>
        </w:trPr>
        <w:tc>
          <w:tcPr>
            <w:tcW w:w="2520" w:type="pct"/>
          </w:tcPr>
          <w:p w14:paraId="13392925" w14:textId="2E56343C" w:rsidR="006D3E14" w:rsidRPr="007E55C9" w:rsidRDefault="006D3E14" w:rsidP="00DE49A2">
            <w:pPr>
              <w:pStyle w:val="TableText"/>
              <w:rPr>
                <w:rFonts w:eastAsia="Times New Roman" w:cs="Arial"/>
                <w:snapToGrid w:val="0"/>
              </w:rPr>
            </w:pPr>
            <w:r w:rsidRPr="007E55C9">
              <w:rPr>
                <w:snapToGrid w:val="0"/>
              </w:rPr>
              <w:lastRenderedPageBreak/>
              <w:t xml:space="preserve">The PBAC noted that alendronate was a reasonable proxy for anti-resorptive therapy but considered that </w:t>
            </w:r>
            <w:r w:rsidRPr="00927824">
              <w:rPr>
                <w:snapToGrid w:val="0"/>
              </w:rPr>
              <w:t>denosumab</w:t>
            </w:r>
            <w:r w:rsidRPr="007E55C9">
              <w:rPr>
                <w:snapToGrid w:val="0"/>
              </w:rPr>
              <w:t xml:space="preserve"> would be the therapy most likely to be replaced in practice (para 7.4, romosozumab PSD, March 2020 PBAC meeting). </w:t>
            </w:r>
          </w:p>
        </w:tc>
        <w:tc>
          <w:tcPr>
            <w:tcW w:w="2480" w:type="pct"/>
          </w:tcPr>
          <w:p w14:paraId="12EC3275" w14:textId="410CCD2A" w:rsidR="006D3E14" w:rsidRPr="0092457F" w:rsidRDefault="00600B6B" w:rsidP="00DE49A2">
            <w:pPr>
              <w:pStyle w:val="TableText"/>
              <w:rPr>
                <w:rFonts w:eastAsia="Times New Roman" w:cs="Arial"/>
                <w:snapToGrid w:val="0"/>
                <w:color w:val="0070C0"/>
              </w:rPr>
            </w:pPr>
            <w:r>
              <w:t xml:space="preserve">The resubmission nominated alendronate as the main comparator, as a proxy for anti-resorptive therapies. </w:t>
            </w:r>
            <w:r w:rsidR="00CB57A3" w:rsidRPr="00927824">
              <w:rPr>
                <w:rFonts w:eastAsia="Times New Roman" w:cs="Arial"/>
                <w:snapToGrid w:val="0"/>
              </w:rPr>
              <w:t xml:space="preserve">The resubmission </w:t>
            </w:r>
            <w:r w:rsidR="00417ACD">
              <w:t xml:space="preserve">acknowledged that denosumab is the therapy most likely to be replaced, however, a robust comparison with romosozumab was not feasible due to a lack of direct comparative trial data. </w:t>
            </w:r>
          </w:p>
        </w:tc>
      </w:tr>
      <w:tr w:rsidR="006D3E14" w:rsidRPr="009C758C" w14:paraId="01076456" w14:textId="77777777" w:rsidTr="00DE49A2">
        <w:trPr>
          <w:cantSplit/>
        </w:trPr>
        <w:tc>
          <w:tcPr>
            <w:tcW w:w="2520" w:type="pct"/>
          </w:tcPr>
          <w:p w14:paraId="246D544B" w14:textId="53379AA9" w:rsidR="006D3E14" w:rsidRPr="006D3E14" w:rsidRDefault="006D3E14" w:rsidP="00DE49A2">
            <w:pPr>
              <w:jc w:val="left"/>
              <w:rPr>
                <w:rFonts w:ascii="Arial Narrow" w:eastAsiaTheme="majorEastAsia" w:hAnsi="Arial Narrow" w:cstheme="majorBidi"/>
                <w:bCs/>
                <w:snapToGrid w:val="0"/>
                <w:sz w:val="20"/>
              </w:rPr>
            </w:pPr>
            <w:r w:rsidRPr="006D3E14">
              <w:rPr>
                <w:rFonts w:ascii="Arial Narrow" w:eastAsiaTheme="majorEastAsia" w:hAnsi="Arial Narrow" w:cstheme="majorBidi"/>
                <w:bCs/>
                <w:snapToGrid w:val="0"/>
                <w:sz w:val="20"/>
              </w:rPr>
              <w:t>The PBAC considered that fracture outcomes data from the ARCH study supported a claim of superior efficacy of romosozumab followed by alendronate compared to alendronate alone. The PBAC considered that, in contrast to the proposed population, the ARCH study provided evidence for romosozumab use in patients who were predominantly naïve to anti-resorptive therapy (para 7.8, romosozumab PSD, March 2020 PBAC meeting).</w:t>
            </w:r>
          </w:p>
        </w:tc>
        <w:tc>
          <w:tcPr>
            <w:tcW w:w="2480" w:type="pct"/>
          </w:tcPr>
          <w:p w14:paraId="11478D60" w14:textId="0F519A52" w:rsidR="006D3E14" w:rsidRPr="00DA5160" w:rsidRDefault="00276A8E" w:rsidP="00DE49A2">
            <w:pPr>
              <w:pStyle w:val="TableText"/>
              <w:rPr>
                <w:rFonts w:eastAsia="Times New Roman" w:cs="Arial"/>
                <w:snapToGrid w:val="0"/>
                <w:color w:val="0070C0"/>
              </w:rPr>
            </w:pPr>
            <w:r>
              <w:rPr>
                <w:rFonts w:eastAsia="Times New Roman" w:cs="Arial"/>
                <w:snapToGrid w:val="0"/>
              </w:rPr>
              <w:t>The resubmission assumed</w:t>
            </w:r>
            <w:r w:rsidR="00DE49A2">
              <w:rPr>
                <w:rFonts w:eastAsia="Times New Roman" w:cs="Arial"/>
                <w:snapToGrid w:val="0"/>
              </w:rPr>
              <w:t xml:space="preserve"> that the</w:t>
            </w:r>
            <w:r>
              <w:rPr>
                <w:rFonts w:eastAsia="Times New Roman" w:cs="Arial"/>
                <w:snapToGrid w:val="0"/>
              </w:rPr>
              <w:t xml:space="preserve"> comparative efficacy of romosozumab versus alendronate (</w:t>
            </w:r>
            <w:r w:rsidR="00DE49A2">
              <w:rPr>
                <w:rFonts w:eastAsia="Times New Roman" w:cs="Arial"/>
                <w:snapToGrid w:val="0"/>
              </w:rPr>
              <w:t xml:space="preserve">as a </w:t>
            </w:r>
            <w:r>
              <w:rPr>
                <w:rFonts w:eastAsia="Times New Roman" w:cs="Arial"/>
                <w:snapToGrid w:val="0"/>
              </w:rPr>
              <w:t>proxy for anti-resorptives) in the first line setting would apply to the second line setting.</w:t>
            </w:r>
          </w:p>
        </w:tc>
      </w:tr>
      <w:tr w:rsidR="00A80FCD" w:rsidRPr="009C758C" w14:paraId="67EF5AF8" w14:textId="77777777" w:rsidTr="00021559">
        <w:trPr>
          <w:cantSplit/>
        </w:trPr>
        <w:tc>
          <w:tcPr>
            <w:tcW w:w="2520" w:type="pct"/>
          </w:tcPr>
          <w:p w14:paraId="45DF772A" w14:textId="570D279C" w:rsidR="00A80FCD" w:rsidRPr="007E55C9" w:rsidRDefault="003B03D5" w:rsidP="007E55C9">
            <w:pPr>
              <w:pStyle w:val="TableText"/>
              <w:rPr>
                <w:snapToGrid w:val="0"/>
              </w:rPr>
            </w:pPr>
            <w:r>
              <w:rPr>
                <w:rFonts w:eastAsia="Times New Roman" w:cs="Arial"/>
                <w:bCs w:val="0"/>
                <w:snapToGrid w:val="0"/>
                <w:szCs w:val="20"/>
              </w:rPr>
              <w:t>The PBAC recalled concerns that the long-term comparative efficacy of romosozumab was uncertain and that maintenance of treatment effect after discontinuation of romosozumab would likely depend on persistence with anti-resorptive therapy</w:t>
            </w:r>
            <w:r w:rsidR="00A63E2F">
              <w:rPr>
                <w:rFonts w:eastAsia="Times New Roman" w:cs="Arial"/>
                <w:bCs w:val="0"/>
                <w:snapToGrid w:val="0"/>
                <w:szCs w:val="20"/>
              </w:rPr>
              <w:t xml:space="preserve"> (para 7.6, romosozumab PSD, March 2020 PBAC meeting)</w:t>
            </w:r>
            <w:r>
              <w:rPr>
                <w:rFonts w:eastAsia="Times New Roman" w:cs="Arial"/>
                <w:bCs w:val="0"/>
                <w:snapToGrid w:val="0"/>
                <w:szCs w:val="20"/>
              </w:rPr>
              <w:t xml:space="preserve">. </w:t>
            </w:r>
          </w:p>
        </w:tc>
        <w:tc>
          <w:tcPr>
            <w:tcW w:w="2480" w:type="pct"/>
          </w:tcPr>
          <w:p w14:paraId="158D36BD" w14:textId="15BBC963" w:rsidR="00A80FCD" w:rsidRPr="00B36C3A" w:rsidRDefault="00EF4C4B" w:rsidP="007E55C9">
            <w:pPr>
              <w:pStyle w:val="TableText"/>
              <w:rPr>
                <w:rFonts w:eastAsia="Times New Roman" w:cs="Arial"/>
                <w:snapToGrid w:val="0"/>
              </w:rPr>
            </w:pPr>
            <w:r w:rsidRPr="00B36C3A">
              <w:rPr>
                <w:rFonts w:eastAsia="Times New Roman" w:cs="Arial"/>
                <w:snapToGrid w:val="0"/>
              </w:rPr>
              <w:t xml:space="preserve">Assumptions regarding long-term comparative efficacy and persistence </w:t>
            </w:r>
            <w:r w:rsidR="00A75DDD">
              <w:rPr>
                <w:rFonts w:eastAsia="Times New Roman" w:cs="Arial"/>
                <w:snapToGrid w:val="0"/>
              </w:rPr>
              <w:t xml:space="preserve">were </w:t>
            </w:r>
            <w:r w:rsidRPr="00B36C3A">
              <w:rPr>
                <w:rFonts w:eastAsia="Times New Roman" w:cs="Arial"/>
                <w:snapToGrid w:val="0"/>
              </w:rPr>
              <w:t>applied in the economic model of the resubmission (see above</w:t>
            </w:r>
            <w:r w:rsidR="00B96FAB">
              <w:rPr>
                <w:rFonts w:eastAsia="Times New Roman" w:cs="Arial"/>
                <w:snapToGrid w:val="0"/>
              </w:rPr>
              <w:t>, first</w:t>
            </w:r>
            <w:r w:rsidR="00F713DF">
              <w:rPr>
                <w:rFonts w:eastAsia="Times New Roman" w:cs="Arial"/>
                <w:snapToGrid w:val="0"/>
              </w:rPr>
              <w:t xml:space="preserve"> </w:t>
            </w:r>
            <w:r w:rsidR="00B96FAB">
              <w:rPr>
                <w:rFonts w:eastAsia="Times New Roman" w:cs="Arial"/>
                <w:snapToGrid w:val="0"/>
              </w:rPr>
              <w:t>line setting model changes</w:t>
            </w:r>
            <w:r w:rsidRPr="00B36C3A">
              <w:rPr>
                <w:rFonts w:eastAsia="Times New Roman" w:cs="Arial"/>
                <w:snapToGrid w:val="0"/>
              </w:rPr>
              <w:t xml:space="preserve">). </w:t>
            </w:r>
          </w:p>
          <w:p w14:paraId="078659C9" w14:textId="77777777" w:rsidR="00EF4C4B" w:rsidRPr="00B36C3A" w:rsidRDefault="00EF4C4B" w:rsidP="007E55C9">
            <w:pPr>
              <w:pStyle w:val="TableText"/>
              <w:rPr>
                <w:rFonts w:eastAsia="Times New Roman" w:cs="Arial"/>
                <w:snapToGrid w:val="0"/>
              </w:rPr>
            </w:pPr>
          </w:p>
          <w:p w14:paraId="28EB5A2E" w14:textId="4D7F083D" w:rsidR="00EF4C4B" w:rsidRPr="00DA5160" w:rsidRDefault="00EF4C4B" w:rsidP="007E55C9">
            <w:pPr>
              <w:pStyle w:val="TableText"/>
              <w:rPr>
                <w:rFonts w:eastAsia="Times New Roman" w:cs="Arial"/>
                <w:snapToGrid w:val="0"/>
                <w:color w:val="0070C0"/>
              </w:rPr>
            </w:pPr>
          </w:p>
        </w:tc>
      </w:tr>
      <w:tr w:rsidR="00D56872" w:rsidRPr="009C758C" w14:paraId="2AAB42B8" w14:textId="77777777" w:rsidTr="00021559">
        <w:trPr>
          <w:cantSplit/>
        </w:trPr>
        <w:tc>
          <w:tcPr>
            <w:tcW w:w="2520" w:type="pct"/>
          </w:tcPr>
          <w:p w14:paraId="0C0FA9A6" w14:textId="1FDAAFAC" w:rsidR="00D56872" w:rsidRPr="007E55C9" w:rsidRDefault="00A63E2F" w:rsidP="007E55C9">
            <w:pPr>
              <w:pStyle w:val="TableText"/>
              <w:rPr>
                <w:snapToGrid w:val="0"/>
              </w:rPr>
            </w:pPr>
            <w:r>
              <w:rPr>
                <w:rFonts w:eastAsia="Times New Roman" w:cs="Arial"/>
                <w:bCs w:val="0"/>
                <w:snapToGrid w:val="0"/>
                <w:szCs w:val="20"/>
              </w:rPr>
              <w:t xml:space="preserve">The PBAC considered that concerns regarding alerting patients to the need to transition to anti-resorptive therapy were reduced by restricting prescribing to Specialists or Consultant Physicians (para 7.6, romosozumab PSD, March 2020 PBAC meeting). </w:t>
            </w:r>
            <w:r w:rsidR="0086030E">
              <w:rPr>
                <w:rFonts w:eastAsia="Times New Roman" w:cs="Arial"/>
                <w:bCs w:val="0"/>
                <w:snapToGrid w:val="0"/>
                <w:szCs w:val="20"/>
              </w:rPr>
              <w:t>The PBAC considered that the advice regarding cardiovascular risk in the product information along with restricted prescribing to Specialists or Consultant Physicians would allow the risk to be managed in clinical practice (para 7.9, romosozumab PSD, March 2020 PBAC meeting).</w:t>
            </w:r>
          </w:p>
        </w:tc>
        <w:tc>
          <w:tcPr>
            <w:tcW w:w="2480" w:type="pct"/>
          </w:tcPr>
          <w:p w14:paraId="4FEBF88E" w14:textId="64AEF86B" w:rsidR="00D56872" w:rsidRPr="00DA5160" w:rsidRDefault="00A63E2F" w:rsidP="007E55C9">
            <w:pPr>
              <w:pStyle w:val="TableText"/>
              <w:rPr>
                <w:rFonts w:eastAsia="Times New Roman" w:cs="Arial"/>
                <w:snapToGrid w:val="0"/>
                <w:color w:val="0070C0"/>
              </w:rPr>
            </w:pPr>
            <w:r w:rsidRPr="00B36C3A">
              <w:rPr>
                <w:rFonts w:eastAsia="Times New Roman" w:cs="Arial"/>
                <w:snapToGrid w:val="0"/>
              </w:rPr>
              <w:t xml:space="preserve">The resubmission requested </w:t>
            </w:r>
            <w:r w:rsidR="00CF5668">
              <w:rPr>
                <w:rFonts w:eastAsia="Times New Roman" w:cs="Arial"/>
                <w:snapToGrid w:val="0"/>
              </w:rPr>
              <w:t xml:space="preserve">Specialist/Consultant Physician prescribing for initial scripts and </w:t>
            </w:r>
            <w:r w:rsidRPr="00B36C3A">
              <w:rPr>
                <w:rFonts w:eastAsia="Times New Roman" w:cs="Arial"/>
                <w:snapToGrid w:val="0"/>
              </w:rPr>
              <w:t>GP prescribing for continuing scripts.</w:t>
            </w:r>
          </w:p>
        </w:tc>
      </w:tr>
      <w:tr w:rsidR="0066294A" w:rsidRPr="009C758C" w14:paraId="6F8DE02B" w14:textId="77777777" w:rsidTr="00021559">
        <w:trPr>
          <w:cantSplit/>
        </w:trPr>
        <w:tc>
          <w:tcPr>
            <w:tcW w:w="2520" w:type="pct"/>
          </w:tcPr>
          <w:p w14:paraId="023ECB45" w14:textId="690AB693" w:rsidR="0066294A" w:rsidRDefault="00836938" w:rsidP="009C7BA3">
            <w:pPr>
              <w:pStyle w:val="TableText"/>
              <w:keepNext w:val="0"/>
              <w:widowControl w:val="0"/>
              <w:rPr>
                <w:rFonts w:eastAsia="Times New Roman" w:cs="Arial"/>
                <w:bCs w:val="0"/>
                <w:snapToGrid w:val="0"/>
                <w:szCs w:val="20"/>
              </w:rPr>
            </w:pPr>
            <w:r>
              <w:rPr>
                <w:rFonts w:eastAsia="Times New Roman" w:cs="Arial"/>
                <w:bCs w:val="0"/>
                <w:snapToGrid w:val="0"/>
                <w:szCs w:val="20"/>
              </w:rPr>
              <w:t xml:space="preserve">The PBAC </w:t>
            </w:r>
            <w:r w:rsidR="002632B9">
              <w:rPr>
                <w:rFonts w:eastAsia="Times New Roman" w:cs="Arial"/>
                <w:bCs w:val="0"/>
                <w:snapToGrid w:val="0"/>
                <w:szCs w:val="20"/>
              </w:rPr>
              <w:t xml:space="preserve">considered that the economic model could not be used to assess the cost-effectiveness of romosozumab when used in </w:t>
            </w:r>
            <w:r w:rsidR="00413FD8">
              <w:rPr>
                <w:rFonts w:eastAsia="Times New Roman" w:cs="Arial"/>
                <w:bCs w:val="0"/>
                <w:snapToGrid w:val="0"/>
                <w:szCs w:val="20"/>
              </w:rPr>
              <w:t xml:space="preserve">a broader population than those treated with teriparatide, </w:t>
            </w:r>
            <w:r w:rsidR="007D5C63">
              <w:rPr>
                <w:rFonts w:eastAsia="Times New Roman" w:cs="Arial"/>
                <w:bCs w:val="0"/>
                <w:snapToGrid w:val="0"/>
                <w:szCs w:val="20"/>
              </w:rPr>
              <w:t>based on the</w:t>
            </w:r>
            <w:r w:rsidR="003E23C4">
              <w:rPr>
                <w:rFonts w:eastAsia="Times New Roman" w:cs="Arial"/>
                <w:bCs w:val="0"/>
                <w:snapToGrid w:val="0"/>
                <w:szCs w:val="20"/>
              </w:rPr>
              <w:t xml:space="preserve"> </w:t>
            </w:r>
            <w:r w:rsidR="0055779D">
              <w:rPr>
                <w:rFonts w:eastAsia="Times New Roman" w:cs="Arial"/>
                <w:bCs w:val="0"/>
                <w:snapToGrid w:val="0"/>
                <w:szCs w:val="20"/>
              </w:rPr>
              <w:t xml:space="preserve">economic model that was fundamentally unchanged from </w:t>
            </w:r>
            <w:r w:rsidR="00B21C7A">
              <w:rPr>
                <w:rFonts w:eastAsia="Times New Roman" w:cs="Arial"/>
                <w:bCs w:val="0"/>
                <w:snapToGrid w:val="0"/>
                <w:szCs w:val="20"/>
              </w:rPr>
              <w:t xml:space="preserve">the </w:t>
            </w:r>
            <w:r w:rsidR="0055779D">
              <w:rPr>
                <w:rFonts w:eastAsia="Times New Roman" w:cs="Arial"/>
                <w:bCs w:val="0"/>
                <w:snapToGrid w:val="0"/>
                <w:szCs w:val="20"/>
              </w:rPr>
              <w:t>November 2018 and July 2019 submissions</w:t>
            </w:r>
            <w:r w:rsidR="00F205FF">
              <w:rPr>
                <w:rFonts w:eastAsia="Times New Roman" w:cs="Arial"/>
                <w:bCs w:val="0"/>
                <w:snapToGrid w:val="0"/>
                <w:szCs w:val="20"/>
              </w:rPr>
              <w:t>.</w:t>
            </w:r>
            <w:r w:rsidR="009D1770">
              <w:rPr>
                <w:rFonts w:eastAsia="Times New Roman" w:cs="Arial"/>
                <w:bCs w:val="0"/>
                <w:snapToGrid w:val="0"/>
                <w:szCs w:val="20"/>
              </w:rPr>
              <w:t xml:space="preserve"> </w:t>
            </w:r>
            <w:r w:rsidR="007C4043">
              <w:rPr>
                <w:rFonts w:eastAsia="Times New Roman" w:cs="Arial"/>
                <w:bCs w:val="0"/>
                <w:snapToGrid w:val="0"/>
                <w:szCs w:val="20"/>
              </w:rPr>
              <w:t xml:space="preserve">However, </w:t>
            </w:r>
            <w:r w:rsidR="00F205FF" w:rsidRPr="00F205FF">
              <w:rPr>
                <w:rFonts w:eastAsia="Times New Roman" w:cs="Arial"/>
                <w:bCs w:val="0"/>
                <w:snapToGrid w:val="0"/>
                <w:szCs w:val="20"/>
              </w:rPr>
              <w:t xml:space="preserve">the PBAC considered that romosozumab was likely to be cost-effective when used in the broader population as defined in the </w:t>
            </w:r>
            <w:r w:rsidR="00750E80">
              <w:rPr>
                <w:rFonts w:eastAsia="Times New Roman" w:cs="Arial"/>
                <w:bCs w:val="0"/>
                <w:snapToGrid w:val="0"/>
                <w:szCs w:val="20"/>
              </w:rPr>
              <w:t>March 2020 submission</w:t>
            </w:r>
            <w:r w:rsidR="00F205FF" w:rsidRPr="00F205FF">
              <w:rPr>
                <w:rFonts w:eastAsia="Times New Roman" w:cs="Arial"/>
                <w:bCs w:val="0"/>
                <w:snapToGrid w:val="0"/>
                <w:szCs w:val="20"/>
              </w:rPr>
              <w:t xml:space="preserve"> based on the BMD and fracture clinical evidence presented in the resubmission, the likely similar disease characteristics of the broader population versus the teriparatide treated population, and the price reduction for romosozumab due to the revisions to the cost-minimisation analysis</w:t>
            </w:r>
            <w:r w:rsidR="00F205FF">
              <w:rPr>
                <w:rFonts w:eastAsia="Times New Roman" w:cs="Arial"/>
                <w:bCs w:val="0"/>
                <w:snapToGrid w:val="0"/>
                <w:szCs w:val="20"/>
              </w:rPr>
              <w:t xml:space="preserve"> (para 7.12, romosozumab PSD, March 2020 PBAC meeting).</w:t>
            </w:r>
          </w:p>
        </w:tc>
        <w:tc>
          <w:tcPr>
            <w:tcW w:w="2480" w:type="pct"/>
          </w:tcPr>
          <w:p w14:paraId="3E08B829" w14:textId="714CBF7F" w:rsidR="0066294A" w:rsidRPr="00DA5160" w:rsidRDefault="000C66DD" w:rsidP="009C7BA3">
            <w:pPr>
              <w:pStyle w:val="TableText"/>
              <w:keepNext w:val="0"/>
              <w:widowControl w:val="0"/>
              <w:rPr>
                <w:rFonts w:eastAsia="Times New Roman" w:cs="Arial"/>
                <w:bCs w:val="0"/>
                <w:snapToGrid w:val="0"/>
                <w:color w:val="0070C0"/>
                <w:szCs w:val="20"/>
              </w:rPr>
            </w:pPr>
            <w:r w:rsidRPr="000C66DD">
              <w:rPr>
                <w:rFonts w:eastAsia="Times New Roman" w:cs="Arial"/>
                <w:bCs w:val="0"/>
                <w:snapToGrid w:val="0"/>
                <w:szCs w:val="20"/>
              </w:rPr>
              <w:t xml:space="preserve">The resubmission acknowledged that the cost-effectiveness of romosozumab in the expanded second line setting was uncertain, however, the resubmission claimed that there was historical PBAC precedence of recommending second line use of osteoporosis medications based on evidence in the first line setting. The resubmission argued that the cost-effectiveness of romosozumab in the second line setting can be </w:t>
            </w:r>
            <w:r w:rsidRPr="00021559">
              <w:rPr>
                <w:rFonts w:eastAsia="Times New Roman" w:cs="Arial"/>
                <w:bCs w:val="0"/>
                <w:snapToGrid w:val="0"/>
                <w:szCs w:val="20"/>
              </w:rPr>
              <w:t>assumed</w:t>
            </w:r>
            <w:r w:rsidRPr="000C66DD">
              <w:rPr>
                <w:rFonts w:eastAsia="Times New Roman" w:cs="Arial"/>
                <w:bCs w:val="0"/>
                <w:snapToGrid w:val="0"/>
                <w:szCs w:val="20"/>
              </w:rPr>
              <w:t xml:space="preserve"> to be equivalent to the first line setting.</w:t>
            </w:r>
          </w:p>
        </w:tc>
      </w:tr>
      <w:tr w:rsidR="002553D4" w:rsidRPr="009C758C" w14:paraId="55D25EE0" w14:textId="77777777" w:rsidTr="00B7731E">
        <w:trPr>
          <w:cantSplit/>
          <w:trHeight w:val="1004"/>
        </w:trPr>
        <w:tc>
          <w:tcPr>
            <w:tcW w:w="2520" w:type="pct"/>
          </w:tcPr>
          <w:p w14:paraId="093A3F4F" w14:textId="6A4F3BD0" w:rsidR="002553D4" w:rsidRDefault="002553D4" w:rsidP="00C479AD">
            <w:pPr>
              <w:pStyle w:val="TableText"/>
              <w:keepNext w:val="0"/>
              <w:widowControl w:val="0"/>
              <w:rPr>
                <w:rFonts w:eastAsia="Times New Roman" w:cs="Arial"/>
                <w:bCs w:val="0"/>
                <w:snapToGrid w:val="0"/>
                <w:szCs w:val="20"/>
              </w:rPr>
            </w:pPr>
            <w:r>
              <w:rPr>
                <w:rFonts w:eastAsia="Times New Roman" w:cs="Arial"/>
                <w:bCs w:val="0"/>
                <w:snapToGrid w:val="0"/>
                <w:szCs w:val="20"/>
              </w:rPr>
              <w:t xml:space="preserve">The ESC </w:t>
            </w:r>
            <w:r w:rsidR="00445FD5">
              <w:rPr>
                <w:rFonts w:eastAsia="Times New Roman" w:cs="Arial"/>
                <w:bCs w:val="0"/>
                <w:snapToGrid w:val="0"/>
                <w:szCs w:val="20"/>
              </w:rPr>
              <w:t xml:space="preserve">previously </w:t>
            </w:r>
            <w:r>
              <w:rPr>
                <w:rFonts w:eastAsia="Times New Roman" w:cs="Arial"/>
                <w:bCs w:val="0"/>
                <w:snapToGrid w:val="0"/>
                <w:szCs w:val="20"/>
              </w:rPr>
              <w:t>considered that</w:t>
            </w:r>
            <w:r w:rsidR="00445FD5">
              <w:rPr>
                <w:rFonts w:eastAsia="Times New Roman" w:cs="Arial"/>
                <w:bCs w:val="0"/>
                <w:snapToGrid w:val="0"/>
                <w:szCs w:val="20"/>
              </w:rPr>
              <w:t xml:space="preserve"> the size of the eligible population was highly uncertain</w:t>
            </w:r>
            <w:r w:rsidR="00B7731E">
              <w:rPr>
                <w:rFonts w:eastAsia="Times New Roman" w:cs="Arial"/>
                <w:bCs w:val="0"/>
                <w:snapToGrid w:val="0"/>
                <w:szCs w:val="20"/>
              </w:rPr>
              <w:t xml:space="preserve"> due to multiple concerns with the approach and data sources used that were largely unchanged from the July 2019 submission </w:t>
            </w:r>
            <w:r>
              <w:rPr>
                <w:rFonts w:eastAsia="Times New Roman" w:cs="Arial"/>
                <w:bCs w:val="0"/>
                <w:snapToGrid w:val="0"/>
                <w:szCs w:val="20"/>
              </w:rPr>
              <w:t>(para 6.88, romosozumab PSD, March 2020 PBAC meeting).</w:t>
            </w:r>
          </w:p>
        </w:tc>
        <w:tc>
          <w:tcPr>
            <w:tcW w:w="2480" w:type="pct"/>
          </w:tcPr>
          <w:p w14:paraId="1A9B6084" w14:textId="2659F9AD" w:rsidR="002553D4" w:rsidRPr="00956153" w:rsidRDefault="001F4287" w:rsidP="00C479AD">
            <w:pPr>
              <w:pStyle w:val="TableText"/>
              <w:keepNext w:val="0"/>
              <w:widowControl w:val="0"/>
              <w:rPr>
                <w:rFonts w:eastAsia="Times New Roman" w:cs="Arial"/>
                <w:bCs w:val="0"/>
                <w:snapToGrid w:val="0"/>
                <w:szCs w:val="20"/>
              </w:rPr>
            </w:pPr>
            <w:r w:rsidRPr="00956153">
              <w:rPr>
                <w:rFonts w:eastAsia="Times New Roman" w:cs="Arial"/>
                <w:bCs w:val="0"/>
                <w:snapToGrid w:val="0"/>
                <w:szCs w:val="20"/>
              </w:rPr>
              <w:t xml:space="preserve">The resubmission used </w:t>
            </w:r>
            <w:r w:rsidR="00956153" w:rsidRPr="00956153">
              <w:rPr>
                <w:rFonts w:eastAsia="Times New Roman" w:cs="Arial"/>
                <w:bCs w:val="0"/>
                <w:snapToGrid w:val="0"/>
                <w:szCs w:val="20"/>
              </w:rPr>
              <w:t>the same approach</w:t>
            </w:r>
            <w:r w:rsidRPr="00956153">
              <w:rPr>
                <w:rFonts w:eastAsia="Times New Roman" w:cs="Arial"/>
                <w:bCs w:val="0"/>
                <w:snapToGrid w:val="0"/>
                <w:szCs w:val="20"/>
              </w:rPr>
              <w:t xml:space="preserve"> presented in the March 2020 submission to derive the size of the eligible population</w:t>
            </w:r>
            <w:r w:rsidR="00BA685B" w:rsidRPr="00956153">
              <w:rPr>
                <w:rFonts w:eastAsia="Times New Roman" w:cs="Arial"/>
                <w:bCs w:val="0"/>
                <w:snapToGrid w:val="0"/>
                <w:szCs w:val="20"/>
              </w:rPr>
              <w:t>.</w:t>
            </w:r>
            <w:r w:rsidR="00356583" w:rsidRPr="00956153">
              <w:rPr>
                <w:rFonts w:eastAsia="Times New Roman" w:cs="Arial"/>
                <w:bCs w:val="0"/>
                <w:snapToGrid w:val="0"/>
                <w:szCs w:val="20"/>
              </w:rPr>
              <w:t xml:space="preserve"> </w:t>
            </w:r>
            <w:r w:rsidR="00BA685B" w:rsidRPr="00956153">
              <w:rPr>
                <w:rFonts w:eastAsia="Times New Roman" w:cs="Arial"/>
                <w:bCs w:val="0"/>
                <w:snapToGrid w:val="0"/>
                <w:szCs w:val="20"/>
              </w:rPr>
              <w:t>A</w:t>
            </w:r>
            <w:r w:rsidR="00356583" w:rsidRPr="00956153">
              <w:rPr>
                <w:rFonts w:eastAsia="Times New Roman" w:cs="Arial"/>
                <w:bCs w:val="0"/>
                <w:snapToGrid w:val="0"/>
                <w:szCs w:val="20"/>
              </w:rPr>
              <w:t xml:space="preserve">dditional data sources and </w:t>
            </w:r>
            <w:r w:rsidR="00956153" w:rsidRPr="00956153">
              <w:rPr>
                <w:rFonts w:eastAsia="Times New Roman" w:cs="Arial"/>
                <w:bCs w:val="0"/>
                <w:snapToGrid w:val="0"/>
                <w:szCs w:val="20"/>
              </w:rPr>
              <w:t>assumptions were</w:t>
            </w:r>
            <w:r w:rsidR="00BA685B" w:rsidRPr="00956153">
              <w:rPr>
                <w:rFonts w:eastAsia="Times New Roman" w:cs="Arial"/>
                <w:bCs w:val="0"/>
                <w:snapToGrid w:val="0"/>
                <w:szCs w:val="20"/>
              </w:rPr>
              <w:t xml:space="preserve"> used </w:t>
            </w:r>
            <w:r w:rsidR="00356583" w:rsidRPr="00956153">
              <w:rPr>
                <w:rFonts w:eastAsia="Times New Roman" w:cs="Arial"/>
                <w:bCs w:val="0"/>
                <w:snapToGrid w:val="0"/>
                <w:szCs w:val="20"/>
              </w:rPr>
              <w:t xml:space="preserve">to determine the </w:t>
            </w:r>
            <w:r w:rsidR="00324C91" w:rsidRPr="00956153">
              <w:rPr>
                <w:rFonts w:eastAsia="Times New Roman" w:cs="Arial"/>
                <w:bCs w:val="0"/>
                <w:snapToGrid w:val="0"/>
                <w:szCs w:val="20"/>
              </w:rPr>
              <w:t>number of patients</w:t>
            </w:r>
            <w:r w:rsidR="00356583" w:rsidRPr="00956153">
              <w:rPr>
                <w:rFonts w:eastAsia="Times New Roman" w:cs="Arial"/>
                <w:bCs w:val="0"/>
                <w:snapToGrid w:val="0"/>
                <w:szCs w:val="20"/>
              </w:rPr>
              <w:t xml:space="preserve"> meeting</w:t>
            </w:r>
            <w:r w:rsidR="00BA685B" w:rsidRPr="00956153">
              <w:rPr>
                <w:rFonts w:eastAsia="Times New Roman" w:cs="Arial"/>
                <w:bCs w:val="0"/>
                <w:snapToGrid w:val="0"/>
                <w:szCs w:val="20"/>
              </w:rPr>
              <w:t xml:space="preserve"> newly proposed</w:t>
            </w:r>
            <w:r w:rsidR="00356583" w:rsidRPr="00956153">
              <w:rPr>
                <w:rFonts w:eastAsia="Times New Roman" w:cs="Arial"/>
                <w:bCs w:val="0"/>
                <w:snapToGrid w:val="0"/>
                <w:szCs w:val="20"/>
              </w:rPr>
              <w:t xml:space="preserve"> fracture and BMD criteria.</w:t>
            </w:r>
          </w:p>
        </w:tc>
      </w:tr>
      <w:tr w:rsidR="002553D4" w:rsidRPr="009C758C" w14:paraId="1DEC7C4F" w14:textId="77777777" w:rsidTr="00021559">
        <w:trPr>
          <w:cantSplit/>
          <w:trHeight w:val="2292"/>
        </w:trPr>
        <w:tc>
          <w:tcPr>
            <w:tcW w:w="2520" w:type="pct"/>
          </w:tcPr>
          <w:p w14:paraId="4E7BF526" w14:textId="53F18E89" w:rsidR="002553D4" w:rsidRDefault="002553D4" w:rsidP="002553D4">
            <w:pPr>
              <w:pStyle w:val="TableText"/>
              <w:keepNext w:val="0"/>
              <w:widowControl w:val="0"/>
              <w:rPr>
                <w:rFonts w:eastAsia="Times New Roman" w:cs="Arial"/>
                <w:bCs w:val="0"/>
                <w:snapToGrid w:val="0"/>
                <w:szCs w:val="20"/>
              </w:rPr>
            </w:pPr>
            <w:r>
              <w:rPr>
                <w:rFonts w:eastAsia="Times New Roman" w:cs="Arial"/>
                <w:bCs w:val="0"/>
                <w:snapToGrid w:val="0"/>
                <w:szCs w:val="20"/>
              </w:rPr>
              <w:lastRenderedPageBreak/>
              <w:t xml:space="preserve">The PBAC noted that </w:t>
            </w:r>
            <w:r w:rsidR="0038130C">
              <w:rPr>
                <w:rFonts w:eastAsia="Times New Roman" w:cs="Arial"/>
                <w:bCs w:val="0"/>
                <w:snapToGrid w:val="0"/>
                <w:szCs w:val="20"/>
              </w:rPr>
              <w:t>it was reasonable to accept the financial estimates as the basis of a risk sharing arrangement</w:t>
            </w:r>
            <w:r w:rsidR="00BA27DC">
              <w:rPr>
                <w:rFonts w:eastAsia="Times New Roman" w:cs="Arial"/>
                <w:bCs w:val="0"/>
                <w:snapToGrid w:val="0"/>
                <w:szCs w:val="20"/>
              </w:rPr>
              <w:t xml:space="preserve"> (RSA)</w:t>
            </w:r>
            <w:r w:rsidR="001C3208">
              <w:rPr>
                <w:rFonts w:eastAsia="Times New Roman" w:cs="Arial"/>
                <w:bCs w:val="0"/>
                <w:snapToGrid w:val="0"/>
                <w:szCs w:val="20"/>
              </w:rPr>
              <w:t xml:space="preserve"> given the revised cost-minimised romosozumab price and </w:t>
            </w:r>
            <w:r w:rsidR="001718A6">
              <w:rPr>
                <w:rFonts w:eastAsia="Times New Roman" w:cs="Arial"/>
                <w:bCs w:val="0"/>
                <w:snapToGrid w:val="0"/>
                <w:szCs w:val="20"/>
              </w:rPr>
              <w:t>restrict</w:t>
            </w:r>
            <w:r w:rsidR="00235C3C">
              <w:rPr>
                <w:rFonts w:eastAsia="Times New Roman" w:cs="Arial"/>
                <w:bCs w:val="0"/>
                <w:snapToGrid w:val="0"/>
                <w:szCs w:val="20"/>
              </w:rPr>
              <w:t>ing</w:t>
            </w:r>
            <w:r w:rsidR="001718A6">
              <w:rPr>
                <w:rFonts w:eastAsia="Times New Roman" w:cs="Arial"/>
                <w:bCs w:val="0"/>
                <w:snapToGrid w:val="0"/>
                <w:szCs w:val="20"/>
              </w:rPr>
              <w:t xml:space="preserve"> prescribing</w:t>
            </w:r>
            <w:r>
              <w:rPr>
                <w:rFonts w:eastAsia="Times New Roman" w:cs="Arial"/>
                <w:bCs w:val="0"/>
                <w:snapToGrid w:val="0"/>
                <w:szCs w:val="20"/>
              </w:rPr>
              <w:t xml:space="preserve"> of romosozumab to Specialists/</w:t>
            </w:r>
            <w:r w:rsidR="00235C3C">
              <w:rPr>
                <w:rFonts w:eastAsia="Times New Roman" w:cs="Arial"/>
                <w:bCs w:val="0"/>
                <w:snapToGrid w:val="0"/>
                <w:szCs w:val="20"/>
              </w:rPr>
              <w:t xml:space="preserve"> </w:t>
            </w:r>
            <w:r>
              <w:rPr>
                <w:rFonts w:eastAsia="Times New Roman" w:cs="Arial"/>
                <w:bCs w:val="0"/>
                <w:snapToGrid w:val="0"/>
                <w:szCs w:val="20"/>
              </w:rPr>
              <w:t xml:space="preserve">Consultant Physicians (para 6.89, romosozumab PSD, March 2020 PBAC meeting). The PBAC considered that an RSA with </w:t>
            </w:r>
            <w:r w:rsidR="009A7DC1" w:rsidRPr="009A7DC1">
              <w:rPr>
                <w:rFonts w:eastAsia="Times New Roman" w:cs="Arial"/>
                <w:bCs w:val="0"/>
                <w:snapToGrid w:val="0"/>
                <w:color w:val="000000"/>
                <w:spacing w:val="51"/>
                <w:szCs w:val="20"/>
                <w:shd w:val="solid" w:color="000000" w:fill="000000"/>
                <w:fitText w:val="326" w:id="-1435317247"/>
                <w14:textFill>
                  <w14:solidFill>
                    <w14:srgbClr w14:val="000000">
                      <w14:alpha w14:val="100000"/>
                    </w14:srgbClr>
                  </w14:solidFill>
                </w14:textFill>
              </w:rPr>
              <w:t>|||</w:t>
            </w:r>
            <w:r w:rsidR="009A7DC1" w:rsidRPr="009A7DC1">
              <w:rPr>
                <w:rFonts w:eastAsia="Times New Roman" w:cs="Arial"/>
                <w:bCs w:val="0"/>
                <w:snapToGrid w:val="0"/>
                <w:color w:val="000000"/>
                <w:spacing w:val="1"/>
                <w:szCs w:val="20"/>
                <w:shd w:val="solid" w:color="000000" w:fill="000000"/>
                <w:fitText w:val="326" w:id="-1435317247"/>
                <w14:textFill>
                  <w14:solidFill>
                    <w14:srgbClr w14:val="000000">
                      <w14:alpha w14:val="100000"/>
                    </w14:srgbClr>
                  </w14:solidFill>
                </w14:textFill>
              </w:rPr>
              <w:t>|</w:t>
            </w:r>
            <w:r>
              <w:rPr>
                <w:rFonts w:eastAsia="Times New Roman" w:cs="Arial"/>
                <w:bCs w:val="0"/>
                <w:snapToGrid w:val="0"/>
                <w:szCs w:val="20"/>
              </w:rPr>
              <w:t xml:space="preserve">% rebate for use exceeding the caps was appropriate to mitigate any residual uncertainties regarding the size of the eligible romosozumab population (para 7.13, romosozumab PBAC </w:t>
            </w:r>
            <w:r w:rsidR="00664646">
              <w:rPr>
                <w:rFonts w:eastAsia="Times New Roman" w:cs="Arial"/>
                <w:bCs w:val="0"/>
                <w:snapToGrid w:val="0"/>
                <w:szCs w:val="20"/>
              </w:rPr>
              <w:t>PSD</w:t>
            </w:r>
            <w:r>
              <w:rPr>
                <w:rFonts w:eastAsia="Times New Roman" w:cs="Arial"/>
                <w:bCs w:val="0"/>
                <w:snapToGrid w:val="0"/>
                <w:szCs w:val="20"/>
              </w:rPr>
              <w:t>, March 2020 PBAC meeting).</w:t>
            </w:r>
          </w:p>
        </w:tc>
        <w:tc>
          <w:tcPr>
            <w:tcW w:w="2480" w:type="pct"/>
          </w:tcPr>
          <w:p w14:paraId="047880A9" w14:textId="076BB08C" w:rsidR="002553D4" w:rsidRPr="00021559" w:rsidRDefault="002553D4" w:rsidP="002553D4">
            <w:pPr>
              <w:pStyle w:val="TableText"/>
              <w:keepNext w:val="0"/>
              <w:widowControl w:val="0"/>
              <w:rPr>
                <w:rFonts w:eastAsia="Times New Roman" w:cs="Arial"/>
                <w:bCs w:val="0"/>
                <w:snapToGrid w:val="0"/>
                <w:szCs w:val="20"/>
              </w:rPr>
            </w:pPr>
            <w:r w:rsidRPr="00021559">
              <w:rPr>
                <w:rFonts w:eastAsia="Times New Roman" w:cs="Arial"/>
                <w:bCs w:val="0"/>
                <w:snapToGrid w:val="0"/>
                <w:szCs w:val="20"/>
              </w:rPr>
              <w:t xml:space="preserve">The resubmission claimed the sponsor is willing to agree to a revised deed for romosozumab, extending the current risk-sharing arrangement for a further 5 years. The resubmission proposed that the new financial caps be </w:t>
            </w:r>
            <w:r w:rsidR="00BA27DC">
              <w:rPr>
                <w:rFonts w:eastAsia="Times New Roman" w:cs="Arial"/>
                <w:bCs w:val="0"/>
                <w:snapToGrid w:val="0"/>
                <w:szCs w:val="20"/>
              </w:rPr>
              <w:t>the</w:t>
            </w:r>
            <w:r w:rsidRPr="00021559">
              <w:rPr>
                <w:rFonts w:eastAsia="Times New Roman" w:cs="Arial"/>
                <w:bCs w:val="0"/>
                <w:snapToGrid w:val="0"/>
                <w:szCs w:val="20"/>
              </w:rPr>
              <w:t xml:space="preserve"> sum of the existing caps with the addition of financial estimates presented for the additional first- and second-line populations. The sponsor proposed a </w:t>
            </w:r>
            <w:r w:rsidR="009A7DC1" w:rsidRPr="009A7DC1">
              <w:rPr>
                <w:rFonts w:eastAsia="Times New Roman" w:cs="Arial"/>
                <w:bCs w:val="0"/>
                <w:snapToGrid w:val="0"/>
                <w:color w:val="000000"/>
                <w:spacing w:val="51"/>
                <w:szCs w:val="20"/>
                <w:shd w:val="solid" w:color="000000" w:fill="000000"/>
                <w:fitText w:val="326" w:id="-1435317246"/>
                <w14:textFill>
                  <w14:solidFill>
                    <w14:srgbClr w14:val="000000">
                      <w14:alpha w14:val="100000"/>
                    </w14:srgbClr>
                  </w14:solidFill>
                </w14:textFill>
              </w:rPr>
              <w:t>|||</w:t>
            </w:r>
            <w:r w:rsidR="009A7DC1" w:rsidRPr="009A7DC1">
              <w:rPr>
                <w:rFonts w:eastAsia="Times New Roman" w:cs="Arial"/>
                <w:bCs w:val="0"/>
                <w:snapToGrid w:val="0"/>
                <w:color w:val="000000"/>
                <w:spacing w:val="1"/>
                <w:szCs w:val="20"/>
                <w:shd w:val="solid" w:color="000000" w:fill="000000"/>
                <w:fitText w:val="326" w:id="-1435317246"/>
                <w14:textFill>
                  <w14:solidFill>
                    <w14:srgbClr w14:val="000000">
                      <w14:alpha w14:val="100000"/>
                    </w14:srgbClr>
                  </w14:solidFill>
                </w14:textFill>
              </w:rPr>
              <w:t>|</w:t>
            </w:r>
            <w:r w:rsidRPr="00021559">
              <w:rPr>
                <w:rFonts w:eastAsia="Times New Roman" w:cs="Arial"/>
                <w:bCs w:val="0"/>
                <w:snapToGrid w:val="0"/>
                <w:szCs w:val="20"/>
              </w:rPr>
              <w:t>% rebate on any expenditure above the caps in place of the current hard caps.</w:t>
            </w:r>
          </w:p>
        </w:tc>
      </w:tr>
      <w:tr w:rsidR="002553D4" w:rsidRPr="009C758C" w14:paraId="402CBDCD" w14:textId="77777777" w:rsidTr="00DE49A2">
        <w:trPr>
          <w:cantSplit/>
        </w:trPr>
        <w:tc>
          <w:tcPr>
            <w:tcW w:w="2520" w:type="pct"/>
          </w:tcPr>
          <w:p w14:paraId="5D7791B5" w14:textId="77777777" w:rsidR="002553D4" w:rsidRPr="002A4821" w:rsidRDefault="002553D4" w:rsidP="00DE49A2">
            <w:pPr>
              <w:jc w:val="left"/>
              <w:rPr>
                <w:rFonts w:ascii="Arial Narrow" w:hAnsi="Arial Narrow"/>
                <w:snapToGrid w:val="0"/>
                <w:sz w:val="20"/>
                <w:szCs w:val="20"/>
              </w:rPr>
            </w:pPr>
            <w:r w:rsidRPr="002A4821">
              <w:rPr>
                <w:rFonts w:ascii="Arial Narrow" w:hAnsi="Arial Narrow"/>
                <w:snapToGrid w:val="0"/>
                <w:sz w:val="20"/>
                <w:szCs w:val="20"/>
              </w:rPr>
              <w:t xml:space="preserve">The PBAC recommended that DUSC undertake a review of utilisation after an appropriate period post listing which includes an investigation of the success of transitioning patients from romosozumab to anti-resorptive therapy. </w:t>
            </w:r>
          </w:p>
          <w:p w14:paraId="5E3E69DE" w14:textId="4F1DA41F" w:rsidR="002553D4" w:rsidRDefault="002553D4" w:rsidP="00DE49A2">
            <w:pPr>
              <w:pStyle w:val="TableText"/>
              <w:keepNext w:val="0"/>
              <w:widowControl w:val="0"/>
              <w:rPr>
                <w:rFonts w:eastAsia="Times New Roman" w:cs="Arial"/>
                <w:bCs w:val="0"/>
                <w:snapToGrid w:val="0"/>
                <w:szCs w:val="20"/>
              </w:rPr>
            </w:pPr>
            <w:r>
              <w:rPr>
                <w:rFonts w:eastAsia="Times New Roman" w:cs="Arial"/>
                <w:bCs w:val="0"/>
                <w:snapToGrid w:val="0"/>
                <w:szCs w:val="20"/>
              </w:rPr>
              <w:t>(para 7.14, romosozumab PSD, March 2020 PBAC meeting).</w:t>
            </w:r>
          </w:p>
        </w:tc>
        <w:tc>
          <w:tcPr>
            <w:tcW w:w="2480" w:type="pct"/>
          </w:tcPr>
          <w:p w14:paraId="1B7059AB" w14:textId="483138BF" w:rsidR="002553D4" w:rsidRPr="00442592" w:rsidRDefault="00FD32BA" w:rsidP="00DE49A2">
            <w:pPr>
              <w:pStyle w:val="TableText"/>
              <w:keepNext w:val="0"/>
              <w:widowControl w:val="0"/>
              <w:rPr>
                <w:rFonts w:eastAsia="Times New Roman" w:cs="Arial"/>
                <w:bCs w:val="0"/>
                <w:snapToGrid w:val="0"/>
                <w:color w:val="0070C0"/>
                <w:szCs w:val="20"/>
              </w:rPr>
            </w:pPr>
            <w:r w:rsidRPr="00442592">
              <w:rPr>
                <w:rFonts w:eastAsia="Times New Roman" w:cs="Arial"/>
                <w:bCs w:val="0"/>
                <w:snapToGrid w:val="0"/>
                <w:szCs w:val="20"/>
              </w:rPr>
              <w:t xml:space="preserve">The length of time post listing </w:t>
            </w:r>
            <w:r w:rsidR="009B6EDE" w:rsidRPr="00442592">
              <w:rPr>
                <w:rFonts w:eastAsia="Times New Roman" w:cs="Arial"/>
                <w:bCs w:val="0"/>
                <w:snapToGrid w:val="0"/>
                <w:szCs w:val="20"/>
              </w:rPr>
              <w:t>was</w:t>
            </w:r>
            <w:r w:rsidR="003519C0" w:rsidRPr="00442592">
              <w:rPr>
                <w:rFonts w:eastAsia="Times New Roman" w:cs="Arial"/>
                <w:bCs w:val="0"/>
                <w:snapToGrid w:val="0"/>
                <w:szCs w:val="20"/>
              </w:rPr>
              <w:t xml:space="preserve"> inadequate</w:t>
            </w:r>
            <w:r w:rsidR="009B6EDE" w:rsidRPr="00442592">
              <w:rPr>
                <w:rFonts w:eastAsia="Times New Roman" w:cs="Arial"/>
                <w:bCs w:val="0"/>
                <w:snapToGrid w:val="0"/>
                <w:szCs w:val="20"/>
              </w:rPr>
              <w:t xml:space="preserve"> at the time of evaluation</w:t>
            </w:r>
            <w:r w:rsidR="003519C0" w:rsidRPr="00442592">
              <w:rPr>
                <w:rFonts w:eastAsia="Times New Roman" w:cs="Arial"/>
                <w:bCs w:val="0"/>
                <w:snapToGrid w:val="0"/>
                <w:szCs w:val="20"/>
              </w:rPr>
              <w:t xml:space="preserve"> </w:t>
            </w:r>
            <w:r w:rsidR="00B96FAB" w:rsidRPr="00442592">
              <w:rPr>
                <w:rFonts w:eastAsia="Times New Roman" w:cs="Arial"/>
                <w:bCs w:val="0"/>
                <w:snapToGrid w:val="0"/>
                <w:szCs w:val="20"/>
              </w:rPr>
              <w:t xml:space="preserve">to undertake this review </w:t>
            </w:r>
            <w:r w:rsidR="003519C0" w:rsidRPr="00442592">
              <w:rPr>
                <w:rFonts w:eastAsia="Times New Roman" w:cs="Arial"/>
                <w:bCs w:val="0"/>
                <w:snapToGrid w:val="0"/>
                <w:szCs w:val="20"/>
              </w:rPr>
              <w:t xml:space="preserve">given romosozumab has a recommended 12-month treatment course and it was only listed on 1 April 2021. </w:t>
            </w:r>
          </w:p>
        </w:tc>
      </w:tr>
    </w:tbl>
    <w:p w14:paraId="451D7156" w14:textId="75A49646" w:rsidR="005C25FF" w:rsidRDefault="005C25FF" w:rsidP="004E18E9">
      <w:pPr>
        <w:pStyle w:val="TableFigureFooter"/>
      </w:pPr>
      <w:r w:rsidRPr="009C758C">
        <w:t xml:space="preserve">Source: </w:t>
      </w:r>
      <w:r w:rsidR="000918E2">
        <w:t xml:space="preserve">romosozumab </w:t>
      </w:r>
      <w:r w:rsidR="00295185">
        <w:t>November 2018, July 2019 and March 2020 Public Summary Documents</w:t>
      </w:r>
    </w:p>
    <w:p w14:paraId="67A1C06D" w14:textId="43601520" w:rsidR="00F2109D" w:rsidRDefault="00F2109D" w:rsidP="004E18E9">
      <w:pPr>
        <w:pStyle w:val="TableFigureFooter"/>
      </w:pPr>
    </w:p>
    <w:p w14:paraId="58174C4F" w14:textId="1F7F25EB" w:rsidR="00F2109D" w:rsidRPr="00F2109D" w:rsidRDefault="00F2109D" w:rsidP="00F2109D">
      <w:pPr>
        <w:ind w:firstLine="709"/>
        <w:rPr>
          <w:rFonts w:asciiTheme="minorHAnsi" w:hAnsiTheme="minorHAnsi"/>
          <w:i/>
        </w:rPr>
      </w:pPr>
      <w:bookmarkStart w:id="7" w:name="_Hlk76375324"/>
      <w:r w:rsidRPr="00C33D30">
        <w:rPr>
          <w:rFonts w:asciiTheme="minorHAnsi" w:hAnsiTheme="minorHAnsi"/>
          <w:i/>
        </w:rPr>
        <w:t>For more detail on PBAC’s view, see section 7 PBAC outcome.</w:t>
      </w:r>
      <w:bookmarkEnd w:id="7"/>
    </w:p>
    <w:p w14:paraId="76E4EF3C" w14:textId="13040F70" w:rsidR="00B60939" w:rsidRPr="00262BDA" w:rsidRDefault="00B50DB8" w:rsidP="004E18E9">
      <w:pPr>
        <w:pStyle w:val="2-SectionHeading"/>
      </w:pPr>
      <w:bookmarkStart w:id="8" w:name="_Toc103610469"/>
      <w:r w:rsidRPr="00262BDA">
        <w:t>Requested listing</w:t>
      </w:r>
      <w:bookmarkEnd w:id="8"/>
    </w:p>
    <w:p w14:paraId="3BB2784A" w14:textId="0B380B58" w:rsidR="00647F3D" w:rsidRDefault="00693F35" w:rsidP="00D71E23">
      <w:pPr>
        <w:pStyle w:val="ExecSumBodyText"/>
      </w:pPr>
      <w:r w:rsidRPr="00693F35">
        <w:t xml:space="preserve">Separate restrictions were proposed for initial treatment in the first line and expanded second line settings. The resubmission also requested amendments to the current continuing treatment restriction. </w:t>
      </w:r>
      <w:r w:rsidR="00647F3D" w:rsidRPr="00647F3D">
        <w:t>Suggestions and additions proposed by the Secretariat are added in italics and suggested deletions are crossed out with strikethrough.</w:t>
      </w:r>
    </w:p>
    <w:p w14:paraId="1CDE86BB" w14:textId="77777777" w:rsidR="00647F3D" w:rsidRPr="00F64CA6" w:rsidRDefault="00647F3D" w:rsidP="00647F3D">
      <w:pPr>
        <w:spacing w:after="120"/>
        <w:rPr>
          <w:rFonts w:asciiTheme="minorHAnsi" w:hAnsiTheme="minorHAnsi" w:cstheme="minorHAnsi"/>
          <w:b/>
          <w:bCs/>
          <w:u w:val="single"/>
        </w:rPr>
      </w:pPr>
      <w:r w:rsidRPr="00F64CA6">
        <w:rPr>
          <w:rFonts w:asciiTheme="minorHAnsi" w:hAnsiTheme="minorHAnsi" w:cstheme="minorHAnsi"/>
          <w:b/>
          <w:bCs/>
          <w:u w:val="single"/>
        </w:rPr>
        <w:t>Proposed 1L restrictions</w:t>
      </w: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90"/>
        <w:gridCol w:w="491"/>
        <w:gridCol w:w="2133"/>
        <w:gridCol w:w="992"/>
        <w:gridCol w:w="992"/>
        <w:gridCol w:w="851"/>
        <w:gridCol w:w="709"/>
        <w:gridCol w:w="1417"/>
        <w:gridCol w:w="992"/>
      </w:tblGrid>
      <w:tr w:rsidR="00D71E23" w:rsidRPr="009A610D" w14:paraId="6BEEE6AD" w14:textId="77777777" w:rsidTr="00D71E23">
        <w:trPr>
          <w:cantSplit/>
          <w:trHeight w:val="471"/>
        </w:trPr>
        <w:tc>
          <w:tcPr>
            <w:tcW w:w="3114" w:type="dxa"/>
            <w:gridSpan w:val="3"/>
          </w:tcPr>
          <w:p w14:paraId="1FE36DA1" w14:textId="77777777" w:rsidR="00D71E23" w:rsidRPr="00CE157F" w:rsidRDefault="00D71E23" w:rsidP="00782256">
            <w:pPr>
              <w:keepNext/>
              <w:ind w:left="-57"/>
              <w:rPr>
                <w:rFonts w:ascii="Arial Narrow" w:hAnsi="Arial Narrow"/>
                <w:b/>
                <w:bCs/>
                <w:sz w:val="20"/>
                <w:szCs w:val="20"/>
              </w:rPr>
            </w:pPr>
            <w:r w:rsidRPr="00CE157F">
              <w:rPr>
                <w:rFonts w:ascii="Arial Narrow" w:hAnsi="Arial Narrow"/>
                <w:b/>
                <w:bCs/>
                <w:sz w:val="20"/>
                <w:szCs w:val="20"/>
              </w:rPr>
              <w:t>MEDICINAL PRODUCT</w:t>
            </w:r>
          </w:p>
          <w:p w14:paraId="72F18E14" w14:textId="77777777" w:rsidR="00D71E23" w:rsidRPr="00CE157F" w:rsidRDefault="00D71E23" w:rsidP="00782256">
            <w:pPr>
              <w:keepNext/>
              <w:ind w:left="-57"/>
              <w:rPr>
                <w:rFonts w:ascii="Arial Narrow" w:hAnsi="Arial Narrow"/>
                <w:b/>
                <w:sz w:val="20"/>
                <w:szCs w:val="20"/>
              </w:rPr>
            </w:pPr>
            <w:r w:rsidRPr="00CE157F">
              <w:rPr>
                <w:rFonts w:ascii="Arial Narrow" w:hAnsi="Arial Narrow"/>
                <w:b/>
                <w:bCs/>
                <w:sz w:val="20"/>
                <w:szCs w:val="20"/>
              </w:rPr>
              <w:t>medicinal product pack</w:t>
            </w:r>
          </w:p>
        </w:tc>
        <w:tc>
          <w:tcPr>
            <w:tcW w:w="992" w:type="dxa"/>
          </w:tcPr>
          <w:p w14:paraId="37E4983E" w14:textId="77777777" w:rsidR="00D71E23" w:rsidRPr="00CE157F" w:rsidRDefault="00D71E23" w:rsidP="00782256">
            <w:pPr>
              <w:keepNext/>
              <w:ind w:left="-108"/>
              <w:jc w:val="center"/>
              <w:rPr>
                <w:rFonts w:ascii="Arial Narrow" w:hAnsi="Arial Narrow"/>
                <w:b/>
                <w:sz w:val="20"/>
                <w:szCs w:val="20"/>
              </w:rPr>
            </w:pPr>
            <w:r w:rsidRPr="00CE157F">
              <w:rPr>
                <w:rFonts w:ascii="Arial Narrow" w:hAnsi="Arial Narrow"/>
                <w:b/>
                <w:sz w:val="20"/>
                <w:szCs w:val="20"/>
              </w:rPr>
              <w:t>PBS item code</w:t>
            </w:r>
          </w:p>
        </w:tc>
        <w:tc>
          <w:tcPr>
            <w:tcW w:w="992" w:type="dxa"/>
          </w:tcPr>
          <w:p w14:paraId="57B1497B" w14:textId="77777777" w:rsidR="00D71E23" w:rsidRPr="00CE157F" w:rsidRDefault="00D71E23" w:rsidP="00782256">
            <w:pPr>
              <w:keepNext/>
              <w:ind w:left="-108"/>
              <w:jc w:val="center"/>
              <w:rPr>
                <w:rFonts w:ascii="Arial Narrow" w:hAnsi="Arial Narrow"/>
                <w:b/>
                <w:sz w:val="20"/>
                <w:szCs w:val="20"/>
              </w:rPr>
            </w:pPr>
            <w:r w:rsidRPr="00CE157F">
              <w:rPr>
                <w:rFonts w:ascii="Arial Narrow" w:hAnsi="Arial Narrow"/>
                <w:b/>
                <w:sz w:val="20"/>
                <w:szCs w:val="20"/>
              </w:rPr>
              <w:t>Max. qty packs</w:t>
            </w:r>
          </w:p>
        </w:tc>
        <w:tc>
          <w:tcPr>
            <w:tcW w:w="851" w:type="dxa"/>
          </w:tcPr>
          <w:p w14:paraId="475CCE0C" w14:textId="77777777" w:rsidR="00D71E23" w:rsidRPr="00CE157F" w:rsidRDefault="00D71E23" w:rsidP="00782256">
            <w:pPr>
              <w:keepNext/>
              <w:ind w:left="-108"/>
              <w:jc w:val="center"/>
              <w:rPr>
                <w:rFonts w:ascii="Arial Narrow" w:hAnsi="Arial Narrow"/>
                <w:b/>
                <w:sz w:val="20"/>
                <w:szCs w:val="20"/>
              </w:rPr>
            </w:pPr>
            <w:r w:rsidRPr="00CE157F">
              <w:rPr>
                <w:rFonts w:ascii="Arial Narrow" w:hAnsi="Arial Narrow"/>
                <w:b/>
                <w:sz w:val="20"/>
                <w:szCs w:val="20"/>
              </w:rPr>
              <w:t>Max. qty units</w:t>
            </w:r>
          </w:p>
        </w:tc>
        <w:tc>
          <w:tcPr>
            <w:tcW w:w="709" w:type="dxa"/>
          </w:tcPr>
          <w:p w14:paraId="54FF6CBF" w14:textId="4361C524" w:rsidR="00D71E23" w:rsidRPr="00CE157F" w:rsidRDefault="00D71E23" w:rsidP="00782256">
            <w:pPr>
              <w:keepNext/>
              <w:ind w:left="-108"/>
              <w:jc w:val="center"/>
              <w:rPr>
                <w:rFonts w:ascii="Arial Narrow" w:hAnsi="Arial Narrow"/>
                <w:b/>
                <w:sz w:val="20"/>
                <w:szCs w:val="20"/>
              </w:rPr>
            </w:pPr>
            <w:r w:rsidRPr="00CE157F">
              <w:rPr>
                <w:rFonts w:ascii="Arial Narrow" w:hAnsi="Arial Narrow"/>
                <w:b/>
                <w:sz w:val="20"/>
                <w:szCs w:val="20"/>
              </w:rPr>
              <w:t>№.of</w:t>
            </w:r>
            <w:r>
              <w:rPr>
                <w:rFonts w:ascii="Arial Narrow" w:hAnsi="Arial Narrow"/>
                <w:b/>
                <w:sz w:val="20"/>
                <w:szCs w:val="20"/>
              </w:rPr>
              <w:t xml:space="preserve"> </w:t>
            </w:r>
            <w:r w:rsidRPr="00CE157F">
              <w:rPr>
                <w:rFonts w:ascii="Arial Narrow" w:hAnsi="Arial Narrow"/>
                <w:b/>
                <w:sz w:val="20"/>
                <w:szCs w:val="20"/>
              </w:rPr>
              <w:t>Rpts</w:t>
            </w:r>
          </w:p>
        </w:tc>
        <w:tc>
          <w:tcPr>
            <w:tcW w:w="1417" w:type="dxa"/>
          </w:tcPr>
          <w:p w14:paraId="5A54BE51" w14:textId="139C1DD2" w:rsidR="00D71E23" w:rsidRPr="00CE157F" w:rsidRDefault="00D71E23" w:rsidP="00782256">
            <w:pPr>
              <w:keepNext/>
              <w:ind w:left="-108"/>
              <w:jc w:val="center"/>
              <w:rPr>
                <w:rFonts w:ascii="Arial Narrow" w:hAnsi="Arial Narrow"/>
                <w:b/>
                <w:sz w:val="20"/>
                <w:szCs w:val="20"/>
              </w:rPr>
            </w:pPr>
            <w:r w:rsidRPr="003C6C89">
              <w:rPr>
                <w:rFonts w:ascii="Arial Narrow" w:hAnsi="Arial Narrow" w:cs="Times New Roman"/>
                <w:b/>
                <w:sz w:val="20"/>
                <w:szCs w:val="22"/>
                <w:lang w:eastAsia="en-US"/>
              </w:rPr>
              <w:t>Dispensed price for</w:t>
            </w:r>
            <w:r>
              <w:rPr>
                <w:rFonts w:ascii="Arial Narrow" w:hAnsi="Arial Narrow" w:cs="Times New Roman"/>
                <w:b/>
                <w:sz w:val="20"/>
                <w:szCs w:val="22"/>
                <w:lang w:eastAsia="en-US"/>
              </w:rPr>
              <w:t xml:space="preserve"> maximum quantity </w:t>
            </w:r>
          </w:p>
        </w:tc>
        <w:tc>
          <w:tcPr>
            <w:tcW w:w="992" w:type="dxa"/>
          </w:tcPr>
          <w:p w14:paraId="001620A4" w14:textId="77777777" w:rsidR="00D71E23" w:rsidRPr="00CE157F" w:rsidRDefault="00D71E23" w:rsidP="00782256">
            <w:pPr>
              <w:keepNext/>
              <w:rPr>
                <w:rFonts w:ascii="Arial Narrow" w:hAnsi="Arial Narrow"/>
                <w:b/>
                <w:sz w:val="20"/>
                <w:szCs w:val="20"/>
                <w:lang w:val="fr-FR"/>
              </w:rPr>
            </w:pPr>
            <w:r w:rsidRPr="00CE157F">
              <w:rPr>
                <w:rFonts w:ascii="Arial Narrow" w:hAnsi="Arial Narrow"/>
                <w:b/>
                <w:sz w:val="20"/>
                <w:szCs w:val="20"/>
              </w:rPr>
              <w:t>Available brands</w:t>
            </w:r>
          </w:p>
        </w:tc>
      </w:tr>
      <w:tr w:rsidR="00647F3D" w:rsidRPr="009A610D" w14:paraId="770F491F" w14:textId="77777777" w:rsidTr="00782256">
        <w:trPr>
          <w:cantSplit/>
          <w:trHeight w:val="224"/>
        </w:trPr>
        <w:tc>
          <w:tcPr>
            <w:tcW w:w="9067" w:type="dxa"/>
            <w:gridSpan w:val="9"/>
          </w:tcPr>
          <w:p w14:paraId="47147668" w14:textId="77777777" w:rsidR="00647F3D" w:rsidRPr="00CE157F" w:rsidRDefault="00647F3D" w:rsidP="00782256">
            <w:pPr>
              <w:keepNext/>
              <w:ind w:left="-57"/>
              <w:rPr>
                <w:rFonts w:ascii="Arial Narrow" w:hAnsi="Arial Narrow"/>
                <w:sz w:val="20"/>
                <w:szCs w:val="20"/>
              </w:rPr>
            </w:pPr>
            <w:r w:rsidRPr="00CE157F">
              <w:rPr>
                <w:rFonts w:ascii="Arial Narrow" w:hAnsi="Arial Narrow"/>
                <w:sz w:val="20"/>
                <w:szCs w:val="20"/>
              </w:rPr>
              <w:t xml:space="preserve">ROMOSOZUMAB </w:t>
            </w:r>
          </w:p>
        </w:tc>
      </w:tr>
      <w:tr w:rsidR="00D71E23" w:rsidRPr="009A610D" w14:paraId="16C59AE1" w14:textId="77777777" w:rsidTr="00D71E23">
        <w:trPr>
          <w:cantSplit/>
          <w:trHeight w:val="553"/>
        </w:trPr>
        <w:tc>
          <w:tcPr>
            <w:tcW w:w="3114" w:type="dxa"/>
            <w:gridSpan w:val="3"/>
          </w:tcPr>
          <w:p w14:paraId="20752632" w14:textId="77777777" w:rsidR="00D71E23" w:rsidRPr="00CE157F" w:rsidRDefault="00D71E23" w:rsidP="00782256">
            <w:pPr>
              <w:keepNext/>
              <w:ind w:left="-57"/>
              <w:rPr>
                <w:rFonts w:ascii="Arial Narrow" w:hAnsi="Arial Narrow"/>
                <w:sz w:val="20"/>
                <w:szCs w:val="20"/>
              </w:rPr>
            </w:pPr>
            <w:r w:rsidRPr="00CE157F">
              <w:rPr>
                <w:rFonts w:ascii="Arial Narrow" w:hAnsi="Arial Narrow"/>
                <w:sz w:val="20"/>
                <w:szCs w:val="20"/>
              </w:rPr>
              <w:t>romosozumab 105 mg/1.17 mL injection, 2 x 1.17 mL syringes</w:t>
            </w:r>
          </w:p>
        </w:tc>
        <w:tc>
          <w:tcPr>
            <w:tcW w:w="992" w:type="dxa"/>
          </w:tcPr>
          <w:p w14:paraId="4947106C" w14:textId="77777777" w:rsidR="00D71E23" w:rsidRPr="00CE157F" w:rsidRDefault="00D71E23" w:rsidP="00782256">
            <w:pPr>
              <w:keepNext/>
              <w:jc w:val="center"/>
              <w:rPr>
                <w:rFonts w:ascii="Arial Narrow" w:hAnsi="Arial Narrow"/>
                <w:sz w:val="20"/>
                <w:szCs w:val="20"/>
              </w:rPr>
            </w:pPr>
            <w:r w:rsidRPr="00CE157F">
              <w:rPr>
                <w:rFonts w:ascii="Arial Narrow" w:hAnsi="Arial Narrow"/>
                <w:sz w:val="20"/>
                <w:szCs w:val="20"/>
              </w:rPr>
              <w:t>NEW</w:t>
            </w:r>
          </w:p>
        </w:tc>
        <w:tc>
          <w:tcPr>
            <w:tcW w:w="992" w:type="dxa"/>
          </w:tcPr>
          <w:p w14:paraId="464DEB48" w14:textId="77777777" w:rsidR="00D71E23" w:rsidRPr="00CE157F" w:rsidRDefault="00D71E23" w:rsidP="00782256">
            <w:pPr>
              <w:keepNext/>
              <w:jc w:val="center"/>
              <w:rPr>
                <w:rFonts w:ascii="Arial Narrow" w:hAnsi="Arial Narrow"/>
                <w:sz w:val="20"/>
                <w:szCs w:val="20"/>
              </w:rPr>
            </w:pPr>
            <w:r w:rsidRPr="00CE157F">
              <w:rPr>
                <w:rFonts w:ascii="Arial Narrow" w:hAnsi="Arial Narrow"/>
                <w:sz w:val="20"/>
                <w:szCs w:val="20"/>
              </w:rPr>
              <w:t>1</w:t>
            </w:r>
          </w:p>
        </w:tc>
        <w:tc>
          <w:tcPr>
            <w:tcW w:w="851" w:type="dxa"/>
          </w:tcPr>
          <w:p w14:paraId="36480026" w14:textId="77777777" w:rsidR="00D71E23" w:rsidRPr="00CE157F" w:rsidRDefault="00D71E23" w:rsidP="00782256">
            <w:pPr>
              <w:keepNext/>
              <w:jc w:val="center"/>
              <w:rPr>
                <w:rFonts w:ascii="Arial Narrow" w:hAnsi="Arial Narrow"/>
                <w:sz w:val="20"/>
                <w:szCs w:val="20"/>
              </w:rPr>
            </w:pPr>
            <w:r w:rsidRPr="00CE157F">
              <w:rPr>
                <w:rFonts w:ascii="Arial Narrow" w:hAnsi="Arial Narrow"/>
                <w:sz w:val="20"/>
                <w:szCs w:val="20"/>
              </w:rPr>
              <w:t>2</w:t>
            </w:r>
          </w:p>
        </w:tc>
        <w:tc>
          <w:tcPr>
            <w:tcW w:w="709" w:type="dxa"/>
          </w:tcPr>
          <w:p w14:paraId="4D063041" w14:textId="77777777" w:rsidR="00D71E23" w:rsidRPr="00CE157F" w:rsidRDefault="00D71E23" w:rsidP="00782256">
            <w:pPr>
              <w:keepNext/>
              <w:jc w:val="center"/>
              <w:rPr>
                <w:rFonts w:ascii="Arial Narrow" w:hAnsi="Arial Narrow"/>
                <w:sz w:val="20"/>
                <w:szCs w:val="20"/>
              </w:rPr>
            </w:pPr>
            <w:r w:rsidRPr="00CE157F">
              <w:rPr>
                <w:rFonts w:ascii="Arial Narrow" w:hAnsi="Arial Narrow"/>
                <w:sz w:val="20"/>
                <w:szCs w:val="20"/>
              </w:rPr>
              <w:t>5</w:t>
            </w:r>
          </w:p>
        </w:tc>
        <w:tc>
          <w:tcPr>
            <w:tcW w:w="1417" w:type="dxa"/>
          </w:tcPr>
          <w:p w14:paraId="6346086E" w14:textId="77777777" w:rsidR="00D71E23" w:rsidRPr="003C6C89" w:rsidRDefault="00D71E23" w:rsidP="00D71E23">
            <w:pPr>
              <w:widowControl w:val="0"/>
              <w:jc w:val="center"/>
              <w:rPr>
                <w:rFonts w:ascii="Arial Narrow" w:hAnsi="Arial Narrow" w:cs="Times New Roman"/>
                <w:sz w:val="20"/>
                <w:szCs w:val="22"/>
                <w:vertAlign w:val="superscript"/>
                <w:lang w:eastAsia="en-US"/>
              </w:rPr>
            </w:pPr>
            <w:r w:rsidRPr="003C6C89">
              <w:rPr>
                <w:rFonts w:ascii="Arial Narrow" w:hAnsi="Arial Narrow" w:cs="Times New Roman"/>
                <w:sz w:val="20"/>
                <w:szCs w:val="22"/>
                <w:lang w:eastAsia="en-US"/>
              </w:rPr>
              <w:t>$</w:t>
            </w:r>
            <w:r>
              <w:rPr>
                <w:rFonts w:ascii="Arial Narrow" w:hAnsi="Arial Narrow" w:cs="Times New Roman"/>
                <w:sz w:val="20"/>
                <w:szCs w:val="22"/>
                <w:lang w:eastAsia="en-US"/>
              </w:rPr>
              <w:t>404.75</w:t>
            </w:r>
          </w:p>
          <w:p w14:paraId="10BE4D9D" w14:textId="77777777" w:rsidR="00D71E23" w:rsidRDefault="00D71E23" w:rsidP="00D71E23">
            <w:pPr>
              <w:widowControl w:val="0"/>
              <w:jc w:val="center"/>
              <w:rPr>
                <w:rFonts w:ascii="Arial Narrow" w:hAnsi="Arial Narrow" w:cs="Times New Roman"/>
                <w:sz w:val="20"/>
                <w:szCs w:val="22"/>
                <w:lang w:eastAsia="en-US"/>
              </w:rPr>
            </w:pPr>
            <w:r w:rsidRPr="003C6C89">
              <w:rPr>
                <w:rFonts w:ascii="Arial Narrow" w:hAnsi="Arial Narrow" w:cs="Times New Roman"/>
                <w:sz w:val="20"/>
                <w:szCs w:val="22"/>
                <w:lang w:eastAsia="en-US"/>
              </w:rPr>
              <w:t>(published price)</w:t>
            </w:r>
          </w:p>
          <w:p w14:paraId="6FB437DB" w14:textId="37D1F8D8" w:rsidR="00D71E23" w:rsidRDefault="00D71E23" w:rsidP="00D71E23">
            <w:pPr>
              <w:widowControl w:val="0"/>
              <w:jc w:val="center"/>
              <w:rPr>
                <w:rFonts w:ascii="Arial Narrow" w:hAnsi="Arial Narrow" w:cs="Times New Roman"/>
                <w:sz w:val="20"/>
                <w:szCs w:val="22"/>
                <w:lang w:eastAsia="en-US"/>
              </w:rPr>
            </w:pPr>
            <w:r>
              <w:rPr>
                <w:rFonts w:ascii="Arial Narrow" w:hAnsi="Arial Narrow" w:cs="Times New Roman"/>
                <w:sz w:val="20"/>
                <w:szCs w:val="22"/>
                <w:lang w:eastAsia="en-US"/>
              </w:rPr>
              <w:t>$</w:t>
            </w:r>
            <w:r w:rsidR="009A7DC1" w:rsidRPr="009A7DC1">
              <w:rPr>
                <w:rFonts w:ascii="Arial Narrow" w:hAnsi="Arial Narrow" w:cs="Times New Roman"/>
                <w:color w:val="000000"/>
                <w:sz w:val="20"/>
                <w:szCs w:val="22"/>
                <w:shd w:val="solid" w:color="000000" w:fill="000000"/>
                <w:lang w:eastAsia="en-US"/>
                <w14:textFill>
                  <w14:solidFill>
                    <w14:srgbClr w14:val="000000">
                      <w14:alpha w14:val="100000"/>
                    </w14:srgbClr>
                  </w14:solidFill>
                </w14:textFill>
              </w:rPr>
              <w:t>|</w:t>
            </w:r>
          </w:p>
          <w:p w14:paraId="033A873A" w14:textId="6FCFB2C2" w:rsidR="00D71E23" w:rsidRPr="00CE157F" w:rsidRDefault="00D71E23" w:rsidP="00D71E23">
            <w:pPr>
              <w:keepNext/>
              <w:jc w:val="center"/>
              <w:rPr>
                <w:rFonts w:ascii="Arial Narrow" w:hAnsi="Arial Narrow"/>
                <w:sz w:val="20"/>
                <w:szCs w:val="20"/>
              </w:rPr>
            </w:pPr>
            <w:r>
              <w:rPr>
                <w:rFonts w:ascii="Arial Narrow" w:hAnsi="Arial Narrow" w:cs="Times New Roman"/>
                <w:sz w:val="20"/>
                <w:szCs w:val="22"/>
                <w:lang w:eastAsia="en-US"/>
              </w:rPr>
              <w:t>(effective price)</w:t>
            </w:r>
          </w:p>
        </w:tc>
        <w:tc>
          <w:tcPr>
            <w:tcW w:w="992" w:type="dxa"/>
          </w:tcPr>
          <w:p w14:paraId="7762723E" w14:textId="77777777" w:rsidR="00D71E23" w:rsidRPr="00CE157F" w:rsidRDefault="00D71E23" w:rsidP="00782256">
            <w:pPr>
              <w:keepNext/>
              <w:rPr>
                <w:rFonts w:ascii="Arial Narrow" w:hAnsi="Arial Narrow"/>
                <w:sz w:val="20"/>
                <w:szCs w:val="20"/>
              </w:rPr>
            </w:pPr>
            <w:r w:rsidRPr="00CE157F">
              <w:rPr>
                <w:rFonts w:ascii="Arial Narrow" w:hAnsi="Arial Narrow"/>
                <w:sz w:val="20"/>
                <w:szCs w:val="20"/>
              </w:rPr>
              <w:t>evenity</w:t>
            </w:r>
          </w:p>
        </w:tc>
      </w:tr>
      <w:tr w:rsidR="00647F3D" w:rsidRPr="00120A12" w14:paraId="0CD368CE" w14:textId="77777777" w:rsidTr="00782256">
        <w:tblPrEx>
          <w:tblCellMar>
            <w:top w:w="15" w:type="dxa"/>
            <w:left w:w="15" w:type="dxa"/>
            <w:bottom w:w="15" w:type="dxa"/>
            <w:right w:w="15" w:type="dxa"/>
          </w:tblCellMar>
          <w:tblLook w:val="04A0" w:firstRow="1" w:lastRow="0" w:firstColumn="1" w:lastColumn="0" w:noHBand="0" w:noVBand="1"/>
        </w:tblPrEx>
        <w:tc>
          <w:tcPr>
            <w:tcW w:w="9067" w:type="dxa"/>
            <w:gridSpan w:val="9"/>
            <w:tcBorders>
              <w:top w:val="single" w:sz="4" w:space="0" w:color="auto"/>
              <w:left w:val="single" w:sz="4" w:space="0" w:color="auto"/>
              <w:right w:val="single" w:sz="4" w:space="0" w:color="auto"/>
            </w:tcBorders>
          </w:tcPr>
          <w:p w14:paraId="35D378F0" w14:textId="77777777" w:rsidR="00647F3D" w:rsidRPr="00CE157F" w:rsidRDefault="00647F3D" w:rsidP="00782256">
            <w:pPr>
              <w:rPr>
                <w:rFonts w:ascii="Arial Narrow" w:hAnsi="Arial Narrow"/>
                <w:sz w:val="20"/>
                <w:szCs w:val="20"/>
              </w:rPr>
            </w:pPr>
          </w:p>
        </w:tc>
      </w:tr>
      <w:tr w:rsidR="00647F3D" w:rsidRPr="00120A12" w14:paraId="30C1F0B3" w14:textId="77777777" w:rsidTr="00782256">
        <w:tblPrEx>
          <w:tblCellMar>
            <w:top w:w="15" w:type="dxa"/>
            <w:left w:w="15" w:type="dxa"/>
            <w:bottom w:w="15" w:type="dxa"/>
            <w:right w:w="15" w:type="dxa"/>
          </w:tblCellMar>
          <w:tblLook w:val="04A0" w:firstRow="1" w:lastRow="0" w:firstColumn="1" w:lastColumn="0" w:noHBand="0" w:noVBand="1"/>
        </w:tblPrEx>
        <w:tc>
          <w:tcPr>
            <w:tcW w:w="9067" w:type="dxa"/>
            <w:gridSpan w:val="9"/>
            <w:tcBorders>
              <w:top w:val="single" w:sz="4" w:space="0" w:color="auto"/>
              <w:left w:val="single" w:sz="4" w:space="0" w:color="auto"/>
              <w:right w:val="single" w:sz="4" w:space="0" w:color="auto"/>
            </w:tcBorders>
          </w:tcPr>
          <w:p w14:paraId="2568639B" w14:textId="77777777" w:rsidR="00647F3D" w:rsidRPr="00CE157F" w:rsidRDefault="00647F3D" w:rsidP="00782256">
            <w:pPr>
              <w:rPr>
                <w:rFonts w:ascii="Arial Narrow" w:hAnsi="Arial Narrow"/>
                <w:b/>
                <w:sz w:val="20"/>
                <w:szCs w:val="20"/>
              </w:rPr>
            </w:pPr>
            <w:r w:rsidRPr="00CE157F">
              <w:rPr>
                <w:rFonts w:ascii="Arial Narrow" w:hAnsi="Arial Narrow"/>
                <w:b/>
                <w:sz w:val="20"/>
                <w:szCs w:val="20"/>
              </w:rPr>
              <w:t xml:space="preserve">Restriction Summary [new] / Treatment of Concept: [new] </w:t>
            </w:r>
          </w:p>
        </w:tc>
      </w:tr>
      <w:tr w:rsidR="00647F3D" w:rsidRPr="00120A12" w14:paraId="6601ED35" w14:textId="77777777" w:rsidTr="00782256">
        <w:tblPrEx>
          <w:tblCellMar>
            <w:top w:w="15" w:type="dxa"/>
            <w:left w:w="15" w:type="dxa"/>
            <w:bottom w:w="15" w:type="dxa"/>
            <w:right w:w="15" w:type="dxa"/>
          </w:tblCellMar>
          <w:tblLook w:val="04A0" w:firstRow="1" w:lastRow="0" w:firstColumn="1" w:lastColumn="0" w:noHBand="0" w:noVBand="1"/>
        </w:tblPrEx>
        <w:tc>
          <w:tcPr>
            <w:tcW w:w="981" w:type="dxa"/>
            <w:gridSpan w:val="2"/>
            <w:vMerge w:val="restart"/>
            <w:tcBorders>
              <w:top w:val="single" w:sz="4" w:space="0" w:color="auto"/>
              <w:left w:val="single" w:sz="4" w:space="0" w:color="auto"/>
              <w:right w:val="single" w:sz="4" w:space="0" w:color="auto"/>
            </w:tcBorders>
          </w:tcPr>
          <w:p w14:paraId="4EC48BC4" w14:textId="37E8E1FB" w:rsidR="00647F3D" w:rsidRPr="00CE157F" w:rsidRDefault="00647F3D" w:rsidP="00782256">
            <w:pPr>
              <w:jc w:val="center"/>
              <w:rPr>
                <w:rFonts w:ascii="Arial Narrow" w:hAnsi="Arial Narrow"/>
                <w:sz w:val="20"/>
                <w:szCs w:val="20"/>
              </w:rPr>
            </w:pPr>
          </w:p>
        </w:tc>
        <w:tc>
          <w:tcPr>
            <w:tcW w:w="8086" w:type="dxa"/>
            <w:gridSpan w:val="7"/>
            <w:tcBorders>
              <w:top w:val="single" w:sz="4" w:space="0" w:color="auto"/>
              <w:left w:val="single" w:sz="4" w:space="0" w:color="auto"/>
              <w:bottom w:val="single" w:sz="4" w:space="0" w:color="auto"/>
              <w:right w:val="single" w:sz="4" w:space="0" w:color="auto"/>
            </w:tcBorders>
          </w:tcPr>
          <w:p w14:paraId="6532B977" w14:textId="77777777" w:rsidR="00647F3D" w:rsidRPr="00CE157F" w:rsidRDefault="00647F3D" w:rsidP="00782256">
            <w:pPr>
              <w:rPr>
                <w:rFonts w:ascii="Arial Narrow" w:hAnsi="Arial Narrow"/>
                <w:sz w:val="20"/>
                <w:szCs w:val="20"/>
              </w:rPr>
            </w:pPr>
            <w:r w:rsidRPr="00CE157F">
              <w:rPr>
                <w:rFonts w:ascii="Arial Narrow" w:hAnsi="Arial Narrow"/>
                <w:b/>
                <w:sz w:val="20"/>
                <w:szCs w:val="20"/>
              </w:rPr>
              <w:t xml:space="preserve">Category / Program:   </w:t>
            </w:r>
            <w:r w:rsidRPr="00CE157F">
              <w:rPr>
                <w:rFonts w:ascii="Arial Narrow" w:hAnsi="Arial Narrow"/>
                <w:sz w:val="20"/>
                <w:szCs w:val="20"/>
              </w:rPr>
              <w:t>GENERAL – General Schedule (Code GE)</w:t>
            </w:r>
            <w:r w:rsidRPr="00CE157F">
              <w:rPr>
                <w:rFonts w:ascii="Arial Narrow" w:hAnsi="Arial Narrow"/>
                <w:color w:val="FF0000"/>
                <w:sz w:val="20"/>
                <w:szCs w:val="20"/>
              </w:rPr>
              <w:t xml:space="preserve"> </w:t>
            </w:r>
          </w:p>
        </w:tc>
      </w:tr>
      <w:tr w:rsidR="00647F3D" w:rsidRPr="00120A12" w14:paraId="3398F8C4" w14:textId="77777777" w:rsidTr="00782256">
        <w:tblPrEx>
          <w:tblCellMar>
            <w:top w:w="15" w:type="dxa"/>
            <w:left w:w="15" w:type="dxa"/>
            <w:bottom w:w="15" w:type="dxa"/>
            <w:right w:w="15" w:type="dxa"/>
          </w:tblCellMar>
          <w:tblLook w:val="04A0" w:firstRow="1" w:lastRow="0" w:firstColumn="1" w:lastColumn="0" w:noHBand="0" w:noVBand="1"/>
        </w:tblPrEx>
        <w:trPr>
          <w:trHeight w:val="240"/>
        </w:trPr>
        <w:tc>
          <w:tcPr>
            <w:tcW w:w="981" w:type="dxa"/>
            <w:gridSpan w:val="2"/>
            <w:vMerge/>
            <w:tcBorders>
              <w:left w:val="single" w:sz="4" w:space="0" w:color="auto"/>
              <w:right w:val="single" w:sz="4" w:space="0" w:color="auto"/>
            </w:tcBorders>
          </w:tcPr>
          <w:p w14:paraId="72F6086E" w14:textId="77777777" w:rsidR="00647F3D" w:rsidRPr="00CE157F" w:rsidRDefault="00647F3D" w:rsidP="00782256">
            <w:pPr>
              <w:rPr>
                <w:rFonts w:ascii="Arial Narrow" w:hAnsi="Arial Narrow"/>
                <w:sz w:val="20"/>
                <w:szCs w:val="20"/>
              </w:rPr>
            </w:pPr>
          </w:p>
        </w:tc>
        <w:tc>
          <w:tcPr>
            <w:tcW w:w="8086" w:type="dxa"/>
            <w:gridSpan w:val="7"/>
            <w:tcBorders>
              <w:top w:val="single" w:sz="4" w:space="0" w:color="auto"/>
              <w:left w:val="single" w:sz="4" w:space="0" w:color="auto"/>
              <w:bottom w:val="single" w:sz="4" w:space="0" w:color="auto"/>
              <w:right w:val="single" w:sz="4" w:space="0" w:color="auto"/>
            </w:tcBorders>
          </w:tcPr>
          <w:p w14:paraId="63AE5FAA" w14:textId="77777777" w:rsidR="00647F3D" w:rsidRPr="00CE157F" w:rsidRDefault="00647F3D" w:rsidP="00782256">
            <w:pPr>
              <w:rPr>
                <w:rFonts w:ascii="Arial Narrow" w:hAnsi="Arial Narrow"/>
                <w:b/>
                <w:sz w:val="20"/>
                <w:szCs w:val="20"/>
              </w:rPr>
            </w:pPr>
            <w:r w:rsidRPr="00CE157F">
              <w:rPr>
                <w:rFonts w:ascii="Arial Narrow" w:hAnsi="Arial Narrow"/>
                <w:b/>
                <w:sz w:val="20"/>
                <w:szCs w:val="20"/>
              </w:rPr>
              <w:t xml:space="preserve">Prescriber type:   </w:t>
            </w:r>
            <w:r w:rsidRPr="00CE157F">
              <w:rPr>
                <w:rFonts w:ascii="Arial Narrow" w:hAnsi="Arial Narrow"/>
                <w:sz w:val="20"/>
                <w:szCs w:val="20"/>
              </w:rPr>
              <w:fldChar w:fldCharType="begin">
                <w:ffData>
                  <w:name w:val=""/>
                  <w:enabled/>
                  <w:calcOnExit w:val="0"/>
                  <w:checkBox>
                    <w:sizeAuto/>
                    <w:default w:val="1"/>
                  </w:checkBox>
                </w:ffData>
              </w:fldChar>
            </w:r>
            <w:r w:rsidRPr="00CE157F">
              <w:rPr>
                <w:rFonts w:ascii="Arial Narrow" w:hAnsi="Arial Narrow"/>
                <w:sz w:val="20"/>
                <w:szCs w:val="20"/>
              </w:rPr>
              <w:instrText xml:space="preserve"> FORMCHECKBOX </w:instrText>
            </w:r>
            <w:r w:rsidR="00EC16BE">
              <w:rPr>
                <w:rFonts w:ascii="Arial Narrow" w:hAnsi="Arial Narrow"/>
                <w:sz w:val="20"/>
                <w:szCs w:val="20"/>
              </w:rPr>
            </w:r>
            <w:r w:rsidR="00EC16BE">
              <w:rPr>
                <w:rFonts w:ascii="Arial Narrow" w:hAnsi="Arial Narrow"/>
                <w:sz w:val="20"/>
                <w:szCs w:val="20"/>
              </w:rPr>
              <w:fldChar w:fldCharType="separate"/>
            </w:r>
            <w:r w:rsidRPr="00CE157F">
              <w:rPr>
                <w:rFonts w:ascii="Arial Narrow" w:hAnsi="Arial Narrow"/>
                <w:sz w:val="20"/>
                <w:szCs w:val="20"/>
              </w:rPr>
              <w:fldChar w:fldCharType="end"/>
            </w:r>
            <w:r w:rsidRPr="00CE157F">
              <w:rPr>
                <w:rFonts w:ascii="Arial Narrow" w:hAnsi="Arial Narrow"/>
                <w:sz w:val="20"/>
                <w:szCs w:val="20"/>
              </w:rPr>
              <w:t xml:space="preserve">Medical Practitioners </w:t>
            </w:r>
          </w:p>
        </w:tc>
      </w:tr>
      <w:tr w:rsidR="00647F3D" w:rsidRPr="00120A12" w14:paraId="2BDAD10D" w14:textId="77777777" w:rsidTr="00782256">
        <w:tblPrEx>
          <w:tblCellMar>
            <w:top w:w="15" w:type="dxa"/>
            <w:left w:w="15" w:type="dxa"/>
            <w:bottom w:w="15" w:type="dxa"/>
            <w:right w:w="15" w:type="dxa"/>
          </w:tblCellMar>
          <w:tblLook w:val="04A0" w:firstRow="1" w:lastRow="0" w:firstColumn="1" w:lastColumn="0" w:noHBand="0" w:noVBand="1"/>
        </w:tblPrEx>
        <w:trPr>
          <w:trHeight w:val="396"/>
        </w:trPr>
        <w:tc>
          <w:tcPr>
            <w:tcW w:w="981" w:type="dxa"/>
            <w:gridSpan w:val="2"/>
            <w:vMerge/>
            <w:tcBorders>
              <w:left w:val="single" w:sz="4" w:space="0" w:color="auto"/>
              <w:bottom w:val="single" w:sz="4" w:space="0" w:color="auto"/>
              <w:right w:val="single" w:sz="4" w:space="0" w:color="auto"/>
            </w:tcBorders>
          </w:tcPr>
          <w:p w14:paraId="0E8C4249" w14:textId="77777777" w:rsidR="00647F3D" w:rsidRPr="00CE157F" w:rsidRDefault="00647F3D" w:rsidP="00782256">
            <w:pPr>
              <w:rPr>
                <w:rFonts w:ascii="Arial Narrow" w:hAnsi="Arial Narrow"/>
                <w:sz w:val="20"/>
                <w:szCs w:val="20"/>
              </w:rPr>
            </w:pPr>
          </w:p>
        </w:tc>
        <w:tc>
          <w:tcPr>
            <w:tcW w:w="8086" w:type="dxa"/>
            <w:gridSpan w:val="7"/>
            <w:tcBorders>
              <w:top w:val="single" w:sz="4" w:space="0" w:color="auto"/>
              <w:left w:val="single" w:sz="4" w:space="0" w:color="auto"/>
              <w:bottom w:val="single" w:sz="4" w:space="0" w:color="auto"/>
              <w:right w:val="single" w:sz="4" w:space="0" w:color="auto"/>
            </w:tcBorders>
          </w:tcPr>
          <w:p w14:paraId="35D79E25" w14:textId="77777777" w:rsidR="00647F3D" w:rsidRPr="00CE157F" w:rsidRDefault="00647F3D" w:rsidP="00782256">
            <w:pPr>
              <w:rPr>
                <w:rFonts w:ascii="Arial Narrow" w:eastAsia="Calibri" w:hAnsi="Arial Narrow"/>
                <w:color w:val="FF00FF"/>
                <w:sz w:val="20"/>
                <w:szCs w:val="20"/>
              </w:rPr>
            </w:pPr>
            <w:r w:rsidRPr="00CE157F">
              <w:rPr>
                <w:rFonts w:ascii="Arial Narrow" w:hAnsi="Arial Narrow"/>
                <w:b/>
                <w:sz w:val="20"/>
                <w:szCs w:val="20"/>
              </w:rPr>
              <w:t xml:space="preserve">Restriction type: </w:t>
            </w:r>
            <w:r w:rsidRPr="00CE157F">
              <w:rPr>
                <w:rFonts w:ascii="Arial Narrow" w:eastAsia="Calibri" w:hAnsi="Arial Narrow"/>
                <w:sz w:val="20"/>
                <w:szCs w:val="20"/>
              </w:rPr>
              <w:fldChar w:fldCharType="begin">
                <w:ffData>
                  <w:name w:val="Check3"/>
                  <w:enabled/>
                  <w:calcOnExit w:val="0"/>
                  <w:checkBox>
                    <w:sizeAuto/>
                    <w:default w:val="1"/>
                  </w:checkBox>
                </w:ffData>
              </w:fldChar>
            </w:r>
            <w:r w:rsidRPr="00CE157F">
              <w:rPr>
                <w:rFonts w:ascii="Arial Narrow" w:eastAsia="Calibri" w:hAnsi="Arial Narrow"/>
                <w:sz w:val="20"/>
                <w:szCs w:val="20"/>
              </w:rPr>
              <w:instrText xml:space="preserve"> FORMCHECKBOX </w:instrText>
            </w:r>
            <w:r w:rsidR="00EC16BE">
              <w:rPr>
                <w:rFonts w:ascii="Arial Narrow" w:eastAsia="Calibri" w:hAnsi="Arial Narrow"/>
                <w:sz w:val="20"/>
                <w:szCs w:val="20"/>
              </w:rPr>
            </w:r>
            <w:r w:rsidR="00EC16BE">
              <w:rPr>
                <w:rFonts w:ascii="Arial Narrow" w:eastAsia="Calibri" w:hAnsi="Arial Narrow"/>
                <w:sz w:val="20"/>
                <w:szCs w:val="20"/>
              </w:rPr>
              <w:fldChar w:fldCharType="separate"/>
            </w:r>
            <w:r w:rsidRPr="00CE157F">
              <w:rPr>
                <w:rFonts w:ascii="Arial Narrow" w:eastAsia="Calibri" w:hAnsi="Arial Narrow"/>
                <w:sz w:val="20"/>
                <w:szCs w:val="20"/>
              </w:rPr>
              <w:fldChar w:fldCharType="end"/>
            </w:r>
            <w:r w:rsidRPr="00CE157F">
              <w:rPr>
                <w:rFonts w:ascii="Arial Narrow" w:eastAsia="Calibri" w:hAnsi="Arial Narrow"/>
                <w:sz w:val="20"/>
                <w:szCs w:val="20"/>
              </w:rPr>
              <w:t xml:space="preserve">Authority Required (telephone/online PBS Authorities system) </w:t>
            </w:r>
          </w:p>
        </w:tc>
      </w:tr>
      <w:tr w:rsidR="00647F3D" w:rsidRPr="00120A12" w14:paraId="411F03E4" w14:textId="77777777" w:rsidTr="00782256">
        <w:tblPrEx>
          <w:tblCellMar>
            <w:top w:w="15" w:type="dxa"/>
            <w:left w:w="15" w:type="dxa"/>
            <w:bottom w:w="15" w:type="dxa"/>
            <w:right w:w="15" w:type="dxa"/>
          </w:tblCellMar>
          <w:tblLook w:val="04A0" w:firstRow="1" w:lastRow="0" w:firstColumn="1" w:lastColumn="0" w:noHBand="0" w:noVBand="1"/>
        </w:tblPrEx>
        <w:tc>
          <w:tcPr>
            <w:tcW w:w="490" w:type="dxa"/>
            <w:vMerge w:val="restart"/>
            <w:tcBorders>
              <w:left w:val="single" w:sz="4" w:space="0" w:color="auto"/>
              <w:right w:val="single" w:sz="4" w:space="0" w:color="auto"/>
            </w:tcBorders>
            <w:textDirection w:val="btLr"/>
          </w:tcPr>
          <w:p w14:paraId="0492B0E0" w14:textId="77777777" w:rsidR="00647F3D" w:rsidRPr="00CE157F" w:rsidRDefault="00647F3D" w:rsidP="00782256">
            <w:pPr>
              <w:ind w:left="113" w:right="113"/>
              <w:rPr>
                <w:rFonts w:ascii="Arial Narrow" w:hAnsi="Arial Narrow"/>
                <w:sz w:val="20"/>
                <w:szCs w:val="20"/>
              </w:rPr>
            </w:pPr>
            <w:r w:rsidRPr="00CE157F">
              <w:rPr>
                <w:rFonts w:ascii="Arial Narrow" w:hAnsi="Arial Narrow"/>
                <w:sz w:val="20"/>
                <w:szCs w:val="20"/>
              </w:rPr>
              <w:t>Prescribing rule level</w:t>
            </w:r>
          </w:p>
        </w:tc>
        <w:tc>
          <w:tcPr>
            <w:tcW w:w="491" w:type="dxa"/>
          </w:tcPr>
          <w:p w14:paraId="0A9829FD" w14:textId="7C32373E" w:rsidR="00647F3D" w:rsidRPr="00CE157F" w:rsidRDefault="00647F3D" w:rsidP="00782256">
            <w:pPr>
              <w:jc w:val="center"/>
              <w:rPr>
                <w:rFonts w:ascii="Arial Narrow" w:hAnsi="Arial Narrow"/>
                <w:color w:val="333333"/>
                <w:sz w:val="20"/>
                <w:szCs w:val="20"/>
              </w:rPr>
            </w:pPr>
          </w:p>
        </w:tc>
        <w:tc>
          <w:tcPr>
            <w:tcW w:w="8086" w:type="dxa"/>
            <w:gridSpan w:val="7"/>
          </w:tcPr>
          <w:p w14:paraId="0A8F939F" w14:textId="77777777" w:rsidR="00647F3D" w:rsidRPr="00CE157F" w:rsidRDefault="00647F3D" w:rsidP="00782256">
            <w:pPr>
              <w:rPr>
                <w:rFonts w:ascii="Arial Narrow" w:hAnsi="Arial Narrow"/>
                <w:color w:val="333333"/>
                <w:sz w:val="20"/>
                <w:szCs w:val="20"/>
              </w:rPr>
            </w:pPr>
            <w:r w:rsidRPr="00CE157F">
              <w:rPr>
                <w:rFonts w:ascii="Arial Narrow" w:hAnsi="Arial Narrow"/>
                <w:b/>
                <w:bCs/>
                <w:color w:val="333333"/>
                <w:sz w:val="20"/>
                <w:szCs w:val="20"/>
              </w:rPr>
              <w:t>Administrative advice:</w:t>
            </w:r>
            <w:r w:rsidRPr="00CE157F">
              <w:rPr>
                <w:rFonts w:ascii="Arial Narrow" w:hAnsi="Arial Narrow"/>
                <w:color w:val="333333"/>
                <w:sz w:val="20"/>
                <w:szCs w:val="20"/>
              </w:rPr>
              <w:t xml:space="preserve"> No increase in the maximum quantity or number of units may be authorised.</w:t>
            </w:r>
          </w:p>
        </w:tc>
      </w:tr>
      <w:tr w:rsidR="00647F3D" w:rsidRPr="00120A12" w14:paraId="56227B23" w14:textId="77777777" w:rsidTr="00782256">
        <w:tblPrEx>
          <w:tblCellMar>
            <w:top w:w="15" w:type="dxa"/>
            <w:left w:w="15" w:type="dxa"/>
            <w:bottom w:w="15" w:type="dxa"/>
            <w:right w:w="15" w:type="dxa"/>
          </w:tblCellMar>
          <w:tblLook w:val="04A0" w:firstRow="1" w:lastRow="0" w:firstColumn="1" w:lastColumn="0" w:noHBand="0" w:noVBand="1"/>
        </w:tblPrEx>
        <w:tc>
          <w:tcPr>
            <w:tcW w:w="490" w:type="dxa"/>
            <w:vMerge/>
            <w:tcBorders>
              <w:left w:val="single" w:sz="4" w:space="0" w:color="auto"/>
              <w:right w:val="single" w:sz="4" w:space="0" w:color="auto"/>
            </w:tcBorders>
          </w:tcPr>
          <w:p w14:paraId="5DE52675" w14:textId="77777777" w:rsidR="00647F3D" w:rsidRPr="00CE157F" w:rsidRDefault="00647F3D" w:rsidP="00782256">
            <w:pPr>
              <w:rPr>
                <w:rFonts w:ascii="Arial Narrow" w:hAnsi="Arial Narrow"/>
                <w:sz w:val="20"/>
                <w:szCs w:val="20"/>
              </w:rPr>
            </w:pPr>
          </w:p>
        </w:tc>
        <w:tc>
          <w:tcPr>
            <w:tcW w:w="491" w:type="dxa"/>
          </w:tcPr>
          <w:p w14:paraId="3B012E2C" w14:textId="2D7E364B" w:rsidR="00647F3D" w:rsidRPr="00CE157F" w:rsidRDefault="00647F3D" w:rsidP="00782256">
            <w:pPr>
              <w:jc w:val="center"/>
              <w:rPr>
                <w:rFonts w:ascii="Arial Narrow" w:hAnsi="Arial Narrow"/>
                <w:color w:val="333333"/>
                <w:sz w:val="20"/>
                <w:szCs w:val="20"/>
              </w:rPr>
            </w:pPr>
          </w:p>
        </w:tc>
        <w:tc>
          <w:tcPr>
            <w:tcW w:w="8086" w:type="dxa"/>
            <w:gridSpan w:val="7"/>
          </w:tcPr>
          <w:p w14:paraId="37551564" w14:textId="77777777" w:rsidR="00647F3D" w:rsidRPr="00CE157F" w:rsidRDefault="00647F3D" w:rsidP="00782256">
            <w:pPr>
              <w:rPr>
                <w:rFonts w:ascii="Arial Narrow" w:hAnsi="Arial Narrow"/>
                <w:color w:val="333333"/>
                <w:sz w:val="20"/>
                <w:szCs w:val="20"/>
              </w:rPr>
            </w:pPr>
            <w:r w:rsidRPr="00CE157F">
              <w:rPr>
                <w:rFonts w:ascii="Arial Narrow" w:hAnsi="Arial Narrow"/>
                <w:b/>
                <w:bCs/>
                <w:color w:val="333333"/>
                <w:sz w:val="20"/>
                <w:szCs w:val="20"/>
              </w:rPr>
              <w:t>Administrative advice:</w:t>
            </w:r>
            <w:r w:rsidRPr="00CE157F">
              <w:rPr>
                <w:rFonts w:ascii="Arial Narrow" w:hAnsi="Arial Narrow"/>
                <w:color w:val="333333"/>
                <w:sz w:val="20"/>
                <w:szCs w:val="20"/>
              </w:rPr>
              <w:t xml:space="preserve"> No increase in the maximum number of repeats may be authorised.</w:t>
            </w:r>
          </w:p>
        </w:tc>
      </w:tr>
      <w:tr w:rsidR="00647F3D" w:rsidRPr="00120A12" w14:paraId="32967C70" w14:textId="77777777" w:rsidTr="00782256">
        <w:tblPrEx>
          <w:tblCellMar>
            <w:top w:w="15" w:type="dxa"/>
            <w:left w:w="15" w:type="dxa"/>
            <w:bottom w:w="15" w:type="dxa"/>
            <w:right w:w="15" w:type="dxa"/>
          </w:tblCellMar>
          <w:tblLook w:val="04A0" w:firstRow="1" w:lastRow="0" w:firstColumn="1" w:lastColumn="0" w:noHBand="0" w:noVBand="1"/>
        </w:tblPrEx>
        <w:tc>
          <w:tcPr>
            <w:tcW w:w="490" w:type="dxa"/>
            <w:vMerge/>
            <w:tcBorders>
              <w:left w:val="single" w:sz="4" w:space="0" w:color="auto"/>
              <w:bottom w:val="single" w:sz="4" w:space="0" w:color="auto"/>
              <w:right w:val="single" w:sz="4" w:space="0" w:color="auto"/>
            </w:tcBorders>
          </w:tcPr>
          <w:p w14:paraId="03DAD771" w14:textId="77777777" w:rsidR="00647F3D" w:rsidRPr="00CE157F" w:rsidRDefault="00647F3D" w:rsidP="00782256">
            <w:pPr>
              <w:rPr>
                <w:rFonts w:ascii="Arial Narrow" w:hAnsi="Arial Narrow"/>
                <w:sz w:val="20"/>
                <w:szCs w:val="20"/>
              </w:rPr>
            </w:pPr>
          </w:p>
        </w:tc>
        <w:tc>
          <w:tcPr>
            <w:tcW w:w="491" w:type="dxa"/>
          </w:tcPr>
          <w:p w14:paraId="7D87C8D6" w14:textId="5DF59CF5" w:rsidR="00647F3D" w:rsidRPr="00CE157F" w:rsidRDefault="00647F3D" w:rsidP="00782256">
            <w:pPr>
              <w:jc w:val="center"/>
              <w:rPr>
                <w:rFonts w:ascii="Arial Narrow" w:hAnsi="Arial Narrow"/>
                <w:color w:val="333333"/>
                <w:sz w:val="20"/>
                <w:szCs w:val="20"/>
              </w:rPr>
            </w:pPr>
          </w:p>
        </w:tc>
        <w:tc>
          <w:tcPr>
            <w:tcW w:w="8086" w:type="dxa"/>
            <w:gridSpan w:val="7"/>
          </w:tcPr>
          <w:p w14:paraId="5D30C22F" w14:textId="77777777" w:rsidR="00647F3D" w:rsidRPr="00CE157F" w:rsidRDefault="00647F3D" w:rsidP="00782256">
            <w:pPr>
              <w:rPr>
                <w:rFonts w:ascii="Arial Narrow" w:hAnsi="Arial Narrow"/>
                <w:color w:val="333333"/>
                <w:sz w:val="20"/>
                <w:szCs w:val="20"/>
              </w:rPr>
            </w:pPr>
            <w:r w:rsidRPr="00CE157F">
              <w:rPr>
                <w:rFonts w:ascii="Arial Narrow" w:hAnsi="Arial Narrow"/>
                <w:b/>
                <w:bCs/>
                <w:color w:val="333333"/>
                <w:sz w:val="20"/>
                <w:szCs w:val="20"/>
              </w:rPr>
              <w:t>Administrative advice</w:t>
            </w:r>
            <w:r w:rsidRPr="00CE157F">
              <w:rPr>
                <w:rFonts w:ascii="Arial Narrow" w:hAnsi="Arial Narrow"/>
                <w:color w:val="333333"/>
                <w:sz w:val="20"/>
                <w:szCs w:val="20"/>
              </w:rPr>
              <w:t>: Special Pricing Arrangements apply.</w:t>
            </w:r>
          </w:p>
        </w:tc>
      </w:tr>
      <w:tr w:rsidR="00647F3D" w:rsidRPr="001A310D" w14:paraId="13955610" w14:textId="77777777" w:rsidTr="00782256">
        <w:tblPrEx>
          <w:tblCellMar>
            <w:top w:w="15" w:type="dxa"/>
            <w:left w:w="15" w:type="dxa"/>
            <w:bottom w:w="15" w:type="dxa"/>
            <w:right w:w="15" w:type="dxa"/>
          </w:tblCellMar>
          <w:tblLook w:val="04A0" w:firstRow="1" w:lastRow="0" w:firstColumn="1" w:lastColumn="0" w:noHBand="0" w:noVBand="1"/>
        </w:tblPrEx>
        <w:tc>
          <w:tcPr>
            <w:tcW w:w="981" w:type="dxa"/>
            <w:gridSpan w:val="2"/>
            <w:vMerge w:val="restart"/>
            <w:vAlign w:val="center"/>
          </w:tcPr>
          <w:p w14:paraId="523095B9" w14:textId="77777777" w:rsidR="00647F3D" w:rsidRPr="00CE157F" w:rsidRDefault="00647F3D" w:rsidP="00782256">
            <w:pPr>
              <w:jc w:val="center"/>
              <w:rPr>
                <w:rFonts w:ascii="Arial Narrow" w:hAnsi="Arial Narrow"/>
                <w:color w:val="DDD9C3" w:themeColor="background2" w:themeShade="E6"/>
                <w:sz w:val="20"/>
                <w:szCs w:val="20"/>
              </w:rPr>
            </w:pPr>
          </w:p>
        </w:tc>
        <w:tc>
          <w:tcPr>
            <w:tcW w:w="8086" w:type="dxa"/>
            <w:gridSpan w:val="7"/>
            <w:vAlign w:val="center"/>
          </w:tcPr>
          <w:p w14:paraId="2CECCD86" w14:textId="77777777" w:rsidR="00647F3D" w:rsidRPr="00CE157F" w:rsidRDefault="00647F3D" w:rsidP="00782256">
            <w:pPr>
              <w:rPr>
                <w:rFonts w:ascii="Arial Narrow" w:hAnsi="Arial Narrow"/>
                <w:bCs/>
                <w:color w:val="DDD9C3" w:themeColor="background2" w:themeShade="E6"/>
                <w:sz w:val="20"/>
                <w:szCs w:val="20"/>
              </w:rPr>
            </w:pPr>
            <w:r w:rsidRPr="00CE157F">
              <w:rPr>
                <w:rFonts w:ascii="Arial Narrow" w:hAnsi="Arial Narrow"/>
                <w:b/>
                <w:bCs/>
                <w:color w:val="DDD9C3" w:themeColor="background2" w:themeShade="E6"/>
                <w:sz w:val="20"/>
                <w:szCs w:val="20"/>
              </w:rPr>
              <w:t xml:space="preserve">Episodicity: </w:t>
            </w:r>
          </w:p>
        </w:tc>
      </w:tr>
      <w:tr w:rsidR="00647F3D" w:rsidRPr="00120A12" w14:paraId="7F2229F3" w14:textId="77777777" w:rsidTr="00782256">
        <w:tblPrEx>
          <w:tblCellMar>
            <w:top w:w="15" w:type="dxa"/>
            <w:left w:w="15" w:type="dxa"/>
            <w:bottom w:w="15" w:type="dxa"/>
            <w:right w:w="15" w:type="dxa"/>
          </w:tblCellMar>
          <w:tblLook w:val="04A0" w:firstRow="1" w:lastRow="0" w:firstColumn="1" w:lastColumn="0" w:noHBand="0" w:noVBand="1"/>
        </w:tblPrEx>
        <w:tc>
          <w:tcPr>
            <w:tcW w:w="981" w:type="dxa"/>
            <w:gridSpan w:val="2"/>
            <w:vMerge/>
            <w:vAlign w:val="center"/>
          </w:tcPr>
          <w:p w14:paraId="6313691F" w14:textId="77777777" w:rsidR="00647F3D" w:rsidRPr="00CE157F" w:rsidRDefault="00647F3D" w:rsidP="00782256">
            <w:pPr>
              <w:jc w:val="center"/>
              <w:rPr>
                <w:rFonts w:ascii="Arial Narrow" w:hAnsi="Arial Narrow"/>
                <w:color w:val="DDD9C3" w:themeColor="background2" w:themeShade="E6"/>
                <w:sz w:val="20"/>
                <w:szCs w:val="20"/>
              </w:rPr>
            </w:pPr>
          </w:p>
        </w:tc>
        <w:tc>
          <w:tcPr>
            <w:tcW w:w="8086" w:type="dxa"/>
            <w:gridSpan w:val="7"/>
            <w:vAlign w:val="center"/>
          </w:tcPr>
          <w:p w14:paraId="7AB4A4C6" w14:textId="77777777" w:rsidR="00647F3D" w:rsidRPr="00CE157F" w:rsidRDefault="00647F3D" w:rsidP="00782256">
            <w:pPr>
              <w:rPr>
                <w:rFonts w:ascii="Arial Narrow" w:hAnsi="Arial Narrow"/>
                <w:b/>
                <w:bCs/>
                <w:color w:val="DDD9C3" w:themeColor="background2" w:themeShade="E6"/>
                <w:sz w:val="20"/>
                <w:szCs w:val="20"/>
              </w:rPr>
            </w:pPr>
            <w:r w:rsidRPr="00CE157F">
              <w:rPr>
                <w:rFonts w:ascii="Arial Narrow" w:hAnsi="Arial Narrow"/>
                <w:b/>
                <w:bCs/>
                <w:color w:val="DDD9C3" w:themeColor="background2" w:themeShade="E6"/>
                <w:sz w:val="20"/>
                <w:szCs w:val="20"/>
              </w:rPr>
              <w:t xml:space="preserve">Severity: Severe </w:t>
            </w:r>
          </w:p>
        </w:tc>
      </w:tr>
      <w:tr w:rsidR="00647F3D" w:rsidRPr="00120A12" w14:paraId="26059A02" w14:textId="77777777" w:rsidTr="00782256">
        <w:tblPrEx>
          <w:tblCellMar>
            <w:top w:w="15" w:type="dxa"/>
            <w:left w:w="15" w:type="dxa"/>
            <w:bottom w:w="15" w:type="dxa"/>
            <w:right w:w="15" w:type="dxa"/>
          </w:tblCellMar>
          <w:tblLook w:val="04A0" w:firstRow="1" w:lastRow="0" w:firstColumn="1" w:lastColumn="0" w:noHBand="0" w:noVBand="1"/>
        </w:tblPrEx>
        <w:tc>
          <w:tcPr>
            <w:tcW w:w="981" w:type="dxa"/>
            <w:gridSpan w:val="2"/>
            <w:vMerge/>
            <w:vAlign w:val="center"/>
          </w:tcPr>
          <w:p w14:paraId="5CB05061" w14:textId="77777777" w:rsidR="00647F3D" w:rsidRPr="00CE157F" w:rsidRDefault="00647F3D" w:rsidP="00782256">
            <w:pPr>
              <w:jc w:val="center"/>
              <w:rPr>
                <w:rFonts w:ascii="Arial Narrow" w:hAnsi="Arial Narrow"/>
                <w:color w:val="DDD9C3" w:themeColor="background2" w:themeShade="E6"/>
                <w:sz w:val="20"/>
                <w:szCs w:val="20"/>
              </w:rPr>
            </w:pPr>
          </w:p>
        </w:tc>
        <w:tc>
          <w:tcPr>
            <w:tcW w:w="8086" w:type="dxa"/>
            <w:gridSpan w:val="7"/>
            <w:vAlign w:val="center"/>
          </w:tcPr>
          <w:p w14:paraId="730871E0" w14:textId="77777777" w:rsidR="00647F3D" w:rsidRPr="00CE157F" w:rsidRDefault="00647F3D" w:rsidP="00782256">
            <w:pPr>
              <w:rPr>
                <w:rFonts w:ascii="Arial Narrow" w:hAnsi="Arial Narrow"/>
                <w:b/>
                <w:bCs/>
                <w:color w:val="DDD9C3" w:themeColor="background2" w:themeShade="E6"/>
                <w:sz w:val="20"/>
                <w:szCs w:val="20"/>
              </w:rPr>
            </w:pPr>
            <w:r w:rsidRPr="00CE157F">
              <w:rPr>
                <w:rFonts w:ascii="Arial Narrow" w:hAnsi="Arial Narrow"/>
                <w:b/>
                <w:bCs/>
                <w:color w:val="DDD9C3" w:themeColor="background2" w:themeShade="E6"/>
                <w:sz w:val="20"/>
                <w:szCs w:val="20"/>
              </w:rPr>
              <w:t>Condition: Established osteoporosis</w:t>
            </w:r>
          </w:p>
        </w:tc>
      </w:tr>
      <w:tr w:rsidR="00647F3D" w:rsidRPr="00120A12" w14:paraId="2F86ABE8" w14:textId="77777777" w:rsidTr="00A11377">
        <w:tblPrEx>
          <w:tblCellMar>
            <w:top w:w="15" w:type="dxa"/>
            <w:left w:w="15" w:type="dxa"/>
            <w:bottom w:w="15" w:type="dxa"/>
            <w:right w:w="15" w:type="dxa"/>
          </w:tblCellMar>
          <w:tblLook w:val="04A0" w:firstRow="1" w:lastRow="0" w:firstColumn="1" w:lastColumn="0" w:noHBand="0" w:noVBand="1"/>
        </w:tblPrEx>
        <w:tc>
          <w:tcPr>
            <w:tcW w:w="981" w:type="dxa"/>
            <w:gridSpan w:val="2"/>
            <w:vAlign w:val="center"/>
          </w:tcPr>
          <w:p w14:paraId="3FF20D7A" w14:textId="3293484F" w:rsidR="00647F3D" w:rsidRPr="00CE157F" w:rsidRDefault="00647F3D" w:rsidP="00782256">
            <w:pPr>
              <w:jc w:val="center"/>
              <w:rPr>
                <w:rFonts w:ascii="Arial Narrow" w:hAnsi="Arial Narrow"/>
                <w:color w:val="333333"/>
                <w:sz w:val="20"/>
                <w:szCs w:val="20"/>
              </w:rPr>
            </w:pPr>
          </w:p>
        </w:tc>
        <w:tc>
          <w:tcPr>
            <w:tcW w:w="8086" w:type="dxa"/>
            <w:gridSpan w:val="7"/>
            <w:vAlign w:val="center"/>
            <w:hideMark/>
          </w:tcPr>
          <w:p w14:paraId="43FBD77D" w14:textId="77777777" w:rsidR="00647F3D" w:rsidRPr="00CE157F" w:rsidRDefault="00647F3D" w:rsidP="00782256">
            <w:pPr>
              <w:rPr>
                <w:rFonts w:ascii="Arial Narrow" w:hAnsi="Arial Narrow"/>
                <w:color w:val="333333"/>
                <w:sz w:val="20"/>
                <w:szCs w:val="20"/>
              </w:rPr>
            </w:pPr>
            <w:r w:rsidRPr="00CE157F">
              <w:rPr>
                <w:rFonts w:ascii="Arial Narrow" w:hAnsi="Arial Narrow"/>
                <w:b/>
                <w:bCs/>
                <w:color w:val="333333"/>
                <w:sz w:val="20"/>
                <w:szCs w:val="20"/>
              </w:rPr>
              <w:t>Indication:</w:t>
            </w:r>
            <w:r w:rsidRPr="00CE157F">
              <w:rPr>
                <w:rFonts w:ascii="Arial Narrow" w:hAnsi="Arial Narrow"/>
                <w:color w:val="333333"/>
                <w:sz w:val="20"/>
                <w:szCs w:val="20"/>
              </w:rPr>
              <w:t xml:space="preserve"> Severe established osteoporosis </w:t>
            </w:r>
          </w:p>
        </w:tc>
      </w:tr>
      <w:tr w:rsidR="00647F3D" w:rsidRPr="00B90897" w14:paraId="02F68118" w14:textId="77777777" w:rsidTr="00A11377">
        <w:tblPrEx>
          <w:tblCellMar>
            <w:top w:w="15" w:type="dxa"/>
            <w:left w:w="15" w:type="dxa"/>
            <w:bottom w:w="15" w:type="dxa"/>
            <w:right w:w="15" w:type="dxa"/>
          </w:tblCellMar>
          <w:tblLook w:val="04A0" w:firstRow="1" w:lastRow="0" w:firstColumn="1" w:lastColumn="0" w:noHBand="0" w:noVBand="1"/>
        </w:tblPrEx>
        <w:tc>
          <w:tcPr>
            <w:tcW w:w="981" w:type="dxa"/>
            <w:gridSpan w:val="2"/>
            <w:vAlign w:val="center"/>
          </w:tcPr>
          <w:p w14:paraId="5C7DA06C" w14:textId="77777777" w:rsidR="00647F3D" w:rsidRPr="00CE157F" w:rsidRDefault="00647F3D" w:rsidP="00782256">
            <w:pPr>
              <w:jc w:val="center"/>
              <w:rPr>
                <w:rFonts w:ascii="Arial Narrow" w:hAnsi="Arial Narrow"/>
                <w:color w:val="333333"/>
                <w:sz w:val="20"/>
                <w:szCs w:val="20"/>
              </w:rPr>
            </w:pPr>
          </w:p>
        </w:tc>
        <w:tc>
          <w:tcPr>
            <w:tcW w:w="8086" w:type="dxa"/>
            <w:gridSpan w:val="7"/>
            <w:vAlign w:val="center"/>
            <w:hideMark/>
          </w:tcPr>
          <w:p w14:paraId="5A803177" w14:textId="77777777" w:rsidR="00647F3D" w:rsidRPr="00CE157F" w:rsidRDefault="00647F3D" w:rsidP="00782256">
            <w:pPr>
              <w:rPr>
                <w:rFonts w:ascii="Arial Narrow" w:hAnsi="Arial Narrow"/>
                <w:color w:val="FF00FF"/>
                <w:sz w:val="20"/>
                <w:szCs w:val="20"/>
              </w:rPr>
            </w:pPr>
            <w:r w:rsidRPr="00CE157F">
              <w:rPr>
                <w:rFonts w:ascii="Arial Narrow" w:hAnsi="Arial Narrow"/>
                <w:b/>
                <w:bCs/>
                <w:color w:val="333333"/>
                <w:sz w:val="20"/>
                <w:szCs w:val="20"/>
              </w:rPr>
              <w:t>Treatment Phase:</w:t>
            </w:r>
            <w:r w:rsidRPr="00CE157F">
              <w:rPr>
                <w:rFonts w:ascii="Arial Narrow" w:hAnsi="Arial Narrow"/>
                <w:color w:val="FF0000"/>
                <w:sz w:val="20"/>
                <w:szCs w:val="20"/>
              </w:rPr>
              <w:t xml:space="preserve"> </w:t>
            </w:r>
            <w:r w:rsidRPr="00CE157F">
              <w:rPr>
                <w:rFonts w:ascii="Arial Narrow" w:hAnsi="Arial Narrow"/>
                <w:color w:val="333333"/>
                <w:sz w:val="20"/>
                <w:szCs w:val="20"/>
              </w:rPr>
              <w:t>Initial treatment</w:t>
            </w:r>
            <w:r w:rsidRPr="00CE157F">
              <w:rPr>
                <w:rFonts w:ascii="Arial Narrow" w:hAnsi="Arial Narrow"/>
                <w:color w:val="FF0000"/>
                <w:sz w:val="20"/>
                <w:szCs w:val="20"/>
              </w:rPr>
              <w:t xml:space="preserve">  </w:t>
            </w:r>
          </w:p>
        </w:tc>
      </w:tr>
      <w:tr w:rsidR="00647F3D" w:rsidRPr="007F2BB2" w14:paraId="6DBACC8A" w14:textId="77777777" w:rsidTr="00A11377">
        <w:tblPrEx>
          <w:tblCellMar>
            <w:top w:w="15" w:type="dxa"/>
            <w:left w:w="15" w:type="dxa"/>
            <w:bottom w:w="15" w:type="dxa"/>
            <w:right w:w="15" w:type="dxa"/>
          </w:tblCellMar>
          <w:tblLook w:val="04A0" w:firstRow="1" w:lastRow="0" w:firstColumn="1" w:lastColumn="0" w:noHBand="0" w:noVBand="1"/>
        </w:tblPrEx>
        <w:tc>
          <w:tcPr>
            <w:tcW w:w="981" w:type="dxa"/>
            <w:gridSpan w:val="2"/>
            <w:vAlign w:val="center"/>
          </w:tcPr>
          <w:p w14:paraId="45C3278C" w14:textId="5749C85A" w:rsidR="00647F3D" w:rsidRPr="00CE157F" w:rsidRDefault="00647F3D" w:rsidP="00782256">
            <w:pPr>
              <w:jc w:val="center"/>
              <w:rPr>
                <w:rFonts w:ascii="Arial Narrow" w:hAnsi="Arial Narrow"/>
                <w:color w:val="333333"/>
                <w:sz w:val="20"/>
                <w:szCs w:val="20"/>
              </w:rPr>
            </w:pPr>
          </w:p>
        </w:tc>
        <w:tc>
          <w:tcPr>
            <w:tcW w:w="8086" w:type="dxa"/>
            <w:gridSpan w:val="7"/>
            <w:vAlign w:val="center"/>
            <w:hideMark/>
          </w:tcPr>
          <w:p w14:paraId="6AD0F7AE" w14:textId="77777777" w:rsidR="00647F3D" w:rsidRPr="00CE157F" w:rsidRDefault="00647F3D" w:rsidP="00782256">
            <w:pPr>
              <w:rPr>
                <w:rFonts w:ascii="Arial Narrow" w:hAnsi="Arial Narrow"/>
                <w:color w:val="FF00FF"/>
                <w:sz w:val="20"/>
                <w:szCs w:val="20"/>
              </w:rPr>
            </w:pPr>
            <w:r w:rsidRPr="00CE157F">
              <w:rPr>
                <w:rFonts w:ascii="Arial Narrow" w:hAnsi="Arial Narrow"/>
                <w:b/>
                <w:bCs/>
                <w:color w:val="333333"/>
                <w:sz w:val="20"/>
                <w:szCs w:val="20"/>
              </w:rPr>
              <w:t xml:space="preserve">Clinical criteria: </w:t>
            </w:r>
          </w:p>
        </w:tc>
      </w:tr>
      <w:tr w:rsidR="00647F3D" w:rsidRPr="00720161" w14:paraId="0F8FF242" w14:textId="77777777" w:rsidTr="00A11377">
        <w:tblPrEx>
          <w:tblCellMar>
            <w:top w:w="15" w:type="dxa"/>
            <w:left w:w="15" w:type="dxa"/>
            <w:bottom w:w="15" w:type="dxa"/>
            <w:right w:w="15" w:type="dxa"/>
          </w:tblCellMar>
          <w:tblLook w:val="04A0" w:firstRow="1" w:lastRow="0" w:firstColumn="1" w:lastColumn="0" w:noHBand="0" w:noVBand="1"/>
        </w:tblPrEx>
        <w:tc>
          <w:tcPr>
            <w:tcW w:w="981" w:type="dxa"/>
            <w:gridSpan w:val="2"/>
            <w:vAlign w:val="center"/>
          </w:tcPr>
          <w:p w14:paraId="3245AD90" w14:textId="449813BD" w:rsidR="00647F3D" w:rsidRPr="00CE157F" w:rsidRDefault="00647F3D" w:rsidP="00782256">
            <w:pPr>
              <w:jc w:val="center"/>
              <w:rPr>
                <w:rFonts w:ascii="Arial Narrow" w:hAnsi="Arial Narrow"/>
                <w:color w:val="333333"/>
                <w:sz w:val="20"/>
                <w:szCs w:val="20"/>
              </w:rPr>
            </w:pPr>
          </w:p>
        </w:tc>
        <w:tc>
          <w:tcPr>
            <w:tcW w:w="8086" w:type="dxa"/>
            <w:gridSpan w:val="7"/>
            <w:vAlign w:val="center"/>
            <w:hideMark/>
          </w:tcPr>
          <w:p w14:paraId="362048A7" w14:textId="77777777" w:rsidR="00647F3D" w:rsidRPr="00CE157F" w:rsidRDefault="00647F3D" w:rsidP="00782256">
            <w:pPr>
              <w:rPr>
                <w:rFonts w:ascii="Arial Narrow" w:hAnsi="Arial Narrow"/>
                <w:color w:val="333333"/>
                <w:sz w:val="20"/>
                <w:szCs w:val="20"/>
              </w:rPr>
            </w:pPr>
            <w:r w:rsidRPr="00CE157F">
              <w:rPr>
                <w:rFonts w:ascii="Arial Narrow" w:hAnsi="Arial Narrow"/>
                <w:color w:val="333333"/>
                <w:sz w:val="20"/>
                <w:szCs w:val="20"/>
              </w:rPr>
              <w:t>Patient must be at very high risk of fracture.</w:t>
            </w:r>
          </w:p>
        </w:tc>
      </w:tr>
      <w:tr w:rsidR="00647F3D" w:rsidRPr="00120A12" w14:paraId="723FE9EA" w14:textId="77777777" w:rsidTr="00A11377">
        <w:tblPrEx>
          <w:tblCellMar>
            <w:top w:w="15" w:type="dxa"/>
            <w:left w:w="15" w:type="dxa"/>
            <w:bottom w:w="15" w:type="dxa"/>
            <w:right w:w="15" w:type="dxa"/>
          </w:tblCellMar>
          <w:tblLook w:val="04A0" w:firstRow="1" w:lastRow="0" w:firstColumn="1" w:lastColumn="0" w:noHBand="0" w:noVBand="1"/>
        </w:tblPrEx>
        <w:tc>
          <w:tcPr>
            <w:tcW w:w="981" w:type="dxa"/>
            <w:gridSpan w:val="2"/>
            <w:vAlign w:val="center"/>
          </w:tcPr>
          <w:p w14:paraId="204D7B4F" w14:textId="77777777" w:rsidR="00647F3D" w:rsidRPr="00CE157F" w:rsidRDefault="00647F3D" w:rsidP="00782256">
            <w:pPr>
              <w:jc w:val="center"/>
              <w:rPr>
                <w:rFonts w:ascii="Arial Narrow" w:hAnsi="Arial Narrow"/>
                <w:color w:val="333333"/>
                <w:sz w:val="20"/>
                <w:szCs w:val="20"/>
              </w:rPr>
            </w:pPr>
          </w:p>
        </w:tc>
        <w:tc>
          <w:tcPr>
            <w:tcW w:w="8086" w:type="dxa"/>
            <w:gridSpan w:val="7"/>
            <w:vAlign w:val="center"/>
            <w:hideMark/>
          </w:tcPr>
          <w:p w14:paraId="57805B6B" w14:textId="77777777" w:rsidR="00647F3D" w:rsidRPr="00CE157F" w:rsidRDefault="00647F3D" w:rsidP="00782256">
            <w:pPr>
              <w:rPr>
                <w:rFonts w:ascii="Arial Narrow" w:hAnsi="Arial Narrow"/>
                <w:color w:val="333333"/>
                <w:sz w:val="20"/>
                <w:szCs w:val="20"/>
              </w:rPr>
            </w:pPr>
            <w:r w:rsidRPr="00CE157F">
              <w:rPr>
                <w:rFonts w:ascii="Arial Narrow" w:hAnsi="Arial Narrow"/>
                <w:b/>
                <w:bCs/>
                <w:color w:val="333333"/>
                <w:sz w:val="20"/>
                <w:szCs w:val="20"/>
              </w:rPr>
              <w:t>AND</w:t>
            </w:r>
          </w:p>
        </w:tc>
      </w:tr>
      <w:tr w:rsidR="00647F3D" w:rsidRPr="00120A12" w14:paraId="704A4ECE" w14:textId="77777777" w:rsidTr="00782256">
        <w:tblPrEx>
          <w:tblCellMar>
            <w:top w:w="15" w:type="dxa"/>
            <w:left w:w="15" w:type="dxa"/>
            <w:bottom w:w="15" w:type="dxa"/>
            <w:right w:w="15" w:type="dxa"/>
          </w:tblCellMar>
          <w:tblLook w:val="04A0" w:firstRow="1" w:lastRow="0" w:firstColumn="1" w:lastColumn="0" w:noHBand="0" w:noVBand="1"/>
        </w:tblPrEx>
        <w:tc>
          <w:tcPr>
            <w:tcW w:w="981" w:type="dxa"/>
            <w:gridSpan w:val="2"/>
            <w:vAlign w:val="center"/>
          </w:tcPr>
          <w:p w14:paraId="18FDB23E" w14:textId="193A1AD8" w:rsidR="00647F3D" w:rsidRPr="00CE157F" w:rsidRDefault="00647F3D" w:rsidP="00782256">
            <w:pPr>
              <w:jc w:val="center"/>
              <w:rPr>
                <w:rFonts w:ascii="Arial Narrow" w:hAnsi="Arial Narrow"/>
                <w:color w:val="333333"/>
                <w:sz w:val="20"/>
                <w:szCs w:val="20"/>
              </w:rPr>
            </w:pPr>
          </w:p>
        </w:tc>
        <w:tc>
          <w:tcPr>
            <w:tcW w:w="8086" w:type="dxa"/>
            <w:gridSpan w:val="7"/>
            <w:vAlign w:val="center"/>
            <w:hideMark/>
          </w:tcPr>
          <w:p w14:paraId="57ABAE4B" w14:textId="77777777" w:rsidR="00647F3D" w:rsidRPr="00CE157F" w:rsidRDefault="00647F3D" w:rsidP="00782256">
            <w:pPr>
              <w:rPr>
                <w:rFonts w:ascii="Arial Narrow" w:hAnsi="Arial Narrow"/>
                <w:color w:val="333333"/>
                <w:sz w:val="20"/>
                <w:szCs w:val="20"/>
              </w:rPr>
            </w:pPr>
            <w:r w:rsidRPr="00CE157F">
              <w:rPr>
                <w:rFonts w:ascii="Arial Narrow" w:hAnsi="Arial Narrow"/>
                <w:b/>
                <w:bCs/>
                <w:color w:val="333333"/>
                <w:sz w:val="20"/>
                <w:szCs w:val="20"/>
              </w:rPr>
              <w:t>Clinical criteria:</w:t>
            </w:r>
          </w:p>
        </w:tc>
      </w:tr>
      <w:tr w:rsidR="00647F3D" w:rsidRPr="00720161" w14:paraId="70DA01A3" w14:textId="77777777" w:rsidTr="00782256">
        <w:tblPrEx>
          <w:tblCellMar>
            <w:top w:w="15" w:type="dxa"/>
            <w:left w:w="15" w:type="dxa"/>
            <w:bottom w:w="15" w:type="dxa"/>
            <w:right w:w="15" w:type="dxa"/>
          </w:tblCellMar>
          <w:tblLook w:val="04A0" w:firstRow="1" w:lastRow="0" w:firstColumn="1" w:lastColumn="0" w:noHBand="0" w:noVBand="1"/>
        </w:tblPrEx>
        <w:tc>
          <w:tcPr>
            <w:tcW w:w="981" w:type="dxa"/>
            <w:gridSpan w:val="2"/>
            <w:vAlign w:val="center"/>
          </w:tcPr>
          <w:p w14:paraId="6DBE33B0" w14:textId="65249A7F" w:rsidR="00647F3D" w:rsidRPr="00CE157F" w:rsidRDefault="00647F3D" w:rsidP="00782256">
            <w:pPr>
              <w:jc w:val="center"/>
              <w:rPr>
                <w:rFonts w:ascii="Arial Narrow" w:hAnsi="Arial Narrow"/>
                <w:color w:val="333333"/>
                <w:sz w:val="20"/>
                <w:szCs w:val="20"/>
              </w:rPr>
            </w:pPr>
          </w:p>
        </w:tc>
        <w:tc>
          <w:tcPr>
            <w:tcW w:w="8086" w:type="dxa"/>
            <w:gridSpan w:val="7"/>
            <w:vAlign w:val="center"/>
            <w:hideMark/>
          </w:tcPr>
          <w:p w14:paraId="34D1D4B5" w14:textId="77777777" w:rsidR="00647F3D" w:rsidRPr="00CE157F" w:rsidRDefault="00647F3D" w:rsidP="00782256">
            <w:pPr>
              <w:rPr>
                <w:rFonts w:ascii="Arial Narrow" w:hAnsi="Arial Narrow"/>
                <w:color w:val="333333"/>
                <w:sz w:val="20"/>
                <w:szCs w:val="20"/>
              </w:rPr>
            </w:pPr>
            <w:r w:rsidRPr="00CE157F">
              <w:rPr>
                <w:rFonts w:ascii="Arial Narrow" w:hAnsi="Arial Narrow"/>
                <w:color w:val="333333"/>
                <w:sz w:val="20"/>
                <w:szCs w:val="20"/>
              </w:rPr>
              <w:t>Patient must have a bone mineral density (BMD) T-score of -2.5 or less.</w:t>
            </w:r>
          </w:p>
        </w:tc>
      </w:tr>
      <w:tr w:rsidR="00647F3D" w:rsidRPr="00120A12" w14:paraId="2EEEDA98" w14:textId="77777777" w:rsidTr="00782256">
        <w:tblPrEx>
          <w:tblCellMar>
            <w:top w:w="15" w:type="dxa"/>
            <w:left w:w="15" w:type="dxa"/>
            <w:bottom w:w="15" w:type="dxa"/>
            <w:right w:w="15" w:type="dxa"/>
          </w:tblCellMar>
          <w:tblLook w:val="04A0" w:firstRow="1" w:lastRow="0" w:firstColumn="1" w:lastColumn="0" w:noHBand="0" w:noVBand="1"/>
        </w:tblPrEx>
        <w:tc>
          <w:tcPr>
            <w:tcW w:w="981" w:type="dxa"/>
            <w:gridSpan w:val="2"/>
            <w:vAlign w:val="center"/>
          </w:tcPr>
          <w:p w14:paraId="767DBAE7" w14:textId="77777777" w:rsidR="00647F3D" w:rsidRPr="00CE157F" w:rsidRDefault="00647F3D" w:rsidP="00782256">
            <w:pPr>
              <w:jc w:val="center"/>
              <w:rPr>
                <w:rFonts w:ascii="Arial Narrow" w:hAnsi="Arial Narrow"/>
                <w:color w:val="333333"/>
                <w:sz w:val="20"/>
                <w:szCs w:val="20"/>
              </w:rPr>
            </w:pPr>
          </w:p>
        </w:tc>
        <w:tc>
          <w:tcPr>
            <w:tcW w:w="8086" w:type="dxa"/>
            <w:gridSpan w:val="7"/>
            <w:vAlign w:val="center"/>
            <w:hideMark/>
          </w:tcPr>
          <w:p w14:paraId="50783750" w14:textId="77777777" w:rsidR="00647F3D" w:rsidRPr="00CE157F" w:rsidRDefault="00647F3D" w:rsidP="00782256">
            <w:pPr>
              <w:rPr>
                <w:rFonts w:ascii="Arial Narrow" w:hAnsi="Arial Narrow"/>
                <w:b/>
                <w:bCs/>
                <w:color w:val="333333"/>
                <w:sz w:val="20"/>
                <w:szCs w:val="20"/>
              </w:rPr>
            </w:pPr>
            <w:r w:rsidRPr="00CE157F">
              <w:rPr>
                <w:rFonts w:ascii="Arial Narrow" w:hAnsi="Arial Narrow"/>
                <w:b/>
                <w:bCs/>
                <w:color w:val="333333"/>
                <w:sz w:val="20"/>
                <w:szCs w:val="20"/>
              </w:rPr>
              <w:t>AND</w:t>
            </w:r>
          </w:p>
        </w:tc>
      </w:tr>
      <w:tr w:rsidR="00647F3D" w:rsidRPr="00120A12" w14:paraId="28CD24A2" w14:textId="77777777" w:rsidTr="00782256">
        <w:tblPrEx>
          <w:tblCellMar>
            <w:top w:w="15" w:type="dxa"/>
            <w:left w:w="15" w:type="dxa"/>
            <w:bottom w:w="15" w:type="dxa"/>
            <w:right w:w="15" w:type="dxa"/>
          </w:tblCellMar>
          <w:tblLook w:val="04A0" w:firstRow="1" w:lastRow="0" w:firstColumn="1" w:lastColumn="0" w:noHBand="0" w:noVBand="1"/>
        </w:tblPrEx>
        <w:tc>
          <w:tcPr>
            <w:tcW w:w="981" w:type="dxa"/>
            <w:gridSpan w:val="2"/>
            <w:vAlign w:val="center"/>
          </w:tcPr>
          <w:p w14:paraId="1C44CD97" w14:textId="77777777" w:rsidR="00647F3D" w:rsidRPr="00CE157F" w:rsidRDefault="00647F3D" w:rsidP="00782256">
            <w:pPr>
              <w:jc w:val="center"/>
              <w:rPr>
                <w:rFonts w:ascii="Arial Narrow" w:hAnsi="Arial Narrow"/>
                <w:color w:val="333333"/>
                <w:sz w:val="20"/>
                <w:szCs w:val="20"/>
              </w:rPr>
            </w:pPr>
          </w:p>
        </w:tc>
        <w:tc>
          <w:tcPr>
            <w:tcW w:w="8086" w:type="dxa"/>
            <w:gridSpan w:val="7"/>
            <w:vAlign w:val="center"/>
            <w:hideMark/>
          </w:tcPr>
          <w:p w14:paraId="168FE191" w14:textId="77777777" w:rsidR="00647F3D" w:rsidRPr="00CE157F" w:rsidRDefault="00647F3D" w:rsidP="00782256">
            <w:pPr>
              <w:rPr>
                <w:rFonts w:ascii="Arial Narrow" w:hAnsi="Arial Narrow"/>
                <w:b/>
                <w:bCs/>
                <w:color w:val="333333"/>
                <w:sz w:val="20"/>
                <w:szCs w:val="20"/>
              </w:rPr>
            </w:pPr>
            <w:r w:rsidRPr="00CE157F">
              <w:rPr>
                <w:rFonts w:ascii="Arial Narrow" w:hAnsi="Arial Narrow"/>
                <w:b/>
                <w:bCs/>
                <w:color w:val="333333"/>
                <w:sz w:val="20"/>
                <w:szCs w:val="20"/>
              </w:rPr>
              <w:t>Clinical criteria:</w:t>
            </w:r>
          </w:p>
        </w:tc>
      </w:tr>
      <w:tr w:rsidR="00647F3D" w:rsidRPr="00120A12" w14:paraId="321B49B9" w14:textId="77777777" w:rsidTr="00782256">
        <w:tblPrEx>
          <w:tblCellMar>
            <w:top w:w="15" w:type="dxa"/>
            <w:left w:w="15" w:type="dxa"/>
            <w:bottom w:w="15" w:type="dxa"/>
            <w:right w:w="15" w:type="dxa"/>
          </w:tblCellMar>
          <w:tblLook w:val="04A0" w:firstRow="1" w:lastRow="0" w:firstColumn="1" w:lastColumn="0" w:noHBand="0" w:noVBand="1"/>
        </w:tblPrEx>
        <w:tc>
          <w:tcPr>
            <w:tcW w:w="981" w:type="dxa"/>
            <w:gridSpan w:val="2"/>
            <w:vAlign w:val="center"/>
          </w:tcPr>
          <w:p w14:paraId="61033417" w14:textId="77777777" w:rsidR="00647F3D" w:rsidRPr="00CE157F" w:rsidRDefault="00647F3D" w:rsidP="00782256">
            <w:pPr>
              <w:jc w:val="center"/>
              <w:rPr>
                <w:rFonts w:ascii="Arial Narrow" w:hAnsi="Arial Narrow"/>
                <w:color w:val="333333"/>
                <w:sz w:val="20"/>
                <w:szCs w:val="20"/>
              </w:rPr>
            </w:pPr>
          </w:p>
        </w:tc>
        <w:tc>
          <w:tcPr>
            <w:tcW w:w="8086" w:type="dxa"/>
            <w:gridSpan w:val="7"/>
            <w:vAlign w:val="center"/>
            <w:hideMark/>
          </w:tcPr>
          <w:p w14:paraId="52F23D02" w14:textId="77777777" w:rsidR="00647F3D" w:rsidRPr="00CE157F" w:rsidRDefault="00647F3D" w:rsidP="00782256">
            <w:pPr>
              <w:rPr>
                <w:rFonts w:ascii="Arial Narrow" w:hAnsi="Arial Narrow"/>
                <w:strike/>
                <w:color w:val="333333"/>
                <w:sz w:val="20"/>
                <w:szCs w:val="20"/>
              </w:rPr>
            </w:pPr>
            <w:r w:rsidRPr="00CE157F">
              <w:rPr>
                <w:rFonts w:ascii="Arial Narrow" w:hAnsi="Arial Narrow"/>
                <w:strike/>
                <w:color w:val="333333"/>
                <w:sz w:val="20"/>
                <w:szCs w:val="20"/>
              </w:rPr>
              <w:t>Patient must have received less than 12 months of treatment with an anti-resorptive agent;</w:t>
            </w:r>
          </w:p>
        </w:tc>
      </w:tr>
      <w:tr w:rsidR="00647F3D" w:rsidRPr="00120A12" w14:paraId="0621A19F" w14:textId="77777777" w:rsidTr="00782256">
        <w:tblPrEx>
          <w:tblCellMar>
            <w:top w:w="15" w:type="dxa"/>
            <w:left w:w="15" w:type="dxa"/>
            <w:bottom w:w="15" w:type="dxa"/>
            <w:right w:w="15" w:type="dxa"/>
          </w:tblCellMar>
          <w:tblLook w:val="04A0" w:firstRow="1" w:lastRow="0" w:firstColumn="1" w:lastColumn="0" w:noHBand="0" w:noVBand="1"/>
        </w:tblPrEx>
        <w:tc>
          <w:tcPr>
            <w:tcW w:w="981" w:type="dxa"/>
            <w:gridSpan w:val="2"/>
            <w:vAlign w:val="center"/>
          </w:tcPr>
          <w:p w14:paraId="5BE8096F" w14:textId="77777777" w:rsidR="00647F3D" w:rsidRPr="00CE157F" w:rsidRDefault="00647F3D" w:rsidP="00782256">
            <w:pPr>
              <w:jc w:val="center"/>
              <w:rPr>
                <w:rFonts w:ascii="Arial Narrow" w:hAnsi="Arial Narrow"/>
                <w:color w:val="333333"/>
                <w:sz w:val="20"/>
                <w:szCs w:val="20"/>
              </w:rPr>
            </w:pPr>
          </w:p>
        </w:tc>
        <w:tc>
          <w:tcPr>
            <w:tcW w:w="8086" w:type="dxa"/>
            <w:gridSpan w:val="7"/>
          </w:tcPr>
          <w:p w14:paraId="6FBECF3F" w14:textId="77777777" w:rsidR="00647F3D" w:rsidRPr="00CE157F" w:rsidRDefault="00647F3D" w:rsidP="00782256">
            <w:pPr>
              <w:rPr>
                <w:rFonts w:ascii="Arial Narrow" w:hAnsi="Arial Narrow"/>
                <w:b/>
                <w:bCs/>
                <w:color w:val="333333"/>
                <w:sz w:val="20"/>
                <w:szCs w:val="20"/>
              </w:rPr>
            </w:pPr>
            <w:r w:rsidRPr="00CE157F">
              <w:rPr>
                <w:rFonts w:ascii="Arial Narrow" w:hAnsi="Arial Narrow"/>
                <w:b/>
                <w:bCs/>
                <w:color w:val="333333"/>
                <w:sz w:val="20"/>
                <w:szCs w:val="20"/>
              </w:rPr>
              <w:t>AND</w:t>
            </w:r>
          </w:p>
        </w:tc>
      </w:tr>
      <w:tr w:rsidR="00647F3D" w:rsidRPr="00120A12" w14:paraId="7FB2E523" w14:textId="77777777" w:rsidTr="00782256">
        <w:tblPrEx>
          <w:tblCellMar>
            <w:top w:w="15" w:type="dxa"/>
            <w:left w:w="15" w:type="dxa"/>
            <w:bottom w:w="15" w:type="dxa"/>
            <w:right w:w="15" w:type="dxa"/>
          </w:tblCellMar>
          <w:tblLook w:val="04A0" w:firstRow="1" w:lastRow="0" w:firstColumn="1" w:lastColumn="0" w:noHBand="0" w:noVBand="1"/>
        </w:tblPrEx>
        <w:tc>
          <w:tcPr>
            <w:tcW w:w="981" w:type="dxa"/>
            <w:gridSpan w:val="2"/>
            <w:vAlign w:val="center"/>
          </w:tcPr>
          <w:p w14:paraId="5341FC72" w14:textId="77777777" w:rsidR="00647F3D" w:rsidRPr="00CE157F" w:rsidRDefault="00647F3D" w:rsidP="00782256">
            <w:pPr>
              <w:jc w:val="center"/>
              <w:rPr>
                <w:rFonts w:ascii="Arial Narrow" w:hAnsi="Arial Narrow"/>
                <w:color w:val="333333"/>
                <w:sz w:val="20"/>
                <w:szCs w:val="20"/>
              </w:rPr>
            </w:pPr>
          </w:p>
        </w:tc>
        <w:tc>
          <w:tcPr>
            <w:tcW w:w="8086" w:type="dxa"/>
            <w:gridSpan w:val="7"/>
          </w:tcPr>
          <w:p w14:paraId="257E7749" w14:textId="77777777" w:rsidR="00647F3D" w:rsidRPr="00CE157F" w:rsidRDefault="00647F3D" w:rsidP="00782256">
            <w:pPr>
              <w:rPr>
                <w:rFonts w:ascii="Arial Narrow" w:hAnsi="Arial Narrow"/>
                <w:b/>
                <w:bCs/>
                <w:color w:val="333333"/>
                <w:sz w:val="20"/>
                <w:szCs w:val="20"/>
              </w:rPr>
            </w:pPr>
            <w:r w:rsidRPr="00CE157F">
              <w:rPr>
                <w:rFonts w:ascii="Arial Narrow" w:hAnsi="Arial Narrow"/>
                <w:b/>
                <w:bCs/>
                <w:color w:val="333333"/>
                <w:sz w:val="20"/>
                <w:szCs w:val="20"/>
              </w:rPr>
              <w:t>Clinical criteria:</w:t>
            </w:r>
          </w:p>
        </w:tc>
      </w:tr>
      <w:tr w:rsidR="00647F3D" w:rsidRPr="00120A12" w14:paraId="3FF9F224" w14:textId="77777777" w:rsidTr="00782256">
        <w:tblPrEx>
          <w:tblCellMar>
            <w:top w:w="15" w:type="dxa"/>
            <w:left w:w="15" w:type="dxa"/>
            <w:bottom w:w="15" w:type="dxa"/>
            <w:right w:w="15" w:type="dxa"/>
          </w:tblCellMar>
          <w:tblLook w:val="04A0" w:firstRow="1" w:lastRow="0" w:firstColumn="1" w:lastColumn="0" w:noHBand="0" w:noVBand="1"/>
        </w:tblPrEx>
        <w:tc>
          <w:tcPr>
            <w:tcW w:w="981" w:type="dxa"/>
            <w:gridSpan w:val="2"/>
            <w:vAlign w:val="center"/>
          </w:tcPr>
          <w:p w14:paraId="0D0D63B5" w14:textId="4847E5A9" w:rsidR="00647F3D" w:rsidRPr="00CE157F" w:rsidRDefault="00647F3D" w:rsidP="00782256">
            <w:pPr>
              <w:jc w:val="center"/>
              <w:rPr>
                <w:rFonts w:ascii="Arial Narrow" w:hAnsi="Arial Narrow"/>
                <w:color w:val="333333"/>
                <w:sz w:val="20"/>
                <w:szCs w:val="20"/>
              </w:rPr>
            </w:pPr>
          </w:p>
        </w:tc>
        <w:tc>
          <w:tcPr>
            <w:tcW w:w="8086" w:type="dxa"/>
            <w:gridSpan w:val="7"/>
          </w:tcPr>
          <w:p w14:paraId="55B6D11F" w14:textId="77777777" w:rsidR="00647F3D" w:rsidRPr="00CE157F" w:rsidRDefault="00647F3D" w:rsidP="00782256">
            <w:pPr>
              <w:rPr>
                <w:rFonts w:ascii="Arial Narrow" w:hAnsi="Arial Narrow"/>
                <w:color w:val="333333"/>
                <w:sz w:val="20"/>
                <w:szCs w:val="20"/>
              </w:rPr>
            </w:pPr>
            <w:r w:rsidRPr="00CE157F">
              <w:rPr>
                <w:rFonts w:ascii="Arial Narrow" w:hAnsi="Arial Narrow"/>
                <w:color w:val="333333"/>
                <w:sz w:val="20"/>
                <w:szCs w:val="20"/>
              </w:rPr>
              <w:t>Patient must have had at least 1 hip or clinical vertebral fracture in the previous 24 months, OR</w:t>
            </w:r>
          </w:p>
          <w:p w14:paraId="61817F35" w14:textId="77777777" w:rsidR="00647F3D" w:rsidRPr="00CE157F" w:rsidRDefault="00647F3D" w:rsidP="00782256">
            <w:pPr>
              <w:rPr>
                <w:rFonts w:ascii="Arial Narrow" w:hAnsi="Arial Narrow"/>
                <w:color w:val="333333"/>
                <w:sz w:val="20"/>
                <w:szCs w:val="20"/>
              </w:rPr>
            </w:pPr>
            <w:r w:rsidRPr="00CE157F">
              <w:rPr>
                <w:rFonts w:ascii="Arial Narrow" w:hAnsi="Arial Narrow"/>
                <w:color w:val="333333"/>
                <w:sz w:val="20"/>
                <w:szCs w:val="20"/>
              </w:rPr>
              <w:t xml:space="preserve">Patient must have had </w:t>
            </w:r>
            <w:r w:rsidRPr="00CE157F">
              <w:rPr>
                <w:rFonts w:ascii="Arial Narrow" w:hAnsi="Arial Narrow"/>
                <w:i/>
                <w:iCs/>
                <w:color w:val="333333"/>
                <w:sz w:val="20"/>
                <w:szCs w:val="20"/>
              </w:rPr>
              <w:t>multiple symptomatic</w:t>
            </w:r>
            <w:r w:rsidRPr="00CE157F">
              <w:rPr>
                <w:rFonts w:ascii="Arial Narrow" w:hAnsi="Arial Narrow"/>
                <w:strike/>
                <w:color w:val="333333"/>
                <w:sz w:val="20"/>
                <w:szCs w:val="20"/>
              </w:rPr>
              <w:t>at least 2 clinical</w:t>
            </w:r>
            <w:r w:rsidRPr="00CE157F">
              <w:rPr>
                <w:rFonts w:ascii="Arial Narrow" w:hAnsi="Arial Narrow"/>
                <w:color w:val="333333"/>
                <w:sz w:val="20"/>
                <w:szCs w:val="20"/>
              </w:rPr>
              <w:t xml:space="preserve"> fractures including 1 in the previous 24 months,</w:t>
            </w:r>
          </w:p>
        </w:tc>
      </w:tr>
      <w:tr w:rsidR="00647F3D" w:rsidRPr="00120A12" w14:paraId="67F28D17" w14:textId="77777777" w:rsidTr="00782256">
        <w:tblPrEx>
          <w:tblCellMar>
            <w:top w:w="15" w:type="dxa"/>
            <w:left w:w="15" w:type="dxa"/>
            <w:bottom w:w="15" w:type="dxa"/>
            <w:right w:w="15" w:type="dxa"/>
          </w:tblCellMar>
          <w:tblLook w:val="04A0" w:firstRow="1" w:lastRow="0" w:firstColumn="1" w:lastColumn="0" w:noHBand="0" w:noVBand="1"/>
        </w:tblPrEx>
        <w:tc>
          <w:tcPr>
            <w:tcW w:w="981" w:type="dxa"/>
            <w:gridSpan w:val="2"/>
            <w:vAlign w:val="center"/>
          </w:tcPr>
          <w:p w14:paraId="72CB1967" w14:textId="77777777" w:rsidR="00647F3D" w:rsidRPr="00CE157F" w:rsidRDefault="00647F3D" w:rsidP="00782256">
            <w:pPr>
              <w:jc w:val="center"/>
              <w:rPr>
                <w:rFonts w:ascii="Arial Narrow" w:hAnsi="Arial Narrow"/>
                <w:color w:val="333333"/>
                <w:sz w:val="20"/>
                <w:szCs w:val="20"/>
              </w:rPr>
            </w:pPr>
          </w:p>
        </w:tc>
        <w:tc>
          <w:tcPr>
            <w:tcW w:w="8086" w:type="dxa"/>
            <w:gridSpan w:val="7"/>
          </w:tcPr>
          <w:p w14:paraId="749A8BCF" w14:textId="77777777" w:rsidR="00647F3D" w:rsidRPr="00CE157F" w:rsidRDefault="00647F3D" w:rsidP="00782256">
            <w:pPr>
              <w:rPr>
                <w:rFonts w:ascii="Arial Narrow" w:hAnsi="Arial Narrow"/>
                <w:b/>
                <w:bCs/>
                <w:color w:val="333333"/>
                <w:sz w:val="20"/>
                <w:szCs w:val="20"/>
              </w:rPr>
            </w:pPr>
            <w:r w:rsidRPr="00CE157F">
              <w:rPr>
                <w:rFonts w:ascii="Arial Narrow" w:hAnsi="Arial Narrow"/>
                <w:b/>
                <w:bCs/>
                <w:color w:val="333333"/>
                <w:sz w:val="20"/>
                <w:szCs w:val="20"/>
              </w:rPr>
              <w:t>AND</w:t>
            </w:r>
          </w:p>
        </w:tc>
      </w:tr>
      <w:tr w:rsidR="00647F3D" w:rsidRPr="00120A12" w14:paraId="371A0B06" w14:textId="77777777" w:rsidTr="00782256">
        <w:tblPrEx>
          <w:tblCellMar>
            <w:top w:w="15" w:type="dxa"/>
            <w:left w:w="15" w:type="dxa"/>
            <w:bottom w:w="15" w:type="dxa"/>
            <w:right w:w="15" w:type="dxa"/>
          </w:tblCellMar>
          <w:tblLook w:val="04A0" w:firstRow="1" w:lastRow="0" w:firstColumn="1" w:lastColumn="0" w:noHBand="0" w:noVBand="1"/>
        </w:tblPrEx>
        <w:tc>
          <w:tcPr>
            <w:tcW w:w="981" w:type="dxa"/>
            <w:gridSpan w:val="2"/>
            <w:vAlign w:val="center"/>
          </w:tcPr>
          <w:p w14:paraId="5F1BA629" w14:textId="094250FA" w:rsidR="00647F3D" w:rsidRPr="00CE157F" w:rsidRDefault="00647F3D" w:rsidP="00782256">
            <w:pPr>
              <w:jc w:val="center"/>
              <w:rPr>
                <w:rFonts w:ascii="Arial Narrow" w:hAnsi="Arial Narrow"/>
                <w:color w:val="333333"/>
                <w:sz w:val="20"/>
                <w:szCs w:val="20"/>
              </w:rPr>
            </w:pPr>
          </w:p>
        </w:tc>
        <w:tc>
          <w:tcPr>
            <w:tcW w:w="8086" w:type="dxa"/>
            <w:gridSpan w:val="7"/>
          </w:tcPr>
          <w:p w14:paraId="42C267EF" w14:textId="77777777" w:rsidR="00647F3D" w:rsidRPr="00CE157F" w:rsidRDefault="00647F3D" w:rsidP="00782256">
            <w:pPr>
              <w:rPr>
                <w:rFonts w:ascii="Arial Narrow" w:hAnsi="Arial Narrow"/>
                <w:b/>
                <w:bCs/>
                <w:color w:val="333333"/>
                <w:sz w:val="20"/>
                <w:szCs w:val="20"/>
              </w:rPr>
            </w:pPr>
            <w:r w:rsidRPr="00CE157F">
              <w:rPr>
                <w:rFonts w:ascii="Arial Narrow" w:hAnsi="Arial Narrow"/>
                <w:b/>
                <w:bCs/>
                <w:color w:val="333333"/>
                <w:sz w:val="20"/>
                <w:szCs w:val="20"/>
              </w:rPr>
              <w:t>Clinical criteria:</w:t>
            </w:r>
          </w:p>
        </w:tc>
      </w:tr>
      <w:tr w:rsidR="00647F3D" w:rsidRPr="00120A12" w14:paraId="4965FB34" w14:textId="77777777" w:rsidTr="00782256">
        <w:tblPrEx>
          <w:tblCellMar>
            <w:top w:w="15" w:type="dxa"/>
            <w:left w:w="15" w:type="dxa"/>
            <w:bottom w:w="15" w:type="dxa"/>
            <w:right w:w="15" w:type="dxa"/>
          </w:tblCellMar>
          <w:tblLook w:val="04A0" w:firstRow="1" w:lastRow="0" w:firstColumn="1" w:lastColumn="0" w:noHBand="0" w:noVBand="1"/>
        </w:tblPrEx>
        <w:tc>
          <w:tcPr>
            <w:tcW w:w="981" w:type="dxa"/>
            <w:gridSpan w:val="2"/>
            <w:vAlign w:val="center"/>
          </w:tcPr>
          <w:p w14:paraId="7D25BECA" w14:textId="50292C5C" w:rsidR="00647F3D" w:rsidRPr="00CE157F" w:rsidRDefault="00647F3D" w:rsidP="00782256">
            <w:pPr>
              <w:jc w:val="center"/>
              <w:rPr>
                <w:rFonts w:ascii="Arial Narrow" w:hAnsi="Arial Narrow"/>
                <w:color w:val="333333"/>
                <w:sz w:val="20"/>
                <w:szCs w:val="20"/>
              </w:rPr>
            </w:pPr>
          </w:p>
        </w:tc>
        <w:tc>
          <w:tcPr>
            <w:tcW w:w="8086" w:type="dxa"/>
            <w:gridSpan w:val="7"/>
            <w:vAlign w:val="center"/>
          </w:tcPr>
          <w:p w14:paraId="2C1554E1" w14:textId="77777777" w:rsidR="00647F3D" w:rsidRPr="00CE157F" w:rsidRDefault="00647F3D" w:rsidP="00782256">
            <w:pPr>
              <w:rPr>
                <w:rFonts w:ascii="Arial Narrow" w:hAnsi="Arial Narrow"/>
                <w:color w:val="333333"/>
                <w:sz w:val="20"/>
                <w:szCs w:val="20"/>
              </w:rPr>
            </w:pPr>
            <w:r w:rsidRPr="00CE157F">
              <w:rPr>
                <w:rFonts w:ascii="Arial Narrow" w:hAnsi="Arial Narrow"/>
                <w:color w:val="333333"/>
                <w:sz w:val="20"/>
                <w:szCs w:val="20"/>
              </w:rPr>
              <w:t>The treatment must be the sole PBS-subsidised therapy for this condition.</w:t>
            </w:r>
          </w:p>
        </w:tc>
      </w:tr>
      <w:tr w:rsidR="00647F3D" w:rsidRPr="00120A12" w14:paraId="3615001E" w14:textId="77777777" w:rsidTr="00782256">
        <w:tblPrEx>
          <w:tblCellMar>
            <w:top w:w="15" w:type="dxa"/>
            <w:left w:w="15" w:type="dxa"/>
            <w:bottom w:w="15" w:type="dxa"/>
            <w:right w:w="15" w:type="dxa"/>
          </w:tblCellMar>
          <w:tblLook w:val="04A0" w:firstRow="1" w:lastRow="0" w:firstColumn="1" w:lastColumn="0" w:noHBand="0" w:noVBand="1"/>
        </w:tblPrEx>
        <w:tc>
          <w:tcPr>
            <w:tcW w:w="981" w:type="dxa"/>
            <w:gridSpan w:val="2"/>
            <w:vAlign w:val="center"/>
          </w:tcPr>
          <w:p w14:paraId="6862CDF5" w14:textId="77777777" w:rsidR="00647F3D" w:rsidRPr="00CE157F" w:rsidRDefault="00647F3D" w:rsidP="00782256">
            <w:pPr>
              <w:jc w:val="center"/>
              <w:rPr>
                <w:rFonts w:ascii="Arial Narrow" w:hAnsi="Arial Narrow"/>
                <w:color w:val="333333"/>
                <w:sz w:val="20"/>
                <w:szCs w:val="20"/>
              </w:rPr>
            </w:pPr>
          </w:p>
        </w:tc>
        <w:tc>
          <w:tcPr>
            <w:tcW w:w="8086" w:type="dxa"/>
            <w:gridSpan w:val="7"/>
          </w:tcPr>
          <w:p w14:paraId="31842891" w14:textId="77777777" w:rsidR="00647F3D" w:rsidRPr="00CE157F" w:rsidRDefault="00647F3D" w:rsidP="00782256">
            <w:pPr>
              <w:rPr>
                <w:rFonts w:ascii="Arial Narrow" w:hAnsi="Arial Narrow"/>
                <w:b/>
                <w:bCs/>
                <w:color w:val="333333"/>
                <w:sz w:val="20"/>
                <w:szCs w:val="20"/>
              </w:rPr>
            </w:pPr>
            <w:r w:rsidRPr="00CE157F">
              <w:rPr>
                <w:rFonts w:ascii="Arial Narrow" w:hAnsi="Arial Narrow"/>
                <w:b/>
                <w:bCs/>
                <w:color w:val="333333"/>
                <w:sz w:val="20"/>
                <w:szCs w:val="20"/>
              </w:rPr>
              <w:t>AND</w:t>
            </w:r>
          </w:p>
        </w:tc>
      </w:tr>
      <w:tr w:rsidR="00647F3D" w:rsidRPr="00120A12" w14:paraId="31AF2D55" w14:textId="77777777" w:rsidTr="00782256">
        <w:tblPrEx>
          <w:tblCellMar>
            <w:top w:w="15" w:type="dxa"/>
            <w:left w:w="15" w:type="dxa"/>
            <w:bottom w:w="15" w:type="dxa"/>
            <w:right w:w="15" w:type="dxa"/>
          </w:tblCellMar>
          <w:tblLook w:val="04A0" w:firstRow="1" w:lastRow="0" w:firstColumn="1" w:lastColumn="0" w:noHBand="0" w:noVBand="1"/>
        </w:tblPrEx>
        <w:tc>
          <w:tcPr>
            <w:tcW w:w="981" w:type="dxa"/>
            <w:gridSpan w:val="2"/>
            <w:vAlign w:val="center"/>
          </w:tcPr>
          <w:p w14:paraId="5EB256A3" w14:textId="77777777" w:rsidR="00647F3D" w:rsidRPr="00CE157F" w:rsidRDefault="00647F3D" w:rsidP="00782256">
            <w:pPr>
              <w:jc w:val="center"/>
              <w:rPr>
                <w:rFonts w:ascii="Arial Narrow" w:hAnsi="Arial Narrow"/>
                <w:color w:val="333333"/>
                <w:sz w:val="20"/>
                <w:szCs w:val="20"/>
              </w:rPr>
            </w:pPr>
          </w:p>
        </w:tc>
        <w:tc>
          <w:tcPr>
            <w:tcW w:w="8086" w:type="dxa"/>
            <w:gridSpan w:val="7"/>
          </w:tcPr>
          <w:p w14:paraId="7AB29FF3" w14:textId="77777777" w:rsidR="00647F3D" w:rsidRPr="00CE157F" w:rsidRDefault="00647F3D" w:rsidP="00782256">
            <w:pPr>
              <w:rPr>
                <w:rFonts w:ascii="Arial Narrow" w:hAnsi="Arial Narrow"/>
                <w:b/>
                <w:bCs/>
                <w:color w:val="333333"/>
                <w:sz w:val="20"/>
                <w:szCs w:val="20"/>
              </w:rPr>
            </w:pPr>
            <w:r w:rsidRPr="00CE157F">
              <w:rPr>
                <w:rFonts w:ascii="Arial Narrow" w:hAnsi="Arial Narrow"/>
                <w:b/>
                <w:bCs/>
                <w:color w:val="333333"/>
                <w:sz w:val="20"/>
                <w:szCs w:val="20"/>
              </w:rPr>
              <w:t>Clinical criteria:</w:t>
            </w:r>
          </w:p>
        </w:tc>
      </w:tr>
      <w:tr w:rsidR="00647F3D" w:rsidRPr="00120A12" w14:paraId="5230007D" w14:textId="77777777" w:rsidTr="00782256">
        <w:tblPrEx>
          <w:tblCellMar>
            <w:top w:w="15" w:type="dxa"/>
            <w:left w:w="15" w:type="dxa"/>
            <w:bottom w:w="15" w:type="dxa"/>
            <w:right w:w="15" w:type="dxa"/>
          </w:tblCellMar>
          <w:tblLook w:val="04A0" w:firstRow="1" w:lastRow="0" w:firstColumn="1" w:lastColumn="0" w:noHBand="0" w:noVBand="1"/>
        </w:tblPrEx>
        <w:tc>
          <w:tcPr>
            <w:tcW w:w="981" w:type="dxa"/>
            <w:gridSpan w:val="2"/>
            <w:vAlign w:val="center"/>
          </w:tcPr>
          <w:p w14:paraId="286AD9B1" w14:textId="56979F56" w:rsidR="00647F3D" w:rsidRPr="00CE157F" w:rsidRDefault="00647F3D" w:rsidP="00782256">
            <w:pPr>
              <w:jc w:val="center"/>
              <w:rPr>
                <w:rFonts w:ascii="Arial Narrow" w:hAnsi="Arial Narrow"/>
                <w:color w:val="333333"/>
                <w:sz w:val="20"/>
                <w:szCs w:val="20"/>
              </w:rPr>
            </w:pPr>
          </w:p>
        </w:tc>
        <w:tc>
          <w:tcPr>
            <w:tcW w:w="8086" w:type="dxa"/>
            <w:gridSpan w:val="7"/>
            <w:vAlign w:val="center"/>
          </w:tcPr>
          <w:p w14:paraId="262E1D8A" w14:textId="77777777" w:rsidR="00647F3D" w:rsidRPr="00CE157F" w:rsidRDefault="00647F3D" w:rsidP="00782256">
            <w:pPr>
              <w:rPr>
                <w:rFonts w:ascii="Arial Narrow" w:hAnsi="Arial Narrow"/>
                <w:color w:val="333333"/>
                <w:sz w:val="20"/>
                <w:szCs w:val="20"/>
              </w:rPr>
            </w:pPr>
            <w:r w:rsidRPr="00CE157F">
              <w:rPr>
                <w:rFonts w:ascii="Arial Narrow" w:hAnsi="Arial Narrow"/>
                <w:color w:val="333333"/>
                <w:sz w:val="20"/>
                <w:szCs w:val="20"/>
              </w:rPr>
              <w:t xml:space="preserve">The treatment must not exceed a lifetime maximum of 12 months </w:t>
            </w:r>
            <w:r w:rsidRPr="00CE157F">
              <w:rPr>
                <w:rFonts w:ascii="Arial Narrow" w:hAnsi="Arial Narrow"/>
                <w:i/>
                <w:iCs/>
                <w:color w:val="333333"/>
                <w:sz w:val="20"/>
                <w:szCs w:val="20"/>
              </w:rPr>
              <w:t>PBS and non-PBS subsidised</w:t>
            </w:r>
            <w:r w:rsidRPr="00CE157F">
              <w:rPr>
                <w:rFonts w:ascii="Arial Narrow" w:hAnsi="Arial Narrow"/>
                <w:color w:val="333333"/>
                <w:sz w:val="20"/>
                <w:szCs w:val="20"/>
              </w:rPr>
              <w:t xml:space="preserve"> therapy.</w:t>
            </w:r>
          </w:p>
        </w:tc>
      </w:tr>
      <w:tr w:rsidR="00647F3D" w:rsidRPr="00120A12" w14:paraId="52062BDB" w14:textId="77777777" w:rsidTr="00782256">
        <w:tblPrEx>
          <w:tblCellMar>
            <w:top w:w="15" w:type="dxa"/>
            <w:left w:w="15" w:type="dxa"/>
            <w:bottom w:w="15" w:type="dxa"/>
            <w:right w:w="15" w:type="dxa"/>
          </w:tblCellMar>
          <w:tblLook w:val="04A0" w:firstRow="1" w:lastRow="0" w:firstColumn="1" w:lastColumn="0" w:noHBand="0" w:noVBand="1"/>
        </w:tblPrEx>
        <w:tc>
          <w:tcPr>
            <w:tcW w:w="981" w:type="dxa"/>
            <w:gridSpan w:val="2"/>
            <w:vAlign w:val="center"/>
          </w:tcPr>
          <w:p w14:paraId="168F8E95" w14:textId="11C87EE3" w:rsidR="00647F3D" w:rsidRPr="00CE157F" w:rsidRDefault="00647F3D" w:rsidP="00782256">
            <w:pPr>
              <w:jc w:val="center"/>
              <w:rPr>
                <w:rFonts w:ascii="Arial Narrow" w:hAnsi="Arial Narrow"/>
                <w:color w:val="333333"/>
                <w:sz w:val="20"/>
                <w:szCs w:val="20"/>
              </w:rPr>
            </w:pPr>
          </w:p>
        </w:tc>
        <w:tc>
          <w:tcPr>
            <w:tcW w:w="8086" w:type="dxa"/>
            <w:gridSpan w:val="7"/>
            <w:vAlign w:val="center"/>
            <w:hideMark/>
          </w:tcPr>
          <w:p w14:paraId="1C5DB56F" w14:textId="77777777" w:rsidR="00647F3D" w:rsidRPr="00CE157F" w:rsidRDefault="00647F3D" w:rsidP="00782256">
            <w:pPr>
              <w:rPr>
                <w:rFonts w:ascii="Arial Narrow" w:hAnsi="Arial Narrow"/>
                <w:color w:val="333333"/>
                <w:sz w:val="20"/>
                <w:szCs w:val="20"/>
              </w:rPr>
            </w:pPr>
            <w:r w:rsidRPr="00CE157F">
              <w:rPr>
                <w:rFonts w:ascii="Arial Narrow" w:hAnsi="Arial Narrow"/>
                <w:b/>
                <w:bCs/>
                <w:color w:val="333333"/>
                <w:sz w:val="20"/>
                <w:szCs w:val="20"/>
              </w:rPr>
              <w:t>Treatment criteria:</w:t>
            </w:r>
          </w:p>
        </w:tc>
      </w:tr>
      <w:tr w:rsidR="00647F3D" w:rsidRPr="00120A12" w14:paraId="4925CDC0" w14:textId="77777777" w:rsidTr="00782256">
        <w:tblPrEx>
          <w:tblCellMar>
            <w:top w:w="15" w:type="dxa"/>
            <w:left w:w="15" w:type="dxa"/>
            <w:bottom w:w="15" w:type="dxa"/>
            <w:right w:w="15" w:type="dxa"/>
          </w:tblCellMar>
          <w:tblLook w:val="04A0" w:firstRow="1" w:lastRow="0" w:firstColumn="1" w:lastColumn="0" w:noHBand="0" w:noVBand="1"/>
        </w:tblPrEx>
        <w:trPr>
          <w:trHeight w:val="337"/>
        </w:trPr>
        <w:tc>
          <w:tcPr>
            <w:tcW w:w="981" w:type="dxa"/>
            <w:gridSpan w:val="2"/>
            <w:vAlign w:val="center"/>
          </w:tcPr>
          <w:p w14:paraId="4AAF081B" w14:textId="6715001C" w:rsidR="00647F3D" w:rsidRPr="00CE157F" w:rsidRDefault="00647F3D" w:rsidP="00782256">
            <w:pPr>
              <w:jc w:val="center"/>
              <w:rPr>
                <w:rFonts w:ascii="Arial Narrow" w:hAnsi="Arial Narrow"/>
                <w:color w:val="333333"/>
                <w:sz w:val="20"/>
                <w:szCs w:val="20"/>
              </w:rPr>
            </w:pPr>
          </w:p>
        </w:tc>
        <w:tc>
          <w:tcPr>
            <w:tcW w:w="8086" w:type="dxa"/>
            <w:gridSpan w:val="7"/>
            <w:vAlign w:val="center"/>
            <w:hideMark/>
          </w:tcPr>
          <w:p w14:paraId="37D6DE95" w14:textId="77777777" w:rsidR="00647F3D" w:rsidRPr="00CE157F" w:rsidRDefault="00647F3D" w:rsidP="00782256">
            <w:pPr>
              <w:tabs>
                <w:tab w:val="num" w:pos="720"/>
              </w:tabs>
              <w:rPr>
                <w:rFonts w:ascii="Arial Narrow" w:hAnsi="Arial Narrow" w:cs="Arial Narrow"/>
                <w:iCs/>
                <w:sz w:val="20"/>
                <w:szCs w:val="20"/>
              </w:rPr>
            </w:pPr>
            <w:r w:rsidRPr="00CE157F">
              <w:rPr>
                <w:rFonts w:ascii="Arial Narrow" w:hAnsi="Arial Narrow" w:cs="Arial Narrow"/>
                <w:iCs/>
                <w:sz w:val="20"/>
                <w:szCs w:val="20"/>
              </w:rPr>
              <w:t>Must be treated by a Specialist; OR</w:t>
            </w:r>
            <w:r>
              <w:rPr>
                <w:rFonts w:ascii="Arial Narrow" w:hAnsi="Arial Narrow" w:cs="Arial Narrow"/>
                <w:iCs/>
                <w:sz w:val="20"/>
                <w:szCs w:val="20"/>
              </w:rPr>
              <w:t xml:space="preserve"> </w:t>
            </w:r>
            <w:r w:rsidRPr="00CE157F">
              <w:rPr>
                <w:rFonts w:ascii="Arial Narrow" w:hAnsi="Arial Narrow" w:cs="Arial Narrow"/>
                <w:iCs/>
                <w:sz w:val="20"/>
                <w:szCs w:val="20"/>
              </w:rPr>
              <w:t>Must be treated by a Consultant Physician.</w:t>
            </w:r>
          </w:p>
        </w:tc>
      </w:tr>
      <w:tr w:rsidR="00647F3D" w:rsidRPr="00E03D40" w14:paraId="152E1E9E" w14:textId="77777777" w:rsidTr="00A11377">
        <w:tblPrEx>
          <w:tblCellMar>
            <w:top w:w="15" w:type="dxa"/>
            <w:left w:w="15" w:type="dxa"/>
            <w:bottom w:w="15" w:type="dxa"/>
            <w:right w:w="15" w:type="dxa"/>
          </w:tblCellMar>
          <w:tblLook w:val="04A0" w:firstRow="1" w:lastRow="0" w:firstColumn="1" w:lastColumn="0" w:noHBand="0" w:noVBand="1"/>
        </w:tblPrEx>
        <w:tc>
          <w:tcPr>
            <w:tcW w:w="981" w:type="dxa"/>
            <w:gridSpan w:val="2"/>
            <w:vAlign w:val="center"/>
          </w:tcPr>
          <w:p w14:paraId="4A530D80" w14:textId="2BB220C5" w:rsidR="00647F3D" w:rsidRPr="00CE157F" w:rsidRDefault="00647F3D" w:rsidP="00782256">
            <w:pPr>
              <w:jc w:val="center"/>
              <w:rPr>
                <w:rFonts w:ascii="Arial Narrow" w:hAnsi="Arial Narrow"/>
                <w:color w:val="333333"/>
                <w:sz w:val="20"/>
                <w:szCs w:val="20"/>
              </w:rPr>
            </w:pPr>
          </w:p>
        </w:tc>
        <w:tc>
          <w:tcPr>
            <w:tcW w:w="8086" w:type="dxa"/>
            <w:gridSpan w:val="7"/>
            <w:vAlign w:val="center"/>
            <w:hideMark/>
          </w:tcPr>
          <w:p w14:paraId="6F39BDAA" w14:textId="77777777" w:rsidR="00647F3D" w:rsidRPr="00CE157F" w:rsidRDefault="00647F3D" w:rsidP="00782256">
            <w:pPr>
              <w:rPr>
                <w:rFonts w:ascii="Arial Narrow" w:hAnsi="Arial Narrow"/>
                <w:color w:val="FF00FF"/>
                <w:sz w:val="20"/>
                <w:szCs w:val="20"/>
              </w:rPr>
            </w:pPr>
            <w:r w:rsidRPr="00CE157F">
              <w:rPr>
                <w:rFonts w:ascii="Arial Narrow" w:hAnsi="Arial Narrow"/>
                <w:b/>
                <w:bCs/>
                <w:color w:val="333333"/>
                <w:sz w:val="20"/>
                <w:szCs w:val="20"/>
              </w:rPr>
              <w:t xml:space="preserve">Prescribing Instructions: </w:t>
            </w:r>
            <w:r w:rsidRPr="00CE157F">
              <w:rPr>
                <w:rFonts w:ascii="Arial Narrow" w:hAnsi="Arial Narrow" w:cs="Arial Narrow"/>
                <w:iCs/>
                <w:sz w:val="20"/>
                <w:szCs w:val="20"/>
              </w:rPr>
              <w:t>Details of fracture history including the date(s), site(s), the symptoms associated with the fracture(s) and the score of the qualifying BMD measurement must be provided at the time of application.</w:t>
            </w:r>
          </w:p>
        </w:tc>
      </w:tr>
      <w:tr w:rsidR="00647F3D" w:rsidRPr="00E03D40" w14:paraId="53225889" w14:textId="77777777" w:rsidTr="00A11377">
        <w:tblPrEx>
          <w:tblCellMar>
            <w:top w:w="15" w:type="dxa"/>
            <w:left w:w="15" w:type="dxa"/>
            <w:bottom w:w="15" w:type="dxa"/>
            <w:right w:w="15" w:type="dxa"/>
          </w:tblCellMar>
          <w:tblLook w:val="04A0" w:firstRow="1" w:lastRow="0" w:firstColumn="1" w:lastColumn="0" w:noHBand="0" w:noVBand="1"/>
        </w:tblPrEx>
        <w:tc>
          <w:tcPr>
            <w:tcW w:w="981" w:type="dxa"/>
            <w:gridSpan w:val="2"/>
            <w:vAlign w:val="center"/>
          </w:tcPr>
          <w:p w14:paraId="2559509E" w14:textId="6B9FDCF0" w:rsidR="00647F3D" w:rsidRPr="00CE157F" w:rsidRDefault="00647F3D" w:rsidP="00782256">
            <w:pPr>
              <w:jc w:val="center"/>
              <w:rPr>
                <w:rFonts w:ascii="Arial Narrow" w:hAnsi="Arial Narrow"/>
                <w:i/>
                <w:iCs/>
                <w:color w:val="333333"/>
                <w:sz w:val="20"/>
                <w:szCs w:val="20"/>
              </w:rPr>
            </w:pPr>
          </w:p>
        </w:tc>
        <w:tc>
          <w:tcPr>
            <w:tcW w:w="8086" w:type="dxa"/>
            <w:gridSpan w:val="7"/>
            <w:vAlign w:val="center"/>
            <w:hideMark/>
          </w:tcPr>
          <w:p w14:paraId="6E76803B" w14:textId="77777777" w:rsidR="00647F3D" w:rsidRPr="00CE157F" w:rsidRDefault="00647F3D" w:rsidP="00782256">
            <w:pPr>
              <w:rPr>
                <w:rFonts w:ascii="Arial Narrow" w:hAnsi="Arial Narrow" w:cs="Arial Narrow"/>
                <w:i/>
                <w:iCs/>
                <w:sz w:val="20"/>
                <w:szCs w:val="20"/>
              </w:rPr>
            </w:pPr>
            <w:r w:rsidRPr="00CE157F">
              <w:rPr>
                <w:rFonts w:ascii="Arial Narrow" w:hAnsi="Arial Narrow"/>
                <w:b/>
                <w:bCs/>
                <w:i/>
                <w:iCs/>
                <w:color w:val="333333"/>
                <w:sz w:val="20"/>
                <w:szCs w:val="20"/>
              </w:rPr>
              <w:t xml:space="preserve">Prescribing Instructions: </w:t>
            </w:r>
            <w:r w:rsidRPr="00CE157F">
              <w:rPr>
                <w:rFonts w:ascii="Arial Narrow" w:hAnsi="Arial Narrow" w:cs="Arial Narrow"/>
                <w:i/>
                <w:iCs/>
                <w:sz w:val="20"/>
                <w:szCs w:val="20"/>
              </w:rPr>
              <w:t>A vertebral fracture is defined as a 20% or greater reduction in height of the anterior or mid portion of a vertebral body relative to the posterior height of that body, or a 20% or greater reduction in any of these heights compared to the vertebral body above or below the affected vertebral body.</w:t>
            </w:r>
          </w:p>
        </w:tc>
      </w:tr>
      <w:tr w:rsidR="00647F3D" w:rsidRPr="00E03D40" w14:paraId="3F83761C" w14:textId="77777777" w:rsidTr="00782256">
        <w:tblPrEx>
          <w:tblCellMar>
            <w:top w:w="15" w:type="dxa"/>
            <w:left w:w="15" w:type="dxa"/>
            <w:bottom w:w="15" w:type="dxa"/>
            <w:right w:w="15" w:type="dxa"/>
          </w:tblCellMar>
          <w:tblLook w:val="04A0" w:firstRow="1" w:lastRow="0" w:firstColumn="1" w:lastColumn="0" w:noHBand="0" w:noVBand="1"/>
        </w:tblPrEx>
        <w:tc>
          <w:tcPr>
            <w:tcW w:w="981" w:type="dxa"/>
            <w:gridSpan w:val="2"/>
          </w:tcPr>
          <w:p w14:paraId="67AB5868" w14:textId="6EEBC5F1" w:rsidR="00647F3D" w:rsidRPr="00CE157F" w:rsidRDefault="00647F3D" w:rsidP="00782256">
            <w:pPr>
              <w:jc w:val="center"/>
              <w:rPr>
                <w:rFonts w:ascii="Arial Narrow" w:hAnsi="Arial Narrow"/>
                <w:i/>
                <w:iCs/>
                <w:color w:val="333333"/>
                <w:sz w:val="20"/>
                <w:szCs w:val="20"/>
              </w:rPr>
            </w:pPr>
          </w:p>
        </w:tc>
        <w:tc>
          <w:tcPr>
            <w:tcW w:w="8086" w:type="dxa"/>
            <w:gridSpan w:val="7"/>
          </w:tcPr>
          <w:p w14:paraId="336B896A" w14:textId="77777777" w:rsidR="00647F3D" w:rsidRPr="00CE157F" w:rsidRDefault="00647F3D" w:rsidP="00782256">
            <w:pPr>
              <w:rPr>
                <w:rFonts w:ascii="Arial Narrow" w:hAnsi="Arial Narrow"/>
                <w:b/>
                <w:bCs/>
                <w:i/>
                <w:iCs/>
                <w:color w:val="333333"/>
                <w:sz w:val="20"/>
                <w:szCs w:val="20"/>
              </w:rPr>
            </w:pPr>
            <w:r w:rsidRPr="00CE157F">
              <w:rPr>
                <w:rFonts w:ascii="Arial Narrow" w:hAnsi="Arial Narrow"/>
                <w:b/>
                <w:bCs/>
                <w:i/>
                <w:iCs/>
                <w:color w:val="333333"/>
                <w:sz w:val="20"/>
                <w:szCs w:val="20"/>
              </w:rPr>
              <w:t xml:space="preserve">Administrative advice: </w:t>
            </w:r>
            <w:r w:rsidRPr="00CE157F">
              <w:rPr>
                <w:rFonts w:ascii="Arial Narrow" w:hAnsi="Arial Narrow"/>
                <w:i/>
                <w:iCs/>
                <w:color w:val="333333"/>
                <w:sz w:val="20"/>
                <w:szCs w:val="20"/>
              </w:rPr>
              <w:t xml:space="preserve">Applications for authorisation under this restriction may be made in real time using the Online PBS Authorities system (see  </w:t>
            </w:r>
            <w:hyperlink r:id="rId8" w:history="1">
              <w:r w:rsidRPr="00CE157F">
                <w:rPr>
                  <w:rStyle w:val="Hyperlink"/>
                  <w:rFonts w:ascii="Arial Narrow" w:hAnsi="Arial Narrow"/>
                  <w:i/>
                  <w:iCs/>
                  <w:sz w:val="20"/>
                  <w:szCs w:val="20"/>
                </w:rPr>
                <w:t>www.servicesaustralia.gov.au/HPOS</w:t>
              </w:r>
            </w:hyperlink>
            <w:r w:rsidRPr="00CE157F">
              <w:rPr>
                <w:rFonts w:ascii="Arial Narrow" w:hAnsi="Arial Narrow"/>
                <w:i/>
                <w:iCs/>
                <w:color w:val="333333"/>
                <w:sz w:val="20"/>
                <w:szCs w:val="20"/>
              </w:rPr>
              <w:t>) or by telephone by contacting Services Australia on 1800 700 270 (hours of operation 8 a.m. to 5 p.m. Monday to Friday).</w:t>
            </w:r>
          </w:p>
        </w:tc>
      </w:tr>
      <w:tr w:rsidR="00647F3D" w:rsidRPr="00120A12" w14:paraId="2A704BED" w14:textId="77777777" w:rsidTr="00782256">
        <w:tblPrEx>
          <w:tblCellMar>
            <w:top w:w="15" w:type="dxa"/>
            <w:left w:w="15" w:type="dxa"/>
            <w:bottom w:w="15" w:type="dxa"/>
            <w:right w:w="15" w:type="dxa"/>
          </w:tblCellMar>
          <w:tblLook w:val="04A0" w:firstRow="1" w:lastRow="0" w:firstColumn="1" w:lastColumn="0" w:noHBand="0" w:noVBand="1"/>
        </w:tblPrEx>
        <w:tc>
          <w:tcPr>
            <w:tcW w:w="9067" w:type="dxa"/>
            <w:gridSpan w:val="9"/>
            <w:vAlign w:val="center"/>
          </w:tcPr>
          <w:p w14:paraId="3156D867" w14:textId="77777777" w:rsidR="00647F3D" w:rsidRPr="00CE157F" w:rsidRDefault="00647F3D" w:rsidP="00782256">
            <w:pPr>
              <w:rPr>
                <w:rFonts w:ascii="Arial Narrow" w:hAnsi="Arial Narrow"/>
                <w:bCs/>
                <w:color w:val="FF0000"/>
                <w:sz w:val="20"/>
                <w:szCs w:val="20"/>
              </w:rPr>
            </w:pPr>
          </w:p>
          <w:p w14:paraId="6BB8C527" w14:textId="77777777" w:rsidR="00647F3D" w:rsidRPr="00CE157F" w:rsidRDefault="00647F3D" w:rsidP="00782256">
            <w:pPr>
              <w:rPr>
                <w:rFonts w:ascii="Arial Narrow" w:hAnsi="Arial Narrow"/>
                <w:bCs/>
                <w:color w:val="FF0000"/>
                <w:sz w:val="20"/>
                <w:szCs w:val="20"/>
              </w:rPr>
            </w:pPr>
          </w:p>
        </w:tc>
      </w:tr>
      <w:tr w:rsidR="00647F3D" w14:paraId="54B09C2C" w14:textId="77777777" w:rsidTr="00782256">
        <w:tblPrEx>
          <w:tblCellMar>
            <w:top w:w="15" w:type="dxa"/>
            <w:left w:w="15" w:type="dxa"/>
            <w:bottom w:w="15" w:type="dxa"/>
            <w:right w:w="15" w:type="dxa"/>
          </w:tblCellMar>
          <w:tblLook w:val="04A0" w:firstRow="1" w:lastRow="0" w:firstColumn="1" w:lastColumn="0" w:noHBand="0" w:noVBand="1"/>
        </w:tblPrEx>
        <w:tc>
          <w:tcPr>
            <w:tcW w:w="9067" w:type="dxa"/>
            <w:gridSpan w:val="9"/>
            <w:vAlign w:val="center"/>
          </w:tcPr>
          <w:p w14:paraId="311D8629" w14:textId="77777777" w:rsidR="00647F3D" w:rsidRPr="00CE157F" w:rsidRDefault="00647F3D" w:rsidP="00782256">
            <w:pPr>
              <w:rPr>
                <w:rFonts w:ascii="Arial Narrow" w:hAnsi="Arial Narrow"/>
                <w:b/>
                <w:bCs/>
                <w:color w:val="333333"/>
                <w:sz w:val="20"/>
                <w:szCs w:val="20"/>
              </w:rPr>
            </w:pPr>
            <w:r w:rsidRPr="00CE157F">
              <w:rPr>
                <w:rFonts w:ascii="Arial Narrow" w:hAnsi="Arial Narrow"/>
                <w:b/>
                <w:bCs/>
                <w:color w:val="333333"/>
                <w:sz w:val="20"/>
                <w:szCs w:val="20"/>
              </w:rPr>
              <w:t xml:space="preserve">Restriction Summary [new] 4567 / Treatment of Concept: [new] 1234  </w:t>
            </w:r>
          </w:p>
        </w:tc>
      </w:tr>
      <w:tr w:rsidR="00647F3D" w:rsidRPr="00120A12" w14:paraId="27462CBB" w14:textId="77777777" w:rsidTr="00782256">
        <w:tblPrEx>
          <w:tblCellMar>
            <w:top w:w="15" w:type="dxa"/>
            <w:left w:w="15" w:type="dxa"/>
            <w:bottom w:w="15" w:type="dxa"/>
            <w:right w:w="15" w:type="dxa"/>
          </w:tblCellMar>
          <w:tblLook w:val="04A0" w:firstRow="1" w:lastRow="0" w:firstColumn="1" w:lastColumn="0" w:noHBand="0" w:noVBand="1"/>
        </w:tblPrEx>
        <w:tc>
          <w:tcPr>
            <w:tcW w:w="981" w:type="dxa"/>
            <w:gridSpan w:val="2"/>
            <w:vMerge w:val="restart"/>
            <w:tcBorders>
              <w:top w:val="single" w:sz="4" w:space="0" w:color="auto"/>
              <w:left w:val="single" w:sz="4" w:space="0" w:color="auto"/>
              <w:right w:val="single" w:sz="4" w:space="0" w:color="auto"/>
            </w:tcBorders>
          </w:tcPr>
          <w:p w14:paraId="5AA63E76" w14:textId="65741B2C" w:rsidR="00647F3D" w:rsidRPr="00CE157F" w:rsidRDefault="00647F3D" w:rsidP="00782256">
            <w:pPr>
              <w:jc w:val="center"/>
              <w:rPr>
                <w:rFonts w:ascii="Arial Narrow" w:hAnsi="Arial Narrow"/>
                <w:sz w:val="20"/>
                <w:szCs w:val="20"/>
              </w:rPr>
            </w:pPr>
          </w:p>
        </w:tc>
        <w:tc>
          <w:tcPr>
            <w:tcW w:w="8086" w:type="dxa"/>
            <w:gridSpan w:val="7"/>
            <w:tcBorders>
              <w:top w:val="single" w:sz="4" w:space="0" w:color="auto"/>
              <w:left w:val="single" w:sz="4" w:space="0" w:color="auto"/>
              <w:bottom w:val="single" w:sz="4" w:space="0" w:color="auto"/>
              <w:right w:val="single" w:sz="4" w:space="0" w:color="auto"/>
            </w:tcBorders>
          </w:tcPr>
          <w:p w14:paraId="36B70BA3" w14:textId="77777777" w:rsidR="00647F3D" w:rsidRPr="00CE157F" w:rsidRDefault="00647F3D" w:rsidP="00782256">
            <w:pPr>
              <w:rPr>
                <w:rFonts w:ascii="Arial Narrow" w:hAnsi="Arial Narrow"/>
                <w:sz w:val="20"/>
                <w:szCs w:val="20"/>
              </w:rPr>
            </w:pPr>
            <w:r w:rsidRPr="00CE157F">
              <w:rPr>
                <w:rFonts w:ascii="Arial Narrow" w:hAnsi="Arial Narrow"/>
                <w:b/>
                <w:sz w:val="20"/>
                <w:szCs w:val="20"/>
              </w:rPr>
              <w:t xml:space="preserve">Category / Program:   </w:t>
            </w:r>
            <w:r w:rsidRPr="00CE157F">
              <w:rPr>
                <w:rFonts w:ascii="Arial Narrow" w:hAnsi="Arial Narrow"/>
                <w:sz w:val="20"/>
                <w:szCs w:val="20"/>
              </w:rPr>
              <w:t>GENERAL – General Schedule (Code GE)</w:t>
            </w:r>
            <w:r w:rsidRPr="00CE157F">
              <w:rPr>
                <w:rFonts w:ascii="Arial Narrow" w:hAnsi="Arial Narrow"/>
                <w:color w:val="FF0000"/>
                <w:sz w:val="20"/>
                <w:szCs w:val="20"/>
              </w:rPr>
              <w:t xml:space="preserve"> </w:t>
            </w:r>
          </w:p>
        </w:tc>
      </w:tr>
      <w:tr w:rsidR="00647F3D" w:rsidRPr="00120A12" w14:paraId="0C0FA558" w14:textId="77777777" w:rsidTr="00782256">
        <w:tblPrEx>
          <w:tblCellMar>
            <w:top w:w="15" w:type="dxa"/>
            <w:left w:w="15" w:type="dxa"/>
            <w:bottom w:w="15" w:type="dxa"/>
            <w:right w:w="15" w:type="dxa"/>
          </w:tblCellMar>
          <w:tblLook w:val="04A0" w:firstRow="1" w:lastRow="0" w:firstColumn="1" w:lastColumn="0" w:noHBand="0" w:noVBand="1"/>
        </w:tblPrEx>
        <w:trPr>
          <w:trHeight w:val="240"/>
        </w:trPr>
        <w:tc>
          <w:tcPr>
            <w:tcW w:w="981" w:type="dxa"/>
            <w:gridSpan w:val="2"/>
            <w:vMerge/>
            <w:tcBorders>
              <w:left w:val="single" w:sz="4" w:space="0" w:color="auto"/>
              <w:right w:val="single" w:sz="4" w:space="0" w:color="auto"/>
            </w:tcBorders>
          </w:tcPr>
          <w:p w14:paraId="4A2EC478" w14:textId="77777777" w:rsidR="00647F3D" w:rsidRPr="00CE157F" w:rsidRDefault="00647F3D" w:rsidP="00782256">
            <w:pPr>
              <w:rPr>
                <w:rFonts w:ascii="Arial Narrow" w:hAnsi="Arial Narrow"/>
                <w:sz w:val="20"/>
                <w:szCs w:val="20"/>
              </w:rPr>
            </w:pPr>
          </w:p>
        </w:tc>
        <w:tc>
          <w:tcPr>
            <w:tcW w:w="8086" w:type="dxa"/>
            <w:gridSpan w:val="7"/>
            <w:tcBorders>
              <w:top w:val="single" w:sz="4" w:space="0" w:color="auto"/>
              <w:left w:val="single" w:sz="4" w:space="0" w:color="auto"/>
              <w:bottom w:val="single" w:sz="4" w:space="0" w:color="auto"/>
              <w:right w:val="single" w:sz="4" w:space="0" w:color="auto"/>
            </w:tcBorders>
          </w:tcPr>
          <w:p w14:paraId="7F3414D1" w14:textId="77777777" w:rsidR="00647F3D" w:rsidRPr="00CE157F" w:rsidRDefault="00647F3D" w:rsidP="00782256">
            <w:pPr>
              <w:rPr>
                <w:rFonts w:ascii="Arial Narrow" w:hAnsi="Arial Narrow"/>
                <w:b/>
                <w:sz w:val="20"/>
                <w:szCs w:val="20"/>
              </w:rPr>
            </w:pPr>
            <w:r w:rsidRPr="00CE157F">
              <w:rPr>
                <w:rFonts w:ascii="Arial Narrow" w:hAnsi="Arial Narrow"/>
                <w:b/>
                <w:sz w:val="20"/>
                <w:szCs w:val="20"/>
              </w:rPr>
              <w:t xml:space="preserve">Prescriber type:   </w:t>
            </w:r>
            <w:r w:rsidRPr="00CE157F">
              <w:rPr>
                <w:rFonts w:ascii="Arial Narrow" w:hAnsi="Arial Narrow"/>
                <w:sz w:val="20"/>
                <w:szCs w:val="20"/>
              </w:rPr>
              <w:fldChar w:fldCharType="begin">
                <w:ffData>
                  <w:name w:val=""/>
                  <w:enabled/>
                  <w:calcOnExit w:val="0"/>
                  <w:checkBox>
                    <w:sizeAuto/>
                    <w:default w:val="1"/>
                  </w:checkBox>
                </w:ffData>
              </w:fldChar>
            </w:r>
            <w:r w:rsidRPr="00CE157F">
              <w:rPr>
                <w:rFonts w:ascii="Arial Narrow" w:hAnsi="Arial Narrow"/>
                <w:sz w:val="20"/>
                <w:szCs w:val="20"/>
              </w:rPr>
              <w:instrText xml:space="preserve"> FORMCHECKBOX </w:instrText>
            </w:r>
            <w:r w:rsidR="00EC16BE">
              <w:rPr>
                <w:rFonts w:ascii="Arial Narrow" w:hAnsi="Arial Narrow"/>
                <w:sz w:val="20"/>
                <w:szCs w:val="20"/>
              </w:rPr>
            </w:r>
            <w:r w:rsidR="00EC16BE">
              <w:rPr>
                <w:rFonts w:ascii="Arial Narrow" w:hAnsi="Arial Narrow"/>
                <w:sz w:val="20"/>
                <w:szCs w:val="20"/>
              </w:rPr>
              <w:fldChar w:fldCharType="separate"/>
            </w:r>
            <w:r w:rsidRPr="00CE157F">
              <w:rPr>
                <w:rFonts w:ascii="Arial Narrow" w:hAnsi="Arial Narrow"/>
                <w:sz w:val="20"/>
                <w:szCs w:val="20"/>
              </w:rPr>
              <w:fldChar w:fldCharType="end"/>
            </w:r>
            <w:r w:rsidRPr="00CE157F">
              <w:rPr>
                <w:rFonts w:ascii="Arial Narrow" w:hAnsi="Arial Narrow"/>
                <w:sz w:val="20"/>
                <w:szCs w:val="20"/>
              </w:rPr>
              <w:t xml:space="preserve">Medical Practitioners </w:t>
            </w:r>
          </w:p>
        </w:tc>
      </w:tr>
      <w:tr w:rsidR="00647F3D" w:rsidRPr="00120A12" w14:paraId="03085F31" w14:textId="77777777" w:rsidTr="00782256">
        <w:tblPrEx>
          <w:tblCellMar>
            <w:top w:w="15" w:type="dxa"/>
            <w:left w:w="15" w:type="dxa"/>
            <w:bottom w:w="15" w:type="dxa"/>
            <w:right w:w="15" w:type="dxa"/>
          </w:tblCellMar>
          <w:tblLook w:val="04A0" w:firstRow="1" w:lastRow="0" w:firstColumn="1" w:lastColumn="0" w:noHBand="0" w:noVBand="1"/>
        </w:tblPrEx>
        <w:trPr>
          <w:trHeight w:val="396"/>
        </w:trPr>
        <w:tc>
          <w:tcPr>
            <w:tcW w:w="981" w:type="dxa"/>
            <w:gridSpan w:val="2"/>
            <w:vMerge/>
            <w:tcBorders>
              <w:left w:val="single" w:sz="4" w:space="0" w:color="auto"/>
              <w:bottom w:val="single" w:sz="4" w:space="0" w:color="auto"/>
              <w:right w:val="single" w:sz="4" w:space="0" w:color="auto"/>
            </w:tcBorders>
          </w:tcPr>
          <w:p w14:paraId="4F46C78E" w14:textId="77777777" w:rsidR="00647F3D" w:rsidRPr="00CE157F" w:rsidRDefault="00647F3D" w:rsidP="00782256">
            <w:pPr>
              <w:rPr>
                <w:rFonts w:ascii="Arial Narrow" w:hAnsi="Arial Narrow"/>
                <w:sz w:val="20"/>
                <w:szCs w:val="20"/>
              </w:rPr>
            </w:pPr>
          </w:p>
        </w:tc>
        <w:tc>
          <w:tcPr>
            <w:tcW w:w="8086" w:type="dxa"/>
            <w:gridSpan w:val="7"/>
            <w:tcBorders>
              <w:top w:val="single" w:sz="4" w:space="0" w:color="auto"/>
              <w:left w:val="single" w:sz="4" w:space="0" w:color="auto"/>
              <w:bottom w:val="single" w:sz="4" w:space="0" w:color="auto"/>
              <w:right w:val="single" w:sz="4" w:space="0" w:color="auto"/>
            </w:tcBorders>
          </w:tcPr>
          <w:p w14:paraId="69628154" w14:textId="77777777" w:rsidR="00647F3D" w:rsidRPr="00CE157F" w:rsidRDefault="00647F3D" w:rsidP="00782256">
            <w:pPr>
              <w:rPr>
                <w:rFonts w:ascii="Arial Narrow" w:eastAsia="Calibri" w:hAnsi="Arial Narrow"/>
                <w:color w:val="FF00FF"/>
                <w:sz w:val="20"/>
                <w:szCs w:val="20"/>
              </w:rPr>
            </w:pPr>
            <w:r w:rsidRPr="00CE157F">
              <w:rPr>
                <w:rFonts w:ascii="Arial Narrow" w:hAnsi="Arial Narrow"/>
                <w:b/>
                <w:sz w:val="20"/>
                <w:szCs w:val="20"/>
              </w:rPr>
              <w:t xml:space="preserve">Restriction type: </w:t>
            </w:r>
            <w:r w:rsidRPr="00CE157F">
              <w:rPr>
                <w:rFonts w:ascii="Arial Narrow" w:eastAsia="Calibri" w:hAnsi="Arial Narrow"/>
                <w:sz w:val="20"/>
                <w:szCs w:val="20"/>
              </w:rPr>
              <w:fldChar w:fldCharType="begin">
                <w:ffData>
                  <w:name w:val=""/>
                  <w:enabled/>
                  <w:calcOnExit w:val="0"/>
                  <w:checkBox>
                    <w:sizeAuto/>
                    <w:default w:val="1"/>
                  </w:checkBox>
                </w:ffData>
              </w:fldChar>
            </w:r>
            <w:r w:rsidRPr="00CE157F">
              <w:rPr>
                <w:rFonts w:ascii="Arial Narrow" w:eastAsia="Calibri" w:hAnsi="Arial Narrow"/>
                <w:sz w:val="20"/>
                <w:szCs w:val="20"/>
              </w:rPr>
              <w:instrText xml:space="preserve"> FORMCHECKBOX </w:instrText>
            </w:r>
            <w:r w:rsidR="00EC16BE">
              <w:rPr>
                <w:rFonts w:ascii="Arial Narrow" w:eastAsia="Calibri" w:hAnsi="Arial Narrow"/>
                <w:sz w:val="20"/>
                <w:szCs w:val="20"/>
              </w:rPr>
            </w:r>
            <w:r w:rsidR="00EC16BE">
              <w:rPr>
                <w:rFonts w:ascii="Arial Narrow" w:eastAsia="Calibri" w:hAnsi="Arial Narrow"/>
                <w:sz w:val="20"/>
                <w:szCs w:val="20"/>
              </w:rPr>
              <w:fldChar w:fldCharType="separate"/>
            </w:r>
            <w:r w:rsidRPr="00CE157F">
              <w:rPr>
                <w:rFonts w:ascii="Arial Narrow" w:eastAsia="Calibri" w:hAnsi="Arial Narrow"/>
                <w:sz w:val="20"/>
                <w:szCs w:val="20"/>
              </w:rPr>
              <w:fldChar w:fldCharType="end"/>
            </w:r>
            <w:r w:rsidRPr="00CE157F">
              <w:rPr>
                <w:rFonts w:ascii="Arial Narrow" w:eastAsia="Calibri" w:hAnsi="Arial Narrow"/>
                <w:sz w:val="20"/>
                <w:szCs w:val="20"/>
              </w:rPr>
              <w:t>Authority Required (STREAMLINED)</w:t>
            </w:r>
          </w:p>
        </w:tc>
      </w:tr>
      <w:tr w:rsidR="00647F3D" w:rsidRPr="001A310D" w14:paraId="78B97DA3" w14:textId="77777777" w:rsidTr="00782256">
        <w:tblPrEx>
          <w:tblCellMar>
            <w:top w:w="15" w:type="dxa"/>
            <w:left w:w="15" w:type="dxa"/>
            <w:bottom w:w="15" w:type="dxa"/>
            <w:right w:w="15" w:type="dxa"/>
          </w:tblCellMar>
          <w:tblLook w:val="04A0" w:firstRow="1" w:lastRow="0" w:firstColumn="1" w:lastColumn="0" w:noHBand="0" w:noVBand="1"/>
        </w:tblPrEx>
        <w:tc>
          <w:tcPr>
            <w:tcW w:w="981" w:type="dxa"/>
            <w:gridSpan w:val="2"/>
            <w:vMerge w:val="restart"/>
            <w:vAlign w:val="center"/>
          </w:tcPr>
          <w:p w14:paraId="73388EF3" w14:textId="77777777" w:rsidR="00647F3D" w:rsidRPr="00CE157F" w:rsidRDefault="00647F3D" w:rsidP="00782256">
            <w:pPr>
              <w:jc w:val="center"/>
              <w:rPr>
                <w:rFonts w:ascii="Arial Narrow" w:hAnsi="Arial Narrow"/>
                <w:color w:val="DDD9C3" w:themeColor="background2" w:themeShade="E6"/>
                <w:sz w:val="20"/>
                <w:szCs w:val="20"/>
              </w:rPr>
            </w:pPr>
          </w:p>
        </w:tc>
        <w:tc>
          <w:tcPr>
            <w:tcW w:w="8086" w:type="dxa"/>
            <w:gridSpan w:val="7"/>
            <w:vAlign w:val="center"/>
          </w:tcPr>
          <w:p w14:paraId="5BD0EA4D" w14:textId="77777777" w:rsidR="00647F3D" w:rsidRPr="00CE157F" w:rsidRDefault="00647F3D" w:rsidP="00782256">
            <w:pPr>
              <w:rPr>
                <w:rFonts w:ascii="Arial Narrow" w:hAnsi="Arial Narrow"/>
                <w:bCs/>
                <w:color w:val="DDD9C3" w:themeColor="background2" w:themeShade="E6"/>
                <w:sz w:val="20"/>
                <w:szCs w:val="20"/>
              </w:rPr>
            </w:pPr>
            <w:r w:rsidRPr="00CE157F">
              <w:rPr>
                <w:rFonts w:ascii="Arial Narrow" w:hAnsi="Arial Narrow"/>
                <w:b/>
                <w:bCs/>
                <w:color w:val="DDD9C3" w:themeColor="background2" w:themeShade="E6"/>
                <w:sz w:val="20"/>
                <w:szCs w:val="20"/>
              </w:rPr>
              <w:t xml:space="preserve">Episodicity: </w:t>
            </w:r>
          </w:p>
        </w:tc>
      </w:tr>
      <w:tr w:rsidR="00647F3D" w:rsidRPr="00120A12" w14:paraId="4C925938" w14:textId="77777777" w:rsidTr="00782256">
        <w:tblPrEx>
          <w:tblCellMar>
            <w:top w:w="15" w:type="dxa"/>
            <w:left w:w="15" w:type="dxa"/>
            <w:bottom w:w="15" w:type="dxa"/>
            <w:right w:w="15" w:type="dxa"/>
          </w:tblCellMar>
          <w:tblLook w:val="04A0" w:firstRow="1" w:lastRow="0" w:firstColumn="1" w:lastColumn="0" w:noHBand="0" w:noVBand="1"/>
        </w:tblPrEx>
        <w:tc>
          <w:tcPr>
            <w:tcW w:w="981" w:type="dxa"/>
            <w:gridSpan w:val="2"/>
            <w:vMerge/>
            <w:vAlign w:val="center"/>
          </w:tcPr>
          <w:p w14:paraId="7F15C51B" w14:textId="77777777" w:rsidR="00647F3D" w:rsidRPr="00CE157F" w:rsidRDefault="00647F3D" w:rsidP="00782256">
            <w:pPr>
              <w:jc w:val="center"/>
              <w:rPr>
                <w:rFonts w:ascii="Arial Narrow" w:hAnsi="Arial Narrow"/>
                <w:color w:val="DDD9C3" w:themeColor="background2" w:themeShade="E6"/>
                <w:sz w:val="20"/>
                <w:szCs w:val="20"/>
              </w:rPr>
            </w:pPr>
          </w:p>
        </w:tc>
        <w:tc>
          <w:tcPr>
            <w:tcW w:w="8086" w:type="dxa"/>
            <w:gridSpan w:val="7"/>
            <w:vAlign w:val="center"/>
          </w:tcPr>
          <w:p w14:paraId="0137966C" w14:textId="77777777" w:rsidR="00647F3D" w:rsidRPr="00CE157F" w:rsidRDefault="00647F3D" w:rsidP="00782256">
            <w:pPr>
              <w:rPr>
                <w:rFonts w:ascii="Arial Narrow" w:hAnsi="Arial Narrow"/>
                <w:b/>
                <w:bCs/>
                <w:color w:val="DDD9C3" w:themeColor="background2" w:themeShade="E6"/>
                <w:sz w:val="20"/>
                <w:szCs w:val="20"/>
              </w:rPr>
            </w:pPr>
            <w:r w:rsidRPr="00CE157F">
              <w:rPr>
                <w:rFonts w:ascii="Arial Narrow" w:hAnsi="Arial Narrow"/>
                <w:b/>
                <w:bCs/>
                <w:color w:val="DDD9C3" w:themeColor="background2" w:themeShade="E6"/>
                <w:sz w:val="20"/>
                <w:szCs w:val="20"/>
              </w:rPr>
              <w:t xml:space="preserve">Severity: Severe </w:t>
            </w:r>
          </w:p>
        </w:tc>
      </w:tr>
      <w:tr w:rsidR="00647F3D" w:rsidRPr="00120A12" w14:paraId="2681C718" w14:textId="77777777" w:rsidTr="00782256">
        <w:tblPrEx>
          <w:tblCellMar>
            <w:top w:w="15" w:type="dxa"/>
            <w:left w:w="15" w:type="dxa"/>
            <w:bottom w:w="15" w:type="dxa"/>
            <w:right w:w="15" w:type="dxa"/>
          </w:tblCellMar>
          <w:tblLook w:val="04A0" w:firstRow="1" w:lastRow="0" w:firstColumn="1" w:lastColumn="0" w:noHBand="0" w:noVBand="1"/>
        </w:tblPrEx>
        <w:tc>
          <w:tcPr>
            <w:tcW w:w="981" w:type="dxa"/>
            <w:gridSpan w:val="2"/>
            <w:vMerge/>
            <w:vAlign w:val="center"/>
          </w:tcPr>
          <w:p w14:paraId="257584BA" w14:textId="77777777" w:rsidR="00647F3D" w:rsidRPr="00CE157F" w:rsidRDefault="00647F3D" w:rsidP="00782256">
            <w:pPr>
              <w:jc w:val="center"/>
              <w:rPr>
                <w:rFonts w:ascii="Arial Narrow" w:hAnsi="Arial Narrow"/>
                <w:color w:val="DDD9C3" w:themeColor="background2" w:themeShade="E6"/>
                <w:sz w:val="20"/>
                <w:szCs w:val="20"/>
              </w:rPr>
            </w:pPr>
          </w:p>
        </w:tc>
        <w:tc>
          <w:tcPr>
            <w:tcW w:w="8086" w:type="dxa"/>
            <w:gridSpan w:val="7"/>
            <w:vAlign w:val="center"/>
          </w:tcPr>
          <w:p w14:paraId="2871882C" w14:textId="77777777" w:rsidR="00647F3D" w:rsidRPr="00CE157F" w:rsidRDefault="00647F3D" w:rsidP="00782256">
            <w:pPr>
              <w:rPr>
                <w:rFonts w:ascii="Arial Narrow" w:hAnsi="Arial Narrow"/>
                <w:b/>
                <w:bCs/>
                <w:color w:val="DDD9C3" w:themeColor="background2" w:themeShade="E6"/>
                <w:sz w:val="20"/>
                <w:szCs w:val="20"/>
              </w:rPr>
            </w:pPr>
            <w:r w:rsidRPr="00CE157F">
              <w:rPr>
                <w:rFonts w:ascii="Arial Narrow" w:hAnsi="Arial Narrow"/>
                <w:b/>
                <w:bCs/>
                <w:color w:val="DDD9C3" w:themeColor="background2" w:themeShade="E6"/>
                <w:sz w:val="20"/>
                <w:szCs w:val="20"/>
              </w:rPr>
              <w:t>Condition: Established osteoporosis</w:t>
            </w:r>
          </w:p>
        </w:tc>
      </w:tr>
      <w:tr w:rsidR="00647F3D" w:rsidRPr="00120A12" w14:paraId="3D460208" w14:textId="77777777" w:rsidTr="00A11377">
        <w:tblPrEx>
          <w:tblCellMar>
            <w:top w:w="15" w:type="dxa"/>
            <w:left w:w="15" w:type="dxa"/>
            <w:bottom w:w="15" w:type="dxa"/>
            <w:right w:w="15" w:type="dxa"/>
          </w:tblCellMar>
          <w:tblLook w:val="04A0" w:firstRow="1" w:lastRow="0" w:firstColumn="1" w:lastColumn="0" w:noHBand="0" w:noVBand="1"/>
        </w:tblPrEx>
        <w:tc>
          <w:tcPr>
            <w:tcW w:w="981" w:type="dxa"/>
            <w:gridSpan w:val="2"/>
            <w:vAlign w:val="center"/>
          </w:tcPr>
          <w:p w14:paraId="5BBFA5A7" w14:textId="32436085" w:rsidR="00647F3D" w:rsidRPr="00CE157F" w:rsidRDefault="00647F3D" w:rsidP="00782256">
            <w:pPr>
              <w:jc w:val="center"/>
              <w:rPr>
                <w:rFonts w:ascii="Arial Narrow" w:hAnsi="Arial Narrow"/>
                <w:color w:val="333333"/>
                <w:sz w:val="20"/>
                <w:szCs w:val="20"/>
              </w:rPr>
            </w:pPr>
          </w:p>
        </w:tc>
        <w:tc>
          <w:tcPr>
            <w:tcW w:w="8086" w:type="dxa"/>
            <w:gridSpan w:val="7"/>
            <w:vAlign w:val="center"/>
            <w:hideMark/>
          </w:tcPr>
          <w:p w14:paraId="6242F1E0" w14:textId="77777777" w:rsidR="00647F3D" w:rsidRPr="00CE157F" w:rsidRDefault="00647F3D" w:rsidP="00782256">
            <w:pPr>
              <w:rPr>
                <w:rFonts w:ascii="Arial Narrow" w:hAnsi="Arial Narrow"/>
                <w:color w:val="333333"/>
                <w:sz w:val="20"/>
                <w:szCs w:val="20"/>
              </w:rPr>
            </w:pPr>
            <w:r w:rsidRPr="00CE157F">
              <w:rPr>
                <w:rFonts w:ascii="Arial Narrow" w:hAnsi="Arial Narrow"/>
                <w:b/>
                <w:bCs/>
                <w:color w:val="333333"/>
                <w:sz w:val="20"/>
                <w:szCs w:val="20"/>
              </w:rPr>
              <w:t>Indication:</w:t>
            </w:r>
            <w:r w:rsidRPr="00CE157F">
              <w:rPr>
                <w:rFonts w:ascii="Arial Narrow" w:hAnsi="Arial Narrow"/>
                <w:color w:val="333333"/>
                <w:sz w:val="20"/>
                <w:szCs w:val="20"/>
              </w:rPr>
              <w:t xml:space="preserve"> Severe established osteoporosis </w:t>
            </w:r>
          </w:p>
        </w:tc>
      </w:tr>
      <w:tr w:rsidR="00647F3D" w:rsidRPr="00B90897" w14:paraId="0BD8173E" w14:textId="77777777" w:rsidTr="00A11377">
        <w:tblPrEx>
          <w:tblCellMar>
            <w:top w:w="15" w:type="dxa"/>
            <w:left w:w="15" w:type="dxa"/>
            <w:bottom w:w="15" w:type="dxa"/>
            <w:right w:w="15" w:type="dxa"/>
          </w:tblCellMar>
          <w:tblLook w:val="04A0" w:firstRow="1" w:lastRow="0" w:firstColumn="1" w:lastColumn="0" w:noHBand="0" w:noVBand="1"/>
        </w:tblPrEx>
        <w:tc>
          <w:tcPr>
            <w:tcW w:w="981" w:type="dxa"/>
            <w:gridSpan w:val="2"/>
            <w:vAlign w:val="center"/>
          </w:tcPr>
          <w:p w14:paraId="41C8B6B6" w14:textId="77777777" w:rsidR="00647F3D" w:rsidRPr="00CE157F" w:rsidRDefault="00647F3D" w:rsidP="00782256">
            <w:pPr>
              <w:jc w:val="center"/>
              <w:rPr>
                <w:rFonts w:ascii="Arial Narrow" w:hAnsi="Arial Narrow"/>
                <w:color w:val="333333"/>
                <w:sz w:val="20"/>
                <w:szCs w:val="20"/>
              </w:rPr>
            </w:pPr>
          </w:p>
        </w:tc>
        <w:tc>
          <w:tcPr>
            <w:tcW w:w="8086" w:type="dxa"/>
            <w:gridSpan w:val="7"/>
            <w:vAlign w:val="center"/>
            <w:hideMark/>
          </w:tcPr>
          <w:p w14:paraId="4C163ABC" w14:textId="77777777" w:rsidR="00647F3D" w:rsidRPr="00CE157F" w:rsidRDefault="00647F3D" w:rsidP="00782256">
            <w:pPr>
              <w:rPr>
                <w:rFonts w:ascii="Arial Narrow" w:hAnsi="Arial Narrow"/>
                <w:color w:val="FF00FF"/>
                <w:sz w:val="20"/>
                <w:szCs w:val="20"/>
              </w:rPr>
            </w:pPr>
            <w:r w:rsidRPr="00CE157F">
              <w:rPr>
                <w:rFonts w:ascii="Arial Narrow" w:hAnsi="Arial Narrow"/>
                <w:b/>
                <w:bCs/>
                <w:color w:val="333333"/>
                <w:sz w:val="20"/>
                <w:szCs w:val="20"/>
              </w:rPr>
              <w:t>Treatment Phase:</w:t>
            </w:r>
            <w:r w:rsidRPr="00CE157F">
              <w:rPr>
                <w:rFonts w:ascii="Arial Narrow" w:hAnsi="Arial Narrow"/>
                <w:color w:val="FF0000"/>
                <w:sz w:val="20"/>
                <w:szCs w:val="20"/>
              </w:rPr>
              <w:t xml:space="preserve"> </w:t>
            </w:r>
            <w:r w:rsidRPr="00CE157F">
              <w:rPr>
                <w:rFonts w:ascii="Arial Narrow" w:hAnsi="Arial Narrow"/>
                <w:color w:val="333333"/>
                <w:sz w:val="20"/>
                <w:szCs w:val="20"/>
              </w:rPr>
              <w:t>Continuing treatment</w:t>
            </w:r>
            <w:r w:rsidRPr="00CE157F">
              <w:rPr>
                <w:rFonts w:ascii="Arial Narrow" w:hAnsi="Arial Narrow"/>
                <w:color w:val="FF0000"/>
                <w:sz w:val="20"/>
                <w:szCs w:val="20"/>
              </w:rPr>
              <w:t xml:space="preserve">  </w:t>
            </w:r>
          </w:p>
        </w:tc>
      </w:tr>
      <w:tr w:rsidR="00647F3D" w:rsidRPr="007F2BB2" w14:paraId="458649ED" w14:textId="77777777" w:rsidTr="00A11377">
        <w:tblPrEx>
          <w:tblCellMar>
            <w:top w:w="15" w:type="dxa"/>
            <w:left w:w="15" w:type="dxa"/>
            <w:bottom w:w="15" w:type="dxa"/>
            <w:right w:w="15" w:type="dxa"/>
          </w:tblCellMar>
          <w:tblLook w:val="04A0" w:firstRow="1" w:lastRow="0" w:firstColumn="1" w:lastColumn="0" w:noHBand="0" w:noVBand="1"/>
        </w:tblPrEx>
        <w:tc>
          <w:tcPr>
            <w:tcW w:w="981" w:type="dxa"/>
            <w:gridSpan w:val="2"/>
          </w:tcPr>
          <w:p w14:paraId="7C0049EF" w14:textId="5DDA999E" w:rsidR="00647F3D" w:rsidRPr="00CE157F" w:rsidRDefault="00647F3D" w:rsidP="00782256">
            <w:pPr>
              <w:jc w:val="center"/>
              <w:rPr>
                <w:rFonts w:ascii="Arial Narrow" w:hAnsi="Arial Narrow"/>
                <w:color w:val="333333"/>
                <w:sz w:val="20"/>
                <w:szCs w:val="20"/>
              </w:rPr>
            </w:pPr>
          </w:p>
        </w:tc>
        <w:tc>
          <w:tcPr>
            <w:tcW w:w="8086" w:type="dxa"/>
            <w:gridSpan w:val="7"/>
            <w:hideMark/>
          </w:tcPr>
          <w:p w14:paraId="322160AB" w14:textId="77777777" w:rsidR="00647F3D" w:rsidRPr="00CE157F" w:rsidRDefault="00647F3D" w:rsidP="00782256">
            <w:pPr>
              <w:rPr>
                <w:rFonts w:ascii="Arial Narrow" w:hAnsi="Arial Narrow"/>
                <w:color w:val="FF00FF"/>
                <w:sz w:val="20"/>
                <w:szCs w:val="20"/>
              </w:rPr>
            </w:pPr>
            <w:r w:rsidRPr="00CE157F">
              <w:rPr>
                <w:rFonts w:ascii="Arial Narrow" w:hAnsi="Arial Narrow"/>
                <w:b/>
                <w:bCs/>
                <w:color w:val="333333"/>
                <w:sz w:val="20"/>
                <w:szCs w:val="20"/>
              </w:rPr>
              <w:t>Clinical</w:t>
            </w:r>
            <w:r w:rsidRPr="00CE157F">
              <w:rPr>
                <w:sz w:val="20"/>
                <w:szCs w:val="20"/>
              </w:rPr>
              <w:t xml:space="preserve"> </w:t>
            </w:r>
            <w:r w:rsidRPr="00CE157F">
              <w:rPr>
                <w:rFonts w:ascii="Arial Narrow" w:hAnsi="Arial Narrow"/>
                <w:b/>
                <w:bCs/>
                <w:color w:val="333333"/>
                <w:sz w:val="20"/>
                <w:szCs w:val="20"/>
              </w:rPr>
              <w:t>criteria</w:t>
            </w:r>
            <w:r w:rsidRPr="00CE157F">
              <w:rPr>
                <w:sz w:val="20"/>
                <w:szCs w:val="20"/>
              </w:rPr>
              <w:t xml:space="preserve">: </w:t>
            </w:r>
          </w:p>
        </w:tc>
      </w:tr>
      <w:tr w:rsidR="00647F3D" w:rsidRPr="00720161" w14:paraId="140C2204" w14:textId="77777777" w:rsidTr="00A11377">
        <w:tblPrEx>
          <w:tblCellMar>
            <w:top w:w="15" w:type="dxa"/>
            <w:left w:w="15" w:type="dxa"/>
            <w:bottom w:w="15" w:type="dxa"/>
            <w:right w:w="15" w:type="dxa"/>
          </w:tblCellMar>
          <w:tblLook w:val="04A0" w:firstRow="1" w:lastRow="0" w:firstColumn="1" w:lastColumn="0" w:noHBand="0" w:noVBand="1"/>
        </w:tblPrEx>
        <w:tc>
          <w:tcPr>
            <w:tcW w:w="981" w:type="dxa"/>
            <w:gridSpan w:val="2"/>
          </w:tcPr>
          <w:p w14:paraId="4BCEDFB7" w14:textId="2644314B" w:rsidR="00647F3D" w:rsidRPr="00CE157F" w:rsidRDefault="00647F3D" w:rsidP="00782256">
            <w:pPr>
              <w:jc w:val="center"/>
              <w:rPr>
                <w:rFonts w:ascii="Arial Narrow" w:hAnsi="Arial Narrow"/>
                <w:color w:val="333333"/>
                <w:sz w:val="20"/>
                <w:szCs w:val="20"/>
              </w:rPr>
            </w:pPr>
          </w:p>
        </w:tc>
        <w:tc>
          <w:tcPr>
            <w:tcW w:w="8086" w:type="dxa"/>
            <w:gridSpan w:val="7"/>
            <w:hideMark/>
          </w:tcPr>
          <w:p w14:paraId="5A69486B" w14:textId="77777777" w:rsidR="00647F3D" w:rsidRPr="00CE157F" w:rsidRDefault="00647F3D" w:rsidP="00782256">
            <w:pPr>
              <w:rPr>
                <w:rFonts w:ascii="Arial Narrow" w:hAnsi="Arial Narrow"/>
                <w:color w:val="333333"/>
                <w:sz w:val="20"/>
                <w:szCs w:val="20"/>
              </w:rPr>
            </w:pPr>
            <w:r w:rsidRPr="00CE157F">
              <w:rPr>
                <w:rFonts w:ascii="Arial Narrow" w:hAnsi="Arial Narrow"/>
                <w:color w:val="333333"/>
                <w:sz w:val="20"/>
                <w:szCs w:val="20"/>
              </w:rPr>
              <w:t>Patient must have previously received PBS-subsidised treatment with this drug for this condition.</w:t>
            </w:r>
          </w:p>
        </w:tc>
      </w:tr>
      <w:tr w:rsidR="00647F3D" w:rsidRPr="00120A12" w14:paraId="007F1038" w14:textId="77777777" w:rsidTr="00782256">
        <w:tblPrEx>
          <w:tblCellMar>
            <w:top w:w="15" w:type="dxa"/>
            <w:left w:w="15" w:type="dxa"/>
            <w:bottom w:w="15" w:type="dxa"/>
            <w:right w:w="15" w:type="dxa"/>
          </w:tblCellMar>
          <w:tblLook w:val="04A0" w:firstRow="1" w:lastRow="0" w:firstColumn="1" w:lastColumn="0" w:noHBand="0" w:noVBand="1"/>
        </w:tblPrEx>
        <w:tc>
          <w:tcPr>
            <w:tcW w:w="981" w:type="dxa"/>
            <w:gridSpan w:val="2"/>
            <w:vAlign w:val="center"/>
          </w:tcPr>
          <w:p w14:paraId="3081B192" w14:textId="77777777" w:rsidR="00647F3D" w:rsidRPr="00CE157F" w:rsidRDefault="00647F3D" w:rsidP="00782256">
            <w:pPr>
              <w:jc w:val="center"/>
              <w:rPr>
                <w:rFonts w:ascii="Arial Narrow" w:hAnsi="Arial Narrow"/>
                <w:color w:val="333333"/>
                <w:sz w:val="20"/>
                <w:szCs w:val="20"/>
              </w:rPr>
            </w:pPr>
          </w:p>
        </w:tc>
        <w:tc>
          <w:tcPr>
            <w:tcW w:w="8086" w:type="dxa"/>
            <w:gridSpan w:val="7"/>
          </w:tcPr>
          <w:p w14:paraId="7A85F7C4" w14:textId="77777777" w:rsidR="00647F3D" w:rsidRPr="00CE157F" w:rsidRDefault="00647F3D" w:rsidP="00782256">
            <w:pPr>
              <w:rPr>
                <w:rFonts w:ascii="Arial Narrow" w:hAnsi="Arial Narrow"/>
                <w:b/>
                <w:bCs/>
                <w:color w:val="333333"/>
                <w:sz w:val="20"/>
                <w:szCs w:val="20"/>
              </w:rPr>
            </w:pPr>
            <w:r w:rsidRPr="00CE157F">
              <w:rPr>
                <w:rFonts w:ascii="Arial Narrow" w:hAnsi="Arial Narrow"/>
                <w:b/>
                <w:bCs/>
                <w:color w:val="333333"/>
                <w:sz w:val="20"/>
                <w:szCs w:val="20"/>
              </w:rPr>
              <w:t>AND</w:t>
            </w:r>
          </w:p>
        </w:tc>
      </w:tr>
      <w:tr w:rsidR="00647F3D" w:rsidRPr="00120A12" w14:paraId="76BDD972" w14:textId="77777777" w:rsidTr="00782256">
        <w:tblPrEx>
          <w:tblCellMar>
            <w:top w:w="15" w:type="dxa"/>
            <w:left w:w="15" w:type="dxa"/>
            <w:bottom w:w="15" w:type="dxa"/>
            <w:right w:w="15" w:type="dxa"/>
          </w:tblCellMar>
          <w:tblLook w:val="04A0" w:firstRow="1" w:lastRow="0" w:firstColumn="1" w:lastColumn="0" w:noHBand="0" w:noVBand="1"/>
        </w:tblPrEx>
        <w:tc>
          <w:tcPr>
            <w:tcW w:w="981" w:type="dxa"/>
            <w:gridSpan w:val="2"/>
            <w:vAlign w:val="center"/>
          </w:tcPr>
          <w:p w14:paraId="259DEB1E" w14:textId="2123DD7E" w:rsidR="00647F3D" w:rsidRPr="00CE157F" w:rsidRDefault="00647F3D" w:rsidP="00782256">
            <w:pPr>
              <w:jc w:val="center"/>
              <w:rPr>
                <w:rFonts w:ascii="Arial Narrow" w:hAnsi="Arial Narrow"/>
                <w:i/>
                <w:iCs/>
                <w:color w:val="333333"/>
                <w:sz w:val="20"/>
                <w:szCs w:val="20"/>
              </w:rPr>
            </w:pPr>
          </w:p>
        </w:tc>
        <w:tc>
          <w:tcPr>
            <w:tcW w:w="8086" w:type="dxa"/>
            <w:gridSpan w:val="7"/>
          </w:tcPr>
          <w:p w14:paraId="3651AF46" w14:textId="77777777" w:rsidR="00647F3D" w:rsidRPr="00CE157F" w:rsidRDefault="00647F3D" w:rsidP="00782256">
            <w:pPr>
              <w:rPr>
                <w:rFonts w:ascii="Arial Narrow" w:hAnsi="Arial Narrow"/>
                <w:b/>
                <w:bCs/>
                <w:i/>
                <w:iCs/>
                <w:color w:val="333333"/>
                <w:sz w:val="20"/>
                <w:szCs w:val="20"/>
              </w:rPr>
            </w:pPr>
            <w:r w:rsidRPr="00CE157F">
              <w:rPr>
                <w:rFonts w:ascii="Arial Narrow" w:hAnsi="Arial Narrow"/>
                <w:b/>
                <w:bCs/>
                <w:i/>
                <w:iCs/>
                <w:color w:val="333333"/>
                <w:sz w:val="20"/>
                <w:szCs w:val="20"/>
              </w:rPr>
              <w:t>Clinical criteria:</w:t>
            </w:r>
          </w:p>
        </w:tc>
      </w:tr>
      <w:tr w:rsidR="00647F3D" w:rsidRPr="00120A12" w14:paraId="6C7E9672" w14:textId="77777777" w:rsidTr="00782256">
        <w:tblPrEx>
          <w:tblCellMar>
            <w:top w:w="15" w:type="dxa"/>
            <w:left w:w="15" w:type="dxa"/>
            <w:bottom w:w="15" w:type="dxa"/>
            <w:right w:w="15" w:type="dxa"/>
          </w:tblCellMar>
          <w:tblLook w:val="04A0" w:firstRow="1" w:lastRow="0" w:firstColumn="1" w:lastColumn="0" w:noHBand="0" w:noVBand="1"/>
        </w:tblPrEx>
        <w:tc>
          <w:tcPr>
            <w:tcW w:w="981" w:type="dxa"/>
            <w:gridSpan w:val="2"/>
            <w:vAlign w:val="center"/>
          </w:tcPr>
          <w:p w14:paraId="6C4BD7CF" w14:textId="77F4FD0B" w:rsidR="00647F3D" w:rsidRPr="00CE157F" w:rsidRDefault="00647F3D" w:rsidP="00782256">
            <w:pPr>
              <w:jc w:val="center"/>
              <w:rPr>
                <w:rFonts w:ascii="Arial Narrow" w:hAnsi="Arial Narrow"/>
                <w:i/>
                <w:iCs/>
                <w:color w:val="333333"/>
                <w:sz w:val="20"/>
                <w:szCs w:val="20"/>
              </w:rPr>
            </w:pPr>
          </w:p>
        </w:tc>
        <w:tc>
          <w:tcPr>
            <w:tcW w:w="8086" w:type="dxa"/>
            <w:gridSpan w:val="7"/>
            <w:vAlign w:val="center"/>
          </w:tcPr>
          <w:p w14:paraId="34A30188" w14:textId="77777777" w:rsidR="00647F3D" w:rsidRPr="00CE157F" w:rsidRDefault="00647F3D" w:rsidP="00782256">
            <w:pPr>
              <w:rPr>
                <w:rFonts w:ascii="Arial Narrow" w:hAnsi="Arial Narrow"/>
                <w:i/>
                <w:iCs/>
                <w:color w:val="333333"/>
                <w:sz w:val="20"/>
                <w:szCs w:val="20"/>
              </w:rPr>
            </w:pPr>
            <w:r w:rsidRPr="00CE157F">
              <w:rPr>
                <w:rFonts w:ascii="Arial Narrow" w:hAnsi="Arial Narrow"/>
                <w:i/>
                <w:iCs/>
                <w:color w:val="333333"/>
                <w:sz w:val="20"/>
                <w:szCs w:val="20"/>
              </w:rPr>
              <w:t>The treatment must be the sole PBS-subsidised therapy for this condition.</w:t>
            </w:r>
          </w:p>
        </w:tc>
      </w:tr>
      <w:tr w:rsidR="00647F3D" w:rsidRPr="00120A12" w14:paraId="7C62A7B4" w14:textId="77777777" w:rsidTr="00782256">
        <w:tblPrEx>
          <w:tblCellMar>
            <w:top w:w="15" w:type="dxa"/>
            <w:left w:w="15" w:type="dxa"/>
            <w:bottom w:w="15" w:type="dxa"/>
            <w:right w:w="15" w:type="dxa"/>
          </w:tblCellMar>
          <w:tblLook w:val="04A0" w:firstRow="1" w:lastRow="0" w:firstColumn="1" w:lastColumn="0" w:noHBand="0" w:noVBand="1"/>
        </w:tblPrEx>
        <w:tc>
          <w:tcPr>
            <w:tcW w:w="981" w:type="dxa"/>
            <w:gridSpan w:val="2"/>
            <w:vAlign w:val="center"/>
          </w:tcPr>
          <w:p w14:paraId="4F5E7DA9" w14:textId="77777777" w:rsidR="00647F3D" w:rsidRPr="00CE157F" w:rsidRDefault="00647F3D" w:rsidP="00782256">
            <w:pPr>
              <w:jc w:val="center"/>
              <w:rPr>
                <w:rFonts w:ascii="Arial Narrow" w:hAnsi="Arial Narrow"/>
                <w:color w:val="333333"/>
                <w:sz w:val="20"/>
                <w:szCs w:val="20"/>
              </w:rPr>
            </w:pPr>
          </w:p>
        </w:tc>
        <w:tc>
          <w:tcPr>
            <w:tcW w:w="8086" w:type="dxa"/>
            <w:gridSpan w:val="7"/>
          </w:tcPr>
          <w:p w14:paraId="7707AC1C" w14:textId="77777777" w:rsidR="00647F3D" w:rsidRPr="00CE157F" w:rsidRDefault="00647F3D" w:rsidP="00782256">
            <w:pPr>
              <w:rPr>
                <w:rFonts w:ascii="Arial Narrow" w:hAnsi="Arial Narrow"/>
                <w:b/>
                <w:bCs/>
                <w:color w:val="333333"/>
                <w:sz w:val="20"/>
                <w:szCs w:val="20"/>
              </w:rPr>
            </w:pPr>
            <w:r w:rsidRPr="00CE157F">
              <w:rPr>
                <w:rFonts w:ascii="Arial Narrow" w:hAnsi="Arial Narrow"/>
                <w:b/>
                <w:bCs/>
                <w:color w:val="333333"/>
                <w:sz w:val="20"/>
                <w:szCs w:val="20"/>
              </w:rPr>
              <w:t>AND</w:t>
            </w:r>
          </w:p>
        </w:tc>
      </w:tr>
      <w:tr w:rsidR="00647F3D" w:rsidRPr="00120A12" w14:paraId="4C7D7528" w14:textId="77777777" w:rsidTr="00782256">
        <w:tblPrEx>
          <w:tblCellMar>
            <w:top w:w="15" w:type="dxa"/>
            <w:left w:w="15" w:type="dxa"/>
            <w:bottom w:w="15" w:type="dxa"/>
            <w:right w:w="15" w:type="dxa"/>
          </w:tblCellMar>
          <w:tblLook w:val="04A0" w:firstRow="1" w:lastRow="0" w:firstColumn="1" w:lastColumn="0" w:noHBand="0" w:noVBand="1"/>
        </w:tblPrEx>
        <w:tc>
          <w:tcPr>
            <w:tcW w:w="981" w:type="dxa"/>
            <w:gridSpan w:val="2"/>
            <w:vAlign w:val="center"/>
          </w:tcPr>
          <w:p w14:paraId="6FC89634" w14:textId="77777777" w:rsidR="00647F3D" w:rsidRPr="00CE157F" w:rsidRDefault="00647F3D" w:rsidP="00782256">
            <w:pPr>
              <w:jc w:val="center"/>
              <w:rPr>
                <w:rFonts w:ascii="Arial Narrow" w:hAnsi="Arial Narrow"/>
                <w:color w:val="333333"/>
                <w:sz w:val="20"/>
                <w:szCs w:val="20"/>
              </w:rPr>
            </w:pPr>
          </w:p>
        </w:tc>
        <w:tc>
          <w:tcPr>
            <w:tcW w:w="8086" w:type="dxa"/>
            <w:gridSpan w:val="7"/>
          </w:tcPr>
          <w:p w14:paraId="7D3745CB" w14:textId="77777777" w:rsidR="00647F3D" w:rsidRPr="00CE157F" w:rsidRDefault="00647F3D" w:rsidP="00782256">
            <w:pPr>
              <w:rPr>
                <w:rFonts w:ascii="Arial Narrow" w:hAnsi="Arial Narrow"/>
                <w:b/>
                <w:bCs/>
                <w:color w:val="333333"/>
                <w:sz w:val="20"/>
                <w:szCs w:val="20"/>
              </w:rPr>
            </w:pPr>
            <w:r w:rsidRPr="00CE157F">
              <w:rPr>
                <w:rFonts w:ascii="Arial Narrow" w:hAnsi="Arial Narrow"/>
                <w:b/>
                <w:bCs/>
                <w:color w:val="333333"/>
                <w:sz w:val="20"/>
                <w:szCs w:val="20"/>
              </w:rPr>
              <w:t>Clinical criteria:</w:t>
            </w:r>
          </w:p>
        </w:tc>
      </w:tr>
      <w:tr w:rsidR="00647F3D" w:rsidRPr="00120A12" w14:paraId="55CD5926" w14:textId="77777777" w:rsidTr="00782256">
        <w:tblPrEx>
          <w:tblCellMar>
            <w:top w:w="15" w:type="dxa"/>
            <w:left w:w="15" w:type="dxa"/>
            <w:bottom w:w="15" w:type="dxa"/>
            <w:right w:w="15" w:type="dxa"/>
          </w:tblCellMar>
          <w:tblLook w:val="04A0" w:firstRow="1" w:lastRow="0" w:firstColumn="1" w:lastColumn="0" w:noHBand="0" w:noVBand="1"/>
        </w:tblPrEx>
        <w:tc>
          <w:tcPr>
            <w:tcW w:w="981" w:type="dxa"/>
            <w:gridSpan w:val="2"/>
            <w:vAlign w:val="center"/>
          </w:tcPr>
          <w:p w14:paraId="0404557A" w14:textId="0C9C79C6" w:rsidR="00647F3D" w:rsidRPr="00CE157F" w:rsidRDefault="00647F3D" w:rsidP="00782256">
            <w:pPr>
              <w:jc w:val="center"/>
              <w:rPr>
                <w:rFonts w:ascii="Arial Narrow" w:hAnsi="Arial Narrow"/>
                <w:color w:val="333333"/>
                <w:sz w:val="20"/>
                <w:szCs w:val="20"/>
              </w:rPr>
            </w:pPr>
          </w:p>
        </w:tc>
        <w:tc>
          <w:tcPr>
            <w:tcW w:w="8086" w:type="dxa"/>
            <w:gridSpan w:val="7"/>
            <w:vAlign w:val="center"/>
          </w:tcPr>
          <w:p w14:paraId="354FE9E9" w14:textId="78CA33DF" w:rsidR="00647F3D" w:rsidRPr="00CE157F" w:rsidRDefault="00647F3D" w:rsidP="00782256">
            <w:pPr>
              <w:rPr>
                <w:rFonts w:ascii="Arial Narrow" w:hAnsi="Arial Narrow"/>
                <w:color w:val="333333"/>
                <w:sz w:val="20"/>
                <w:szCs w:val="20"/>
              </w:rPr>
            </w:pPr>
            <w:r w:rsidRPr="00CE157F">
              <w:rPr>
                <w:rFonts w:ascii="Arial Narrow" w:hAnsi="Arial Narrow"/>
                <w:color w:val="333333"/>
                <w:sz w:val="20"/>
                <w:szCs w:val="20"/>
              </w:rPr>
              <w:t xml:space="preserve">The treatment must not exceed a lifetime maximum of 12 </w:t>
            </w:r>
            <w:r w:rsidR="00A73D8D">
              <w:rPr>
                <w:rFonts w:ascii="Arial Narrow" w:hAnsi="Arial Narrow"/>
                <w:color w:val="333333"/>
                <w:sz w:val="20"/>
                <w:szCs w:val="20"/>
              </w:rPr>
              <w:t xml:space="preserve">months </w:t>
            </w:r>
            <w:r w:rsidRPr="00CE157F">
              <w:rPr>
                <w:rFonts w:ascii="Arial Narrow" w:hAnsi="Arial Narrow"/>
                <w:i/>
                <w:iCs/>
                <w:color w:val="333333"/>
                <w:sz w:val="20"/>
                <w:szCs w:val="20"/>
              </w:rPr>
              <w:t>PBS and non-PBS subsidised</w:t>
            </w:r>
            <w:r w:rsidRPr="00CE157F">
              <w:rPr>
                <w:rFonts w:ascii="Arial Narrow" w:hAnsi="Arial Narrow"/>
                <w:color w:val="333333"/>
                <w:sz w:val="20"/>
                <w:szCs w:val="20"/>
              </w:rPr>
              <w:t xml:space="preserve"> therapy</w:t>
            </w:r>
          </w:p>
        </w:tc>
      </w:tr>
      <w:tr w:rsidR="00647F3D" w:rsidRPr="00120A12" w14:paraId="6FD0DED1" w14:textId="77777777" w:rsidTr="00782256">
        <w:tblPrEx>
          <w:tblCellMar>
            <w:top w:w="15" w:type="dxa"/>
            <w:left w:w="15" w:type="dxa"/>
            <w:bottom w:w="15" w:type="dxa"/>
            <w:right w:w="15" w:type="dxa"/>
          </w:tblCellMar>
          <w:tblLook w:val="04A0" w:firstRow="1" w:lastRow="0" w:firstColumn="1" w:lastColumn="0" w:noHBand="0" w:noVBand="1"/>
        </w:tblPrEx>
        <w:tc>
          <w:tcPr>
            <w:tcW w:w="981" w:type="dxa"/>
            <w:gridSpan w:val="2"/>
            <w:vAlign w:val="center"/>
          </w:tcPr>
          <w:p w14:paraId="41E1E7E9" w14:textId="69F84E42" w:rsidR="00647F3D" w:rsidRPr="00CE157F" w:rsidRDefault="00647F3D" w:rsidP="00782256">
            <w:pPr>
              <w:jc w:val="center"/>
              <w:rPr>
                <w:rFonts w:ascii="Arial Narrow" w:hAnsi="Arial Narrow"/>
                <w:i/>
                <w:iCs/>
                <w:color w:val="333333"/>
                <w:sz w:val="20"/>
                <w:szCs w:val="20"/>
              </w:rPr>
            </w:pPr>
          </w:p>
        </w:tc>
        <w:tc>
          <w:tcPr>
            <w:tcW w:w="8086" w:type="dxa"/>
            <w:gridSpan w:val="7"/>
            <w:vAlign w:val="center"/>
            <w:hideMark/>
          </w:tcPr>
          <w:p w14:paraId="128ABF12" w14:textId="77777777" w:rsidR="00647F3D" w:rsidRPr="00CE157F" w:rsidRDefault="00647F3D" w:rsidP="00782256">
            <w:pPr>
              <w:rPr>
                <w:rFonts w:ascii="Arial Narrow" w:hAnsi="Arial Narrow"/>
                <w:i/>
                <w:iCs/>
                <w:color w:val="333333"/>
                <w:sz w:val="20"/>
                <w:szCs w:val="20"/>
              </w:rPr>
            </w:pPr>
            <w:r w:rsidRPr="00CE157F">
              <w:rPr>
                <w:rFonts w:ascii="Arial Narrow" w:hAnsi="Arial Narrow"/>
                <w:b/>
                <w:bCs/>
                <w:i/>
                <w:iCs/>
                <w:color w:val="333333"/>
                <w:sz w:val="20"/>
                <w:szCs w:val="20"/>
              </w:rPr>
              <w:t>Treatment criteria:</w:t>
            </w:r>
          </w:p>
        </w:tc>
      </w:tr>
      <w:tr w:rsidR="00647F3D" w:rsidRPr="00120A12" w14:paraId="6444413B" w14:textId="77777777" w:rsidTr="00782256">
        <w:tblPrEx>
          <w:tblCellMar>
            <w:top w:w="15" w:type="dxa"/>
            <w:left w:w="15" w:type="dxa"/>
            <w:bottom w:w="15" w:type="dxa"/>
            <w:right w:w="15" w:type="dxa"/>
          </w:tblCellMar>
          <w:tblLook w:val="04A0" w:firstRow="1" w:lastRow="0" w:firstColumn="1" w:lastColumn="0" w:noHBand="0" w:noVBand="1"/>
        </w:tblPrEx>
        <w:trPr>
          <w:trHeight w:val="337"/>
        </w:trPr>
        <w:tc>
          <w:tcPr>
            <w:tcW w:w="981" w:type="dxa"/>
            <w:gridSpan w:val="2"/>
            <w:vAlign w:val="center"/>
          </w:tcPr>
          <w:p w14:paraId="2D30B346" w14:textId="0F29AF80" w:rsidR="00647F3D" w:rsidRPr="00CE157F" w:rsidRDefault="00647F3D" w:rsidP="00782256">
            <w:pPr>
              <w:jc w:val="center"/>
              <w:rPr>
                <w:rFonts w:ascii="Arial Narrow" w:hAnsi="Arial Narrow"/>
                <w:i/>
                <w:iCs/>
                <w:color w:val="333333"/>
                <w:sz w:val="20"/>
                <w:szCs w:val="20"/>
              </w:rPr>
            </w:pPr>
          </w:p>
        </w:tc>
        <w:tc>
          <w:tcPr>
            <w:tcW w:w="8086" w:type="dxa"/>
            <w:gridSpan w:val="7"/>
            <w:vAlign w:val="center"/>
            <w:hideMark/>
          </w:tcPr>
          <w:p w14:paraId="405A538E" w14:textId="77777777" w:rsidR="00647F3D" w:rsidRPr="00CE157F" w:rsidRDefault="00647F3D" w:rsidP="00782256">
            <w:pPr>
              <w:tabs>
                <w:tab w:val="num" w:pos="720"/>
              </w:tabs>
              <w:rPr>
                <w:rFonts w:ascii="Arial Narrow" w:hAnsi="Arial Narrow" w:cs="Arial Narrow"/>
                <w:i/>
                <w:iCs/>
                <w:sz w:val="20"/>
                <w:szCs w:val="20"/>
              </w:rPr>
            </w:pPr>
            <w:r w:rsidRPr="00CE157F">
              <w:rPr>
                <w:rFonts w:ascii="Arial Narrow" w:hAnsi="Arial Narrow" w:cs="Arial Narrow"/>
                <w:i/>
                <w:iCs/>
                <w:sz w:val="20"/>
                <w:szCs w:val="20"/>
              </w:rPr>
              <w:t>Must be treated by a Specialist; OR</w:t>
            </w:r>
            <w:r>
              <w:rPr>
                <w:rFonts w:ascii="Arial Narrow" w:hAnsi="Arial Narrow" w:cs="Arial Narrow"/>
                <w:i/>
                <w:iCs/>
                <w:sz w:val="20"/>
                <w:szCs w:val="20"/>
              </w:rPr>
              <w:t xml:space="preserve"> </w:t>
            </w:r>
            <w:r w:rsidRPr="00CE157F">
              <w:rPr>
                <w:rFonts w:ascii="Arial Narrow" w:hAnsi="Arial Narrow" w:cs="Arial Narrow"/>
                <w:i/>
                <w:iCs/>
                <w:sz w:val="20"/>
                <w:szCs w:val="20"/>
              </w:rPr>
              <w:t>Must be treated by a Consultant Physician.</w:t>
            </w:r>
          </w:p>
        </w:tc>
      </w:tr>
      <w:tr w:rsidR="00647F3D" w:rsidRPr="00120A12" w14:paraId="3550BA44" w14:textId="77777777" w:rsidTr="00782256">
        <w:tblPrEx>
          <w:tblCellMar>
            <w:top w:w="15" w:type="dxa"/>
            <w:left w:w="15" w:type="dxa"/>
            <w:bottom w:w="15" w:type="dxa"/>
            <w:right w:w="15" w:type="dxa"/>
          </w:tblCellMar>
          <w:tblLook w:val="04A0" w:firstRow="1" w:lastRow="0" w:firstColumn="1" w:lastColumn="0" w:noHBand="0" w:noVBand="1"/>
        </w:tblPrEx>
        <w:tc>
          <w:tcPr>
            <w:tcW w:w="9067" w:type="dxa"/>
            <w:gridSpan w:val="9"/>
            <w:vAlign w:val="center"/>
          </w:tcPr>
          <w:p w14:paraId="29875BB0" w14:textId="77777777" w:rsidR="00647F3D" w:rsidRPr="00CE157F" w:rsidRDefault="00647F3D" w:rsidP="00782256">
            <w:pPr>
              <w:rPr>
                <w:rFonts w:ascii="Arial Narrow" w:hAnsi="Arial Narrow"/>
                <w:bCs/>
                <w:color w:val="FF0000"/>
                <w:sz w:val="20"/>
                <w:szCs w:val="20"/>
              </w:rPr>
            </w:pPr>
          </w:p>
          <w:p w14:paraId="48D52DF4" w14:textId="77777777" w:rsidR="00647F3D" w:rsidRPr="00CE157F" w:rsidRDefault="00647F3D" w:rsidP="00782256">
            <w:pPr>
              <w:rPr>
                <w:rFonts w:ascii="Arial Narrow" w:hAnsi="Arial Narrow"/>
                <w:bCs/>
                <w:color w:val="FF0000"/>
                <w:sz w:val="20"/>
                <w:szCs w:val="20"/>
              </w:rPr>
            </w:pPr>
          </w:p>
        </w:tc>
      </w:tr>
      <w:tr w:rsidR="00647F3D" w:rsidRPr="00120A12" w14:paraId="167FF6E6" w14:textId="77777777" w:rsidTr="00782256">
        <w:tblPrEx>
          <w:tblCellMar>
            <w:top w:w="15" w:type="dxa"/>
            <w:left w:w="15" w:type="dxa"/>
            <w:bottom w:w="15" w:type="dxa"/>
            <w:right w:w="15" w:type="dxa"/>
          </w:tblCellMar>
          <w:tblLook w:val="04A0" w:firstRow="1" w:lastRow="0" w:firstColumn="1" w:lastColumn="0" w:noHBand="0" w:noVBand="1"/>
        </w:tblPrEx>
        <w:tc>
          <w:tcPr>
            <w:tcW w:w="9067" w:type="dxa"/>
            <w:gridSpan w:val="9"/>
            <w:tcBorders>
              <w:top w:val="single" w:sz="4" w:space="0" w:color="auto"/>
              <w:left w:val="single" w:sz="4" w:space="0" w:color="auto"/>
              <w:right w:val="single" w:sz="4" w:space="0" w:color="auto"/>
            </w:tcBorders>
          </w:tcPr>
          <w:p w14:paraId="75068742" w14:textId="77777777" w:rsidR="00647F3D" w:rsidRPr="00CE157F" w:rsidRDefault="00647F3D" w:rsidP="00782256">
            <w:pPr>
              <w:rPr>
                <w:rFonts w:ascii="Arial Narrow" w:hAnsi="Arial Narrow"/>
                <w:b/>
                <w:sz w:val="20"/>
                <w:szCs w:val="20"/>
              </w:rPr>
            </w:pPr>
            <w:r w:rsidRPr="00CE157F">
              <w:rPr>
                <w:rFonts w:ascii="Arial Narrow" w:hAnsi="Arial Narrow"/>
                <w:b/>
                <w:sz w:val="20"/>
                <w:szCs w:val="20"/>
              </w:rPr>
              <w:t xml:space="preserve">Restriction Summary [new] / Treatment of Concept: [new] </w:t>
            </w:r>
          </w:p>
        </w:tc>
      </w:tr>
      <w:tr w:rsidR="00647F3D" w:rsidRPr="00120A12" w14:paraId="131CC4B2" w14:textId="77777777" w:rsidTr="00782256">
        <w:tblPrEx>
          <w:tblCellMar>
            <w:top w:w="15" w:type="dxa"/>
            <w:left w:w="15" w:type="dxa"/>
            <w:bottom w:w="15" w:type="dxa"/>
            <w:right w:w="15" w:type="dxa"/>
          </w:tblCellMar>
          <w:tblLook w:val="04A0" w:firstRow="1" w:lastRow="0" w:firstColumn="1" w:lastColumn="0" w:noHBand="0" w:noVBand="1"/>
        </w:tblPrEx>
        <w:tc>
          <w:tcPr>
            <w:tcW w:w="981" w:type="dxa"/>
            <w:gridSpan w:val="2"/>
            <w:vMerge w:val="restart"/>
            <w:tcBorders>
              <w:top w:val="single" w:sz="4" w:space="0" w:color="auto"/>
              <w:left w:val="single" w:sz="4" w:space="0" w:color="auto"/>
              <w:right w:val="single" w:sz="4" w:space="0" w:color="auto"/>
            </w:tcBorders>
          </w:tcPr>
          <w:p w14:paraId="34B3F02A" w14:textId="6F84F337" w:rsidR="00647F3D" w:rsidRPr="00CE157F" w:rsidRDefault="00647F3D" w:rsidP="00782256">
            <w:pPr>
              <w:jc w:val="center"/>
              <w:rPr>
                <w:rFonts w:ascii="Arial Narrow" w:hAnsi="Arial Narrow"/>
                <w:sz w:val="20"/>
                <w:szCs w:val="20"/>
              </w:rPr>
            </w:pPr>
          </w:p>
        </w:tc>
        <w:tc>
          <w:tcPr>
            <w:tcW w:w="8086" w:type="dxa"/>
            <w:gridSpan w:val="7"/>
            <w:tcBorders>
              <w:top w:val="single" w:sz="4" w:space="0" w:color="auto"/>
              <w:left w:val="single" w:sz="4" w:space="0" w:color="auto"/>
              <w:bottom w:val="single" w:sz="4" w:space="0" w:color="auto"/>
              <w:right w:val="single" w:sz="4" w:space="0" w:color="auto"/>
            </w:tcBorders>
          </w:tcPr>
          <w:p w14:paraId="76115CA9" w14:textId="77777777" w:rsidR="00647F3D" w:rsidRPr="00CE157F" w:rsidRDefault="00647F3D" w:rsidP="00782256">
            <w:pPr>
              <w:rPr>
                <w:rFonts w:ascii="Arial Narrow" w:hAnsi="Arial Narrow"/>
                <w:sz w:val="20"/>
                <w:szCs w:val="20"/>
              </w:rPr>
            </w:pPr>
            <w:r w:rsidRPr="00CE157F">
              <w:rPr>
                <w:rFonts w:ascii="Arial Narrow" w:hAnsi="Arial Narrow"/>
                <w:b/>
                <w:sz w:val="20"/>
                <w:szCs w:val="20"/>
              </w:rPr>
              <w:t xml:space="preserve">Category / Program:   </w:t>
            </w:r>
            <w:r w:rsidRPr="00CE157F">
              <w:rPr>
                <w:rFonts w:ascii="Arial Narrow" w:hAnsi="Arial Narrow"/>
                <w:sz w:val="20"/>
                <w:szCs w:val="20"/>
              </w:rPr>
              <w:t>GENERAL – General Schedule (Code GE)</w:t>
            </w:r>
            <w:r w:rsidRPr="00CE157F">
              <w:rPr>
                <w:rFonts w:ascii="Arial Narrow" w:hAnsi="Arial Narrow"/>
                <w:color w:val="FF0000"/>
                <w:sz w:val="20"/>
                <w:szCs w:val="20"/>
              </w:rPr>
              <w:t xml:space="preserve"> </w:t>
            </w:r>
          </w:p>
        </w:tc>
      </w:tr>
      <w:tr w:rsidR="00647F3D" w:rsidRPr="00120A12" w14:paraId="11133945" w14:textId="77777777" w:rsidTr="00782256">
        <w:tblPrEx>
          <w:tblCellMar>
            <w:top w:w="15" w:type="dxa"/>
            <w:left w:w="15" w:type="dxa"/>
            <w:bottom w:w="15" w:type="dxa"/>
            <w:right w:w="15" w:type="dxa"/>
          </w:tblCellMar>
          <w:tblLook w:val="04A0" w:firstRow="1" w:lastRow="0" w:firstColumn="1" w:lastColumn="0" w:noHBand="0" w:noVBand="1"/>
        </w:tblPrEx>
        <w:trPr>
          <w:trHeight w:val="240"/>
        </w:trPr>
        <w:tc>
          <w:tcPr>
            <w:tcW w:w="981" w:type="dxa"/>
            <w:gridSpan w:val="2"/>
            <w:vMerge/>
            <w:tcBorders>
              <w:left w:val="single" w:sz="4" w:space="0" w:color="auto"/>
              <w:right w:val="single" w:sz="4" w:space="0" w:color="auto"/>
            </w:tcBorders>
          </w:tcPr>
          <w:p w14:paraId="51B29989" w14:textId="77777777" w:rsidR="00647F3D" w:rsidRPr="00CE157F" w:rsidRDefault="00647F3D" w:rsidP="00782256">
            <w:pPr>
              <w:rPr>
                <w:rFonts w:ascii="Arial Narrow" w:hAnsi="Arial Narrow"/>
                <w:sz w:val="20"/>
                <w:szCs w:val="20"/>
              </w:rPr>
            </w:pPr>
          </w:p>
        </w:tc>
        <w:tc>
          <w:tcPr>
            <w:tcW w:w="8086" w:type="dxa"/>
            <w:gridSpan w:val="7"/>
            <w:tcBorders>
              <w:top w:val="single" w:sz="4" w:space="0" w:color="auto"/>
              <w:left w:val="single" w:sz="4" w:space="0" w:color="auto"/>
              <w:bottom w:val="single" w:sz="4" w:space="0" w:color="auto"/>
              <w:right w:val="single" w:sz="4" w:space="0" w:color="auto"/>
            </w:tcBorders>
          </w:tcPr>
          <w:p w14:paraId="4BB8F170" w14:textId="77777777" w:rsidR="00647F3D" w:rsidRPr="00CE157F" w:rsidRDefault="00647F3D" w:rsidP="00782256">
            <w:pPr>
              <w:rPr>
                <w:rFonts w:ascii="Arial Narrow" w:hAnsi="Arial Narrow"/>
                <w:b/>
                <w:sz w:val="20"/>
                <w:szCs w:val="20"/>
              </w:rPr>
            </w:pPr>
            <w:r w:rsidRPr="00CE157F">
              <w:rPr>
                <w:rFonts w:ascii="Arial Narrow" w:hAnsi="Arial Narrow"/>
                <w:b/>
                <w:sz w:val="20"/>
                <w:szCs w:val="20"/>
              </w:rPr>
              <w:t xml:space="preserve">Prescriber type:   </w:t>
            </w:r>
            <w:r w:rsidRPr="00CE157F">
              <w:rPr>
                <w:rFonts w:ascii="Arial Narrow" w:hAnsi="Arial Narrow"/>
                <w:sz w:val="20"/>
                <w:szCs w:val="20"/>
              </w:rPr>
              <w:fldChar w:fldCharType="begin">
                <w:ffData>
                  <w:name w:val=""/>
                  <w:enabled/>
                  <w:calcOnExit w:val="0"/>
                  <w:checkBox>
                    <w:sizeAuto/>
                    <w:default w:val="1"/>
                  </w:checkBox>
                </w:ffData>
              </w:fldChar>
            </w:r>
            <w:r w:rsidRPr="00CE157F">
              <w:rPr>
                <w:rFonts w:ascii="Arial Narrow" w:hAnsi="Arial Narrow"/>
                <w:sz w:val="20"/>
                <w:szCs w:val="20"/>
              </w:rPr>
              <w:instrText xml:space="preserve"> FORMCHECKBOX </w:instrText>
            </w:r>
            <w:r w:rsidR="00EC16BE">
              <w:rPr>
                <w:rFonts w:ascii="Arial Narrow" w:hAnsi="Arial Narrow"/>
                <w:sz w:val="20"/>
                <w:szCs w:val="20"/>
              </w:rPr>
            </w:r>
            <w:r w:rsidR="00EC16BE">
              <w:rPr>
                <w:rFonts w:ascii="Arial Narrow" w:hAnsi="Arial Narrow"/>
                <w:sz w:val="20"/>
                <w:szCs w:val="20"/>
              </w:rPr>
              <w:fldChar w:fldCharType="separate"/>
            </w:r>
            <w:r w:rsidRPr="00CE157F">
              <w:rPr>
                <w:rFonts w:ascii="Arial Narrow" w:hAnsi="Arial Narrow"/>
                <w:sz w:val="20"/>
                <w:szCs w:val="20"/>
              </w:rPr>
              <w:fldChar w:fldCharType="end"/>
            </w:r>
            <w:r w:rsidRPr="00CE157F">
              <w:rPr>
                <w:rFonts w:ascii="Arial Narrow" w:hAnsi="Arial Narrow"/>
                <w:sz w:val="20"/>
                <w:szCs w:val="20"/>
              </w:rPr>
              <w:t xml:space="preserve">Medical Practitioners </w:t>
            </w:r>
          </w:p>
        </w:tc>
      </w:tr>
      <w:tr w:rsidR="00647F3D" w:rsidRPr="00120A12" w14:paraId="55B45B98" w14:textId="77777777" w:rsidTr="00782256">
        <w:tblPrEx>
          <w:tblCellMar>
            <w:top w:w="15" w:type="dxa"/>
            <w:left w:w="15" w:type="dxa"/>
            <w:bottom w:w="15" w:type="dxa"/>
            <w:right w:w="15" w:type="dxa"/>
          </w:tblCellMar>
          <w:tblLook w:val="04A0" w:firstRow="1" w:lastRow="0" w:firstColumn="1" w:lastColumn="0" w:noHBand="0" w:noVBand="1"/>
        </w:tblPrEx>
        <w:trPr>
          <w:trHeight w:val="396"/>
        </w:trPr>
        <w:tc>
          <w:tcPr>
            <w:tcW w:w="981" w:type="dxa"/>
            <w:gridSpan w:val="2"/>
            <w:vMerge/>
            <w:tcBorders>
              <w:left w:val="single" w:sz="4" w:space="0" w:color="auto"/>
              <w:bottom w:val="single" w:sz="4" w:space="0" w:color="auto"/>
              <w:right w:val="single" w:sz="4" w:space="0" w:color="auto"/>
            </w:tcBorders>
          </w:tcPr>
          <w:p w14:paraId="2988CEE7" w14:textId="77777777" w:rsidR="00647F3D" w:rsidRPr="00CE157F" w:rsidRDefault="00647F3D" w:rsidP="00782256">
            <w:pPr>
              <w:rPr>
                <w:rFonts w:ascii="Arial Narrow" w:hAnsi="Arial Narrow"/>
                <w:sz w:val="20"/>
                <w:szCs w:val="20"/>
              </w:rPr>
            </w:pPr>
          </w:p>
        </w:tc>
        <w:tc>
          <w:tcPr>
            <w:tcW w:w="8086" w:type="dxa"/>
            <w:gridSpan w:val="7"/>
            <w:tcBorders>
              <w:top w:val="single" w:sz="4" w:space="0" w:color="auto"/>
              <w:left w:val="single" w:sz="4" w:space="0" w:color="auto"/>
              <w:bottom w:val="single" w:sz="4" w:space="0" w:color="auto"/>
              <w:right w:val="single" w:sz="4" w:space="0" w:color="auto"/>
            </w:tcBorders>
          </w:tcPr>
          <w:p w14:paraId="00764EA9" w14:textId="77777777" w:rsidR="00647F3D" w:rsidRPr="00CE157F" w:rsidRDefault="00647F3D" w:rsidP="00782256">
            <w:pPr>
              <w:rPr>
                <w:rFonts w:ascii="Arial Narrow" w:eastAsia="Calibri" w:hAnsi="Arial Narrow"/>
                <w:color w:val="FF00FF"/>
                <w:sz w:val="20"/>
                <w:szCs w:val="20"/>
              </w:rPr>
            </w:pPr>
            <w:r w:rsidRPr="00CE157F">
              <w:rPr>
                <w:rFonts w:ascii="Arial Narrow" w:hAnsi="Arial Narrow"/>
                <w:b/>
                <w:sz w:val="20"/>
                <w:szCs w:val="20"/>
              </w:rPr>
              <w:t xml:space="preserve">Restriction type: </w:t>
            </w:r>
            <w:r w:rsidRPr="00CE157F">
              <w:rPr>
                <w:rFonts w:ascii="Arial Narrow" w:eastAsia="Calibri" w:hAnsi="Arial Narrow"/>
                <w:sz w:val="20"/>
                <w:szCs w:val="20"/>
              </w:rPr>
              <w:fldChar w:fldCharType="begin">
                <w:ffData>
                  <w:name w:val=""/>
                  <w:enabled/>
                  <w:calcOnExit w:val="0"/>
                  <w:checkBox>
                    <w:sizeAuto/>
                    <w:default w:val="1"/>
                  </w:checkBox>
                </w:ffData>
              </w:fldChar>
            </w:r>
            <w:r w:rsidRPr="00CE157F">
              <w:rPr>
                <w:rFonts w:ascii="Arial Narrow" w:eastAsia="Calibri" w:hAnsi="Arial Narrow"/>
                <w:sz w:val="20"/>
                <w:szCs w:val="20"/>
              </w:rPr>
              <w:instrText xml:space="preserve"> FORMCHECKBOX </w:instrText>
            </w:r>
            <w:r w:rsidR="00EC16BE">
              <w:rPr>
                <w:rFonts w:ascii="Arial Narrow" w:eastAsia="Calibri" w:hAnsi="Arial Narrow"/>
                <w:sz w:val="20"/>
                <w:szCs w:val="20"/>
              </w:rPr>
            </w:r>
            <w:r w:rsidR="00EC16BE">
              <w:rPr>
                <w:rFonts w:ascii="Arial Narrow" w:eastAsia="Calibri" w:hAnsi="Arial Narrow"/>
                <w:sz w:val="20"/>
                <w:szCs w:val="20"/>
              </w:rPr>
              <w:fldChar w:fldCharType="separate"/>
            </w:r>
            <w:r w:rsidRPr="00CE157F">
              <w:rPr>
                <w:rFonts w:ascii="Arial Narrow" w:eastAsia="Calibri" w:hAnsi="Arial Narrow"/>
                <w:sz w:val="20"/>
                <w:szCs w:val="20"/>
              </w:rPr>
              <w:fldChar w:fldCharType="end"/>
            </w:r>
            <w:r w:rsidRPr="00CE157F">
              <w:rPr>
                <w:rFonts w:ascii="Arial Narrow" w:eastAsia="Calibri" w:hAnsi="Arial Narrow"/>
                <w:sz w:val="20"/>
                <w:szCs w:val="20"/>
              </w:rPr>
              <w:t xml:space="preserve">Authority Required (telephone/online PBS Authorities system) </w:t>
            </w:r>
          </w:p>
        </w:tc>
      </w:tr>
      <w:tr w:rsidR="00647F3D" w:rsidRPr="001A310D" w14:paraId="34B4BCBA" w14:textId="77777777" w:rsidTr="00782256">
        <w:tblPrEx>
          <w:tblCellMar>
            <w:top w:w="15" w:type="dxa"/>
            <w:left w:w="15" w:type="dxa"/>
            <w:bottom w:w="15" w:type="dxa"/>
            <w:right w:w="15" w:type="dxa"/>
          </w:tblCellMar>
          <w:tblLook w:val="04A0" w:firstRow="1" w:lastRow="0" w:firstColumn="1" w:lastColumn="0" w:noHBand="0" w:noVBand="1"/>
        </w:tblPrEx>
        <w:tc>
          <w:tcPr>
            <w:tcW w:w="981" w:type="dxa"/>
            <w:gridSpan w:val="2"/>
            <w:vMerge w:val="restart"/>
            <w:vAlign w:val="center"/>
          </w:tcPr>
          <w:p w14:paraId="032ACAE3" w14:textId="77777777" w:rsidR="00647F3D" w:rsidRPr="00CE157F" w:rsidRDefault="00647F3D" w:rsidP="00782256">
            <w:pPr>
              <w:jc w:val="center"/>
              <w:rPr>
                <w:rFonts w:ascii="Arial Narrow" w:hAnsi="Arial Narrow"/>
                <w:color w:val="DDD9C3" w:themeColor="background2" w:themeShade="E6"/>
                <w:sz w:val="20"/>
                <w:szCs w:val="20"/>
              </w:rPr>
            </w:pPr>
          </w:p>
        </w:tc>
        <w:tc>
          <w:tcPr>
            <w:tcW w:w="8086" w:type="dxa"/>
            <w:gridSpan w:val="7"/>
            <w:vAlign w:val="center"/>
          </w:tcPr>
          <w:p w14:paraId="1BB61E4A" w14:textId="77777777" w:rsidR="00647F3D" w:rsidRPr="00CE157F" w:rsidRDefault="00647F3D" w:rsidP="00782256">
            <w:pPr>
              <w:rPr>
                <w:rFonts w:ascii="Arial Narrow" w:hAnsi="Arial Narrow"/>
                <w:bCs/>
                <w:color w:val="DDD9C3" w:themeColor="background2" w:themeShade="E6"/>
                <w:sz w:val="20"/>
                <w:szCs w:val="20"/>
              </w:rPr>
            </w:pPr>
            <w:r w:rsidRPr="00CE157F">
              <w:rPr>
                <w:rFonts w:ascii="Arial Narrow" w:hAnsi="Arial Narrow"/>
                <w:b/>
                <w:bCs/>
                <w:color w:val="DDD9C3" w:themeColor="background2" w:themeShade="E6"/>
                <w:sz w:val="20"/>
                <w:szCs w:val="20"/>
              </w:rPr>
              <w:t xml:space="preserve">Episodicity: </w:t>
            </w:r>
          </w:p>
        </w:tc>
      </w:tr>
      <w:tr w:rsidR="00647F3D" w:rsidRPr="00120A12" w14:paraId="11F13B4A" w14:textId="77777777" w:rsidTr="00782256">
        <w:tblPrEx>
          <w:tblCellMar>
            <w:top w:w="15" w:type="dxa"/>
            <w:left w:w="15" w:type="dxa"/>
            <w:bottom w:w="15" w:type="dxa"/>
            <w:right w:w="15" w:type="dxa"/>
          </w:tblCellMar>
          <w:tblLook w:val="04A0" w:firstRow="1" w:lastRow="0" w:firstColumn="1" w:lastColumn="0" w:noHBand="0" w:noVBand="1"/>
        </w:tblPrEx>
        <w:tc>
          <w:tcPr>
            <w:tcW w:w="981" w:type="dxa"/>
            <w:gridSpan w:val="2"/>
            <w:vMerge/>
            <w:vAlign w:val="center"/>
          </w:tcPr>
          <w:p w14:paraId="14B8ECC3" w14:textId="77777777" w:rsidR="00647F3D" w:rsidRPr="00CE157F" w:rsidRDefault="00647F3D" w:rsidP="00782256">
            <w:pPr>
              <w:jc w:val="center"/>
              <w:rPr>
                <w:rFonts w:ascii="Arial Narrow" w:hAnsi="Arial Narrow"/>
                <w:color w:val="DDD9C3" w:themeColor="background2" w:themeShade="E6"/>
                <w:sz w:val="20"/>
                <w:szCs w:val="20"/>
              </w:rPr>
            </w:pPr>
          </w:p>
        </w:tc>
        <w:tc>
          <w:tcPr>
            <w:tcW w:w="8086" w:type="dxa"/>
            <w:gridSpan w:val="7"/>
            <w:vAlign w:val="center"/>
          </w:tcPr>
          <w:p w14:paraId="155FA95E" w14:textId="77777777" w:rsidR="00647F3D" w:rsidRPr="00CE157F" w:rsidRDefault="00647F3D" w:rsidP="00782256">
            <w:pPr>
              <w:rPr>
                <w:rFonts w:ascii="Arial Narrow" w:hAnsi="Arial Narrow"/>
                <w:b/>
                <w:bCs/>
                <w:color w:val="DDD9C3" w:themeColor="background2" w:themeShade="E6"/>
                <w:sz w:val="20"/>
                <w:szCs w:val="20"/>
              </w:rPr>
            </w:pPr>
            <w:r w:rsidRPr="00CE157F">
              <w:rPr>
                <w:rFonts w:ascii="Arial Narrow" w:hAnsi="Arial Narrow"/>
                <w:b/>
                <w:bCs/>
                <w:color w:val="DDD9C3" w:themeColor="background2" w:themeShade="E6"/>
                <w:sz w:val="20"/>
                <w:szCs w:val="20"/>
              </w:rPr>
              <w:t xml:space="preserve">Severity: Severe </w:t>
            </w:r>
          </w:p>
        </w:tc>
      </w:tr>
      <w:tr w:rsidR="00647F3D" w:rsidRPr="00120A12" w14:paraId="37911725" w14:textId="77777777" w:rsidTr="00782256">
        <w:tblPrEx>
          <w:tblCellMar>
            <w:top w:w="15" w:type="dxa"/>
            <w:left w:w="15" w:type="dxa"/>
            <w:bottom w:w="15" w:type="dxa"/>
            <w:right w:w="15" w:type="dxa"/>
          </w:tblCellMar>
          <w:tblLook w:val="04A0" w:firstRow="1" w:lastRow="0" w:firstColumn="1" w:lastColumn="0" w:noHBand="0" w:noVBand="1"/>
        </w:tblPrEx>
        <w:tc>
          <w:tcPr>
            <w:tcW w:w="981" w:type="dxa"/>
            <w:gridSpan w:val="2"/>
            <w:vMerge/>
            <w:vAlign w:val="center"/>
          </w:tcPr>
          <w:p w14:paraId="6E7C4BF0" w14:textId="77777777" w:rsidR="00647F3D" w:rsidRPr="00CE157F" w:rsidRDefault="00647F3D" w:rsidP="00782256">
            <w:pPr>
              <w:jc w:val="center"/>
              <w:rPr>
                <w:rFonts w:ascii="Arial Narrow" w:hAnsi="Arial Narrow"/>
                <w:color w:val="DDD9C3" w:themeColor="background2" w:themeShade="E6"/>
                <w:sz w:val="20"/>
                <w:szCs w:val="20"/>
              </w:rPr>
            </w:pPr>
          </w:p>
        </w:tc>
        <w:tc>
          <w:tcPr>
            <w:tcW w:w="8086" w:type="dxa"/>
            <w:gridSpan w:val="7"/>
            <w:vAlign w:val="center"/>
          </w:tcPr>
          <w:p w14:paraId="317A3006" w14:textId="77777777" w:rsidR="00647F3D" w:rsidRPr="00CE157F" w:rsidRDefault="00647F3D" w:rsidP="00782256">
            <w:pPr>
              <w:rPr>
                <w:rFonts w:ascii="Arial Narrow" w:hAnsi="Arial Narrow"/>
                <w:b/>
                <w:bCs/>
                <w:color w:val="DDD9C3" w:themeColor="background2" w:themeShade="E6"/>
                <w:sz w:val="20"/>
                <w:szCs w:val="20"/>
              </w:rPr>
            </w:pPr>
            <w:r w:rsidRPr="00CE157F">
              <w:rPr>
                <w:rFonts w:ascii="Arial Narrow" w:hAnsi="Arial Narrow"/>
                <w:b/>
                <w:bCs/>
                <w:color w:val="DDD9C3" w:themeColor="background2" w:themeShade="E6"/>
                <w:sz w:val="20"/>
                <w:szCs w:val="20"/>
              </w:rPr>
              <w:t>Condition: Established osteoporosis</w:t>
            </w:r>
          </w:p>
        </w:tc>
      </w:tr>
      <w:tr w:rsidR="00647F3D" w:rsidRPr="00120A12" w14:paraId="62AE1061" w14:textId="77777777" w:rsidTr="00A11377">
        <w:tblPrEx>
          <w:tblCellMar>
            <w:top w:w="15" w:type="dxa"/>
            <w:left w:w="15" w:type="dxa"/>
            <w:bottom w:w="15" w:type="dxa"/>
            <w:right w:w="15" w:type="dxa"/>
          </w:tblCellMar>
          <w:tblLook w:val="04A0" w:firstRow="1" w:lastRow="0" w:firstColumn="1" w:lastColumn="0" w:noHBand="0" w:noVBand="1"/>
        </w:tblPrEx>
        <w:tc>
          <w:tcPr>
            <w:tcW w:w="981" w:type="dxa"/>
            <w:gridSpan w:val="2"/>
            <w:vAlign w:val="center"/>
          </w:tcPr>
          <w:p w14:paraId="5431AC6C" w14:textId="5A7374D9" w:rsidR="00647F3D" w:rsidRPr="00CE157F" w:rsidRDefault="00647F3D" w:rsidP="00782256">
            <w:pPr>
              <w:jc w:val="center"/>
              <w:rPr>
                <w:rFonts w:ascii="Arial Narrow" w:hAnsi="Arial Narrow"/>
                <w:color w:val="333333"/>
                <w:sz w:val="20"/>
                <w:szCs w:val="20"/>
              </w:rPr>
            </w:pPr>
          </w:p>
        </w:tc>
        <w:tc>
          <w:tcPr>
            <w:tcW w:w="8086" w:type="dxa"/>
            <w:gridSpan w:val="7"/>
            <w:vAlign w:val="center"/>
            <w:hideMark/>
          </w:tcPr>
          <w:p w14:paraId="10B09E1A" w14:textId="77777777" w:rsidR="00647F3D" w:rsidRPr="00CE157F" w:rsidRDefault="00647F3D" w:rsidP="00782256">
            <w:pPr>
              <w:rPr>
                <w:rFonts w:ascii="Arial Narrow" w:hAnsi="Arial Narrow"/>
                <w:color w:val="333333"/>
                <w:sz w:val="20"/>
                <w:szCs w:val="20"/>
              </w:rPr>
            </w:pPr>
            <w:r w:rsidRPr="00CE157F">
              <w:rPr>
                <w:rFonts w:ascii="Arial Narrow" w:hAnsi="Arial Narrow"/>
                <w:b/>
                <w:bCs/>
                <w:color w:val="333333"/>
                <w:sz w:val="20"/>
                <w:szCs w:val="20"/>
              </w:rPr>
              <w:t>Indication:</w:t>
            </w:r>
            <w:r w:rsidRPr="00CE157F">
              <w:rPr>
                <w:rFonts w:ascii="Arial Narrow" w:hAnsi="Arial Narrow"/>
                <w:color w:val="333333"/>
                <w:sz w:val="20"/>
                <w:szCs w:val="20"/>
              </w:rPr>
              <w:t xml:space="preserve"> Severe established osteoporosis </w:t>
            </w:r>
          </w:p>
        </w:tc>
      </w:tr>
      <w:tr w:rsidR="00647F3D" w:rsidRPr="00B90897" w14:paraId="5FB49574" w14:textId="77777777" w:rsidTr="00A11377">
        <w:tblPrEx>
          <w:tblCellMar>
            <w:top w:w="15" w:type="dxa"/>
            <w:left w:w="15" w:type="dxa"/>
            <w:bottom w:w="15" w:type="dxa"/>
            <w:right w:w="15" w:type="dxa"/>
          </w:tblCellMar>
          <w:tblLook w:val="04A0" w:firstRow="1" w:lastRow="0" w:firstColumn="1" w:lastColumn="0" w:noHBand="0" w:noVBand="1"/>
        </w:tblPrEx>
        <w:tc>
          <w:tcPr>
            <w:tcW w:w="981" w:type="dxa"/>
            <w:gridSpan w:val="2"/>
            <w:vAlign w:val="center"/>
          </w:tcPr>
          <w:p w14:paraId="4AB73746" w14:textId="77777777" w:rsidR="00647F3D" w:rsidRPr="00CE157F" w:rsidRDefault="00647F3D" w:rsidP="00782256">
            <w:pPr>
              <w:jc w:val="center"/>
              <w:rPr>
                <w:rFonts w:ascii="Arial Narrow" w:hAnsi="Arial Narrow"/>
                <w:color w:val="333333"/>
                <w:sz w:val="20"/>
                <w:szCs w:val="20"/>
              </w:rPr>
            </w:pPr>
          </w:p>
        </w:tc>
        <w:tc>
          <w:tcPr>
            <w:tcW w:w="8086" w:type="dxa"/>
            <w:gridSpan w:val="7"/>
            <w:vAlign w:val="center"/>
            <w:hideMark/>
          </w:tcPr>
          <w:p w14:paraId="71D050B1" w14:textId="77777777" w:rsidR="00647F3D" w:rsidRPr="00CE157F" w:rsidRDefault="00647F3D" w:rsidP="00782256">
            <w:pPr>
              <w:rPr>
                <w:rFonts w:ascii="Arial Narrow" w:hAnsi="Arial Narrow"/>
                <w:color w:val="FF00FF"/>
                <w:sz w:val="20"/>
                <w:szCs w:val="20"/>
              </w:rPr>
            </w:pPr>
            <w:r w:rsidRPr="00CE157F">
              <w:rPr>
                <w:rFonts w:ascii="Arial Narrow" w:hAnsi="Arial Narrow"/>
                <w:b/>
                <w:bCs/>
                <w:color w:val="333333"/>
                <w:sz w:val="20"/>
                <w:szCs w:val="20"/>
              </w:rPr>
              <w:t>Treatment Phase:</w:t>
            </w:r>
            <w:r w:rsidRPr="00CE157F">
              <w:rPr>
                <w:rFonts w:ascii="Arial Narrow" w:hAnsi="Arial Narrow"/>
                <w:color w:val="FF0000"/>
                <w:sz w:val="20"/>
                <w:szCs w:val="20"/>
              </w:rPr>
              <w:t xml:space="preserve"> </w:t>
            </w:r>
            <w:r w:rsidRPr="00CE157F">
              <w:rPr>
                <w:rFonts w:ascii="Arial Narrow" w:hAnsi="Arial Narrow"/>
                <w:color w:val="333333"/>
                <w:sz w:val="20"/>
                <w:szCs w:val="20"/>
              </w:rPr>
              <w:t>Grandfathered</w:t>
            </w:r>
            <w:r w:rsidRPr="00CE157F">
              <w:rPr>
                <w:rFonts w:ascii="Arial Narrow" w:hAnsi="Arial Narrow"/>
                <w:color w:val="FF0000"/>
                <w:sz w:val="20"/>
                <w:szCs w:val="20"/>
              </w:rPr>
              <w:t xml:space="preserve">  </w:t>
            </w:r>
          </w:p>
        </w:tc>
      </w:tr>
      <w:tr w:rsidR="00647F3D" w:rsidRPr="00B90897" w14:paraId="22B5FB2C" w14:textId="77777777" w:rsidTr="00782256">
        <w:tblPrEx>
          <w:tblCellMar>
            <w:top w:w="15" w:type="dxa"/>
            <w:left w:w="15" w:type="dxa"/>
            <w:bottom w:w="15" w:type="dxa"/>
            <w:right w:w="15" w:type="dxa"/>
          </w:tblCellMar>
          <w:tblLook w:val="04A0" w:firstRow="1" w:lastRow="0" w:firstColumn="1" w:lastColumn="0" w:noHBand="0" w:noVBand="1"/>
        </w:tblPrEx>
        <w:tc>
          <w:tcPr>
            <w:tcW w:w="981" w:type="dxa"/>
            <w:gridSpan w:val="2"/>
            <w:vAlign w:val="center"/>
          </w:tcPr>
          <w:p w14:paraId="2DD6666C" w14:textId="77777777" w:rsidR="00647F3D" w:rsidRPr="00CE157F" w:rsidRDefault="00647F3D" w:rsidP="00782256">
            <w:pPr>
              <w:jc w:val="center"/>
              <w:rPr>
                <w:rFonts w:ascii="Arial Narrow" w:hAnsi="Arial Narrow"/>
                <w:color w:val="333333"/>
                <w:sz w:val="20"/>
                <w:szCs w:val="20"/>
              </w:rPr>
            </w:pPr>
          </w:p>
        </w:tc>
        <w:tc>
          <w:tcPr>
            <w:tcW w:w="8086" w:type="dxa"/>
            <w:gridSpan w:val="7"/>
            <w:vAlign w:val="center"/>
          </w:tcPr>
          <w:p w14:paraId="15240A90" w14:textId="77777777" w:rsidR="00647F3D" w:rsidRPr="00CE157F" w:rsidRDefault="00647F3D" w:rsidP="00782256">
            <w:pPr>
              <w:rPr>
                <w:rFonts w:ascii="Arial Narrow" w:hAnsi="Arial Narrow"/>
                <w:b/>
                <w:bCs/>
                <w:color w:val="333333"/>
                <w:sz w:val="20"/>
                <w:szCs w:val="20"/>
              </w:rPr>
            </w:pPr>
            <w:r w:rsidRPr="00CE157F">
              <w:rPr>
                <w:rFonts w:ascii="Arial Narrow" w:hAnsi="Arial Narrow"/>
                <w:b/>
                <w:bCs/>
                <w:color w:val="333333"/>
                <w:sz w:val="20"/>
                <w:szCs w:val="20"/>
              </w:rPr>
              <w:t>Clinical criteria:</w:t>
            </w:r>
          </w:p>
        </w:tc>
      </w:tr>
      <w:tr w:rsidR="00647F3D" w:rsidRPr="00B90897" w14:paraId="49074B96" w14:textId="77777777" w:rsidTr="00782256">
        <w:tblPrEx>
          <w:tblCellMar>
            <w:top w:w="15" w:type="dxa"/>
            <w:left w:w="15" w:type="dxa"/>
            <w:bottom w:w="15" w:type="dxa"/>
            <w:right w:w="15" w:type="dxa"/>
          </w:tblCellMar>
          <w:tblLook w:val="04A0" w:firstRow="1" w:lastRow="0" w:firstColumn="1" w:lastColumn="0" w:noHBand="0" w:noVBand="1"/>
        </w:tblPrEx>
        <w:tc>
          <w:tcPr>
            <w:tcW w:w="981" w:type="dxa"/>
            <w:gridSpan w:val="2"/>
            <w:vAlign w:val="center"/>
          </w:tcPr>
          <w:p w14:paraId="3A719E0D" w14:textId="77777777" w:rsidR="00647F3D" w:rsidRPr="00CE157F" w:rsidRDefault="00647F3D" w:rsidP="00782256">
            <w:pPr>
              <w:jc w:val="center"/>
              <w:rPr>
                <w:rFonts w:ascii="Arial Narrow" w:hAnsi="Arial Narrow"/>
                <w:color w:val="333333"/>
                <w:sz w:val="20"/>
                <w:szCs w:val="20"/>
              </w:rPr>
            </w:pPr>
          </w:p>
        </w:tc>
        <w:tc>
          <w:tcPr>
            <w:tcW w:w="8086" w:type="dxa"/>
            <w:gridSpan w:val="7"/>
            <w:vAlign w:val="center"/>
          </w:tcPr>
          <w:p w14:paraId="33C9351C" w14:textId="77777777" w:rsidR="00647F3D" w:rsidRPr="00CE157F" w:rsidRDefault="00647F3D" w:rsidP="00782256">
            <w:pPr>
              <w:rPr>
                <w:rFonts w:ascii="Arial Narrow" w:hAnsi="Arial Narrow"/>
                <w:color w:val="333333"/>
                <w:sz w:val="20"/>
                <w:szCs w:val="20"/>
              </w:rPr>
            </w:pPr>
            <w:r w:rsidRPr="00CE157F">
              <w:rPr>
                <w:rFonts w:ascii="Arial Narrow" w:hAnsi="Arial Narrow"/>
                <w:color w:val="333333"/>
                <w:sz w:val="20"/>
                <w:szCs w:val="20"/>
              </w:rPr>
              <w:t>Patient must have received non-PBS-subsidised treatment with this drug for this PBS indication prior to [insert listing date];</w:t>
            </w:r>
          </w:p>
        </w:tc>
      </w:tr>
      <w:tr w:rsidR="00647F3D" w:rsidRPr="00B90897" w14:paraId="564B20CE" w14:textId="77777777" w:rsidTr="00782256">
        <w:tblPrEx>
          <w:tblCellMar>
            <w:top w:w="15" w:type="dxa"/>
            <w:left w:w="15" w:type="dxa"/>
            <w:bottom w:w="15" w:type="dxa"/>
            <w:right w:w="15" w:type="dxa"/>
          </w:tblCellMar>
          <w:tblLook w:val="04A0" w:firstRow="1" w:lastRow="0" w:firstColumn="1" w:lastColumn="0" w:noHBand="0" w:noVBand="1"/>
        </w:tblPrEx>
        <w:tc>
          <w:tcPr>
            <w:tcW w:w="981" w:type="dxa"/>
            <w:gridSpan w:val="2"/>
            <w:vAlign w:val="center"/>
          </w:tcPr>
          <w:p w14:paraId="37EBA038" w14:textId="77777777" w:rsidR="00647F3D" w:rsidRPr="00CE157F" w:rsidRDefault="00647F3D" w:rsidP="00782256">
            <w:pPr>
              <w:jc w:val="center"/>
              <w:rPr>
                <w:rFonts w:ascii="Arial Narrow" w:hAnsi="Arial Narrow"/>
                <w:color w:val="333333"/>
                <w:sz w:val="20"/>
                <w:szCs w:val="20"/>
              </w:rPr>
            </w:pPr>
          </w:p>
        </w:tc>
        <w:tc>
          <w:tcPr>
            <w:tcW w:w="8086" w:type="dxa"/>
            <w:gridSpan w:val="7"/>
            <w:vAlign w:val="center"/>
          </w:tcPr>
          <w:p w14:paraId="656E5F4E" w14:textId="77777777" w:rsidR="00647F3D" w:rsidRPr="00CE157F" w:rsidRDefault="00647F3D" w:rsidP="00782256">
            <w:pPr>
              <w:rPr>
                <w:rFonts w:ascii="Arial Narrow" w:hAnsi="Arial Narrow"/>
                <w:b/>
                <w:bCs/>
                <w:color w:val="333333"/>
                <w:sz w:val="20"/>
                <w:szCs w:val="20"/>
              </w:rPr>
            </w:pPr>
            <w:r w:rsidRPr="00CE157F">
              <w:rPr>
                <w:rFonts w:ascii="Arial Narrow" w:hAnsi="Arial Narrow"/>
                <w:b/>
                <w:bCs/>
                <w:color w:val="333333"/>
                <w:sz w:val="20"/>
                <w:szCs w:val="20"/>
              </w:rPr>
              <w:t>AND</w:t>
            </w:r>
          </w:p>
        </w:tc>
      </w:tr>
      <w:tr w:rsidR="00647F3D" w:rsidRPr="007F2BB2" w14:paraId="0020BA9C" w14:textId="77777777" w:rsidTr="00A11377">
        <w:tblPrEx>
          <w:tblCellMar>
            <w:top w:w="15" w:type="dxa"/>
            <w:left w:w="15" w:type="dxa"/>
            <w:bottom w:w="15" w:type="dxa"/>
            <w:right w:w="15" w:type="dxa"/>
          </w:tblCellMar>
          <w:tblLook w:val="04A0" w:firstRow="1" w:lastRow="0" w:firstColumn="1" w:lastColumn="0" w:noHBand="0" w:noVBand="1"/>
        </w:tblPrEx>
        <w:tc>
          <w:tcPr>
            <w:tcW w:w="981" w:type="dxa"/>
            <w:gridSpan w:val="2"/>
            <w:vAlign w:val="center"/>
          </w:tcPr>
          <w:p w14:paraId="1B366724" w14:textId="1A568A04" w:rsidR="00647F3D" w:rsidRPr="00CE157F" w:rsidRDefault="00647F3D" w:rsidP="00782256">
            <w:pPr>
              <w:jc w:val="center"/>
              <w:rPr>
                <w:rFonts w:ascii="Arial Narrow" w:hAnsi="Arial Narrow"/>
                <w:color w:val="333333"/>
                <w:sz w:val="20"/>
                <w:szCs w:val="20"/>
              </w:rPr>
            </w:pPr>
          </w:p>
        </w:tc>
        <w:tc>
          <w:tcPr>
            <w:tcW w:w="8086" w:type="dxa"/>
            <w:gridSpan w:val="7"/>
            <w:vAlign w:val="center"/>
            <w:hideMark/>
          </w:tcPr>
          <w:p w14:paraId="111F7D90" w14:textId="77777777" w:rsidR="00647F3D" w:rsidRPr="00CE157F" w:rsidRDefault="00647F3D" w:rsidP="00782256">
            <w:pPr>
              <w:rPr>
                <w:rFonts w:ascii="Arial Narrow" w:hAnsi="Arial Narrow"/>
                <w:color w:val="FF00FF"/>
                <w:sz w:val="20"/>
                <w:szCs w:val="20"/>
              </w:rPr>
            </w:pPr>
            <w:r w:rsidRPr="00CE157F">
              <w:rPr>
                <w:rFonts w:ascii="Arial Narrow" w:hAnsi="Arial Narrow"/>
                <w:b/>
                <w:bCs/>
                <w:color w:val="333333"/>
                <w:sz w:val="20"/>
                <w:szCs w:val="20"/>
              </w:rPr>
              <w:t xml:space="preserve">Clinical criteria: </w:t>
            </w:r>
          </w:p>
        </w:tc>
      </w:tr>
      <w:tr w:rsidR="00647F3D" w:rsidRPr="00720161" w14:paraId="3F79987C" w14:textId="77777777" w:rsidTr="00A11377">
        <w:tblPrEx>
          <w:tblCellMar>
            <w:top w:w="15" w:type="dxa"/>
            <w:left w:w="15" w:type="dxa"/>
            <w:bottom w:w="15" w:type="dxa"/>
            <w:right w:w="15" w:type="dxa"/>
          </w:tblCellMar>
          <w:tblLook w:val="04A0" w:firstRow="1" w:lastRow="0" w:firstColumn="1" w:lastColumn="0" w:noHBand="0" w:noVBand="1"/>
        </w:tblPrEx>
        <w:tc>
          <w:tcPr>
            <w:tcW w:w="981" w:type="dxa"/>
            <w:gridSpan w:val="2"/>
            <w:vAlign w:val="center"/>
          </w:tcPr>
          <w:p w14:paraId="02A3961E" w14:textId="04F9857C" w:rsidR="00647F3D" w:rsidRPr="00CE157F" w:rsidRDefault="00647F3D" w:rsidP="00782256">
            <w:pPr>
              <w:jc w:val="center"/>
              <w:rPr>
                <w:rFonts w:ascii="Arial Narrow" w:hAnsi="Arial Narrow"/>
                <w:color w:val="333333"/>
                <w:sz w:val="20"/>
                <w:szCs w:val="20"/>
              </w:rPr>
            </w:pPr>
          </w:p>
        </w:tc>
        <w:tc>
          <w:tcPr>
            <w:tcW w:w="8086" w:type="dxa"/>
            <w:gridSpan w:val="7"/>
            <w:vAlign w:val="center"/>
            <w:hideMark/>
          </w:tcPr>
          <w:p w14:paraId="58C2AD27" w14:textId="77777777" w:rsidR="00647F3D" w:rsidRPr="00CE157F" w:rsidRDefault="00647F3D" w:rsidP="00782256">
            <w:pPr>
              <w:rPr>
                <w:rFonts w:ascii="Arial Narrow" w:hAnsi="Arial Narrow"/>
                <w:color w:val="333333"/>
                <w:sz w:val="20"/>
                <w:szCs w:val="20"/>
              </w:rPr>
            </w:pPr>
            <w:r w:rsidRPr="00CE157F">
              <w:rPr>
                <w:rFonts w:ascii="Arial Narrow" w:hAnsi="Arial Narrow"/>
                <w:color w:val="333333"/>
                <w:sz w:val="20"/>
                <w:szCs w:val="20"/>
              </w:rPr>
              <w:t>Patient must be at very high risk of fracture.</w:t>
            </w:r>
          </w:p>
        </w:tc>
      </w:tr>
      <w:tr w:rsidR="00647F3D" w:rsidRPr="00120A12" w14:paraId="4C3FF8F8" w14:textId="77777777" w:rsidTr="00A11377">
        <w:tblPrEx>
          <w:tblCellMar>
            <w:top w:w="15" w:type="dxa"/>
            <w:left w:w="15" w:type="dxa"/>
            <w:bottom w:w="15" w:type="dxa"/>
            <w:right w:w="15" w:type="dxa"/>
          </w:tblCellMar>
          <w:tblLook w:val="04A0" w:firstRow="1" w:lastRow="0" w:firstColumn="1" w:lastColumn="0" w:noHBand="0" w:noVBand="1"/>
        </w:tblPrEx>
        <w:tc>
          <w:tcPr>
            <w:tcW w:w="981" w:type="dxa"/>
            <w:gridSpan w:val="2"/>
            <w:vAlign w:val="center"/>
          </w:tcPr>
          <w:p w14:paraId="36DB931B" w14:textId="77777777" w:rsidR="00647F3D" w:rsidRPr="00CE157F" w:rsidRDefault="00647F3D" w:rsidP="00782256">
            <w:pPr>
              <w:jc w:val="center"/>
              <w:rPr>
                <w:rFonts w:ascii="Arial Narrow" w:hAnsi="Arial Narrow"/>
                <w:color w:val="333333"/>
                <w:sz w:val="20"/>
                <w:szCs w:val="20"/>
              </w:rPr>
            </w:pPr>
          </w:p>
        </w:tc>
        <w:tc>
          <w:tcPr>
            <w:tcW w:w="8086" w:type="dxa"/>
            <w:gridSpan w:val="7"/>
            <w:vAlign w:val="center"/>
            <w:hideMark/>
          </w:tcPr>
          <w:p w14:paraId="20A74648" w14:textId="77777777" w:rsidR="00647F3D" w:rsidRPr="00CE157F" w:rsidRDefault="00647F3D" w:rsidP="00782256">
            <w:pPr>
              <w:rPr>
                <w:rFonts w:ascii="Arial Narrow" w:hAnsi="Arial Narrow"/>
                <w:color w:val="333333"/>
                <w:sz w:val="20"/>
                <w:szCs w:val="20"/>
              </w:rPr>
            </w:pPr>
            <w:r w:rsidRPr="00CE157F">
              <w:rPr>
                <w:rFonts w:ascii="Arial Narrow" w:hAnsi="Arial Narrow"/>
                <w:b/>
                <w:bCs/>
                <w:color w:val="333333"/>
                <w:sz w:val="20"/>
                <w:szCs w:val="20"/>
              </w:rPr>
              <w:t>AND</w:t>
            </w:r>
          </w:p>
        </w:tc>
      </w:tr>
      <w:tr w:rsidR="00647F3D" w:rsidRPr="00120A12" w14:paraId="5D1929DB" w14:textId="77777777" w:rsidTr="00782256">
        <w:tblPrEx>
          <w:tblCellMar>
            <w:top w:w="15" w:type="dxa"/>
            <w:left w:w="15" w:type="dxa"/>
            <w:bottom w:w="15" w:type="dxa"/>
            <w:right w:w="15" w:type="dxa"/>
          </w:tblCellMar>
          <w:tblLook w:val="04A0" w:firstRow="1" w:lastRow="0" w:firstColumn="1" w:lastColumn="0" w:noHBand="0" w:noVBand="1"/>
        </w:tblPrEx>
        <w:tc>
          <w:tcPr>
            <w:tcW w:w="981" w:type="dxa"/>
            <w:gridSpan w:val="2"/>
            <w:vAlign w:val="center"/>
          </w:tcPr>
          <w:p w14:paraId="4D3F2081" w14:textId="7382AB34" w:rsidR="00647F3D" w:rsidRPr="00CE157F" w:rsidRDefault="00647F3D" w:rsidP="00782256">
            <w:pPr>
              <w:jc w:val="center"/>
              <w:rPr>
                <w:rFonts w:ascii="Arial Narrow" w:hAnsi="Arial Narrow"/>
                <w:color w:val="333333"/>
                <w:sz w:val="20"/>
                <w:szCs w:val="20"/>
              </w:rPr>
            </w:pPr>
          </w:p>
        </w:tc>
        <w:tc>
          <w:tcPr>
            <w:tcW w:w="8086" w:type="dxa"/>
            <w:gridSpan w:val="7"/>
            <w:vAlign w:val="center"/>
            <w:hideMark/>
          </w:tcPr>
          <w:p w14:paraId="09CEC99C" w14:textId="77777777" w:rsidR="00647F3D" w:rsidRPr="00CE157F" w:rsidRDefault="00647F3D" w:rsidP="00782256">
            <w:pPr>
              <w:rPr>
                <w:rFonts w:ascii="Arial Narrow" w:hAnsi="Arial Narrow"/>
                <w:color w:val="333333"/>
                <w:sz w:val="20"/>
                <w:szCs w:val="20"/>
              </w:rPr>
            </w:pPr>
            <w:r w:rsidRPr="00CE157F">
              <w:rPr>
                <w:rFonts w:ascii="Arial Narrow" w:hAnsi="Arial Narrow"/>
                <w:b/>
                <w:bCs/>
                <w:color w:val="333333"/>
                <w:sz w:val="20"/>
                <w:szCs w:val="20"/>
              </w:rPr>
              <w:t>Clinical criteria:</w:t>
            </w:r>
          </w:p>
        </w:tc>
      </w:tr>
      <w:tr w:rsidR="00647F3D" w:rsidRPr="00720161" w14:paraId="251C4690" w14:textId="77777777" w:rsidTr="00782256">
        <w:tblPrEx>
          <w:tblCellMar>
            <w:top w:w="15" w:type="dxa"/>
            <w:left w:w="15" w:type="dxa"/>
            <w:bottom w:w="15" w:type="dxa"/>
            <w:right w:w="15" w:type="dxa"/>
          </w:tblCellMar>
          <w:tblLook w:val="04A0" w:firstRow="1" w:lastRow="0" w:firstColumn="1" w:lastColumn="0" w:noHBand="0" w:noVBand="1"/>
        </w:tblPrEx>
        <w:tc>
          <w:tcPr>
            <w:tcW w:w="981" w:type="dxa"/>
            <w:gridSpan w:val="2"/>
            <w:vAlign w:val="center"/>
          </w:tcPr>
          <w:p w14:paraId="29679BA3" w14:textId="76EEDCD4" w:rsidR="00647F3D" w:rsidRPr="00CE157F" w:rsidRDefault="00647F3D" w:rsidP="00782256">
            <w:pPr>
              <w:jc w:val="center"/>
              <w:rPr>
                <w:rFonts w:ascii="Arial Narrow" w:hAnsi="Arial Narrow"/>
                <w:color w:val="333333"/>
                <w:sz w:val="20"/>
                <w:szCs w:val="20"/>
              </w:rPr>
            </w:pPr>
          </w:p>
        </w:tc>
        <w:tc>
          <w:tcPr>
            <w:tcW w:w="8086" w:type="dxa"/>
            <w:gridSpan w:val="7"/>
            <w:vAlign w:val="center"/>
            <w:hideMark/>
          </w:tcPr>
          <w:p w14:paraId="06CA9755" w14:textId="77777777" w:rsidR="00647F3D" w:rsidRPr="00CE157F" w:rsidRDefault="00647F3D" w:rsidP="00782256">
            <w:pPr>
              <w:rPr>
                <w:rFonts w:ascii="Arial Narrow" w:hAnsi="Arial Narrow"/>
                <w:color w:val="333333"/>
                <w:sz w:val="20"/>
                <w:szCs w:val="20"/>
              </w:rPr>
            </w:pPr>
            <w:r w:rsidRPr="00CE157F">
              <w:rPr>
                <w:rFonts w:ascii="Arial Narrow" w:hAnsi="Arial Narrow"/>
                <w:color w:val="333333"/>
                <w:sz w:val="20"/>
                <w:szCs w:val="20"/>
              </w:rPr>
              <w:t>Patient must have a bone mineral density (BMD) T-score of -2.5 or less prior to starting non-PBS subsidised treatment with this drug for this condition.</w:t>
            </w:r>
          </w:p>
        </w:tc>
      </w:tr>
      <w:tr w:rsidR="00647F3D" w:rsidRPr="00120A12" w14:paraId="3786BF67" w14:textId="77777777" w:rsidTr="00782256">
        <w:tblPrEx>
          <w:tblCellMar>
            <w:top w:w="15" w:type="dxa"/>
            <w:left w:w="15" w:type="dxa"/>
            <w:bottom w:w="15" w:type="dxa"/>
            <w:right w:w="15" w:type="dxa"/>
          </w:tblCellMar>
          <w:tblLook w:val="04A0" w:firstRow="1" w:lastRow="0" w:firstColumn="1" w:lastColumn="0" w:noHBand="0" w:noVBand="1"/>
        </w:tblPrEx>
        <w:tc>
          <w:tcPr>
            <w:tcW w:w="981" w:type="dxa"/>
            <w:gridSpan w:val="2"/>
            <w:vAlign w:val="center"/>
          </w:tcPr>
          <w:p w14:paraId="48CBBC02" w14:textId="77777777" w:rsidR="00647F3D" w:rsidRPr="00CE157F" w:rsidRDefault="00647F3D" w:rsidP="00782256">
            <w:pPr>
              <w:jc w:val="center"/>
              <w:rPr>
                <w:rFonts w:ascii="Arial Narrow" w:hAnsi="Arial Narrow"/>
                <w:color w:val="333333"/>
                <w:sz w:val="20"/>
                <w:szCs w:val="20"/>
              </w:rPr>
            </w:pPr>
          </w:p>
        </w:tc>
        <w:tc>
          <w:tcPr>
            <w:tcW w:w="8086" w:type="dxa"/>
            <w:gridSpan w:val="7"/>
            <w:vAlign w:val="center"/>
            <w:hideMark/>
          </w:tcPr>
          <w:p w14:paraId="4AF86D52" w14:textId="77777777" w:rsidR="00647F3D" w:rsidRPr="00CE157F" w:rsidRDefault="00647F3D" w:rsidP="00782256">
            <w:pPr>
              <w:rPr>
                <w:rFonts w:ascii="Arial Narrow" w:hAnsi="Arial Narrow"/>
                <w:b/>
                <w:bCs/>
                <w:color w:val="333333"/>
                <w:sz w:val="20"/>
                <w:szCs w:val="20"/>
              </w:rPr>
            </w:pPr>
            <w:r w:rsidRPr="00CE157F">
              <w:rPr>
                <w:rFonts w:ascii="Arial Narrow" w:hAnsi="Arial Narrow"/>
                <w:b/>
                <w:bCs/>
                <w:color w:val="333333"/>
                <w:sz w:val="20"/>
                <w:szCs w:val="20"/>
              </w:rPr>
              <w:t>AND</w:t>
            </w:r>
          </w:p>
        </w:tc>
      </w:tr>
      <w:tr w:rsidR="00647F3D" w:rsidRPr="00120A12" w14:paraId="2DE74A40" w14:textId="77777777" w:rsidTr="00782256">
        <w:tblPrEx>
          <w:tblCellMar>
            <w:top w:w="15" w:type="dxa"/>
            <w:left w:w="15" w:type="dxa"/>
            <w:bottom w:w="15" w:type="dxa"/>
            <w:right w:w="15" w:type="dxa"/>
          </w:tblCellMar>
          <w:tblLook w:val="04A0" w:firstRow="1" w:lastRow="0" w:firstColumn="1" w:lastColumn="0" w:noHBand="0" w:noVBand="1"/>
        </w:tblPrEx>
        <w:tc>
          <w:tcPr>
            <w:tcW w:w="981" w:type="dxa"/>
            <w:gridSpan w:val="2"/>
            <w:vAlign w:val="center"/>
          </w:tcPr>
          <w:p w14:paraId="47699960" w14:textId="77777777" w:rsidR="00647F3D" w:rsidRPr="00CE157F" w:rsidRDefault="00647F3D" w:rsidP="00782256">
            <w:pPr>
              <w:jc w:val="center"/>
              <w:rPr>
                <w:rFonts w:ascii="Arial Narrow" w:hAnsi="Arial Narrow"/>
                <w:color w:val="333333"/>
                <w:sz w:val="20"/>
                <w:szCs w:val="20"/>
              </w:rPr>
            </w:pPr>
          </w:p>
        </w:tc>
        <w:tc>
          <w:tcPr>
            <w:tcW w:w="8086" w:type="dxa"/>
            <w:gridSpan w:val="7"/>
            <w:vAlign w:val="center"/>
            <w:hideMark/>
          </w:tcPr>
          <w:p w14:paraId="392DD23D" w14:textId="77777777" w:rsidR="00647F3D" w:rsidRPr="00CE157F" w:rsidRDefault="00647F3D" w:rsidP="00782256">
            <w:pPr>
              <w:rPr>
                <w:rFonts w:ascii="Arial Narrow" w:hAnsi="Arial Narrow"/>
                <w:b/>
                <w:bCs/>
                <w:color w:val="333333"/>
                <w:sz w:val="20"/>
                <w:szCs w:val="20"/>
              </w:rPr>
            </w:pPr>
            <w:r w:rsidRPr="00CE157F">
              <w:rPr>
                <w:rFonts w:ascii="Arial Narrow" w:hAnsi="Arial Narrow"/>
                <w:b/>
                <w:bCs/>
                <w:color w:val="333333"/>
                <w:sz w:val="20"/>
                <w:szCs w:val="20"/>
              </w:rPr>
              <w:t>Clinical criteria:</w:t>
            </w:r>
          </w:p>
        </w:tc>
      </w:tr>
      <w:tr w:rsidR="00647F3D" w:rsidRPr="00120A12" w14:paraId="26E309AF" w14:textId="77777777" w:rsidTr="00782256">
        <w:tblPrEx>
          <w:tblCellMar>
            <w:top w:w="15" w:type="dxa"/>
            <w:left w:w="15" w:type="dxa"/>
            <w:bottom w:w="15" w:type="dxa"/>
            <w:right w:w="15" w:type="dxa"/>
          </w:tblCellMar>
          <w:tblLook w:val="04A0" w:firstRow="1" w:lastRow="0" w:firstColumn="1" w:lastColumn="0" w:noHBand="0" w:noVBand="1"/>
        </w:tblPrEx>
        <w:tc>
          <w:tcPr>
            <w:tcW w:w="981" w:type="dxa"/>
            <w:gridSpan w:val="2"/>
            <w:vAlign w:val="center"/>
          </w:tcPr>
          <w:p w14:paraId="1D1835CB" w14:textId="77777777" w:rsidR="00647F3D" w:rsidRPr="00CE157F" w:rsidRDefault="00647F3D" w:rsidP="00782256">
            <w:pPr>
              <w:jc w:val="center"/>
              <w:rPr>
                <w:rFonts w:ascii="Arial Narrow" w:hAnsi="Arial Narrow"/>
                <w:color w:val="333333"/>
                <w:sz w:val="20"/>
                <w:szCs w:val="20"/>
              </w:rPr>
            </w:pPr>
          </w:p>
        </w:tc>
        <w:tc>
          <w:tcPr>
            <w:tcW w:w="8086" w:type="dxa"/>
            <w:gridSpan w:val="7"/>
            <w:vAlign w:val="center"/>
            <w:hideMark/>
          </w:tcPr>
          <w:p w14:paraId="44D47D98" w14:textId="77777777" w:rsidR="00647F3D" w:rsidRPr="00CE157F" w:rsidRDefault="00647F3D" w:rsidP="00782256">
            <w:pPr>
              <w:rPr>
                <w:rFonts w:ascii="Arial Narrow" w:hAnsi="Arial Narrow"/>
                <w:strike/>
                <w:color w:val="333333"/>
                <w:sz w:val="20"/>
                <w:szCs w:val="20"/>
              </w:rPr>
            </w:pPr>
            <w:r w:rsidRPr="00CE157F">
              <w:rPr>
                <w:rFonts w:ascii="Arial Narrow" w:hAnsi="Arial Narrow"/>
                <w:strike/>
                <w:color w:val="333333"/>
                <w:sz w:val="20"/>
                <w:szCs w:val="20"/>
              </w:rPr>
              <w:t>Patient must have received less than 12 months of treatment with an anti-resorptive agent prior to starting non-PBS subsidised treatment with this drug for this condition.;</w:t>
            </w:r>
          </w:p>
        </w:tc>
      </w:tr>
      <w:tr w:rsidR="00647F3D" w:rsidRPr="00120A12" w14:paraId="665794E1" w14:textId="77777777" w:rsidTr="00782256">
        <w:tblPrEx>
          <w:tblCellMar>
            <w:top w:w="15" w:type="dxa"/>
            <w:left w:w="15" w:type="dxa"/>
            <w:bottom w:w="15" w:type="dxa"/>
            <w:right w:w="15" w:type="dxa"/>
          </w:tblCellMar>
          <w:tblLook w:val="04A0" w:firstRow="1" w:lastRow="0" w:firstColumn="1" w:lastColumn="0" w:noHBand="0" w:noVBand="1"/>
        </w:tblPrEx>
        <w:tc>
          <w:tcPr>
            <w:tcW w:w="981" w:type="dxa"/>
            <w:gridSpan w:val="2"/>
            <w:vAlign w:val="center"/>
          </w:tcPr>
          <w:p w14:paraId="6EF753C4" w14:textId="77777777" w:rsidR="00647F3D" w:rsidRPr="00CE157F" w:rsidRDefault="00647F3D" w:rsidP="00782256">
            <w:pPr>
              <w:jc w:val="center"/>
              <w:rPr>
                <w:rFonts w:ascii="Arial Narrow" w:hAnsi="Arial Narrow"/>
                <w:color w:val="333333"/>
                <w:sz w:val="20"/>
                <w:szCs w:val="20"/>
              </w:rPr>
            </w:pPr>
          </w:p>
        </w:tc>
        <w:tc>
          <w:tcPr>
            <w:tcW w:w="8086" w:type="dxa"/>
            <w:gridSpan w:val="7"/>
          </w:tcPr>
          <w:p w14:paraId="21557433" w14:textId="77777777" w:rsidR="00647F3D" w:rsidRPr="00CE157F" w:rsidRDefault="00647F3D" w:rsidP="00782256">
            <w:pPr>
              <w:rPr>
                <w:rFonts w:ascii="Arial Narrow" w:hAnsi="Arial Narrow"/>
                <w:b/>
                <w:bCs/>
                <w:color w:val="333333"/>
                <w:sz w:val="20"/>
                <w:szCs w:val="20"/>
              </w:rPr>
            </w:pPr>
            <w:r w:rsidRPr="00CE157F">
              <w:rPr>
                <w:rFonts w:ascii="Arial Narrow" w:hAnsi="Arial Narrow"/>
                <w:b/>
                <w:bCs/>
                <w:color w:val="333333"/>
                <w:sz w:val="20"/>
                <w:szCs w:val="20"/>
              </w:rPr>
              <w:t>AND</w:t>
            </w:r>
          </w:p>
        </w:tc>
      </w:tr>
      <w:tr w:rsidR="00647F3D" w:rsidRPr="00120A12" w14:paraId="368E72F0" w14:textId="77777777" w:rsidTr="00782256">
        <w:tblPrEx>
          <w:tblCellMar>
            <w:top w:w="15" w:type="dxa"/>
            <w:left w:w="15" w:type="dxa"/>
            <w:bottom w:w="15" w:type="dxa"/>
            <w:right w:w="15" w:type="dxa"/>
          </w:tblCellMar>
          <w:tblLook w:val="04A0" w:firstRow="1" w:lastRow="0" w:firstColumn="1" w:lastColumn="0" w:noHBand="0" w:noVBand="1"/>
        </w:tblPrEx>
        <w:tc>
          <w:tcPr>
            <w:tcW w:w="981" w:type="dxa"/>
            <w:gridSpan w:val="2"/>
            <w:vAlign w:val="center"/>
          </w:tcPr>
          <w:p w14:paraId="48F75919" w14:textId="77777777" w:rsidR="00647F3D" w:rsidRPr="00CE157F" w:rsidRDefault="00647F3D" w:rsidP="00782256">
            <w:pPr>
              <w:jc w:val="center"/>
              <w:rPr>
                <w:rFonts w:ascii="Arial Narrow" w:hAnsi="Arial Narrow"/>
                <w:color w:val="333333"/>
                <w:sz w:val="20"/>
                <w:szCs w:val="20"/>
              </w:rPr>
            </w:pPr>
          </w:p>
        </w:tc>
        <w:tc>
          <w:tcPr>
            <w:tcW w:w="8086" w:type="dxa"/>
            <w:gridSpan w:val="7"/>
          </w:tcPr>
          <w:p w14:paraId="5421FA5C" w14:textId="77777777" w:rsidR="00647F3D" w:rsidRPr="00CE157F" w:rsidRDefault="00647F3D" w:rsidP="00782256">
            <w:pPr>
              <w:rPr>
                <w:rFonts w:ascii="Arial Narrow" w:hAnsi="Arial Narrow"/>
                <w:b/>
                <w:bCs/>
                <w:color w:val="333333"/>
                <w:sz w:val="20"/>
                <w:szCs w:val="20"/>
              </w:rPr>
            </w:pPr>
            <w:r w:rsidRPr="00CE157F">
              <w:rPr>
                <w:rFonts w:ascii="Arial Narrow" w:hAnsi="Arial Narrow"/>
                <w:b/>
                <w:bCs/>
                <w:color w:val="333333"/>
                <w:sz w:val="20"/>
                <w:szCs w:val="20"/>
              </w:rPr>
              <w:t>Clinical criteria:</w:t>
            </w:r>
          </w:p>
        </w:tc>
      </w:tr>
      <w:tr w:rsidR="00647F3D" w:rsidRPr="00120A12" w14:paraId="4035EAF5" w14:textId="77777777" w:rsidTr="00782256">
        <w:tblPrEx>
          <w:tblCellMar>
            <w:top w:w="15" w:type="dxa"/>
            <w:left w:w="15" w:type="dxa"/>
            <w:bottom w:w="15" w:type="dxa"/>
            <w:right w:w="15" w:type="dxa"/>
          </w:tblCellMar>
          <w:tblLook w:val="04A0" w:firstRow="1" w:lastRow="0" w:firstColumn="1" w:lastColumn="0" w:noHBand="0" w:noVBand="1"/>
        </w:tblPrEx>
        <w:tc>
          <w:tcPr>
            <w:tcW w:w="981" w:type="dxa"/>
            <w:gridSpan w:val="2"/>
            <w:vAlign w:val="center"/>
          </w:tcPr>
          <w:p w14:paraId="11DC4106" w14:textId="449AA36E" w:rsidR="00647F3D" w:rsidRPr="00CE157F" w:rsidRDefault="00647F3D" w:rsidP="00782256">
            <w:pPr>
              <w:jc w:val="center"/>
              <w:rPr>
                <w:rFonts w:ascii="Arial Narrow" w:hAnsi="Arial Narrow"/>
                <w:color w:val="333333"/>
                <w:sz w:val="20"/>
                <w:szCs w:val="20"/>
              </w:rPr>
            </w:pPr>
          </w:p>
        </w:tc>
        <w:tc>
          <w:tcPr>
            <w:tcW w:w="8086" w:type="dxa"/>
            <w:gridSpan w:val="7"/>
          </w:tcPr>
          <w:p w14:paraId="49B742DE" w14:textId="77777777" w:rsidR="00647F3D" w:rsidRPr="00CE157F" w:rsidRDefault="00647F3D" w:rsidP="00782256">
            <w:pPr>
              <w:rPr>
                <w:rFonts w:ascii="Arial Narrow" w:hAnsi="Arial Narrow"/>
                <w:color w:val="333333"/>
                <w:sz w:val="20"/>
                <w:szCs w:val="20"/>
              </w:rPr>
            </w:pPr>
            <w:r w:rsidRPr="00CE157F">
              <w:rPr>
                <w:rFonts w:ascii="Arial Narrow" w:hAnsi="Arial Narrow"/>
                <w:color w:val="333333"/>
                <w:sz w:val="20"/>
                <w:szCs w:val="20"/>
              </w:rPr>
              <w:t>Patient must have had at least 1 hip or clinical vertebral fracture in the previous 24 months prior to starting non-PBS subsidised treatment with this drug for this condition, OR</w:t>
            </w:r>
          </w:p>
          <w:p w14:paraId="168D27A0" w14:textId="77777777" w:rsidR="00647F3D" w:rsidRPr="00CE157F" w:rsidRDefault="00647F3D" w:rsidP="00782256">
            <w:pPr>
              <w:rPr>
                <w:rFonts w:ascii="Arial Narrow" w:hAnsi="Arial Narrow"/>
                <w:color w:val="333333"/>
                <w:sz w:val="20"/>
                <w:szCs w:val="20"/>
              </w:rPr>
            </w:pPr>
            <w:r w:rsidRPr="00CE157F">
              <w:rPr>
                <w:rFonts w:ascii="Arial Narrow" w:hAnsi="Arial Narrow"/>
                <w:color w:val="333333"/>
                <w:sz w:val="20"/>
                <w:szCs w:val="20"/>
              </w:rPr>
              <w:t xml:space="preserve">Patient must have had </w:t>
            </w:r>
            <w:r w:rsidRPr="00CE157F">
              <w:rPr>
                <w:rFonts w:ascii="Arial Narrow" w:hAnsi="Arial Narrow"/>
                <w:i/>
                <w:iCs/>
                <w:color w:val="333333"/>
                <w:sz w:val="20"/>
                <w:szCs w:val="20"/>
              </w:rPr>
              <w:t>multiple symptomatic</w:t>
            </w:r>
            <w:r w:rsidRPr="00CE157F">
              <w:rPr>
                <w:rFonts w:ascii="Arial Narrow" w:hAnsi="Arial Narrow"/>
                <w:strike/>
                <w:color w:val="333333"/>
                <w:sz w:val="20"/>
                <w:szCs w:val="20"/>
              </w:rPr>
              <w:t>at least 2 clinical</w:t>
            </w:r>
            <w:r w:rsidRPr="00CE157F">
              <w:rPr>
                <w:rFonts w:ascii="Arial Narrow" w:hAnsi="Arial Narrow"/>
                <w:color w:val="333333"/>
                <w:sz w:val="20"/>
                <w:szCs w:val="20"/>
              </w:rPr>
              <w:t xml:space="preserve"> fractures including 1 in the previous 24 months prior to starting non-PBS subsidised treatment with this drug for this condition,</w:t>
            </w:r>
          </w:p>
        </w:tc>
      </w:tr>
      <w:tr w:rsidR="00647F3D" w:rsidRPr="00120A12" w14:paraId="0F698870" w14:textId="77777777" w:rsidTr="00782256">
        <w:tblPrEx>
          <w:tblCellMar>
            <w:top w:w="15" w:type="dxa"/>
            <w:left w:w="15" w:type="dxa"/>
            <w:bottom w:w="15" w:type="dxa"/>
            <w:right w:w="15" w:type="dxa"/>
          </w:tblCellMar>
          <w:tblLook w:val="04A0" w:firstRow="1" w:lastRow="0" w:firstColumn="1" w:lastColumn="0" w:noHBand="0" w:noVBand="1"/>
        </w:tblPrEx>
        <w:tc>
          <w:tcPr>
            <w:tcW w:w="981" w:type="dxa"/>
            <w:gridSpan w:val="2"/>
            <w:vAlign w:val="center"/>
          </w:tcPr>
          <w:p w14:paraId="6F839DEE" w14:textId="77777777" w:rsidR="00647F3D" w:rsidRPr="00CE157F" w:rsidRDefault="00647F3D" w:rsidP="00782256">
            <w:pPr>
              <w:jc w:val="center"/>
              <w:rPr>
                <w:rFonts w:ascii="Arial Narrow" w:hAnsi="Arial Narrow"/>
                <w:color w:val="333333"/>
                <w:sz w:val="20"/>
                <w:szCs w:val="20"/>
              </w:rPr>
            </w:pPr>
          </w:p>
        </w:tc>
        <w:tc>
          <w:tcPr>
            <w:tcW w:w="8086" w:type="dxa"/>
            <w:gridSpan w:val="7"/>
          </w:tcPr>
          <w:p w14:paraId="274EA701" w14:textId="77777777" w:rsidR="00647F3D" w:rsidRPr="00CE157F" w:rsidRDefault="00647F3D" w:rsidP="00782256">
            <w:pPr>
              <w:rPr>
                <w:rFonts w:ascii="Arial Narrow" w:hAnsi="Arial Narrow"/>
                <w:b/>
                <w:bCs/>
                <w:color w:val="333333"/>
                <w:sz w:val="20"/>
                <w:szCs w:val="20"/>
              </w:rPr>
            </w:pPr>
            <w:r w:rsidRPr="00CE157F">
              <w:rPr>
                <w:rFonts w:ascii="Arial Narrow" w:hAnsi="Arial Narrow"/>
                <w:b/>
                <w:bCs/>
                <w:color w:val="333333"/>
                <w:sz w:val="20"/>
                <w:szCs w:val="20"/>
              </w:rPr>
              <w:t>AND</w:t>
            </w:r>
          </w:p>
        </w:tc>
      </w:tr>
      <w:tr w:rsidR="00647F3D" w:rsidRPr="00120A12" w14:paraId="4288D588" w14:textId="77777777" w:rsidTr="00782256">
        <w:tblPrEx>
          <w:tblCellMar>
            <w:top w:w="15" w:type="dxa"/>
            <w:left w:w="15" w:type="dxa"/>
            <w:bottom w:w="15" w:type="dxa"/>
            <w:right w:w="15" w:type="dxa"/>
          </w:tblCellMar>
          <w:tblLook w:val="04A0" w:firstRow="1" w:lastRow="0" w:firstColumn="1" w:lastColumn="0" w:noHBand="0" w:noVBand="1"/>
        </w:tblPrEx>
        <w:tc>
          <w:tcPr>
            <w:tcW w:w="981" w:type="dxa"/>
            <w:gridSpan w:val="2"/>
            <w:vAlign w:val="center"/>
          </w:tcPr>
          <w:p w14:paraId="5EA3F791" w14:textId="7B7C9AE2" w:rsidR="00647F3D" w:rsidRPr="00CE157F" w:rsidRDefault="00647F3D" w:rsidP="00782256">
            <w:pPr>
              <w:jc w:val="center"/>
              <w:rPr>
                <w:rFonts w:ascii="Arial Narrow" w:hAnsi="Arial Narrow"/>
                <w:color w:val="333333"/>
                <w:sz w:val="20"/>
                <w:szCs w:val="20"/>
              </w:rPr>
            </w:pPr>
          </w:p>
        </w:tc>
        <w:tc>
          <w:tcPr>
            <w:tcW w:w="8086" w:type="dxa"/>
            <w:gridSpan w:val="7"/>
          </w:tcPr>
          <w:p w14:paraId="535D6F6F" w14:textId="77777777" w:rsidR="00647F3D" w:rsidRPr="00CE157F" w:rsidRDefault="00647F3D" w:rsidP="00782256">
            <w:pPr>
              <w:rPr>
                <w:rFonts w:ascii="Arial Narrow" w:hAnsi="Arial Narrow"/>
                <w:b/>
                <w:bCs/>
                <w:color w:val="333333"/>
                <w:sz w:val="20"/>
                <w:szCs w:val="20"/>
              </w:rPr>
            </w:pPr>
            <w:r w:rsidRPr="00CE157F">
              <w:rPr>
                <w:rFonts w:ascii="Arial Narrow" w:hAnsi="Arial Narrow"/>
                <w:b/>
                <w:bCs/>
                <w:color w:val="333333"/>
                <w:sz w:val="20"/>
                <w:szCs w:val="20"/>
              </w:rPr>
              <w:t>Clinical criteria:</w:t>
            </w:r>
          </w:p>
        </w:tc>
      </w:tr>
      <w:tr w:rsidR="00647F3D" w:rsidRPr="00120A12" w14:paraId="54A6B8A8" w14:textId="77777777" w:rsidTr="00782256">
        <w:tblPrEx>
          <w:tblCellMar>
            <w:top w:w="15" w:type="dxa"/>
            <w:left w:w="15" w:type="dxa"/>
            <w:bottom w:w="15" w:type="dxa"/>
            <w:right w:w="15" w:type="dxa"/>
          </w:tblCellMar>
          <w:tblLook w:val="04A0" w:firstRow="1" w:lastRow="0" w:firstColumn="1" w:lastColumn="0" w:noHBand="0" w:noVBand="1"/>
        </w:tblPrEx>
        <w:tc>
          <w:tcPr>
            <w:tcW w:w="981" w:type="dxa"/>
            <w:gridSpan w:val="2"/>
            <w:vAlign w:val="center"/>
          </w:tcPr>
          <w:p w14:paraId="1674A4F1" w14:textId="764ECDD4" w:rsidR="00647F3D" w:rsidRPr="00CE157F" w:rsidRDefault="00647F3D" w:rsidP="00782256">
            <w:pPr>
              <w:jc w:val="center"/>
              <w:rPr>
                <w:rFonts w:ascii="Arial Narrow" w:hAnsi="Arial Narrow"/>
                <w:color w:val="333333"/>
                <w:sz w:val="20"/>
                <w:szCs w:val="20"/>
              </w:rPr>
            </w:pPr>
          </w:p>
        </w:tc>
        <w:tc>
          <w:tcPr>
            <w:tcW w:w="8086" w:type="dxa"/>
            <w:gridSpan w:val="7"/>
            <w:vAlign w:val="center"/>
          </w:tcPr>
          <w:p w14:paraId="13E85F8F" w14:textId="77777777" w:rsidR="00647F3D" w:rsidRPr="00CE157F" w:rsidRDefault="00647F3D" w:rsidP="00782256">
            <w:pPr>
              <w:rPr>
                <w:rFonts w:ascii="Arial Narrow" w:hAnsi="Arial Narrow"/>
                <w:color w:val="333333"/>
                <w:sz w:val="20"/>
                <w:szCs w:val="20"/>
              </w:rPr>
            </w:pPr>
            <w:r w:rsidRPr="00CE157F">
              <w:rPr>
                <w:rFonts w:ascii="Arial Narrow" w:hAnsi="Arial Narrow"/>
                <w:color w:val="333333"/>
                <w:sz w:val="20"/>
                <w:szCs w:val="20"/>
              </w:rPr>
              <w:t>The treatment must be the sole PBS-subsidised therapy for this condition.</w:t>
            </w:r>
          </w:p>
        </w:tc>
      </w:tr>
      <w:tr w:rsidR="00647F3D" w:rsidRPr="00120A12" w14:paraId="4A37307A" w14:textId="77777777" w:rsidTr="00782256">
        <w:tblPrEx>
          <w:tblCellMar>
            <w:top w:w="15" w:type="dxa"/>
            <w:left w:w="15" w:type="dxa"/>
            <w:bottom w:w="15" w:type="dxa"/>
            <w:right w:w="15" w:type="dxa"/>
          </w:tblCellMar>
          <w:tblLook w:val="04A0" w:firstRow="1" w:lastRow="0" w:firstColumn="1" w:lastColumn="0" w:noHBand="0" w:noVBand="1"/>
        </w:tblPrEx>
        <w:tc>
          <w:tcPr>
            <w:tcW w:w="981" w:type="dxa"/>
            <w:gridSpan w:val="2"/>
            <w:vAlign w:val="center"/>
          </w:tcPr>
          <w:p w14:paraId="1B06D85B" w14:textId="77777777" w:rsidR="00647F3D" w:rsidRPr="00CE157F" w:rsidRDefault="00647F3D" w:rsidP="00782256">
            <w:pPr>
              <w:jc w:val="center"/>
              <w:rPr>
                <w:rFonts w:ascii="Arial Narrow" w:hAnsi="Arial Narrow"/>
                <w:color w:val="333333"/>
                <w:sz w:val="20"/>
                <w:szCs w:val="20"/>
              </w:rPr>
            </w:pPr>
          </w:p>
        </w:tc>
        <w:tc>
          <w:tcPr>
            <w:tcW w:w="8086" w:type="dxa"/>
            <w:gridSpan w:val="7"/>
          </w:tcPr>
          <w:p w14:paraId="70A6CDEF" w14:textId="77777777" w:rsidR="00647F3D" w:rsidRPr="00CE157F" w:rsidRDefault="00647F3D" w:rsidP="00782256">
            <w:pPr>
              <w:rPr>
                <w:rFonts w:ascii="Arial Narrow" w:hAnsi="Arial Narrow"/>
                <w:b/>
                <w:bCs/>
                <w:color w:val="333333"/>
                <w:sz w:val="20"/>
                <w:szCs w:val="20"/>
              </w:rPr>
            </w:pPr>
            <w:r w:rsidRPr="00CE157F">
              <w:rPr>
                <w:rFonts w:ascii="Arial Narrow" w:hAnsi="Arial Narrow"/>
                <w:b/>
                <w:bCs/>
                <w:color w:val="333333"/>
                <w:sz w:val="20"/>
                <w:szCs w:val="20"/>
              </w:rPr>
              <w:t>AND</w:t>
            </w:r>
          </w:p>
        </w:tc>
      </w:tr>
      <w:tr w:rsidR="00647F3D" w:rsidRPr="00120A12" w14:paraId="4AC22460" w14:textId="77777777" w:rsidTr="00782256">
        <w:tblPrEx>
          <w:tblCellMar>
            <w:top w:w="15" w:type="dxa"/>
            <w:left w:w="15" w:type="dxa"/>
            <w:bottom w:w="15" w:type="dxa"/>
            <w:right w:w="15" w:type="dxa"/>
          </w:tblCellMar>
          <w:tblLook w:val="04A0" w:firstRow="1" w:lastRow="0" w:firstColumn="1" w:lastColumn="0" w:noHBand="0" w:noVBand="1"/>
        </w:tblPrEx>
        <w:tc>
          <w:tcPr>
            <w:tcW w:w="981" w:type="dxa"/>
            <w:gridSpan w:val="2"/>
            <w:vAlign w:val="center"/>
          </w:tcPr>
          <w:p w14:paraId="424B8C77" w14:textId="77777777" w:rsidR="00647F3D" w:rsidRPr="00CE157F" w:rsidRDefault="00647F3D" w:rsidP="00782256">
            <w:pPr>
              <w:jc w:val="center"/>
              <w:rPr>
                <w:rFonts w:ascii="Arial Narrow" w:hAnsi="Arial Narrow"/>
                <w:color w:val="333333"/>
                <w:sz w:val="20"/>
                <w:szCs w:val="20"/>
              </w:rPr>
            </w:pPr>
          </w:p>
        </w:tc>
        <w:tc>
          <w:tcPr>
            <w:tcW w:w="8086" w:type="dxa"/>
            <w:gridSpan w:val="7"/>
          </w:tcPr>
          <w:p w14:paraId="67588A65" w14:textId="77777777" w:rsidR="00647F3D" w:rsidRPr="00CE157F" w:rsidRDefault="00647F3D" w:rsidP="00782256">
            <w:pPr>
              <w:rPr>
                <w:rFonts w:ascii="Arial Narrow" w:hAnsi="Arial Narrow"/>
                <w:b/>
                <w:bCs/>
                <w:color w:val="333333"/>
                <w:sz w:val="20"/>
                <w:szCs w:val="20"/>
              </w:rPr>
            </w:pPr>
            <w:r w:rsidRPr="00CE157F">
              <w:rPr>
                <w:rFonts w:ascii="Arial Narrow" w:hAnsi="Arial Narrow"/>
                <w:b/>
                <w:bCs/>
                <w:color w:val="333333"/>
                <w:sz w:val="20"/>
                <w:szCs w:val="20"/>
              </w:rPr>
              <w:t>Clinical criteria:</w:t>
            </w:r>
          </w:p>
        </w:tc>
      </w:tr>
      <w:tr w:rsidR="00647F3D" w:rsidRPr="00120A12" w14:paraId="7F2A8412" w14:textId="77777777" w:rsidTr="00782256">
        <w:tblPrEx>
          <w:tblCellMar>
            <w:top w:w="15" w:type="dxa"/>
            <w:left w:w="15" w:type="dxa"/>
            <w:bottom w:w="15" w:type="dxa"/>
            <w:right w:w="15" w:type="dxa"/>
          </w:tblCellMar>
          <w:tblLook w:val="04A0" w:firstRow="1" w:lastRow="0" w:firstColumn="1" w:lastColumn="0" w:noHBand="0" w:noVBand="1"/>
        </w:tblPrEx>
        <w:tc>
          <w:tcPr>
            <w:tcW w:w="981" w:type="dxa"/>
            <w:gridSpan w:val="2"/>
            <w:vAlign w:val="center"/>
          </w:tcPr>
          <w:p w14:paraId="14FA4EFE" w14:textId="483B366D" w:rsidR="00647F3D" w:rsidRPr="00CE157F" w:rsidRDefault="00647F3D" w:rsidP="00782256">
            <w:pPr>
              <w:jc w:val="center"/>
              <w:rPr>
                <w:rFonts w:ascii="Arial Narrow" w:hAnsi="Arial Narrow"/>
                <w:color w:val="333333"/>
                <w:sz w:val="20"/>
                <w:szCs w:val="20"/>
              </w:rPr>
            </w:pPr>
          </w:p>
        </w:tc>
        <w:tc>
          <w:tcPr>
            <w:tcW w:w="8086" w:type="dxa"/>
            <w:gridSpan w:val="7"/>
            <w:vAlign w:val="center"/>
          </w:tcPr>
          <w:p w14:paraId="61B53120" w14:textId="77777777" w:rsidR="00647F3D" w:rsidRPr="00CE157F" w:rsidRDefault="00647F3D" w:rsidP="00782256">
            <w:pPr>
              <w:rPr>
                <w:rFonts w:ascii="Arial Narrow" w:hAnsi="Arial Narrow"/>
                <w:color w:val="333333"/>
                <w:sz w:val="20"/>
                <w:szCs w:val="20"/>
              </w:rPr>
            </w:pPr>
            <w:r w:rsidRPr="00CE157F">
              <w:rPr>
                <w:rFonts w:ascii="Arial Narrow" w:hAnsi="Arial Narrow"/>
                <w:color w:val="333333"/>
                <w:sz w:val="20"/>
                <w:szCs w:val="20"/>
              </w:rPr>
              <w:t>The treatment must not exceed a lifetime maximum of 12 months</w:t>
            </w:r>
            <w:r w:rsidRPr="00CE157F">
              <w:rPr>
                <w:rFonts w:ascii="Arial Narrow" w:hAnsi="Arial Narrow"/>
                <w:i/>
                <w:iCs/>
                <w:color w:val="333333"/>
                <w:sz w:val="20"/>
                <w:szCs w:val="20"/>
              </w:rPr>
              <w:t xml:space="preserve"> PBS and non-PBS subsidised</w:t>
            </w:r>
            <w:r w:rsidRPr="00CE157F">
              <w:rPr>
                <w:rFonts w:ascii="Arial Narrow" w:hAnsi="Arial Narrow"/>
                <w:color w:val="333333"/>
                <w:sz w:val="20"/>
                <w:szCs w:val="20"/>
              </w:rPr>
              <w:t xml:space="preserve"> therapy</w:t>
            </w:r>
          </w:p>
        </w:tc>
      </w:tr>
      <w:tr w:rsidR="00647F3D" w:rsidRPr="00120A12" w14:paraId="6E93EF71" w14:textId="77777777" w:rsidTr="00782256">
        <w:tblPrEx>
          <w:tblCellMar>
            <w:top w:w="15" w:type="dxa"/>
            <w:left w:w="15" w:type="dxa"/>
            <w:bottom w:w="15" w:type="dxa"/>
            <w:right w:w="15" w:type="dxa"/>
          </w:tblCellMar>
          <w:tblLook w:val="04A0" w:firstRow="1" w:lastRow="0" w:firstColumn="1" w:lastColumn="0" w:noHBand="0" w:noVBand="1"/>
        </w:tblPrEx>
        <w:tc>
          <w:tcPr>
            <w:tcW w:w="981" w:type="dxa"/>
            <w:gridSpan w:val="2"/>
            <w:vAlign w:val="center"/>
          </w:tcPr>
          <w:p w14:paraId="1D199283" w14:textId="22A3C98B" w:rsidR="00647F3D" w:rsidRPr="00CE157F" w:rsidRDefault="00647F3D" w:rsidP="00782256">
            <w:pPr>
              <w:jc w:val="center"/>
              <w:rPr>
                <w:rFonts w:ascii="Arial Narrow" w:hAnsi="Arial Narrow"/>
                <w:color w:val="333333"/>
                <w:sz w:val="20"/>
                <w:szCs w:val="20"/>
              </w:rPr>
            </w:pPr>
          </w:p>
        </w:tc>
        <w:tc>
          <w:tcPr>
            <w:tcW w:w="8086" w:type="dxa"/>
            <w:gridSpan w:val="7"/>
            <w:vAlign w:val="center"/>
            <w:hideMark/>
          </w:tcPr>
          <w:p w14:paraId="79167BAF" w14:textId="77777777" w:rsidR="00647F3D" w:rsidRPr="00CE157F" w:rsidRDefault="00647F3D" w:rsidP="00782256">
            <w:pPr>
              <w:rPr>
                <w:rFonts w:ascii="Arial Narrow" w:hAnsi="Arial Narrow"/>
                <w:color w:val="333333"/>
                <w:sz w:val="20"/>
                <w:szCs w:val="20"/>
              </w:rPr>
            </w:pPr>
            <w:r w:rsidRPr="00CE157F">
              <w:rPr>
                <w:rFonts w:ascii="Arial Narrow" w:hAnsi="Arial Narrow"/>
                <w:b/>
                <w:bCs/>
                <w:color w:val="333333"/>
                <w:sz w:val="20"/>
                <w:szCs w:val="20"/>
              </w:rPr>
              <w:t>Treatment criteria:</w:t>
            </w:r>
          </w:p>
        </w:tc>
      </w:tr>
      <w:tr w:rsidR="00647F3D" w:rsidRPr="00120A12" w14:paraId="4A4EB3E5" w14:textId="77777777" w:rsidTr="00782256">
        <w:tblPrEx>
          <w:tblCellMar>
            <w:top w:w="15" w:type="dxa"/>
            <w:left w:w="15" w:type="dxa"/>
            <w:bottom w:w="15" w:type="dxa"/>
            <w:right w:w="15" w:type="dxa"/>
          </w:tblCellMar>
          <w:tblLook w:val="04A0" w:firstRow="1" w:lastRow="0" w:firstColumn="1" w:lastColumn="0" w:noHBand="0" w:noVBand="1"/>
        </w:tblPrEx>
        <w:trPr>
          <w:trHeight w:val="337"/>
        </w:trPr>
        <w:tc>
          <w:tcPr>
            <w:tcW w:w="981" w:type="dxa"/>
            <w:gridSpan w:val="2"/>
            <w:vAlign w:val="center"/>
          </w:tcPr>
          <w:p w14:paraId="40C50C77" w14:textId="075F0780" w:rsidR="00647F3D" w:rsidRPr="00CE157F" w:rsidRDefault="00647F3D" w:rsidP="00782256">
            <w:pPr>
              <w:jc w:val="center"/>
              <w:rPr>
                <w:rFonts w:ascii="Arial Narrow" w:hAnsi="Arial Narrow"/>
                <w:color w:val="333333"/>
                <w:sz w:val="20"/>
                <w:szCs w:val="20"/>
              </w:rPr>
            </w:pPr>
          </w:p>
        </w:tc>
        <w:tc>
          <w:tcPr>
            <w:tcW w:w="8086" w:type="dxa"/>
            <w:gridSpan w:val="7"/>
            <w:vAlign w:val="center"/>
            <w:hideMark/>
          </w:tcPr>
          <w:p w14:paraId="627C0167" w14:textId="77777777" w:rsidR="00647F3D" w:rsidRPr="00CE157F" w:rsidRDefault="00647F3D" w:rsidP="00782256">
            <w:pPr>
              <w:tabs>
                <w:tab w:val="num" w:pos="720"/>
              </w:tabs>
              <w:rPr>
                <w:rFonts w:ascii="Arial Narrow" w:hAnsi="Arial Narrow" w:cs="Arial Narrow"/>
                <w:iCs/>
                <w:sz w:val="20"/>
                <w:szCs w:val="20"/>
              </w:rPr>
            </w:pPr>
            <w:r w:rsidRPr="00CE157F">
              <w:rPr>
                <w:rFonts w:ascii="Arial Narrow" w:hAnsi="Arial Narrow" w:cs="Arial Narrow"/>
                <w:iCs/>
                <w:sz w:val="20"/>
                <w:szCs w:val="20"/>
              </w:rPr>
              <w:t>Must be treated by a Specialist; OR</w:t>
            </w:r>
            <w:r>
              <w:rPr>
                <w:rFonts w:ascii="Arial Narrow" w:hAnsi="Arial Narrow" w:cs="Arial Narrow"/>
                <w:iCs/>
                <w:sz w:val="20"/>
                <w:szCs w:val="20"/>
              </w:rPr>
              <w:t xml:space="preserve"> </w:t>
            </w:r>
            <w:r w:rsidRPr="00CE157F">
              <w:rPr>
                <w:rFonts w:ascii="Arial Narrow" w:hAnsi="Arial Narrow" w:cs="Arial Narrow"/>
                <w:iCs/>
                <w:sz w:val="20"/>
                <w:szCs w:val="20"/>
              </w:rPr>
              <w:t>Must be treated by a Consultant Physician.</w:t>
            </w:r>
          </w:p>
        </w:tc>
      </w:tr>
      <w:tr w:rsidR="00647F3D" w:rsidRPr="00E03D40" w14:paraId="34410FCB" w14:textId="77777777" w:rsidTr="00A11377">
        <w:tblPrEx>
          <w:tblCellMar>
            <w:top w:w="15" w:type="dxa"/>
            <w:left w:w="15" w:type="dxa"/>
            <w:bottom w:w="15" w:type="dxa"/>
            <w:right w:w="15" w:type="dxa"/>
          </w:tblCellMar>
          <w:tblLook w:val="04A0" w:firstRow="1" w:lastRow="0" w:firstColumn="1" w:lastColumn="0" w:noHBand="0" w:noVBand="1"/>
        </w:tblPrEx>
        <w:tc>
          <w:tcPr>
            <w:tcW w:w="981" w:type="dxa"/>
            <w:gridSpan w:val="2"/>
            <w:vAlign w:val="center"/>
          </w:tcPr>
          <w:p w14:paraId="48582C1C" w14:textId="63AF743E" w:rsidR="00647F3D" w:rsidRPr="00CE157F" w:rsidRDefault="00647F3D" w:rsidP="00782256">
            <w:pPr>
              <w:jc w:val="center"/>
              <w:rPr>
                <w:rFonts w:ascii="Arial Narrow" w:hAnsi="Arial Narrow"/>
                <w:color w:val="333333"/>
                <w:sz w:val="20"/>
                <w:szCs w:val="20"/>
              </w:rPr>
            </w:pPr>
          </w:p>
        </w:tc>
        <w:tc>
          <w:tcPr>
            <w:tcW w:w="8086" w:type="dxa"/>
            <w:gridSpan w:val="7"/>
            <w:vAlign w:val="center"/>
            <w:hideMark/>
          </w:tcPr>
          <w:p w14:paraId="79A118CB" w14:textId="77777777" w:rsidR="00647F3D" w:rsidRPr="00CE157F" w:rsidRDefault="00647F3D" w:rsidP="00782256">
            <w:pPr>
              <w:rPr>
                <w:rFonts w:ascii="Arial Narrow" w:hAnsi="Arial Narrow"/>
                <w:color w:val="FF00FF"/>
                <w:sz w:val="20"/>
                <w:szCs w:val="20"/>
              </w:rPr>
            </w:pPr>
            <w:r w:rsidRPr="00CE157F">
              <w:rPr>
                <w:rFonts w:ascii="Arial Narrow" w:hAnsi="Arial Narrow"/>
                <w:b/>
                <w:bCs/>
                <w:color w:val="333333"/>
                <w:sz w:val="20"/>
                <w:szCs w:val="20"/>
              </w:rPr>
              <w:t xml:space="preserve">Prescribing Instructions: </w:t>
            </w:r>
            <w:r w:rsidRPr="00CE157F">
              <w:rPr>
                <w:rFonts w:ascii="Arial Narrow" w:hAnsi="Arial Narrow" w:cs="Arial Narrow"/>
                <w:iCs/>
                <w:sz w:val="20"/>
                <w:szCs w:val="20"/>
              </w:rPr>
              <w:t>Details of fracture history including the date(s), site(s), the symptoms associated with the fracture(s) and the score of the qualifying BMD measurement must be provided at the time of application.</w:t>
            </w:r>
          </w:p>
        </w:tc>
      </w:tr>
      <w:tr w:rsidR="00647F3D" w:rsidRPr="00861FA9" w14:paraId="2A2E5496" w14:textId="77777777" w:rsidTr="00A11377">
        <w:tblPrEx>
          <w:tblCellMar>
            <w:top w:w="15" w:type="dxa"/>
            <w:left w:w="15" w:type="dxa"/>
            <w:bottom w:w="15" w:type="dxa"/>
            <w:right w:w="15" w:type="dxa"/>
          </w:tblCellMar>
          <w:tblLook w:val="04A0" w:firstRow="1" w:lastRow="0" w:firstColumn="1" w:lastColumn="0" w:noHBand="0" w:noVBand="1"/>
        </w:tblPrEx>
        <w:tc>
          <w:tcPr>
            <w:tcW w:w="981" w:type="dxa"/>
            <w:gridSpan w:val="2"/>
            <w:tcBorders>
              <w:top w:val="single" w:sz="4" w:space="0" w:color="auto"/>
              <w:left w:val="single" w:sz="4" w:space="0" w:color="auto"/>
              <w:bottom w:val="single" w:sz="4" w:space="0" w:color="auto"/>
              <w:right w:val="single" w:sz="4" w:space="0" w:color="auto"/>
            </w:tcBorders>
            <w:vAlign w:val="center"/>
          </w:tcPr>
          <w:p w14:paraId="3F07B5E3" w14:textId="5D0B6373" w:rsidR="00647F3D" w:rsidRPr="00CE157F" w:rsidRDefault="00647F3D" w:rsidP="00782256">
            <w:pPr>
              <w:jc w:val="center"/>
              <w:rPr>
                <w:rFonts w:ascii="Arial Narrow" w:hAnsi="Arial Narrow"/>
                <w:color w:val="333333"/>
                <w:sz w:val="20"/>
                <w:szCs w:val="20"/>
              </w:rPr>
            </w:pPr>
          </w:p>
        </w:tc>
        <w:tc>
          <w:tcPr>
            <w:tcW w:w="8086" w:type="dxa"/>
            <w:gridSpan w:val="7"/>
            <w:tcBorders>
              <w:top w:val="single" w:sz="4" w:space="0" w:color="auto"/>
              <w:left w:val="single" w:sz="4" w:space="0" w:color="auto"/>
              <w:bottom w:val="single" w:sz="4" w:space="0" w:color="auto"/>
              <w:right w:val="single" w:sz="4" w:space="0" w:color="auto"/>
            </w:tcBorders>
            <w:vAlign w:val="center"/>
            <w:hideMark/>
          </w:tcPr>
          <w:p w14:paraId="25D9A8D2" w14:textId="77777777" w:rsidR="00647F3D" w:rsidRPr="00CE157F" w:rsidRDefault="00647F3D" w:rsidP="00782256">
            <w:pPr>
              <w:rPr>
                <w:rFonts w:ascii="Arial Narrow" w:hAnsi="Arial Narrow"/>
                <w:b/>
                <w:bCs/>
                <w:color w:val="333333"/>
                <w:sz w:val="20"/>
                <w:szCs w:val="20"/>
              </w:rPr>
            </w:pPr>
            <w:r w:rsidRPr="00CE157F">
              <w:rPr>
                <w:rFonts w:ascii="Arial Narrow" w:hAnsi="Arial Narrow"/>
                <w:b/>
                <w:bCs/>
                <w:color w:val="333333"/>
                <w:sz w:val="20"/>
                <w:szCs w:val="20"/>
              </w:rPr>
              <w:t xml:space="preserve">Administrative advice: </w:t>
            </w:r>
            <w:r w:rsidRPr="00CE157F">
              <w:rPr>
                <w:rFonts w:ascii="Arial Narrow" w:hAnsi="Arial Narrow" w:cs="Arial Narrow"/>
                <w:iCs/>
                <w:sz w:val="20"/>
                <w:szCs w:val="20"/>
              </w:rPr>
              <w:t>Patients may qualify for PBS-subsidised treatment under this restriction once only. For continuing PBS-subsidised treatment, a 'Grandfathered' patient must qualify under the 'Continuing treatment' criteria.</w:t>
            </w:r>
          </w:p>
        </w:tc>
      </w:tr>
      <w:tr w:rsidR="00647F3D" w:rsidRPr="00861FA9" w14:paraId="40A2973E" w14:textId="77777777" w:rsidTr="00A11377">
        <w:tblPrEx>
          <w:tblCellMar>
            <w:top w:w="15" w:type="dxa"/>
            <w:left w:w="15" w:type="dxa"/>
            <w:bottom w:w="15" w:type="dxa"/>
            <w:right w:w="15" w:type="dxa"/>
          </w:tblCellMar>
          <w:tblLook w:val="04A0" w:firstRow="1" w:lastRow="0" w:firstColumn="1" w:lastColumn="0" w:noHBand="0" w:noVBand="1"/>
        </w:tblPrEx>
        <w:tc>
          <w:tcPr>
            <w:tcW w:w="981" w:type="dxa"/>
            <w:gridSpan w:val="2"/>
            <w:tcBorders>
              <w:top w:val="single" w:sz="4" w:space="0" w:color="auto"/>
              <w:left w:val="single" w:sz="4" w:space="0" w:color="auto"/>
              <w:bottom w:val="single" w:sz="4" w:space="0" w:color="auto"/>
              <w:right w:val="single" w:sz="4" w:space="0" w:color="auto"/>
            </w:tcBorders>
            <w:vAlign w:val="center"/>
          </w:tcPr>
          <w:p w14:paraId="4E6FBF3B" w14:textId="18F30ABF" w:rsidR="00647F3D" w:rsidRPr="00CE157F" w:rsidRDefault="00647F3D" w:rsidP="00782256">
            <w:pPr>
              <w:jc w:val="center"/>
              <w:rPr>
                <w:rFonts w:ascii="Arial Narrow" w:hAnsi="Arial Narrow"/>
                <w:color w:val="333333"/>
                <w:sz w:val="20"/>
                <w:szCs w:val="20"/>
              </w:rPr>
            </w:pPr>
          </w:p>
        </w:tc>
        <w:tc>
          <w:tcPr>
            <w:tcW w:w="8086" w:type="dxa"/>
            <w:gridSpan w:val="7"/>
            <w:tcBorders>
              <w:top w:val="single" w:sz="4" w:space="0" w:color="auto"/>
              <w:left w:val="single" w:sz="4" w:space="0" w:color="auto"/>
              <w:bottom w:val="single" w:sz="4" w:space="0" w:color="auto"/>
              <w:right w:val="single" w:sz="4" w:space="0" w:color="auto"/>
            </w:tcBorders>
            <w:vAlign w:val="center"/>
            <w:hideMark/>
          </w:tcPr>
          <w:p w14:paraId="300811E0" w14:textId="77777777" w:rsidR="00647F3D" w:rsidRPr="00CE157F" w:rsidRDefault="00647F3D" w:rsidP="00782256">
            <w:pPr>
              <w:rPr>
                <w:rFonts w:ascii="Arial Narrow" w:hAnsi="Arial Narrow"/>
                <w:b/>
                <w:bCs/>
                <w:color w:val="333333"/>
                <w:sz w:val="20"/>
                <w:szCs w:val="20"/>
              </w:rPr>
            </w:pPr>
            <w:r w:rsidRPr="00CE157F">
              <w:rPr>
                <w:rFonts w:ascii="Arial Narrow" w:hAnsi="Arial Narrow"/>
                <w:b/>
                <w:bCs/>
                <w:color w:val="333333"/>
                <w:sz w:val="20"/>
                <w:szCs w:val="20"/>
              </w:rPr>
              <w:t xml:space="preserve">Administrative advice: </w:t>
            </w:r>
            <w:r w:rsidRPr="00CE157F">
              <w:rPr>
                <w:rFonts w:ascii="Arial Narrow" w:hAnsi="Arial Narrow" w:cs="Arial Narrow"/>
                <w:iCs/>
                <w:sz w:val="20"/>
                <w:szCs w:val="20"/>
              </w:rPr>
              <w:t>This grandfather restriction will cease to operate from 12 months after the date specified in the clinical criteria.</w:t>
            </w:r>
          </w:p>
        </w:tc>
      </w:tr>
      <w:tr w:rsidR="00647F3D" w:rsidRPr="00861FA9" w14:paraId="7EBA1A09" w14:textId="77777777" w:rsidTr="00782256">
        <w:tblPrEx>
          <w:tblCellMar>
            <w:top w:w="15" w:type="dxa"/>
            <w:left w:w="15" w:type="dxa"/>
            <w:bottom w:w="15" w:type="dxa"/>
            <w:right w:w="15" w:type="dxa"/>
          </w:tblCellMar>
          <w:tblLook w:val="04A0" w:firstRow="1" w:lastRow="0" w:firstColumn="1" w:lastColumn="0" w:noHBand="0" w:noVBand="1"/>
        </w:tblPrEx>
        <w:tc>
          <w:tcPr>
            <w:tcW w:w="981" w:type="dxa"/>
            <w:gridSpan w:val="2"/>
            <w:tcBorders>
              <w:top w:val="single" w:sz="4" w:space="0" w:color="auto"/>
              <w:left w:val="single" w:sz="4" w:space="0" w:color="auto"/>
              <w:bottom w:val="single" w:sz="4" w:space="0" w:color="auto"/>
              <w:right w:val="single" w:sz="4" w:space="0" w:color="auto"/>
            </w:tcBorders>
          </w:tcPr>
          <w:p w14:paraId="3890E956" w14:textId="3EEFFE4E" w:rsidR="00647F3D" w:rsidRPr="00CE157F" w:rsidRDefault="00647F3D" w:rsidP="00782256">
            <w:pPr>
              <w:jc w:val="center"/>
              <w:rPr>
                <w:rFonts w:ascii="Arial Narrow" w:hAnsi="Arial Narrow"/>
                <w:color w:val="333333"/>
                <w:sz w:val="20"/>
                <w:szCs w:val="20"/>
              </w:rPr>
            </w:pPr>
          </w:p>
        </w:tc>
        <w:tc>
          <w:tcPr>
            <w:tcW w:w="8086" w:type="dxa"/>
            <w:gridSpan w:val="7"/>
            <w:tcBorders>
              <w:top w:val="single" w:sz="4" w:space="0" w:color="auto"/>
              <w:left w:val="single" w:sz="4" w:space="0" w:color="auto"/>
              <w:bottom w:val="single" w:sz="4" w:space="0" w:color="auto"/>
              <w:right w:val="single" w:sz="4" w:space="0" w:color="auto"/>
            </w:tcBorders>
          </w:tcPr>
          <w:p w14:paraId="2A544A7B" w14:textId="77777777" w:rsidR="00647F3D" w:rsidRPr="00CE157F" w:rsidRDefault="00647F3D" w:rsidP="00782256">
            <w:pPr>
              <w:rPr>
                <w:rFonts w:ascii="Arial Narrow" w:hAnsi="Arial Narrow"/>
                <w:b/>
                <w:bCs/>
                <w:color w:val="333333"/>
                <w:sz w:val="20"/>
                <w:szCs w:val="20"/>
              </w:rPr>
            </w:pPr>
            <w:r w:rsidRPr="00CE157F">
              <w:rPr>
                <w:rFonts w:ascii="Arial Narrow" w:hAnsi="Arial Narrow"/>
                <w:b/>
                <w:bCs/>
                <w:i/>
                <w:iCs/>
                <w:color w:val="333333"/>
                <w:sz w:val="20"/>
                <w:szCs w:val="20"/>
              </w:rPr>
              <w:t xml:space="preserve">Administrative advice: </w:t>
            </w:r>
            <w:r w:rsidRPr="00CE157F">
              <w:rPr>
                <w:rFonts w:ascii="Arial Narrow" w:hAnsi="Arial Narrow"/>
                <w:i/>
                <w:iCs/>
                <w:color w:val="333333"/>
                <w:sz w:val="20"/>
                <w:szCs w:val="20"/>
              </w:rPr>
              <w:t xml:space="preserve">Applications for authorisation under this restriction may be made in real time using the Online PBS Authorities system (see  </w:t>
            </w:r>
            <w:hyperlink r:id="rId9" w:history="1">
              <w:r w:rsidRPr="00CE157F">
                <w:rPr>
                  <w:rStyle w:val="Hyperlink"/>
                  <w:rFonts w:ascii="Arial Narrow" w:hAnsi="Arial Narrow"/>
                  <w:i/>
                  <w:iCs/>
                  <w:sz w:val="20"/>
                  <w:szCs w:val="20"/>
                </w:rPr>
                <w:t>www.servicesaustralia.gov.au/HPOS</w:t>
              </w:r>
            </w:hyperlink>
            <w:r w:rsidRPr="00CE157F">
              <w:rPr>
                <w:rFonts w:ascii="Arial Narrow" w:hAnsi="Arial Narrow"/>
                <w:i/>
                <w:iCs/>
                <w:color w:val="333333"/>
                <w:sz w:val="20"/>
                <w:szCs w:val="20"/>
              </w:rPr>
              <w:t>) or by telephone by contacting Services Australia on 1800 700 270 (hours of operation 8 a.m. to 5 p.m. Monday to Friday).</w:t>
            </w:r>
          </w:p>
        </w:tc>
      </w:tr>
    </w:tbl>
    <w:p w14:paraId="5ADBDE4A" w14:textId="24169216" w:rsidR="00647F3D" w:rsidRPr="00F64CA6" w:rsidRDefault="00647F3D" w:rsidP="00647F3D">
      <w:pPr>
        <w:spacing w:after="120"/>
        <w:rPr>
          <w:rFonts w:asciiTheme="minorHAnsi" w:hAnsiTheme="minorHAnsi" w:cstheme="minorHAnsi"/>
          <w:b/>
          <w:bCs/>
          <w:u w:val="single"/>
        </w:rPr>
      </w:pPr>
      <w:r w:rsidRPr="00F64CA6">
        <w:rPr>
          <w:rFonts w:asciiTheme="minorHAnsi" w:hAnsiTheme="minorHAnsi" w:cstheme="minorHAnsi"/>
          <w:b/>
          <w:bCs/>
          <w:u w:val="single"/>
        </w:rPr>
        <w:t>Proposed 2L restrictions</w:t>
      </w: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90"/>
        <w:gridCol w:w="491"/>
        <w:gridCol w:w="2133"/>
        <w:gridCol w:w="992"/>
        <w:gridCol w:w="992"/>
        <w:gridCol w:w="851"/>
        <w:gridCol w:w="850"/>
        <w:gridCol w:w="71"/>
        <w:gridCol w:w="1063"/>
        <w:gridCol w:w="1134"/>
      </w:tblGrid>
      <w:tr w:rsidR="00AF3E5B" w:rsidRPr="009A610D" w14:paraId="623C4C50" w14:textId="77777777" w:rsidTr="00AF3E5B">
        <w:trPr>
          <w:cantSplit/>
          <w:trHeight w:val="471"/>
        </w:trPr>
        <w:tc>
          <w:tcPr>
            <w:tcW w:w="3114" w:type="dxa"/>
            <w:gridSpan w:val="3"/>
          </w:tcPr>
          <w:p w14:paraId="3FEB935A" w14:textId="77777777" w:rsidR="00AF3E5B" w:rsidRPr="00CE157F" w:rsidRDefault="00AF3E5B" w:rsidP="00782256">
            <w:pPr>
              <w:keepNext/>
              <w:ind w:left="-57"/>
              <w:rPr>
                <w:rFonts w:ascii="Arial Narrow" w:hAnsi="Arial Narrow"/>
                <w:b/>
                <w:bCs/>
                <w:sz w:val="20"/>
                <w:szCs w:val="20"/>
              </w:rPr>
            </w:pPr>
            <w:r w:rsidRPr="00CE157F">
              <w:rPr>
                <w:rFonts w:ascii="Arial Narrow" w:hAnsi="Arial Narrow"/>
                <w:b/>
                <w:bCs/>
                <w:sz w:val="20"/>
                <w:szCs w:val="20"/>
              </w:rPr>
              <w:t>MEDICINAL PRODUCT</w:t>
            </w:r>
          </w:p>
          <w:p w14:paraId="4B80AEB3" w14:textId="77777777" w:rsidR="00AF3E5B" w:rsidRPr="00CE157F" w:rsidRDefault="00AF3E5B" w:rsidP="00782256">
            <w:pPr>
              <w:keepNext/>
              <w:ind w:left="-57"/>
              <w:rPr>
                <w:rFonts w:ascii="Arial Narrow" w:hAnsi="Arial Narrow"/>
                <w:b/>
                <w:sz w:val="20"/>
                <w:szCs w:val="20"/>
              </w:rPr>
            </w:pPr>
            <w:r w:rsidRPr="00CE157F">
              <w:rPr>
                <w:rFonts w:ascii="Arial Narrow" w:hAnsi="Arial Narrow"/>
                <w:b/>
                <w:bCs/>
                <w:sz w:val="20"/>
                <w:szCs w:val="20"/>
              </w:rPr>
              <w:t>medicinal product pack</w:t>
            </w:r>
          </w:p>
        </w:tc>
        <w:tc>
          <w:tcPr>
            <w:tcW w:w="992" w:type="dxa"/>
          </w:tcPr>
          <w:p w14:paraId="22BADC0D" w14:textId="77777777" w:rsidR="00AF3E5B" w:rsidRPr="00CE157F" w:rsidRDefault="00AF3E5B" w:rsidP="00782256">
            <w:pPr>
              <w:keepNext/>
              <w:ind w:left="-108"/>
              <w:jc w:val="center"/>
              <w:rPr>
                <w:rFonts w:ascii="Arial Narrow" w:hAnsi="Arial Narrow"/>
                <w:b/>
                <w:sz w:val="20"/>
                <w:szCs w:val="20"/>
              </w:rPr>
            </w:pPr>
            <w:r w:rsidRPr="00CE157F">
              <w:rPr>
                <w:rFonts w:ascii="Arial Narrow" w:hAnsi="Arial Narrow"/>
                <w:b/>
                <w:sz w:val="20"/>
                <w:szCs w:val="20"/>
              </w:rPr>
              <w:t>PBS item code</w:t>
            </w:r>
          </w:p>
        </w:tc>
        <w:tc>
          <w:tcPr>
            <w:tcW w:w="992" w:type="dxa"/>
          </w:tcPr>
          <w:p w14:paraId="75989C16" w14:textId="77777777" w:rsidR="00AF3E5B" w:rsidRPr="00CE157F" w:rsidRDefault="00AF3E5B" w:rsidP="00782256">
            <w:pPr>
              <w:keepNext/>
              <w:ind w:left="-108"/>
              <w:jc w:val="center"/>
              <w:rPr>
                <w:rFonts w:ascii="Arial Narrow" w:hAnsi="Arial Narrow"/>
                <w:b/>
                <w:sz w:val="20"/>
                <w:szCs w:val="20"/>
              </w:rPr>
            </w:pPr>
            <w:r w:rsidRPr="00CE157F">
              <w:rPr>
                <w:rFonts w:ascii="Arial Narrow" w:hAnsi="Arial Narrow"/>
                <w:b/>
                <w:sz w:val="20"/>
                <w:szCs w:val="20"/>
              </w:rPr>
              <w:t>Max. qty packs</w:t>
            </w:r>
          </w:p>
        </w:tc>
        <w:tc>
          <w:tcPr>
            <w:tcW w:w="851" w:type="dxa"/>
          </w:tcPr>
          <w:p w14:paraId="7AA8EF20" w14:textId="77777777" w:rsidR="00AF3E5B" w:rsidRPr="00CE157F" w:rsidRDefault="00AF3E5B" w:rsidP="00782256">
            <w:pPr>
              <w:keepNext/>
              <w:ind w:left="-108"/>
              <w:jc w:val="center"/>
              <w:rPr>
                <w:rFonts w:ascii="Arial Narrow" w:hAnsi="Arial Narrow"/>
                <w:b/>
                <w:sz w:val="20"/>
                <w:szCs w:val="20"/>
              </w:rPr>
            </w:pPr>
            <w:r w:rsidRPr="00CE157F">
              <w:rPr>
                <w:rFonts w:ascii="Arial Narrow" w:hAnsi="Arial Narrow"/>
                <w:b/>
                <w:sz w:val="20"/>
                <w:szCs w:val="20"/>
              </w:rPr>
              <w:t>Max. qty units</w:t>
            </w:r>
          </w:p>
        </w:tc>
        <w:tc>
          <w:tcPr>
            <w:tcW w:w="921" w:type="dxa"/>
            <w:gridSpan w:val="2"/>
          </w:tcPr>
          <w:p w14:paraId="109804C4" w14:textId="6C119432" w:rsidR="00AF3E5B" w:rsidRPr="00CE157F" w:rsidRDefault="00AF3E5B" w:rsidP="00AF3E5B">
            <w:pPr>
              <w:keepNext/>
              <w:ind w:left="-108"/>
              <w:jc w:val="center"/>
              <w:rPr>
                <w:rFonts w:ascii="Arial Narrow" w:hAnsi="Arial Narrow"/>
                <w:b/>
                <w:sz w:val="20"/>
                <w:szCs w:val="20"/>
              </w:rPr>
            </w:pPr>
            <w:r w:rsidRPr="00CE157F">
              <w:rPr>
                <w:rFonts w:ascii="Arial Narrow" w:hAnsi="Arial Narrow"/>
                <w:b/>
                <w:sz w:val="20"/>
                <w:szCs w:val="20"/>
              </w:rPr>
              <w:t>№.of</w:t>
            </w:r>
            <w:r>
              <w:rPr>
                <w:rFonts w:ascii="Arial Narrow" w:hAnsi="Arial Narrow"/>
                <w:b/>
                <w:sz w:val="20"/>
                <w:szCs w:val="20"/>
              </w:rPr>
              <w:t xml:space="preserve"> </w:t>
            </w:r>
            <w:r>
              <w:rPr>
                <w:rFonts w:ascii="Arial Narrow" w:hAnsi="Arial Narrow"/>
                <w:b/>
                <w:sz w:val="20"/>
                <w:szCs w:val="20"/>
              </w:rPr>
              <w:br/>
              <w:t>Rpts</w:t>
            </w:r>
          </w:p>
        </w:tc>
        <w:tc>
          <w:tcPr>
            <w:tcW w:w="1063" w:type="dxa"/>
          </w:tcPr>
          <w:p w14:paraId="6BC8092D" w14:textId="753C4BEF" w:rsidR="00AF3E5B" w:rsidRPr="00CE157F" w:rsidRDefault="00AF3E5B" w:rsidP="00AF3E5B">
            <w:pPr>
              <w:keepNext/>
              <w:ind w:left="-108"/>
              <w:rPr>
                <w:rFonts w:ascii="Arial Narrow" w:hAnsi="Arial Narrow"/>
                <w:b/>
                <w:sz w:val="20"/>
                <w:szCs w:val="20"/>
              </w:rPr>
            </w:pPr>
            <w:r w:rsidRPr="003C6C89">
              <w:rPr>
                <w:rFonts w:ascii="Arial Narrow" w:hAnsi="Arial Narrow" w:cs="Times New Roman"/>
                <w:b/>
                <w:sz w:val="20"/>
                <w:szCs w:val="22"/>
                <w:lang w:eastAsia="en-US"/>
              </w:rPr>
              <w:t>Dispensed price for</w:t>
            </w:r>
            <w:r>
              <w:rPr>
                <w:rFonts w:ascii="Arial Narrow" w:hAnsi="Arial Narrow" w:cs="Times New Roman"/>
                <w:b/>
                <w:sz w:val="20"/>
                <w:szCs w:val="22"/>
                <w:lang w:eastAsia="en-US"/>
              </w:rPr>
              <w:t xml:space="preserve"> maximum quantity</w:t>
            </w:r>
          </w:p>
        </w:tc>
        <w:tc>
          <w:tcPr>
            <w:tcW w:w="1134" w:type="dxa"/>
          </w:tcPr>
          <w:p w14:paraId="7414EFB1" w14:textId="77777777" w:rsidR="00AF3E5B" w:rsidRPr="00CE157F" w:rsidRDefault="00AF3E5B" w:rsidP="00782256">
            <w:pPr>
              <w:keepNext/>
              <w:rPr>
                <w:rFonts w:ascii="Arial Narrow" w:hAnsi="Arial Narrow"/>
                <w:b/>
                <w:sz w:val="20"/>
                <w:szCs w:val="20"/>
                <w:lang w:val="fr-FR"/>
              </w:rPr>
            </w:pPr>
            <w:r w:rsidRPr="00CE157F">
              <w:rPr>
                <w:rFonts w:ascii="Arial Narrow" w:hAnsi="Arial Narrow"/>
                <w:b/>
                <w:sz w:val="20"/>
                <w:szCs w:val="20"/>
              </w:rPr>
              <w:t>Available brands</w:t>
            </w:r>
          </w:p>
        </w:tc>
      </w:tr>
      <w:tr w:rsidR="00647F3D" w:rsidRPr="009A610D" w14:paraId="01242347" w14:textId="77777777" w:rsidTr="00782256">
        <w:trPr>
          <w:cantSplit/>
          <w:trHeight w:val="224"/>
        </w:trPr>
        <w:tc>
          <w:tcPr>
            <w:tcW w:w="9067" w:type="dxa"/>
            <w:gridSpan w:val="10"/>
          </w:tcPr>
          <w:p w14:paraId="3E48925F" w14:textId="77777777" w:rsidR="00647F3D" w:rsidRPr="00CE157F" w:rsidRDefault="00647F3D" w:rsidP="00782256">
            <w:pPr>
              <w:keepNext/>
              <w:ind w:left="-57"/>
              <w:rPr>
                <w:rFonts w:ascii="Arial Narrow" w:hAnsi="Arial Narrow"/>
                <w:sz w:val="20"/>
                <w:szCs w:val="20"/>
              </w:rPr>
            </w:pPr>
            <w:r w:rsidRPr="00CE157F">
              <w:rPr>
                <w:rFonts w:ascii="Arial Narrow" w:hAnsi="Arial Narrow"/>
                <w:sz w:val="20"/>
                <w:szCs w:val="20"/>
              </w:rPr>
              <w:t xml:space="preserve">ROMOSOZUMAB </w:t>
            </w:r>
          </w:p>
        </w:tc>
      </w:tr>
      <w:tr w:rsidR="00AF3E5B" w:rsidRPr="009A610D" w14:paraId="02AD1424" w14:textId="77777777" w:rsidTr="00AF3E5B">
        <w:trPr>
          <w:cantSplit/>
          <w:trHeight w:val="553"/>
        </w:trPr>
        <w:tc>
          <w:tcPr>
            <w:tcW w:w="3114" w:type="dxa"/>
            <w:gridSpan w:val="3"/>
          </w:tcPr>
          <w:p w14:paraId="626A0952" w14:textId="77777777" w:rsidR="00AF3E5B" w:rsidRPr="00CE157F" w:rsidRDefault="00AF3E5B" w:rsidP="00782256">
            <w:pPr>
              <w:keepNext/>
              <w:ind w:left="-57"/>
              <w:rPr>
                <w:rFonts w:ascii="Arial Narrow" w:hAnsi="Arial Narrow"/>
                <w:sz w:val="20"/>
                <w:szCs w:val="20"/>
              </w:rPr>
            </w:pPr>
            <w:r w:rsidRPr="00CE157F">
              <w:rPr>
                <w:rFonts w:ascii="Arial Narrow" w:hAnsi="Arial Narrow"/>
                <w:sz w:val="20"/>
                <w:szCs w:val="20"/>
              </w:rPr>
              <w:t>romosozumab 105 mg/1.17 mL injection, 2 x 1.17 mL syringes</w:t>
            </w:r>
          </w:p>
        </w:tc>
        <w:tc>
          <w:tcPr>
            <w:tcW w:w="992" w:type="dxa"/>
          </w:tcPr>
          <w:p w14:paraId="18F48747" w14:textId="77777777" w:rsidR="00AF3E5B" w:rsidRPr="00CE157F" w:rsidRDefault="00AF3E5B" w:rsidP="00782256">
            <w:pPr>
              <w:keepNext/>
              <w:jc w:val="center"/>
              <w:rPr>
                <w:rFonts w:ascii="Arial Narrow" w:hAnsi="Arial Narrow"/>
                <w:sz w:val="20"/>
                <w:szCs w:val="20"/>
              </w:rPr>
            </w:pPr>
            <w:r w:rsidRPr="00CE157F">
              <w:rPr>
                <w:rFonts w:ascii="Arial Narrow" w:hAnsi="Arial Narrow"/>
                <w:sz w:val="20"/>
                <w:szCs w:val="20"/>
              </w:rPr>
              <w:t>NEW</w:t>
            </w:r>
          </w:p>
        </w:tc>
        <w:tc>
          <w:tcPr>
            <w:tcW w:w="992" w:type="dxa"/>
          </w:tcPr>
          <w:p w14:paraId="77F670BA" w14:textId="77777777" w:rsidR="00AF3E5B" w:rsidRPr="00CE157F" w:rsidRDefault="00AF3E5B" w:rsidP="00782256">
            <w:pPr>
              <w:keepNext/>
              <w:jc w:val="center"/>
              <w:rPr>
                <w:rFonts w:ascii="Arial Narrow" w:hAnsi="Arial Narrow"/>
                <w:sz w:val="20"/>
                <w:szCs w:val="20"/>
              </w:rPr>
            </w:pPr>
            <w:r w:rsidRPr="00CE157F">
              <w:rPr>
                <w:rFonts w:ascii="Arial Narrow" w:hAnsi="Arial Narrow"/>
                <w:sz w:val="20"/>
                <w:szCs w:val="20"/>
              </w:rPr>
              <w:t>1</w:t>
            </w:r>
          </w:p>
        </w:tc>
        <w:tc>
          <w:tcPr>
            <w:tcW w:w="851" w:type="dxa"/>
          </w:tcPr>
          <w:p w14:paraId="444F89C7" w14:textId="77777777" w:rsidR="00AF3E5B" w:rsidRPr="00CE157F" w:rsidRDefault="00AF3E5B" w:rsidP="00782256">
            <w:pPr>
              <w:keepNext/>
              <w:jc w:val="center"/>
              <w:rPr>
                <w:rFonts w:ascii="Arial Narrow" w:hAnsi="Arial Narrow"/>
                <w:sz w:val="20"/>
                <w:szCs w:val="20"/>
              </w:rPr>
            </w:pPr>
            <w:r w:rsidRPr="00CE157F">
              <w:rPr>
                <w:rFonts w:ascii="Arial Narrow" w:hAnsi="Arial Narrow"/>
                <w:sz w:val="20"/>
                <w:szCs w:val="20"/>
              </w:rPr>
              <w:t>2</w:t>
            </w:r>
          </w:p>
        </w:tc>
        <w:tc>
          <w:tcPr>
            <w:tcW w:w="850" w:type="dxa"/>
          </w:tcPr>
          <w:p w14:paraId="2AEDC001" w14:textId="77777777" w:rsidR="00AF3E5B" w:rsidRPr="00CE157F" w:rsidRDefault="00AF3E5B" w:rsidP="00782256">
            <w:pPr>
              <w:keepNext/>
              <w:jc w:val="center"/>
              <w:rPr>
                <w:rFonts w:ascii="Arial Narrow" w:hAnsi="Arial Narrow"/>
                <w:sz w:val="20"/>
                <w:szCs w:val="20"/>
              </w:rPr>
            </w:pPr>
            <w:r w:rsidRPr="00CE157F">
              <w:rPr>
                <w:rFonts w:ascii="Arial Narrow" w:hAnsi="Arial Narrow"/>
                <w:sz w:val="20"/>
                <w:szCs w:val="20"/>
              </w:rPr>
              <w:t>5</w:t>
            </w:r>
          </w:p>
        </w:tc>
        <w:tc>
          <w:tcPr>
            <w:tcW w:w="1134" w:type="dxa"/>
            <w:gridSpan w:val="2"/>
          </w:tcPr>
          <w:p w14:paraId="530C147A" w14:textId="77777777" w:rsidR="00AF3E5B" w:rsidRPr="003C6C89" w:rsidRDefault="00AF3E5B" w:rsidP="00AF3E5B">
            <w:pPr>
              <w:widowControl w:val="0"/>
              <w:jc w:val="center"/>
              <w:rPr>
                <w:rFonts w:ascii="Arial Narrow" w:hAnsi="Arial Narrow" w:cs="Times New Roman"/>
                <w:sz w:val="20"/>
                <w:szCs w:val="22"/>
                <w:vertAlign w:val="superscript"/>
                <w:lang w:eastAsia="en-US"/>
              </w:rPr>
            </w:pPr>
            <w:r w:rsidRPr="003C6C89">
              <w:rPr>
                <w:rFonts w:ascii="Arial Narrow" w:hAnsi="Arial Narrow" w:cs="Times New Roman"/>
                <w:sz w:val="20"/>
                <w:szCs w:val="22"/>
                <w:lang w:eastAsia="en-US"/>
              </w:rPr>
              <w:t>$</w:t>
            </w:r>
            <w:r>
              <w:rPr>
                <w:rFonts w:ascii="Arial Narrow" w:hAnsi="Arial Narrow" w:cs="Times New Roman"/>
                <w:sz w:val="20"/>
                <w:szCs w:val="22"/>
                <w:lang w:eastAsia="en-US"/>
              </w:rPr>
              <w:t>404.75</w:t>
            </w:r>
          </w:p>
          <w:p w14:paraId="117A7765" w14:textId="77777777" w:rsidR="00AF3E5B" w:rsidRDefault="00AF3E5B" w:rsidP="00AF3E5B">
            <w:pPr>
              <w:widowControl w:val="0"/>
              <w:jc w:val="center"/>
              <w:rPr>
                <w:rFonts w:ascii="Arial Narrow" w:hAnsi="Arial Narrow" w:cs="Times New Roman"/>
                <w:sz w:val="20"/>
                <w:szCs w:val="22"/>
                <w:lang w:eastAsia="en-US"/>
              </w:rPr>
            </w:pPr>
            <w:r w:rsidRPr="003C6C89">
              <w:rPr>
                <w:rFonts w:ascii="Arial Narrow" w:hAnsi="Arial Narrow" w:cs="Times New Roman"/>
                <w:sz w:val="20"/>
                <w:szCs w:val="22"/>
                <w:lang w:eastAsia="en-US"/>
              </w:rPr>
              <w:t>(published price)</w:t>
            </w:r>
          </w:p>
          <w:p w14:paraId="224326D3" w14:textId="247FD5DB" w:rsidR="00AF3E5B" w:rsidRDefault="00AF3E5B" w:rsidP="00AF3E5B">
            <w:pPr>
              <w:widowControl w:val="0"/>
              <w:jc w:val="center"/>
              <w:rPr>
                <w:rFonts w:ascii="Arial Narrow" w:hAnsi="Arial Narrow" w:cs="Times New Roman"/>
                <w:sz w:val="20"/>
                <w:szCs w:val="22"/>
                <w:lang w:eastAsia="en-US"/>
              </w:rPr>
            </w:pPr>
            <w:r>
              <w:rPr>
                <w:rFonts w:ascii="Arial Narrow" w:hAnsi="Arial Narrow" w:cs="Times New Roman"/>
                <w:sz w:val="20"/>
                <w:szCs w:val="22"/>
                <w:lang w:eastAsia="en-US"/>
              </w:rPr>
              <w:t>$</w:t>
            </w:r>
            <w:r w:rsidR="009A7DC1" w:rsidRPr="009A7DC1">
              <w:rPr>
                <w:rFonts w:ascii="Arial Narrow" w:hAnsi="Arial Narrow" w:cs="Times New Roman" w:hint="eastAsia"/>
                <w:color w:val="000000"/>
                <w:w w:val="28"/>
                <w:sz w:val="20"/>
                <w:szCs w:val="22"/>
                <w:shd w:val="solid" w:color="000000" w:fill="000000"/>
                <w:fitText w:val="125" w:id="-1435317245"/>
                <w:lang w:eastAsia="en-US"/>
                <w14:textFill>
                  <w14:solidFill>
                    <w14:srgbClr w14:val="000000">
                      <w14:alpha w14:val="100000"/>
                    </w14:srgbClr>
                  </w14:solidFill>
                </w14:textFill>
              </w:rPr>
              <w:t xml:space="preserve">　</w:t>
            </w:r>
            <w:r w:rsidR="009A7DC1" w:rsidRPr="009A7DC1">
              <w:rPr>
                <w:rFonts w:ascii="Arial Narrow" w:hAnsi="Arial Narrow" w:cs="Times New Roman"/>
                <w:color w:val="000000"/>
                <w:w w:val="28"/>
                <w:sz w:val="20"/>
                <w:szCs w:val="22"/>
                <w:shd w:val="solid" w:color="000000" w:fill="000000"/>
                <w:fitText w:val="125" w:id="-1435317245"/>
                <w:lang w:eastAsia="en-US"/>
                <w14:textFill>
                  <w14:solidFill>
                    <w14:srgbClr w14:val="000000">
                      <w14:alpha w14:val="100000"/>
                    </w14:srgbClr>
                  </w14:solidFill>
                </w14:textFill>
              </w:rPr>
              <w:t>|</w:t>
            </w:r>
            <w:r w:rsidR="009A7DC1" w:rsidRPr="009A7DC1">
              <w:rPr>
                <w:rFonts w:ascii="Arial Narrow" w:hAnsi="Arial Narrow" w:cs="Times New Roman" w:hint="eastAsia"/>
                <w:color w:val="000000"/>
                <w:spacing w:val="3"/>
                <w:w w:val="28"/>
                <w:sz w:val="20"/>
                <w:szCs w:val="22"/>
                <w:shd w:val="solid" w:color="000000" w:fill="000000"/>
                <w:fitText w:val="125" w:id="-1435317245"/>
                <w:lang w:eastAsia="en-US"/>
                <w14:textFill>
                  <w14:solidFill>
                    <w14:srgbClr w14:val="000000">
                      <w14:alpha w14:val="100000"/>
                    </w14:srgbClr>
                  </w14:solidFill>
                </w14:textFill>
              </w:rPr>
              <w:t xml:space="preserve">　</w:t>
            </w:r>
          </w:p>
          <w:p w14:paraId="3A657B06" w14:textId="05352AEC" w:rsidR="00AF3E5B" w:rsidRPr="00CE157F" w:rsidRDefault="00AF3E5B" w:rsidP="00AF3E5B">
            <w:pPr>
              <w:keepNext/>
              <w:jc w:val="center"/>
              <w:rPr>
                <w:rFonts w:ascii="Arial Narrow" w:hAnsi="Arial Narrow"/>
                <w:sz w:val="20"/>
                <w:szCs w:val="20"/>
              </w:rPr>
            </w:pPr>
            <w:r>
              <w:rPr>
                <w:rFonts w:ascii="Arial Narrow" w:hAnsi="Arial Narrow" w:cs="Times New Roman"/>
                <w:sz w:val="20"/>
                <w:szCs w:val="22"/>
                <w:lang w:eastAsia="en-US"/>
              </w:rPr>
              <w:t>(effective price)</w:t>
            </w:r>
          </w:p>
        </w:tc>
        <w:tc>
          <w:tcPr>
            <w:tcW w:w="1134" w:type="dxa"/>
          </w:tcPr>
          <w:p w14:paraId="622D65F3" w14:textId="77777777" w:rsidR="00AF3E5B" w:rsidRPr="00CE157F" w:rsidRDefault="00AF3E5B" w:rsidP="00782256">
            <w:pPr>
              <w:keepNext/>
              <w:rPr>
                <w:rFonts w:ascii="Arial Narrow" w:hAnsi="Arial Narrow"/>
                <w:sz w:val="20"/>
                <w:szCs w:val="20"/>
              </w:rPr>
            </w:pPr>
            <w:r w:rsidRPr="00CE157F">
              <w:rPr>
                <w:rFonts w:ascii="Arial Narrow" w:hAnsi="Arial Narrow"/>
                <w:sz w:val="20"/>
                <w:szCs w:val="20"/>
              </w:rPr>
              <w:t>evenity</w:t>
            </w:r>
          </w:p>
        </w:tc>
      </w:tr>
      <w:tr w:rsidR="00647F3D" w:rsidRPr="00120A12" w14:paraId="6DD9662A" w14:textId="77777777" w:rsidTr="00782256">
        <w:tblPrEx>
          <w:tblCellMar>
            <w:top w:w="15" w:type="dxa"/>
            <w:left w:w="15" w:type="dxa"/>
            <w:bottom w:w="15" w:type="dxa"/>
            <w:right w:w="15" w:type="dxa"/>
          </w:tblCellMar>
          <w:tblLook w:val="04A0" w:firstRow="1" w:lastRow="0" w:firstColumn="1" w:lastColumn="0" w:noHBand="0" w:noVBand="1"/>
        </w:tblPrEx>
        <w:tc>
          <w:tcPr>
            <w:tcW w:w="9067" w:type="dxa"/>
            <w:gridSpan w:val="10"/>
            <w:tcBorders>
              <w:top w:val="single" w:sz="4" w:space="0" w:color="auto"/>
              <w:left w:val="single" w:sz="4" w:space="0" w:color="auto"/>
              <w:right w:val="single" w:sz="4" w:space="0" w:color="auto"/>
            </w:tcBorders>
          </w:tcPr>
          <w:p w14:paraId="44EA5C08" w14:textId="77777777" w:rsidR="00647F3D" w:rsidRPr="00CE157F" w:rsidRDefault="00647F3D" w:rsidP="00782256">
            <w:pPr>
              <w:rPr>
                <w:rFonts w:ascii="Arial Narrow" w:hAnsi="Arial Narrow"/>
                <w:sz w:val="20"/>
                <w:szCs w:val="20"/>
              </w:rPr>
            </w:pPr>
          </w:p>
        </w:tc>
      </w:tr>
      <w:tr w:rsidR="00647F3D" w:rsidRPr="00120A12" w14:paraId="24764154" w14:textId="77777777" w:rsidTr="00782256">
        <w:tblPrEx>
          <w:tblCellMar>
            <w:top w:w="15" w:type="dxa"/>
            <w:left w:w="15" w:type="dxa"/>
            <w:bottom w:w="15" w:type="dxa"/>
            <w:right w:w="15" w:type="dxa"/>
          </w:tblCellMar>
          <w:tblLook w:val="04A0" w:firstRow="1" w:lastRow="0" w:firstColumn="1" w:lastColumn="0" w:noHBand="0" w:noVBand="1"/>
        </w:tblPrEx>
        <w:tc>
          <w:tcPr>
            <w:tcW w:w="9067" w:type="dxa"/>
            <w:gridSpan w:val="10"/>
            <w:tcBorders>
              <w:top w:val="single" w:sz="4" w:space="0" w:color="auto"/>
              <w:left w:val="single" w:sz="4" w:space="0" w:color="auto"/>
              <w:right w:val="single" w:sz="4" w:space="0" w:color="auto"/>
            </w:tcBorders>
          </w:tcPr>
          <w:p w14:paraId="48314022" w14:textId="77777777" w:rsidR="00647F3D" w:rsidRPr="00CE157F" w:rsidRDefault="00647F3D" w:rsidP="00782256">
            <w:pPr>
              <w:rPr>
                <w:rFonts w:ascii="Arial Narrow" w:hAnsi="Arial Narrow"/>
                <w:b/>
                <w:sz w:val="20"/>
                <w:szCs w:val="20"/>
              </w:rPr>
            </w:pPr>
            <w:r w:rsidRPr="00CE157F">
              <w:rPr>
                <w:rFonts w:ascii="Arial Narrow" w:hAnsi="Arial Narrow"/>
                <w:b/>
                <w:sz w:val="20"/>
                <w:szCs w:val="20"/>
              </w:rPr>
              <w:t xml:space="preserve">Restriction Summary [new] / Treatment of Concept: [new] </w:t>
            </w:r>
          </w:p>
        </w:tc>
      </w:tr>
      <w:tr w:rsidR="00647F3D" w:rsidRPr="00120A12" w14:paraId="1AA33379" w14:textId="77777777" w:rsidTr="00782256">
        <w:tblPrEx>
          <w:tblCellMar>
            <w:top w:w="15" w:type="dxa"/>
            <w:left w:w="15" w:type="dxa"/>
            <w:bottom w:w="15" w:type="dxa"/>
            <w:right w:w="15" w:type="dxa"/>
          </w:tblCellMar>
          <w:tblLook w:val="04A0" w:firstRow="1" w:lastRow="0" w:firstColumn="1" w:lastColumn="0" w:noHBand="0" w:noVBand="1"/>
        </w:tblPrEx>
        <w:tc>
          <w:tcPr>
            <w:tcW w:w="981" w:type="dxa"/>
            <w:gridSpan w:val="2"/>
            <w:vMerge w:val="restart"/>
            <w:tcBorders>
              <w:top w:val="single" w:sz="4" w:space="0" w:color="auto"/>
              <w:left w:val="single" w:sz="4" w:space="0" w:color="auto"/>
              <w:right w:val="single" w:sz="4" w:space="0" w:color="auto"/>
            </w:tcBorders>
          </w:tcPr>
          <w:p w14:paraId="284CC785" w14:textId="6CBF5444" w:rsidR="00647F3D" w:rsidRPr="00CE157F" w:rsidRDefault="00647F3D" w:rsidP="00782256">
            <w:pPr>
              <w:jc w:val="center"/>
              <w:rPr>
                <w:rFonts w:ascii="Arial Narrow" w:hAnsi="Arial Narrow"/>
                <w:sz w:val="20"/>
                <w:szCs w:val="20"/>
              </w:rPr>
            </w:pPr>
          </w:p>
        </w:tc>
        <w:tc>
          <w:tcPr>
            <w:tcW w:w="8086" w:type="dxa"/>
            <w:gridSpan w:val="8"/>
            <w:tcBorders>
              <w:top w:val="single" w:sz="4" w:space="0" w:color="auto"/>
              <w:left w:val="single" w:sz="4" w:space="0" w:color="auto"/>
              <w:bottom w:val="single" w:sz="4" w:space="0" w:color="auto"/>
              <w:right w:val="single" w:sz="4" w:space="0" w:color="auto"/>
            </w:tcBorders>
          </w:tcPr>
          <w:p w14:paraId="248EF03E" w14:textId="77777777" w:rsidR="00647F3D" w:rsidRPr="00CE157F" w:rsidRDefault="00647F3D" w:rsidP="00782256">
            <w:pPr>
              <w:rPr>
                <w:rFonts w:ascii="Arial Narrow" w:hAnsi="Arial Narrow"/>
                <w:sz w:val="20"/>
                <w:szCs w:val="20"/>
              </w:rPr>
            </w:pPr>
            <w:r w:rsidRPr="00CE157F">
              <w:rPr>
                <w:rFonts w:ascii="Arial Narrow" w:hAnsi="Arial Narrow"/>
                <w:b/>
                <w:sz w:val="20"/>
                <w:szCs w:val="20"/>
              </w:rPr>
              <w:t xml:space="preserve">Category / Program:   </w:t>
            </w:r>
            <w:r w:rsidRPr="00CE157F">
              <w:rPr>
                <w:rFonts w:ascii="Arial Narrow" w:hAnsi="Arial Narrow"/>
                <w:sz w:val="20"/>
                <w:szCs w:val="20"/>
              </w:rPr>
              <w:t>GENERAL – General Schedule (Code GE)</w:t>
            </w:r>
            <w:r w:rsidRPr="00CE157F">
              <w:rPr>
                <w:rFonts w:ascii="Arial Narrow" w:hAnsi="Arial Narrow"/>
                <w:color w:val="FF0000"/>
                <w:sz w:val="20"/>
                <w:szCs w:val="20"/>
              </w:rPr>
              <w:t xml:space="preserve"> </w:t>
            </w:r>
          </w:p>
        </w:tc>
      </w:tr>
      <w:tr w:rsidR="00647F3D" w:rsidRPr="00120A12" w14:paraId="32100068" w14:textId="77777777" w:rsidTr="00782256">
        <w:tblPrEx>
          <w:tblCellMar>
            <w:top w:w="15" w:type="dxa"/>
            <w:left w:w="15" w:type="dxa"/>
            <w:bottom w:w="15" w:type="dxa"/>
            <w:right w:w="15" w:type="dxa"/>
          </w:tblCellMar>
          <w:tblLook w:val="04A0" w:firstRow="1" w:lastRow="0" w:firstColumn="1" w:lastColumn="0" w:noHBand="0" w:noVBand="1"/>
        </w:tblPrEx>
        <w:trPr>
          <w:trHeight w:val="240"/>
        </w:trPr>
        <w:tc>
          <w:tcPr>
            <w:tcW w:w="981" w:type="dxa"/>
            <w:gridSpan w:val="2"/>
            <w:vMerge/>
            <w:tcBorders>
              <w:left w:val="single" w:sz="4" w:space="0" w:color="auto"/>
              <w:right w:val="single" w:sz="4" w:space="0" w:color="auto"/>
            </w:tcBorders>
          </w:tcPr>
          <w:p w14:paraId="01FA5E3C" w14:textId="77777777" w:rsidR="00647F3D" w:rsidRPr="00CE157F" w:rsidRDefault="00647F3D" w:rsidP="00782256">
            <w:pPr>
              <w:rPr>
                <w:rFonts w:ascii="Arial Narrow" w:hAnsi="Arial Narrow"/>
                <w:sz w:val="20"/>
                <w:szCs w:val="20"/>
              </w:rPr>
            </w:pPr>
          </w:p>
        </w:tc>
        <w:tc>
          <w:tcPr>
            <w:tcW w:w="8086" w:type="dxa"/>
            <w:gridSpan w:val="8"/>
            <w:tcBorders>
              <w:top w:val="single" w:sz="4" w:space="0" w:color="auto"/>
              <w:left w:val="single" w:sz="4" w:space="0" w:color="auto"/>
              <w:bottom w:val="single" w:sz="4" w:space="0" w:color="auto"/>
              <w:right w:val="single" w:sz="4" w:space="0" w:color="auto"/>
            </w:tcBorders>
          </w:tcPr>
          <w:p w14:paraId="7CFDDCE4" w14:textId="77777777" w:rsidR="00647F3D" w:rsidRPr="00CE157F" w:rsidRDefault="00647F3D" w:rsidP="00782256">
            <w:pPr>
              <w:rPr>
                <w:rFonts w:ascii="Arial Narrow" w:hAnsi="Arial Narrow"/>
                <w:b/>
                <w:sz w:val="20"/>
                <w:szCs w:val="20"/>
              </w:rPr>
            </w:pPr>
            <w:r w:rsidRPr="00CE157F">
              <w:rPr>
                <w:rFonts w:ascii="Arial Narrow" w:hAnsi="Arial Narrow"/>
                <w:b/>
                <w:sz w:val="20"/>
                <w:szCs w:val="20"/>
              </w:rPr>
              <w:t xml:space="preserve">Prescriber type:   </w:t>
            </w:r>
            <w:r w:rsidRPr="00CE157F">
              <w:rPr>
                <w:rFonts w:ascii="Arial Narrow" w:hAnsi="Arial Narrow"/>
                <w:sz w:val="20"/>
                <w:szCs w:val="20"/>
              </w:rPr>
              <w:fldChar w:fldCharType="begin">
                <w:ffData>
                  <w:name w:val=""/>
                  <w:enabled/>
                  <w:calcOnExit w:val="0"/>
                  <w:checkBox>
                    <w:sizeAuto/>
                    <w:default w:val="1"/>
                  </w:checkBox>
                </w:ffData>
              </w:fldChar>
            </w:r>
            <w:r w:rsidRPr="00CE157F">
              <w:rPr>
                <w:rFonts w:ascii="Arial Narrow" w:hAnsi="Arial Narrow"/>
                <w:sz w:val="20"/>
                <w:szCs w:val="20"/>
              </w:rPr>
              <w:instrText xml:space="preserve"> FORMCHECKBOX </w:instrText>
            </w:r>
            <w:r w:rsidR="00EC16BE">
              <w:rPr>
                <w:rFonts w:ascii="Arial Narrow" w:hAnsi="Arial Narrow"/>
                <w:sz w:val="20"/>
                <w:szCs w:val="20"/>
              </w:rPr>
            </w:r>
            <w:r w:rsidR="00EC16BE">
              <w:rPr>
                <w:rFonts w:ascii="Arial Narrow" w:hAnsi="Arial Narrow"/>
                <w:sz w:val="20"/>
                <w:szCs w:val="20"/>
              </w:rPr>
              <w:fldChar w:fldCharType="separate"/>
            </w:r>
            <w:r w:rsidRPr="00CE157F">
              <w:rPr>
                <w:rFonts w:ascii="Arial Narrow" w:hAnsi="Arial Narrow"/>
                <w:sz w:val="20"/>
                <w:szCs w:val="20"/>
              </w:rPr>
              <w:fldChar w:fldCharType="end"/>
            </w:r>
            <w:r w:rsidRPr="00CE157F">
              <w:rPr>
                <w:rFonts w:ascii="Arial Narrow" w:hAnsi="Arial Narrow"/>
                <w:sz w:val="20"/>
                <w:szCs w:val="20"/>
              </w:rPr>
              <w:t xml:space="preserve">Medical Practitioners </w:t>
            </w:r>
          </w:p>
        </w:tc>
      </w:tr>
      <w:tr w:rsidR="00647F3D" w:rsidRPr="00120A12" w14:paraId="187E4DF5" w14:textId="77777777" w:rsidTr="00782256">
        <w:tblPrEx>
          <w:tblCellMar>
            <w:top w:w="15" w:type="dxa"/>
            <w:left w:w="15" w:type="dxa"/>
            <w:bottom w:w="15" w:type="dxa"/>
            <w:right w:w="15" w:type="dxa"/>
          </w:tblCellMar>
          <w:tblLook w:val="04A0" w:firstRow="1" w:lastRow="0" w:firstColumn="1" w:lastColumn="0" w:noHBand="0" w:noVBand="1"/>
        </w:tblPrEx>
        <w:trPr>
          <w:trHeight w:val="396"/>
        </w:trPr>
        <w:tc>
          <w:tcPr>
            <w:tcW w:w="981" w:type="dxa"/>
            <w:gridSpan w:val="2"/>
            <w:vMerge/>
            <w:tcBorders>
              <w:left w:val="single" w:sz="4" w:space="0" w:color="auto"/>
              <w:bottom w:val="single" w:sz="4" w:space="0" w:color="auto"/>
              <w:right w:val="single" w:sz="4" w:space="0" w:color="auto"/>
            </w:tcBorders>
          </w:tcPr>
          <w:p w14:paraId="2AEC5DA4" w14:textId="77777777" w:rsidR="00647F3D" w:rsidRPr="00CE157F" w:rsidRDefault="00647F3D" w:rsidP="00782256">
            <w:pPr>
              <w:rPr>
                <w:rFonts w:ascii="Arial Narrow" w:hAnsi="Arial Narrow"/>
                <w:sz w:val="20"/>
                <w:szCs w:val="20"/>
              </w:rPr>
            </w:pPr>
          </w:p>
        </w:tc>
        <w:tc>
          <w:tcPr>
            <w:tcW w:w="8086" w:type="dxa"/>
            <w:gridSpan w:val="8"/>
            <w:tcBorders>
              <w:top w:val="single" w:sz="4" w:space="0" w:color="auto"/>
              <w:left w:val="single" w:sz="4" w:space="0" w:color="auto"/>
              <w:bottom w:val="single" w:sz="4" w:space="0" w:color="auto"/>
              <w:right w:val="single" w:sz="4" w:space="0" w:color="auto"/>
            </w:tcBorders>
          </w:tcPr>
          <w:p w14:paraId="48D11779" w14:textId="77777777" w:rsidR="00647F3D" w:rsidRPr="00CE157F" w:rsidRDefault="00647F3D" w:rsidP="00782256">
            <w:pPr>
              <w:rPr>
                <w:rFonts w:ascii="Arial Narrow" w:eastAsia="Calibri" w:hAnsi="Arial Narrow"/>
                <w:color w:val="FF00FF"/>
                <w:sz w:val="20"/>
                <w:szCs w:val="20"/>
              </w:rPr>
            </w:pPr>
            <w:r w:rsidRPr="00CE157F">
              <w:rPr>
                <w:rFonts w:ascii="Arial Narrow" w:hAnsi="Arial Narrow"/>
                <w:b/>
                <w:sz w:val="20"/>
                <w:szCs w:val="20"/>
              </w:rPr>
              <w:t xml:space="preserve">Restriction type: </w:t>
            </w:r>
            <w:r w:rsidRPr="00CE157F">
              <w:rPr>
                <w:rFonts w:ascii="Arial Narrow" w:eastAsia="Calibri" w:hAnsi="Arial Narrow"/>
                <w:sz w:val="20"/>
                <w:szCs w:val="20"/>
              </w:rPr>
              <w:fldChar w:fldCharType="begin">
                <w:ffData>
                  <w:name w:val=""/>
                  <w:enabled/>
                  <w:calcOnExit w:val="0"/>
                  <w:checkBox>
                    <w:sizeAuto/>
                    <w:default w:val="1"/>
                  </w:checkBox>
                </w:ffData>
              </w:fldChar>
            </w:r>
            <w:r w:rsidRPr="00CE157F">
              <w:rPr>
                <w:rFonts w:ascii="Arial Narrow" w:eastAsia="Calibri" w:hAnsi="Arial Narrow"/>
                <w:sz w:val="20"/>
                <w:szCs w:val="20"/>
              </w:rPr>
              <w:instrText xml:space="preserve"> FORMCHECKBOX </w:instrText>
            </w:r>
            <w:r w:rsidR="00EC16BE">
              <w:rPr>
                <w:rFonts w:ascii="Arial Narrow" w:eastAsia="Calibri" w:hAnsi="Arial Narrow"/>
                <w:sz w:val="20"/>
                <w:szCs w:val="20"/>
              </w:rPr>
            </w:r>
            <w:r w:rsidR="00EC16BE">
              <w:rPr>
                <w:rFonts w:ascii="Arial Narrow" w:eastAsia="Calibri" w:hAnsi="Arial Narrow"/>
                <w:sz w:val="20"/>
                <w:szCs w:val="20"/>
              </w:rPr>
              <w:fldChar w:fldCharType="separate"/>
            </w:r>
            <w:r w:rsidRPr="00CE157F">
              <w:rPr>
                <w:rFonts w:ascii="Arial Narrow" w:eastAsia="Calibri" w:hAnsi="Arial Narrow"/>
                <w:sz w:val="20"/>
                <w:szCs w:val="20"/>
              </w:rPr>
              <w:fldChar w:fldCharType="end"/>
            </w:r>
            <w:r w:rsidRPr="00CE157F">
              <w:rPr>
                <w:rFonts w:ascii="Arial Narrow" w:eastAsia="Calibri" w:hAnsi="Arial Narrow"/>
                <w:sz w:val="20"/>
                <w:szCs w:val="20"/>
              </w:rPr>
              <w:t xml:space="preserve">Authority Required (telephone/online PBS Authorities system) </w:t>
            </w:r>
          </w:p>
        </w:tc>
      </w:tr>
      <w:tr w:rsidR="00647F3D" w:rsidRPr="00120A12" w14:paraId="45C1F9B4" w14:textId="77777777" w:rsidTr="00782256">
        <w:tblPrEx>
          <w:tblCellMar>
            <w:top w:w="15" w:type="dxa"/>
            <w:left w:w="15" w:type="dxa"/>
            <w:bottom w:w="15" w:type="dxa"/>
            <w:right w:w="15" w:type="dxa"/>
          </w:tblCellMar>
          <w:tblLook w:val="04A0" w:firstRow="1" w:lastRow="0" w:firstColumn="1" w:lastColumn="0" w:noHBand="0" w:noVBand="1"/>
        </w:tblPrEx>
        <w:tc>
          <w:tcPr>
            <w:tcW w:w="490" w:type="dxa"/>
            <w:vMerge w:val="restart"/>
            <w:tcBorders>
              <w:left w:val="single" w:sz="4" w:space="0" w:color="auto"/>
              <w:right w:val="single" w:sz="4" w:space="0" w:color="auto"/>
            </w:tcBorders>
            <w:textDirection w:val="btLr"/>
          </w:tcPr>
          <w:p w14:paraId="4081710B" w14:textId="77777777" w:rsidR="00647F3D" w:rsidRPr="00CE157F" w:rsidRDefault="00647F3D" w:rsidP="00782256">
            <w:pPr>
              <w:ind w:left="113" w:right="113"/>
              <w:rPr>
                <w:rFonts w:ascii="Arial Narrow" w:hAnsi="Arial Narrow"/>
                <w:sz w:val="20"/>
                <w:szCs w:val="20"/>
              </w:rPr>
            </w:pPr>
            <w:r w:rsidRPr="00CE157F">
              <w:rPr>
                <w:rFonts w:ascii="Arial Narrow" w:hAnsi="Arial Narrow"/>
                <w:sz w:val="20"/>
                <w:szCs w:val="20"/>
              </w:rPr>
              <w:t>Prescribing rule level</w:t>
            </w:r>
          </w:p>
        </w:tc>
        <w:tc>
          <w:tcPr>
            <w:tcW w:w="491" w:type="dxa"/>
          </w:tcPr>
          <w:p w14:paraId="40DA7FF3" w14:textId="0310A4E0" w:rsidR="00647F3D" w:rsidRPr="00CE157F" w:rsidRDefault="00647F3D" w:rsidP="00782256">
            <w:pPr>
              <w:jc w:val="center"/>
              <w:rPr>
                <w:rFonts w:ascii="Arial Narrow" w:hAnsi="Arial Narrow"/>
                <w:color w:val="333333"/>
                <w:sz w:val="20"/>
                <w:szCs w:val="20"/>
              </w:rPr>
            </w:pPr>
          </w:p>
        </w:tc>
        <w:tc>
          <w:tcPr>
            <w:tcW w:w="8086" w:type="dxa"/>
            <w:gridSpan w:val="8"/>
          </w:tcPr>
          <w:p w14:paraId="196B55A9" w14:textId="77777777" w:rsidR="00647F3D" w:rsidRPr="00CE157F" w:rsidRDefault="00647F3D" w:rsidP="00782256">
            <w:pPr>
              <w:rPr>
                <w:rFonts w:ascii="Arial Narrow" w:hAnsi="Arial Narrow"/>
                <w:color w:val="333333"/>
                <w:sz w:val="20"/>
                <w:szCs w:val="20"/>
              </w:rPr>
            </w:pPr>
            <w:r w:rsidRPr="00CE157F">
              <w:rPr>
                <w:rFonts w:ascii="Arial Narrow" w:hAnsi="Arial Narrow"/>
                <w:b/>
                <w:bCs/>
                <w:color w:val="333333"/>
                <w:sz w:val="20"/>
                <w:szCs w:val="20"/>
              </w:rPr>
              <w:t>Administrative advice:</w:t>
            </w:r>
            <w:r w:rsidRPr="00CE157F">
              <w:rPr>
                <w:rFonts w:ascii="Arial Narrow" w:hAnsi="Arial Narrow"/>
                <w:color w:val="333333"/>
                <w:sz w:val="20"/>
                <w:szCs w:val="20"/>
              </w:rPr>
              <w:t xml:space="preserve"> No increase in the maximum quantity or number of units may be authorised.</w:t>
            </w:r>
          </w:p>
        </w:tc>
      </w:tr>
      <w:tr w:rsidR="00647F3D" w:rsidRPr="00120A12" w14:paraId="14D58E95" w14:textId="77777777" w:rsidTr="00782256">
        <w:tblPrEx>
          <w:tblCellMar>
            <w:top w:w="15" w:type="dxa"/>
            <w:left w:w="15" w:type="dxa"/>
            <w:bottom w:w="15" w:type="dxa"/>
            <w:right w:w="15" w:type="dxa"/>
          </w:tblCellMar>
          <w:tblLook w:val="04A0" w:firstRow="1" w:lastRow="0" w:firstColumn="1" w:lastColumn="0" w:noHBand="0" w:noVBand="1"/>
        </w:tblPrEx>
        <w:tc>
          <w:tcPr>
            <w:tcW w:w="490" w:type="dxa"/>
            <w:vMerge/>
            <w:tcBorders>
              <w:left w:val="single" w:sz="4" w:space="0" w:color="auto"/>
              <w:right w:val="single" w:sz="4" w:space="0" w:color="auto"/>
            </w:tcBorders>
          </w:tcPr>
          <w:p w14:paraId="3D9548E8" w14:textId="77777777" w:rsidR="00647F3D" w:rsidRPr="00CE157F" w:rsidRDefault="00647F3D" w:rsidP="00782256">
            <w:pPr>
              <w:rPr>
                <w:rFonts w:ascii="Arial Narrow" w:hAnsi="Arial Narrow"/>
                <w:sz w:val="20"/>
                <w:szCs w:val="20"/>
              </w:rPr>
            </w:pPr>
          </w:p>
        </w:tc>
        <w:tc>
          <w:tcPr>
            <w:tcW w:w="491" w:type="dxa"/>
          </w:tcPr>
          <w:p w14:paraId="231AAFF2" w14:textId="3091D5B4" w:rsidR="00647F3D" w:rsidRPr="00CE157F" w:rsidRDefault="00647F3D" w:rsidP="00782256">
            <w:pPr>
              <w:jc w:val="center"/>
              <w:rPr>
                <w:rFonts w:ascii="Arial Narrow" w:hAnsi="Arial Narrow"/>
                <w:color w:val="333333"/>
                <w:sz w:val="20"/>
                <w:szCs w:val="20"/>
              </w:rPr>
            </w:pPr>
          </w:p>
        </w:tc>
        <w:tc>
          <w:tcPr>
            <w:tcW w:w="8086" w:type="dxa"/>
            <w:gridSpan w:val="8"/>
          </w:tcPr>
          <w:p w14:paraId="51DC8B37" w14:textId="77777777" w:rsidR="00647F3D" w:rsidRPr="00CE157F" w:rsidRDefault="00647F3D" w:rsidP="00782256">
            <w:pPr>
              <w:rPr>
                <w:rFonts w:ascii="Arial Narrow" w:hAnsi="Arial Narrow"/>
                <w:color w:val="333333"/>
                <w:sz w:val="20"/>
                <w:szCs w:val="20"/>
              </w:rPr>
            </w:pPr>
            <w:r w:rsidRPr="00CE157F">
              <w:rPr>
                <w:rFonts w:ascii="Arial Narrow" w:hAnsi="Arial Narrow"/>
                <w:b/>
                <w:bCs/>
                <w:color w:val="333333"/>
                <w:sz w:val="20"/>
                <w:szCs w:val="20"/>
              </w:rPr>
              <w:t>Administrative advice:</w:t>
            </w:r>
            <w:r w:rsidRPr="00CE157F">
              <w:rPr>
                <w:rFonts w:ascii="Arial Narrow" w:hAnsi="Arial Narrow"/>
                <w:color w:val="333333"/>
                <w:sz w:val="20"/>
                <w:szCs w:val="20"/>
              </w:rPr>
              <w:t xml:space="preserve"> No increase in the maximum number of repeats may be authorised.</w:t>
            </w:r>
          </w:p>
        </w:tc>
      </w:tr>
      <w:tr w:rsidR="00647F3D" w:rsidRPr="00120A12" w14:paraId="2C86638E" w14:textId="77777777" w:rsidTr="00782256">
        <w:tblPrEx>
          <w:tblCellMar>
            <w:top w:w="15" w:type="dxa"/>
            <w:left w:w="15" w:type="dxa"/>
            <w:bottom w:w="15" w:type="dxa"/>
            <w:right w:w="15" w:type="dxa"/>
          </w:tblCellMar>
          <w:tblLook w:val="04A0" w:firstRow="1" w:lastRow="0" w:firstColumn="1" w:lastColumn="0" w:noHBand="0" w:noVBand="1"/>
        </w:tblPrEx>
        <w:tc>
          <w:tcPr>
            <w:tcW w:w="490" w:type="dxa"/>
            <w:vMerge/>
            <w:tcBorders>
              <w:left w:val="single" w:sz="4" w:space="0" w:color="auto"/>
              <w:bottom w:val="single" w:sz="4" w:space="0" w:color="auto"/>
              <w:right w:val="single" w:sz="4" w:space="0" w:color="auto"/>
            </w:tcBorders>
          </w:tcPr>
          <w:p w14:paraId="5FCB962F" w14:textId="77777777" w:rsidR="00647F3D" w:rsidRPr="00CE157F" w:rsidRDefault="00647F3D" w:rsidP="00782256">
            <w:pPr>
              <w:rPr>
                <w:rFonts w:ascii="Arial Narrow" w:hAnsi="Arial Narrow"/>
                <w:sz w:val="20"/>
                <w:szCs w:val="20"/>
              </w:rPr>
            </w:pPr>
          </w:p>
        </w:tc>
        <w:tc>
          <w:tcPr>
            <w:tcW w:w="491" w:type="dxa"/>
          </w:tcPr>
          <w:p w14:paraId="204D81C9" w14:textId="65C03A4D" w:rsidR="00647F3D" w:rsidRPr="00CE157F" w:rsidRDefault="00647F3D" w:rsidP="00782256">
            <w:pPr>
              <w:jc w:val="center"/>
              <w:rPr>
                <w:rFonts w:ascii="Arial Narrow" w:hAnsi="Arial Narrow"/>
                <w:color w:val="333333"/>
                <w:sz w:val="20"/>
                <w:szCs w:val="20"/>
              </w:rPr>
            </w:pPr>
          </w:p>
        </w:tc>
        <w:tc>
          <w:tcPr>
            <w:tcW w:w="8086" w:type="dxa"/>
            <w:gridSpan w:val="8"/>
          </w:tcPr>
          <w:p w14:paraId="5878C765" w14:textId="77777777" w:rsidR="00647F3D" w:rsidRPr="00CE157F" w:rsidRDefault="00647F3D" w:rsidP="00782256">
            <w:pPr>
              <w:rPr>
                <w:rFonts w:ascii="Arial Narrow" w:hAnsi="Arial Narrow"/>
                <w:color w:val="333333"/>
                <w:sz w:val="20"/>
                <w:szCs w:val="20"/>
              </w:rPr>
            </w:pPr>
            <w:r w:rsidRPr="00CE157F">
              <w:rPr>
                <w:rFonts w:ascii="Arial Narrow" w:hAnsi="Arial Narrow"/>
                <w:b/>
                <w:bCs/>
                <w:color w:val="333333"/>
                <w:sz w:val="20"/>
                <w:szCs w:val="20"/>
              </w:rPr>
              <w:t>Administrative advice</w:t>
            </w:r>
            <w:r w:rsidRPr="00CE157F">
              <w:rPr>
                <w:rFonts w:ascii="Arial Narrow" w:hAnsi="Arial Narrow"/>
                <w:color w:val="333333"/>
                <w:sz w:val="20"/>
                <w:szCs w:val="20"/>
              </w:rPr>
              <w:t>: Special Pricing Arrangements apply.</w:t>
            </w:r>
          </w:p>
        </w:tc>
      </w:tr>
      <w:tr w:rsidR="00647F3D" w:rsidRPr="001A310D" w14:paraId="43440D17" w14:textId="77777777" w:rsidTr="00782256">
        <w:tblPrEx>
          <w:tblCellMar>
            <w:top w:w="15" w:type="dxa"/>
            <w:left w:w="15" w:type="dxa"/>
            <w:bottom w:w="15" w:type="dxa"/>
            <w:right w:w="15" w:type="dxa"/>
          </w:tblCellMar>
          <w:tblLook w:val="04A0" w:firstRow="1" w:lastRow="0" w:firstColumn="1" w:lastColumn="0" w:noHBand="0" w:noVBand="1"/>
        </w:tblPrEx>
        <w:tc>
          <w:tcPr>
            <w:tcW w:w="981" w:type="dxa"/>
            <w:gridSpan w:val="2"/>
            <w:vMerge w:val="restart"/>
            <w:vAlign w:val="center"/>
          </w:tcPr>
          <w:p w14:paraId="3AA60DB6" w14:textId="77777777" w:rsidR="00647F3D" w:rsidRPr="00CE157F" w:rsidRDefault="00647F3D" w:rsidP="00782256">
            <w:pPr>
              <w:jc w:val="center"/>
              <w:rPr>
                <w:rFonts w:ascii="Arial Narrow" w:hAnsi="Arial Narrow"/>
                <w:color w:val="DDD9C3" w:themeColor="background2" w:themeShade="E6"/>
                <w:sz w:val="20"/>
                <w:szCs w:val="20"/>
              </w:rPr>
            </w:pPr>
          </w:p>
        </w:tc>
        <w:tc>
          <w:tcPr>
            <w:tcW w:w="8086" w:type="dxa"/>
            <w:gridSpan w:val="8"/>
            <w:vAlign w:val="center"/>
          </w:tcPr>
          <w:p w14:paraId="0F68D1C4" w14:textId="77777777" w:rsidR="00647F3D" w:rsidRPr="00CE157F" w:rsidRDefault="00647F3D" w:rsidP="00782256">
            <w:pPr>
              <w:rPr>
                <w:rFonts w:ascii="Arial Narrow" w:hAnsi="Arial Narrow"/>
                <w:bCs/>
                <w:color w:val="DDD9C3" w:themeColor="background2" w:themeShade="E6"/>
                <w:sz w:val="20"/>
                <w:szCs w:val="20"/>
              </w:rPr>
            </w:pPr>
            <w:r w:rsidRPr="00CE157F">
              <w:rPr>
                <w:rFonts w:ascii="Arial Narrow" w:hAnsi="Arial Narrow"/>
                <w:b/>
                <w:bCs/>
                <w:color w:val="DDD9C3" w:themeColor="background2" w:themeShade="E6"/>
                <w:sz w:val="20"/>
                <w:szCs w:val="20"/>
              </w:rPr>
              <w:t xml:space="preserve">Episodicity: </w:t>
            </w:r>
          </w:p>
        </w:tc>
      </w:tr>
      <w:tr w:rsidR="00647F3D" w:rsidRPr="00120A12" w14:paraId="79073E4A" w14:textId="77777777" w:rsidTr="00782256">
        <w:tblPrEx>
          <w:tblCellMar>
            <w:top w:w="15" w:type="dxa"/>
            <w:left w:w="15" w:type="dxa"/>
            <w:bottom w:w="15" w:type="dxa"/>
            <w:right w:w="15" w:type="dxa"/>
          </w:tblCellMar>
          <w:tblLook w:val="04A0" w:firstRow="1" w:lastRow="0" w:firstColumn="1" w:lastColumn="0" w:noHBand="0" w:noVBand="1"/>
        </w:tblPrEx>
        <w:tc>
          <w:tcPr>
            <w:tcW w:w="981" w:type="dxa"/>
            <w:gridSpan w:val="2"/>
            <w:vMerge/>
            <w:vAlign w:val="center"/>
          </w:tcPr>
          <w:p w14:paraId="24B710BC" w14:textId="77777777" w:rsidR="00647F3D" w:rsidRPr="00CE157F" w:rsidRDefault="00647F3D" w:rsidP="00782256">
            <w:pPr>
              <w:jc w:val="center"/>
              <w:rPr>
                <w:rFonts w:ascii="Arial Narrow" w:hAnsi="Arial Narrow"/>
                <w:color w:val="DDD9C3" w:themeColor="background2" w:themeShade="E6"/>
                <w:sz w:val="20"/>
                <w:szCs w:val="20"/>
              </w:rPr>
            </w:pPr>
          </w:p>
        </w:tc>
        <w:tc>
          <w:tcPr>
            <w:tcW w:w="8086" w:type="dxa"/>
            <w:gridSpan w:val="8"/>
            <w:vAlign w:val="center"/>
          </w:tcPr>
          <w:p w14:paraId="1E09CCEC" w14:textId="77777777" w:rsidR="00647F3D" w:rsidRPr="00CE157F" w:rsidRDefault="00647F3D" w:rsidP="00782256">
            <w:pPr>
              <w:rPr>
                <w:rFonts w:ascii="Arial Narrow" w:hAnsi="Arial Narrow"/>
                <w:b/>
                <w:bCs/>
                <w:color w:val="DDD9C3" w:themeColor="background2" w:themeShade="E6"/>
                <w:sz w:val="20"/>
                <w:szCs w:val="20"/>
              </w:rPr>
            </w:pPr>
            <w:r w:rsidRPr="00CE157F">
              <w:rPr>
                <w:rFonts w:ascii="Arial Narrow" w:hAnsi="Arial Narrow"/>
                <w:b/>
                <w:bCs/>
                <w:color w:val="DDD9C3" w:themeColor="background2" w:themeShade="E6"/>
                <w:sz w:val="20"/>
                <w:szCs w:val="20"/>
              </w:rPr>
              <w:t xml:space="preserve">Severity: Severe </w:t>
            </w:r>
          </w:p>
        </w:tc>
      </w:tr>
      <w:tr w:rsidR="00647F3D" w:rsidRPr="00120A12" w14:paraId="0A227BA1" w14:textId="77777777" w:rsidTr="00782256">
        <w:tblPrEx>
          <w:tblCellMar>
            <w:top w:w="15" w:type="dxa"/>
            <w:left w:w="15" w:type="dxa"/>
            <w:bottom w:w="15" w:type="dxa"/>
            <w:right w:w="15" w:type="dxa"/>
          </w:tblCellMar>
          <w:tblLook w:val="04A0" w:firstRow="1" w:lastRow="0" w:firstColumn="1" w:lastColumn="0" w:noHBand="0" w:noVBand="1"/>
        </w:tblPrEx>
        <w:tc>
          <w:tcPr>
            <w:tcW w:w="981" w:type="dxa"/>
            <w:gridSpan w:val="2"/>
            <w:vMerge/>
            <w:vAlign w:val="center"/>
          </w:tcPr>
          <w:p w14:paraId="25EDA4CE" w14:textId="77777777" w:rsidR="00647F3D" w:rsidRPr="00CE157F" w:rsidRDefault="00647F3D" w:rsidP="00782256">
            <w:pPr>
              <w:jc w:val="center"/>
              <w:rPr>
                <w:rFonts w:ascii="Arial Narrow" w:hAnsi="Arial Narrow"/>
                <w:color w:val="DDD9C3" w:themeColor="background2" w:themeShade="E6"/>
                <w:sz w:val="20"/>
                <w:szCs w:val="20"/>
              </w:rPr>
            </w:pPr>
          </w:p>
        </w:tc>
        <w:tc>
          <w:tcPr>
            <w:tcW w:w="8086" w:type="dxa"/>
            <w:gridSpan w:val="8"/>
            <w:vAlign w:val="center"/>
          </w:tcPr>
          <w:p w14:paraId="28D8397F" w14:textId="77777777" w:rsidR="00647F3D" w:rsidRPr="00CE157F" w:rsidRDefault="00647F3D" w:rsidP="00782256">
            <w:pPr>
              <w:rPr>
                <w:rFonts w:ascii="Arial Narrow" w:hAnsi="Arial Narrow"/>
                <w:b/>
                <w:bCs/>
                <w:color w:val="DDD9C3" w:themeColor="background2" w:themeShade="E6"/>
                <w:sz w:val="20"/>
                <w:szCs w:val="20"/>
              </w:rPr>
            </w:pPr>
            <w:r w:rsidRPr="00CE157F">
              <w:rPr>
                <w:rFonts w:ascii="Arial Narrow" w:hAnsi="Arial Narrow"/>
                <w:b/>
                <w:bCs/>
                <w:color w:val="DDD9C3" w:themeColor="background2" w:themeShade="E6"/>
                <w:sz w:val="20"/>
                <w:szCs w:val="20"/>
              </w:rPr>
              <w:t>Condition: Established osteoporosis</w:t>
            </w:r>
          </w:p>
        </w:tc>
      </w:tr>
      <w:tr w:rsidR="00647F3D" w:rsidRPr="00120A12" w14:paraId="030D247A" w14:textId="77777777" w:rsidTr="00A11377">
        <w:tblPrEx>
          <w:tblCellMar>
            <w:top w:w="15" w:type="dxa"/>
            <w:left w:w="15" w:type="dxa"/>
            <w:bottom w:w="15" w:type="dxa"/>
            <w:right w:w="15" w:type="dxa"/>
          </w:tblCellMar>
          <w:tblLook w:val="04A0" w:firstRow="1" w:lastRow="0" w:firstColumn="1" w:lastColumn="0" w:noHBand="0" w:noVBand="1"/>
        </w:tblPrEx>
        <w:tc>
          <w:tcPr>
            <w:tcW w:w="981" w:type="dxa"/>
            <w:gridSpan w:val="2"/>
            <w:vAlign w:val="center"/>
          </w:tcPr>
          <w:p w14:paraId="67ED95B2" w14:textId="1A8979A3" w:rsidR="00647F3D" w:rsidRPr="00CE157F" w:rsidRDefault="00647F3D" w:rsidP="00782256">
            <w:pPr>
              <w:jc w:val="center"/>
              <w:rPr>
                <w:rFonts w:ascii="Arial Narrow" w:hAnsi="Arial Narrow"/>
                <w:color w:val="333333"/>
                <w:sz w:val="20"/>
                <w:szCs w:val="20"/>
              </w:rPr>
            </w:pPr>
          </w:p>
        </w:tc>
        <w:tc>
          <w:tcPr>
            <w:tcW w:w="8086" w:type="dxa"/>
            <w:gridSpan w:val="8"/>
            <w:vAlign w:val="center"/>
            <w:hideMark/>
          </w:tcPr>
          <w:p w14:paraId="2094AF13" w14:textId="77777777" w:rsidR="00647F3D" w:rsidRPr="00CE157F" w:rsidRDefault="00647F3D" w:rsidP="00782256">
            <w:pPr>
              <w:rPr>
                <w:rFonts w:ascii="Arial Narrow" w:hAnsi="Arial Narrow"/>
                <w:color w:val="333333"/>
                <w:sz w:val="20"/>
                <w:szCs w:val="20"/>
              </w:rPr>
            </w:pPr>
            <w:r w:rsidRPr="00CE157F">
              <w:rPr>
                <w:rFonts w:ascii="Arial Narrow" w:hAnsi="Arial Narrow"/>
                <w:b/>
                <w:bCs/>
                <w:color w:val="333333"/>
                <w:sz w:val="20"/>
                <w:szCs w:val="20"/>
              </w:rPr>
              <w:t>Indication:</w:t>
            </w:r>
            <w:r w:rsidRPr="00CE157F">
              <w:rPr>
                <w:rFonts w:ascii="Arial Narrow" w:hAnsi="Arial Narrow"/>
                <w:color w:val="333333"/>
                <w:sz w:val="20"/>
                <w:szCs w:val="20"/>
              </w:rPr>
              <w:t xml:space="preserve"> Severe established osteoporosis </w:t>
            </w:r>
          </w:p>
        </w:tc>
      </w:tr>
      <w:tr w:rsidR="00647F3D" w:rsidRPr="00B90897" w14:paraId="6F2B0549" w14:textId="77777777" w:rsidTr="00A11377">
        <w:tblPrEx>
          <w:tblCellMar>
            <w:top w:w="15" w:type="dxa"/>
            <w:left w:w="15" w:type="dxa"/>
            <w:bottom w:w="15" w:type="dxa"/>
            <w:right w:w="15" w:type="dxa"/>
          </w:tblCellMar>
          <w:tblLook w:val="04A0" w:firstRow="1" w:lastRow="0" w:firstColumn="1" w:lastColumn="0" w:noHBand="0" w:noVBand="1"/>
        </w:tblPrEx>
        <w:tc>
          <w:tcPr>
            <w:tcW w:w="981" w:type="dxa"/>
            <w:gridSpan w:val="2"/>
            <w:vAlign w:val="center"/>
          </w:tcPr>
          <w:p w14:paraId="2A3D151E" w14:textId="77777777" w:rsidR="00647F3D" w:rsidRPr="00CE157F" w:rsidRDefault="00647F3D" w:rsidP="00782256">
            <w:pPr>
              <w:jc w:val="center"/>
              <w:rPr>
                <w:rFonts w:ascii="Arial Narrow" w:hAnsi="Arial Narrow"/>
                <w:color w:val="333333"/>
                <w:sz w:val="20"/>
                <w:szCs w:val="20"/>
              </w:rPr>
            </w:pPr>
          </w:p>
        </w:tc>
        <w:tc>
          <w:tcPr>
            <w:tcW w:w="8086" w:type="dxa"/>
            <w:gridSpan w:val="8"/>
            <w:vAlign w:val="center"/>
            <w:hideMark/>
          </w:tcPr>
          <w:p w14:paraId="045FED9B" w14:textId="77777777" w:rsidR="00647F3D" w:rsidRPr="00CE157F" w:rsidRDefault="00647F3D" w:rsidP="00782256">
            <w:pPr>
              <w:rPr>
                <w:rFonts w:ascii="Arial Narrow" w:hAnsi="Arial Narrow"/>
                <w:color w:val="FF00FF"/>
                <w:sz w:val="20"/>
                <w:szCs w:val="20"/>
              </w:rPr>
            </w:pPr>
            <w:r w:rsidRPr="00CE157F">
              <w:rPr>
                <w:rFonts w:ascii="Arial Narrow" w:hAnsi="Arial Narrow"/>
                <w:b/>
                <w:bCs/>
                <w:color w:val="333333"/>
                <w:sz w:val="20"/>
                <w:szCs w:val="20"/>
              </w:rPr>
              <w:t>Treatment Phase:</w:t>
            </w:r>
            <w:r w:rsidRPr="00CE157F">
              <w:rPr>
                <w:rFonts w:ascii="Arial Narrow" w:hAnsi="Arial Narrow"/>
                <w:color w:val="FF0000"/>
                <w:sz w:val="20"/>
                <w:szCs w:val="20"/>
              </w:rPr>
              <w:t xml:space="preserve"> </w:t>
            </w:r>
            <w:r w:rsidRPr="00CE157F">
              <w:rPr>
                <w:rFonts w:ascii="Arial Narrow" w:hAnsi="Arial Narrow"/>
                <w:color w:val="333333"/>
                <w:sz w:val="20"/>
                <w:szCs w:val="20"/>
              </w:rPr>
              <w:t>Initial treatment</w:t>
            </w:r>
            <w:r w:rsidRPr="00CE157F">
              <w:rPr>
                <w:rFonts w:ascii="Arial Narrow" w:hAnsi="Arial Narrow"/>
                <w:color w:val="FF0000"/>
                <w:sz w:val="20"/>
                <w:szCs w:val="20"/>
              </w:rPr>
              <w:t xml:space="preserve">  </w:t>
            </w:r>
          </w:p>
        </w:tc>
      </w:tr>
      <w:tr w:rsidR="00647F3D" w:rsidRPr="007F2BB2" w14:paraId="610BE136" w14:textId="77777777" w:rsidTr="00A11377">
        <w:tblPrEx>
          <w:tblCellMar>
            <w:top w:w="15" w:type="dxa"/>
            <w:left w:w="15" w:type="dxa"/>
            <w:bottom w:w="15" w:type="dxa"/>
            <w:right w:w="15" w:type="dxa"/>
          </w:tblCellMar>
          <w:tblLook w:val="04A0" w:firstRow="1" w:lastRow="0" w:firstColumn="1" w:lastColumn="0" w:noHBand="0" w:noVBand="1"/>
        </w:tblPrEx>
        <w:tc>
          <w:tcPr>
            <w:tcW w:w="981" w:type="dxa"/>
            <w:gridSpan w:val="2"/>
            <w:vAlign w:val="center"/>
          </w:tcPr>
          <w:p w14:paraId="6076A147" w14:textId="270C17A4" w:rsidR="00647F3D" w:rsidRPr="00CE157F" w:rsidRDefault="00647F3D" w:rsidP="00782256">
            <w:pPr>
              <w:jc w:val="center"/>
              <w:rPr>
                <w:rFonts w:ascii="Arial Narrow" w:hAnsi="Arial Narrow"/>
                <w:color w:val="333333"/>
                <w:sz w:val="20"/>
                <w:szCs w:val="20"/>
              </w:rPr>
            </w:pPr>
          </w:p>
        </w:tc>
        <w:tc>
          <w:tcPr>
            <w:tcW w:w="8086" w:type="dxa"/>
            <w:gridSpan w:val="8"/>
            <w:vAlign w:val="center"/>
            <w:hideMark/>
          </w:tcPr>
          <w:p w14:paraId="42160007" w14:textId="77777777" w:rsidR="00647F3D" w:rsidRPr="00CE157F" w:rsidRDefault="00647F3D" w:rsidP="00782256">
            <w:pPr>
              <w:rPr>
                <w:rFonts w:ascii="Arial Narrow" w:hAnsi="Arial Narrow"/>
                <w:color w:val="FF00FF"/>
                <w:sz w:val="20"/>
                <w:szCs w:val="20"/>
              </w:rPr>
            </w:pPr>
            <w:r w:rsidRPr="00CE157F">
              <w:rPr>
                <w:rFonts w:ascii="Arial Narrow" w:hAnsi="Arial Narrow"/>
                <w:b/>
                <w:bCs/>
                <w:color w:val="333333"/>
                <w:sz w:val="20"/>
                <w:szCs w:val="20"/>
              </w:rPr>
              <w:t xml:space="preserve">Clinical criteria: </w:t>
            </w:r>
          </w:p>
        </w:tc>
      </w:tr>
      <w:tr w:rsidR="00647F3D" w:rsidRPr="00720161" w14:paraId="1E99AD87" w14:textId="77777777" w:rsidTr="00A11377">
        <w:tblPrEx>
          <w:tblCellMar>
            <w:top w:w="15" w:type="dxa"/>
            <w:left w:w="15" w:type="dxa"/>
            <w:bottom w:w="15" w:type="dxa"/>
            <w:right w:w="15" w:type="dxa"/>
          </w:tblCellMar>
          <w:tblLook w:val="04A0" w:firstRow="1" w:lastRow="0" w:firstColumn="1" w:lastColumn="0" w:noHBand="0" w:noVBand="1"/>
        </w:tblPrEx>
        <w:tc>
          <w:tcPr>
            <w:tcW w:w="981" w:type="dxa"/>
            <w:gridSpan w:val="2"/>
            <w:vAlign w:val="center"/>
          </w:tcPr>
          <w:p w14:paraId="1FCBB833" w14:textId="15F3B59D" w:rsidR="00647F3D" w:rsidRPr="00CE157F" w:rsidRDefault="00647F3D" w:rsidP="00782256">
            <w:pPr>
              <w:jc w:val="center"/>
              <w:rPr>
                <w:rFonts w:ascii="Arial Narrow" w:hAnsi="Arial Narrow"/>
                <w:color w:val="333333"/>
                <w:sz w:val="20"/>
                <w:szCs w:val="20"/>
              </w:rPr>
            </w:pPr>
          </w:p>
        </w:tc>
        <w:tc>
          <w:tcPr>
            <w:tcW w:w="8086" w:type="dxa"/>
            <w:gridSpan w:val="8"/>
            <w:vAlign w:val="center"/>
            <w:hideMark/>
          </w:tcPr>
          <w:p w14:paraId="65663F5D" w14:textId="77777777" w:rsidR="00647F3D" w:rsidRPr="00CE157F" w:rsidRDefault="00647F3D" w:rsidP="00782256">
            <w:pPr>
              <w:rPr>
                <w:rFonts w:ascii="Arial Narrow" w:hAnsi="Arial Narrow"/>
                <w:color w:val="333333"/>
                <w:sz w:val="20"/>
                <w:szCs w:val="20"/>
              </w:rPr>
            </w:pPr>
            <w:r w:rsidRPr="00CE157F">
              <w:rPr>
                <w:rFonts w:ascii="Arial Narrow" w:hAnsi="Arial Narrow"/>
                <w:color w:val="333333"/>
                <w:sz w:val="20"/>
                <w:szCs w:val="20"/>
              </w:rPr>
              <w:t>Patient must be at very high risk of fracture.</w:t>
            </w:r>
          </w:p>
        </w:tc>
      </w:tr>
      <w:tr w:rsidR="00647F3D" w:rsidRPr="00120A12" w14:paraId="6D7E5D28" w14:textId="77777777" w:rsidTr="00A11377">
        <w:tblPrEx>
          <w:tblCellMar>
            <w:top w:w="15" w:type="dxa"/>
            <w:left w:w="15" w:type="dxa"/>
            <w:bottom w:w="15" w:type="dxa"/>
            <w:right w:w="15" w:type="dxa"/>
          </w:tblCellMar>
          <w:tblLook w:val="04A0" w:firstRow="1" w:lastRow="0" w:firstColumn="1" w:lastColumn="0" w:noHBand="0" w:noVBand="1"/>
        </w:tblPrEx>
        <w:tc>
          <w:tcPr>
            <w:tcW w:w="981" w:type="dxa"/>
            <w:gridSpan w:val="2"/>
            <w:vAlign w:val="center"/>
          </w:tcPr>
          <w:p w14:paraId="08A2C640" w14:textId="77777777" w:rsidR="00647F3D" w:rsidRPr="00CE157F" w:rsidRDefault="00647F3D" w:rsidP="00782256">
            <w:pPr>
              <w:jc w:val="center"/>
              <w:rPr>
                <w:rFonts w:ascii="Arial Narrow" w:hAnsi="Arial Narrow"/>
                <w:color w:val="333333"/>
                <w:sz w:val="20"/>
                <w:szCs w:val="20"/>
              </w:rPr>
            </w:pPr>
          </w:p>
        </w:tc>
        <w:tc>
          <w:tcPr>
            <w:tcW w:w="8086" w:type="dxa"/>
            <w:gridSpan w:val="8"/>
            <w:vAlign w:val="center"/>
            <w:hideMark/>
          </w:tcPr>
          <w:p w14:paraId="679C2D2F" w14:textId="77777777" w:rsidR="00647F3D" w:rsidRPr="00CE157F" w:rsidRDefault="00647F3D" w:rsidP="00782256">
            <w:pPr>
              <w:rPr>
                <w:rFonts w:ascii="Arial Narrow" w:hAnsi="Arial Narrow"/>
                <w:color w:val="333333"/>
                <w:sz w:val="20"/>
                <w:szCs w:val="20"/>
              </w:rPr>
            </w:pPr>
            <w:r w:rsidRPr="00CE157F">
              <w:rPr>
                <w:rFonts w:ascii="Arial Narrow" w:hAnsi="Arial Narrow"/>
                <w:b/>
                <w:bCs/>
                <w:color w:val="333333"/>
                <w:sz w:val="20"/>
                <w:szCs w:val="20"/>
              </w:rPr>
              <w:t>AND</w:t>
            </w:r>
          </w:p>
        </w:tc>
      </w:tr>
      <w:tr w:rsidR="00647F3D" w:rsidRPr="00120A12" w14:paraId="7932C597" w14:textId="77777777" w:rsidTr="00782256">
        <w:tblPrEx>
          <w:tblCellMar>
            <w:top w:w="15" w:type="dxa"/>
            <w:left w:w="15" w:type="dxa"/>
            <w:bottom w:w="15" w:type="dxa"/>
            <w:right w:w="15" w:type="dxa"/>
          </w:tblCellMar>
          <w:tblLook w:val="04A0" w:firstRow="1" w:lastRow="0" w:firstColumn="1" w:lastColumn="0" w:noHBand="0" w:noVBand="1"/>
        </w:tblPrEx>
        <w:tc>
          <w:tcPr>
            <w:tcW w:w="981" w:type="dxa"/>
            <w:gridSpan w:val="2"/>
            <w:vAlign w:val="center"/>
          </w:tcPr>
          <w:p w14:paraId="23C8B5C1" w14:textId="418B0301" w:rsidR="00647F3D" w:rsidRPr="00CE157F" w:rsidRDefault="00647F3D" w:rsidP="00782256">
            <w:pPr>
              <w:jc w:val="center"/>
              <w:rPr>
                <w:rFonts w:ascii="Arial Narrow" w:hAnsi="Arial Narrow"/>
                <w:color w:val="333333"/>
                <w:sz w:val="20"/>
                <w:szCs w:val="20"/>
              </w:rPr>
            </w:pPr>
          </w:p>
        </w:tc>
        <w:tc>
          <w:tcPr>
            <w:tcW w:w="8086" w:type="dxa"/>
            <w:gridSpan w:val="8"/>
            <w:vAlign w:val="center"/>
            <w:hideMark/>
          </w:tcPr>
          <w:p w14:paraId="65F16814" w14:textId="77777777" w:rsidR="00647F3D" w:rsidRPr="00CE157F" w:rsidRDefault="00647F3D" w:rsidP="00782256">
            <w:pPr>
              <w:rPr>
                <w:rFonts w:ascii="Arial Narrow" w:hAnsi="Arial Narrow"/>
                <w:color w:val="333333"/>
                <w:sz w:val="20"/>
                <w:szCs w:val="20"/>
              </w:rPr>
            </w:pPr>
            <w:r w:rsidRPr="00CE157F">
              <w:rPr>
                <w:rFonts w:ascii="Arial Narrow" w:hAnsi="Arial Narrow"/>
                <w:b/>
                <w:bCs/>
                <w:color w:val="333333"/>
                <w:sz w:val="20"/>
                <w:szCs w:val="20"/>
              </w:rPr>
              <w:t>Clinical criteria:</w:t>
            </w:r>
          </w:p>
        </w:tc>
      </w:tr>
      <w:tr w:rsidR="00647F3D" w:rsidRPr="00720161" w14:paraId="1577EBC0" w14:textId="77777777" w:rsidTr="00782256">
        <w:tblPrEx>
          <w:tblCellMar>
            <w:top w:w="15" w:type="dxa"/>
            <w:left w:w="15" w:type="dxa"/>
            <w:bottom w:w="15" w:type="dxa"/>
            <w:right w:w="15" w:type="dxa"/>
          </w:tblCellMar>
          <w:tblLook w:val="04A0" w:firstRow="1" w:lastRow="0" w:firstColumn="1" w:lastColumn="0" w:noHBand="0" w:noVBand="1"/>
        </w:tblPrEx>
        <w:tc>
          <w:tcPr>
            <w:tcW w:w="981" w:type="dxa"/>
            <w:gridSpan w:val="2"/>
            <w:vAlign w:val="center"/>
          </w:tcPr>
          <w:p w14:paraId="2BD33B80" w14:textId="0CFF1555" w:rsidR="00647F3D" w:rsidRPr="00CE157F" w:rsidRDefault="00647F3D" w:rsidP="00782256">
            <w:pPr>
              <w:jc w:val="center"/>
              <w:rPr>
                <w:rFonts w:ascii="Arial Narrow" w:hAnsi="Arial Narrow"/>
                <w:color w:val="333333"/>
                <w:sz w:val="20"/>
                <w:szCs w:val="20"/>
              </w:rPr>
            </w:pPr>
          </w:p>
        </w:tc>
        <w:tc>
          <w:tcPr>
            <w:tcW w:w="8086" w:type="dxa"/>
            <w:gridSpan w:val="8"/>
            <w:vAlign w:val="center"/>
            <w:hideMark/>
          </w:tcPr>
          <w:p w14:paraId="619E6AE6" w14:textId="77777777" w:rsidR="00647F3D" w:rsidRPr="00CE157F" w:rsidRDefault="00647F3D" w:rsidP="00782256">
            <w:pPr>
              <w:rPr>
                <w:rFonts w:ascii="Arial Narrow" w:hAnsi="Arial Narrow"/>
                <w:color w:val="333333"/>
                <w:sz w:val="20"/>
                <w:szCs w:val="20"/>
              </w:rPr>
            </w:pPr>
            <w:r w:rsidRPr="00CE157F">
              <w:rPr>
                <w:rFonts w:ascii="Arial Narrow" w:hAnsi="Arial Narrow"/>
                <w:color w:val="333333"/>
                <w:sz w:val="20"/>
                <w:szCs w:val="20"/>
              </w:rPr>
              <w:t>Patient must have a bone mineral density (BMD) T-score of -2.5 or less.</w:t>
            </w:r>
          </w:p>
        </w:tc>
      </w:tr>
      <w:tr w:rsidR="00647F3D" w:rsidRPr="00120A12" w14:paraId="06CC167A" w14:textId="77777777" w:rsidTr="00782256">
        <w:tblPrEx>
          <w:tblCellMar>
            <w:top w:w="15" w:type="dxa"/>
            <w:left w:w="15" w:type="dxa"/>
            <w:bottom w:w="15" w:type="dxa"/>
            <w:right w:w="15" w:type="dxa"/>
          </w:tblCellMar>
          <w:tblLook w:val="04A0" w:firstRow="1" w:lastRow="0" w:firstColumn="1" w:lastColumn="0" w:noHBand="0" w:noVBand="1"/>
        </w:tblPrEx>
        <w:tc>
          <w:tcPr>
            <w:tcW w:w="981" w:type="dxa"/>
            <w:gridSpan w:val="2"/>
            <w:vAlign w:val="center"/>
          </w:tcPr>
          <w:p w14:paraId="349BD155" w14:textId="77777777" w:rsidR="00647F3D" w:rsidRPr="00CE157F" w:rsidRDefault="00647F3D" w:rsidP="00782256">
            <w:pPr>
              <w:jc w:val="center"/>
              <w:rPr>
                <w:rFonts w:ascii="Arial Narrow" w:hAnsi="Arial Narrow"/>
                <w:color w:val="333333"/>
                <w:sz w:val="20"/>
                <w:szCs w:val="20"/>
              </w:rPr>
            </w:pPr>
          </w:p>
        </w:tc>
        <w:tc>
          <w:tcPr>
            <w:tcW w:w="8086" w:type="dxa"/>
            <w:gridSpan w:val="8"/>
            <w:vAlign w:val="center"/>
            <w:hideMark/>
          </w:tcPr>
          <w:p w14:paraId="58BA86A4" w14:textId="77777777" w:rsidR="00647F3D" w:rsidRPr="00CE157F" w:rsidRDefault="00647F3D" w:rsidP="00782256">
            <w:pPr>
              <w:rPr>
                <w:rFonts w:ascii="Arial Narrow" w:hAnsi="Arial Narrow"/>
                <w:b/>
                <w:bCs/>
                <w:color w:val="333333"/>
                <w:sz w:val="20"/>
                <w:szCs w:val="20"/>
              </w:rPr>
            </w:pPr>
            <w:r w:rsidRPr="00CE157F">
              <w:rPr>
                <w:rFonts w:ascii="Arial Narrow" w:hAnsi="Arial Narrow"/>
                <w:b/>
                <w:bCs/>
                <w:color w:val="333333"/>
                <w:sz w:val="20"/>
                <w:szCs w:val="20"/>
              </w:rPr>
              <w:t>AND</w:t>
            </w:r>
          </w:p>
        </w:tc>
      </w:tr>
      <w:tr w:rsidR="00647F3D" w:rsidRPr="00120A12" w14:paraId="3119AF4F" w14:textId="77777777" w:rsidTr="00782256">
        <w:tblPrEx>
          <w:tblCellMar>
            <w:top w:w="15" w:type="dxa"/>
            <w:left w:w="15" w:type="dxa"/>
            <w:bottom w:w="15" w:type="dxa"/>
            <w:right w:w="15" w:type="dxa"/>
          </w:tblCellMar>
          <w:tblLook w:val="04A0" w:firstRow="1" w:lastRow="0" w:firstColumn="1" w:lastColumn="0" w:noHBand="0" w:noVBand="1"/>
        </w:tblPrEx>
        <w:tc>
          <w:tcPr>
            <w:tcW w:w="981" w:type="dxa"/>
            <w:gridSpan w:val="2"/>
            <w:vAlign w:val="center"/>
          </w:tcPr>
          <w:p w14:paraId="5E86F214" w14:textId="30E21ACC" w:rsidR="00647F3D" w:rsidRPr="00CE157F" w:rsidRDefault="00647F3D" w:rsidP="00782256">
            <w:pPr>
              <w:jc w:val="center"/>
              <w:rPr>
                <w:rFonts w:ascii="Arial Narrow" w:hAnsi="Arial Narrow"/>
                <w:color w:val="333333"/>
                <w:sz w:val="20"/>
                <w:szCs w:val="20"/>
              </w:rPr>
            </w:pPr>
          </w:p>
        </w:tc>
        <w:tc>
          <w:tcPr>
            <w:tcW w:w="8086" w:type="dxa"/>
            <w:gridSpan w:val="8"/>
            <w:vAlign w:val="center"/>
            <w:hideMark/>
          </w:tcPr>
          <w:p w14:paraId="7A01C619" w14:textId="77777777" w:rsidR="00647F3D" w:rsidRPr="00CE157F" w:rsidRDefault="00647F3D" w:rsidP="00782256">
            <w:pPr>
              <w:rPr>
                <w:rFonts w:ascii="Arial Narrow" w:hAnsi="Arial Narrow"/>
                <w:b/>
                <w:bCs/>
                <w:color w:val="333333"/>
                <w:sz w:val="20"/>
                <w:szCs w:val="20"/>
              </w:rPr>
            </w:pPr>
            <w:r w:rsidRPr="00CE157F">
              <w:rPr>
                <w:rFonts w:ascii="Arial Narrow" w:hAnsi="Arial Narrow"/>
                <w:b/>
                <w:bCs/>
                <w:color w:val="333333"/>
                <w:sz w:val="20"/>
                <w:szCs w:val="20"/>
              </w:rPr>
              <w:t>Clinical criteria:</w:t>
            </w:r>
          </w:p>
        </w:tc>
      </w:tr>
      <w:tr w:rsidR="00647F3D" w:rsidRPr="00120A12" w14:paraId="4FD2EF48" w14:textId="77777777" w:rsidTr="00782256">
        <w:tblPrEx>
          <w:tblCellMar>
            <w:top w:w="15" w:type="dxa"/>
            <w:left w:w="15" w:type="dxa"/>
            <w:bottom w:w="15" w:type="dxa"/>
            <w:right w:w="15" w:type="dxa"/>
          </w:tblCellMar>
          <w:tblLook w:val="04A0" w:firstRow="1" w:lastRow="0" w:firstColumn="1" w:lastColumn="0" w:noHBand="0" w:noVBand="1"/>
        </w:tblPrEx>
        <w:tc>
          <w:tcPr>
            <w:tcW w:w="981" w:type="dxa"/>
            <w:gridSpan w:val="2"/>
            <w:vAlign w:val="center"/>
          </w:tcPr>
          <w:p w14:paraId="416737DA" w14:textId="6D2AD16F" w:rsidR="00647F3D" w:rsidRPr="00CE157F" w:rsidRDefault="00647F3D" w:rsidP="00782256">
            <w:pPr>
              <w:jc w:val="center"/>
              <w:rPr>
                <w:rFonts w:ascii="Arial Narrow" w:hAnsi="Arial Narrow"/>
                <w:color w:val="333333"/>
                <w:sz w:val="20"/>
                <w:szCs w:val="20"/>
              </w:rPr>
            </w:pPr>
          </w:p>
        </w:tc>
        <w:tc>
          <w:tcPr>
            <w:tcW w:w="8086" w:type="dxa"/>
            <w:gridSpan w:val="8"/>
            <w:vAlign w:val="center"/>
            <w:hideMark/>
          </w:tcPr>
          <w:p w14:paraId="2FD66AFB" w14:textId="77777777" w:rsidR="00647F3D" w:rsidRPr="00CE157F" w:rsidRDefault="00647F3D" w:rsidP="00782256">
            <w:pPr>
              <w:rPr>
                <w:rFonts w:ascii="Arial Narrow" w:hAnsi="Arial Narrow"/>
                <w:sz w:val="20"/>
                <w:szCs w:val="20"/>
              </w:rPr>
            </w:pPr>
            <w:r w:rsidRPr="00CE157F">
              <w:rPr>
                <w:rFonts w:ascii="Arial Narrow" w:hAnsi="Arial Narrow"/>
                <w:color w:val="333333"/>
                <w:sz w:val="20"/>
                <w:szCs w:val="20"/>
              </w:rPr>
              <w:t>Patient must have experienced at least 1 symptomatic new fracture after at least 12 months continuous therapy with an anti-resorptive agent at adequate doses.</w:t>
            </w:r>
          </w:p>
        </w:tc>
      </w:tr>
      <w:tr w:rsidR="00647F3D" w:rsidRPr="00120A12" w14:paraId="130A0E5C" w14:textId="77777777" w:rsidTr="00782256">
        <w:tblPrEx>
          <w:tblCellMar>
            <w:top w:w="15" w:type="dxa"/>
            <w:left w:w="15" w:type="dxa"/>
            <w:bottom w:w="15" w:type="dxa"/>
            <w:right w:w="15" w:type="dxa"/>
          </w:tblCellMar>
          <w:tblLook w:val="04A0" w:firstRow="1" w:lastRow="0" w:firstColumn="1" w:lastColumn="0" w:noHBand="0" w:noVBand="1"/>
        </w:tblPrEx>
        <w:tc>
          <w:tcPr>
            <w:tcW w:w="981" w:type="dxa"/>
            <w:gridSpan w:val="2"/>
            <w:vAlign w:val="center"/>
          </w:tcPr>
          <w:p w14:paraId="6A327DA9" w14:textId="77777777" w:rsidR="00647F3D" w:rsidRPr="00CE157F" w:rsidRDefault="00647F3D" w:rsidP="00782256">
            <w:pPr>
              <w:jc w:val="center"/>
              <w:rPr>
                <w:rFonts w:ascii="Arial Narrow" w:hAnsi="Arial Narrow"/>
                <w:color w:val="333333"/>
                <w:sz w:val="20"/>
                <w:szCs w:val="20"/>
              </w:rPr>
            </w:pPr>
          </w:p>
        </w:tc>
        <w:tc>
          <w:tcPr>
            <w:tcW w:w="8086" w:type="dxa"/>
            <w:gridSpan w:val="8"/>
          </w:tcPr>
          <w:p w14:paraId="2E0BBACD" w14:textId="77777777" w:rsidR="00647F3D" w:rsidRPr="00CE157F" w:rsidRDefault="00647F3D" w:rsidP="00782256">
            <w:pPr>
              <w:rPr>
                <w:rFonts w:ascii="Arial Narrow" w:hAnsi="Arial Narrow"/>
                <w:b/>
                <w:bCs/>
                <w:color w:val="333333"/>
                <w:sz w:val="20"/>
                <w:szCs w:val="20"/>
              </w:rPr>
            </w:pPr>
            <w:r w:rsidRPr="00CE157F">
              <w:rPr>
                <w:rFonts w:ascii="Arial Narrow" w:hAnsi="Arial Narrow"/>
                <w:b/>
                <w:bCs/>
                <w:color w:val="333333"/>
                <w:sz w:val="20"/>
                <w:szCs w:val="20"/>
              </w:rPr>
              <w:t>AND</w:t>
            </w:r>
          </w:p>
        </w:tc>
      </w:tr>
      <w:tr w:rsidR="00647F3D" w:rsidRPr="00120A12" w14:paraId="0956A5C1" w14:textId="77777777" w:rsidTr="00782256">
        <w:tblPrEx>
          <w:tblCellMar>
            <w:top w:w="15" w:type="dxa"/>
            <w:left w:w="15" w:type="dxa"/>
            <w:bottom w:w="15" w:type="dxa"/>
            <w:right w:w="15" w:type="dxa"/>
          </w:tblCellMar>
          <w:tblLook w:val="04A0" w:firstRow="1" w:lastRow="0" w:firstColumn="1" w:lastColumn="0" w:noHBand="0" w:noVBand="1"/>
        </w:tblPrEx>
        <w:tc>
          <w:tcPr>
            <w:tcW w:w="981" w:type="dxa"/>
            <w:gridSpan w:val="2"/>
            <w:vAlign w:val="center"/>
          </w:tcPr>
          <w:p w14:paraId="03D5A8A1" w14:textId="1EB17A8D" w:rsidR="00647F3D" w:rsidRPr="00CE157F" w:rsidRDefault="00647F3D" w:rsidP="00782256">
            <w:pPr>
              <w:jc w:val="center"/>
              <w:rPr>
                <w:rFonts w:ascii="Arial Narrow" w:hAnsi="Arial Narrow"/>
                <w:color w:val="333333"/>
                <w:sz w:val="20"/>
                <w:szCs w:val="20"/>
              </w:rPr>
            </w:pPr>
          </w:p>
        </w:tc>
        <w:tc>
          <w:tcPr>
            <w:tcW w:w="8086" w:type="dxa"/>
            <w:gridSpan w:val="8"/>
          </w:tcPr>
          <w:p w14:paraId="36B2EDB9" w14:textId="77777777" w:rsidR="00647F3D" w:rsidRPr="00CE157F" w:rsidRDefault="00647F3D" w:rsidP="00782256">
            <w:pPr>
              <w:rPr>
                <w:rFonts w:ascii="Arial Narrow" w:hAnsi="Arial Narrow"/>
                <w:b/>
                <w:bCs/>
                <w:color w:val="333333"/>
                <w:sz w:val="20"/>
                <w:szCs w:val="20"/>
              </w:rPr>
            </w:pPr>
            <w:r w:rsidRPr="00CE157F">
              <w:rPr>
                <w:rFonts w:ascii="Arial Narrow" w:hAnsi="Arial Narrow"/>
                <w:b/>
                <w:bCs/>
                <w:color w:val="333333"/>
                <w:sz w:val="20"/>
                <w:szCs w:val="20"/>
              </w:rPr>
              <w:t>Clinical criteria:</w:t>
            </w:r>
          </w:p>
        </w:tc>
      </w:tr>
      <w:tr w:rsidR="00647F3D" w:rsidRPr="00120A12" w14:paraId="0421A6CE" w14:textId="77777777" w:rsidTr="00782256">
        <w:tblPrEx>
          <w:tblCellMar>
            <w:top w:w="15" w:type="dxa"/>
            <w:left w:w="15" w:type="dxa"/>
            <w:bottom w:w="15" w:type="dxa"/>
            <w:right w:w="15" w:type="dxa"/>
          </w:tblCellMar>
          <w:tblLook w:val="04A0" w:firstRow="1" w:lastRow="0" w:firstColumn="1" w:lastColumn="0" w:noHBand="0" w:noVBand="1"/>
        </w:tblPrEx>
        <w:tc>
          <w:tcPr>
            <w:tcW w:w="981" w:type="dxa"/>
            <w:gridSpan w:val="2"/>
            <w:vAlign w:val="center"/>
          </w:tcPr>
          <w:p w14:paraId="5C21A4E5" w14:textId="19B72401" w:rsidR="00647F3D" w:rsidRPr="00CE157F" w:rsidRDefault="00647F3D" w:rsidP="00782256">
            <w:pPr>
              <w:jc w:val="center"/>
              <w:rPr>
                <w:rFonts w:ascii="Arial Narrow" w:hAnsi="Arial Narrow"/>
                <w:color w:val="333333"/>
                <w:sz w:val="20"/>
                <w:szCs w:val="20"/>
              </w:rPr>
            </w:pPr>
          </w:p>
        </w:tc>
        <w:tc>
          <w:tcPr>
            <w:tcW w:w="8086" w:type="dxa"/>
            <w:gridSpan w:val="8"/>
            <w:vAlign w:val="center"/>
          </w:tcPr>
          <w:p w14:paraId="11BFBF7C" w14:textId="77777777" w:rsidR="00647F3D" w:rsidRPr="00CE157F" w:rsidRDefault="00647F3D" w:rsidP="00782256">
            <w:pPr>
              <w:rPr>
                <w:rFonts w:ascii="Arial Narrow" w:hAnsi="Arial Narrow"/>
                <w:color w:val="333333"/>
                <w:sz w:val="20"/>
                <w:szCs w:val="20"/>
              </w:rPr>
            </w:pPr>
            <w:r w:rsidRPr="00CE157F">
              <w:rPr>
                <w:rFonts w:ascii="Arial Narrow" w:hAnsi="Arial Narrow"/>
                <w:color w:val="333333"/>
                <w:sz w:val="20"/>
                <w:szCs w:val="20"/>
              </w:rPr>
              <w:t xml:space="preserve">The treatment must be the sole PBS-subsidised </w:t>
            </w:r>
            <w:r w:rsidRPr="00CE157F">
              <w:rPr>
                <w:rFonts w:ascii="Arial Narrow" w:hAnsi="Arial Narrow"/>
                <w:strike/>
                <w:color w:val="333333"/>
                <w:sz w:val="20"/>
                <w:szCs w:val="20"/>
              </w:rPr>
              <w:t>agent</w:t>
            </w:r>
            <w:r w:rsidRPr="00CE157F">
              <w:rPr>
                <w:rFonts w:ascii="Arial Narrow" w:hAnsi="Arial Narrow"/>
                <w:color w:val="333333"/>
                <w:sz w:val="20"/>
                <w:szCs w:val="20"/>
              </w:rPr>
              <w:t xml:space="preserve"> </w:t>
            </w:r>
            <w:r w:rsidRPr="00CE157F">
              <w:rPr>
                <w:rFonts w:ascii="Arial Narrow" w:hAnsi="Arial Narrow"/>
                <w:i/>
                <w:iCs/>
                <w:color w:val="333333"/>
                <w:sz w:val="20"/>
                <w:szCs w:val="20"/>
              </w:rPr>
              <w:t>therapy for this condition.</w:t>
            </w:r>
          </w:p>
        </w:tc>
      </w:tr>
      <w:tr w:rsidR="00647F3D" w:rsidRPr="00120A12" w14:paraId="10808872" w14:textId="77777777" w:rsidTr="00782256">
        <w:tblPrEx>
          <w:tblCellMar>
            <w:top w:w="15" w:type="dxa"/>
            <w:left w:w="15" w:type="dxa"/>
            <w:bottom w:w="15" w:type="dxa"/>
            <w:right w:w="15" w:type="dxa"/>
          </w:tblCellMar>
          <w:tblLook w:val="04A0" w:firstRow="1" w:lastRow="0" w:firstColumn="1" w:lastColumn="0" w:noHBand="0" w:noVBand="1"/>
        </w:tblPrEx>
        <w:tc>
          <w:tcPr>
            <w:tcW w:w="981" w:type="dxa"/>
            <w:gridSpan w:val="2"/>
            <w:vAlign w:val="center"/>
          </w:tcPr>
          <w:p w14:paraId="1A08ED80" w14:textId="77777777" w:rsidR="00647F3D" w:rsidRPr="00CE157F" w:rsidRDefault="00647F3D" w:rsidP="00782256">
            <w:pPr>
              <w:jc w:val="center"/>
              <w:rPr>
                <w:rFonts w:ascii="Arial Narrow" w:hAnsi="Arial Narrow"/>
                <w:color w:val="333333"/>
                <w:sz w:val="20"/>
                <w:szCs w:val="20"/>
              </w:rPr>
            </w:pPr>
          </w:p>
        </w:tc>
        <w:tc>
          <w:tcPr>
            <w:tcW w:w="8086" w:type="dxa"/>
            <w:gridSpan w:val="8"/>
          </w:tcPr>
          <w:p w14:paraId="638C17F9" w14:textId="77777777" w:rsidR="00647F3D" w:rsidRPr="00CE157F" w:rsidRDefault="00647F3D" w:rsidP="00782256">
            <w:pPr>
              <w:rPr>
                <w:rFonts w:ascii="Arial Narrow" w:hAnsi="Arial Narrow"/>
                <w:b/>
                <w:bCs/>
                <w:color w:val="333333"/>
                <w:sz w:val="20"/>
                <w:szCs w:val="20"/>
              </w:rPr>
            </w:pPr>
            <w:r w:rsidRPr="00CE157F">
              <w:rPr>
                <w:rFonts w:ascii="Arial Narrow" w:hAnsi="Arial Narrow"/>
                <w:b/>
                <w:bCs/>
                <w:color w:val="333333"/>
                <w:sz w:val="20"/>
                <w:szCs w:val="20"/>
              </w:rPr>
              <w:t>AND</w:t>
            </w:r>
          </w:p>
        </w:tc>
      </w:tr>
      <w:tr w:rsidR="00647F3D" w:rsidRPr="00120A12" w14:paraId="08FC5E9B" w14:textId="77777777" w:rsidTr="00782256">
        <w:tblPrEx>
          <w:tblCellMar>
            <w:top w:w="15" w:type="dxa"/>
            <w:left w:w="15" w:type="dxa"/>
            <w:bottom w:w="15" w:type="dxa"/>
            <w:right w:w="15" w:type="dxa"/>
          </w:tblCellMar>
          <w:tblLook w:val="04A0" w:firstRow="1" w:lastRow="0" w:firstColumn="1" w:lastColumn="0" w:noHBand="0" w:noVBand="1"/>
        </w:tblPrEx>
        <w:tc>
          <w:tcPr>
            <w:tcW w:w="981" w:type="dxa"/>
            <w:gridSpan w:val="2"/>
            <w:vAlign w:val="center"/>
          </w:tcPr>
          <w:p w14:paraId="2DFF40DA" w14:textId="77777777" w:rsidR="00647F3D" w:rsidRPr="00CE157F" w:rsidRDefault="00647F3D" w:rsidP="00782256">
            <w:pPr>
              <w:jc w:val="center"/>
              <w:rPr>
                <w:rFonts w:ascii="Arial Narrow" w:hAnsi="Arial Narrow"/>
                <w:color w:val="333333"/>
                <w:sz w:val="20"/>
                <w:szCs w:val="20"/>
              </w:rPr>
            </w:pPr>
          </w:p>
        </w:tc>
        <w:tc>
          <w:tcPr>
            <w:tcW w:w="8086" w:type="dxa"/>
            <w:gridSpan w:val="8"/>
          </w:tcPr>
          <w:p w14:paraId="3467B0F4" w14:textId="77777777" w:rsidR="00647F3D" w:rsidRPr="00CE157F" w:rsidRDefault="00647F3D" w:rsidP="00782256">
            <w:pPr>
              <w:rPr>
                <w:rFonts w:ascii="Arial Narrow" w:hAnsi="Arial Narrow"/>
                <w:b/>
                <w:bCs/>
                <w:color w:val="333333"/>
                <w:sz w:val="20"/>
                <w:szCs w:val="20"/>
              </w:rPr>
            </w:pPr>
            <w:r w:rsidRPr="00CE157F">
              <w:rPr>
                <w:rFonts w:ascii="Arial Narrow" w:hAnsi="Arial Narrow"/>
                <w:b/>
                <w:bCs/>
                <w:color w:val="333333"/>
                <w:sz w:val="20"/>
                <w:szCs w:val="20"/>
              </w:rPr>
              <w:t>Clinical criteria:</w:t>
            </w:r>
          </w:p>
        </w:tc>
      </w:tr>
      <w:tr w:rsidR="00647F3D" w:rsidRPr="00120A12" w14:paraId="36915328" w14:textId="77777777" w:rsidTr="00782256">
        <w:tblPrEx>
          <w:tblCellMar>
            <w:top w:w="15" w:type="dxa"/>
            <w:left w:w="15" w:type="dxa"/>
            <w:bottom w:w="15" w:type="dxa"/>
            <w:right w:w="15" w:type="dxa"/>
          </w:tblCellMar>
          <w:tblLook w:val="04A0" w:firstRow="1" w:lastRow="0" w:firstColumn="1" w:lastColumn="0" w:noHBand="0" w:noVBand="1"/>
        </w:tblPrEx>
        <w:tc>
          <w:tcPr>
            <w:tcW w:w="981" w:type="dxa"/>
            <w:gridSpan w:val="2"/>
            <w:vAlign w:val="center"/>
          </w:tcPr>
          <w:p w14:paraId="54C60B3E" w14:textId="21ECF75B" w:rsidR="00647F3D" w:rsidRPr="00CE157F" w:rsidRDefault="00647F3D" w:rsidP="00782256">
            <w:pPr>
              <w:jc w:val="center"/>
              <w:rPr>
                <w:rFonts w:ascii="Arial Narrow" w:hAnsi="Arial Narrow"/>
                <w:color w:val="333333"/>
                <w:sz w:val="20"/>
                <w:szCs w:val="20"/>
              </w:rPr>
            </w:pPr>
          </w:p>
        </w:tc>
        <w:tc>
          <w:tcPr>
            <w:tcW w:w="8086" w:type="dxa"/>
            <w:gridSpan w:val="8"/>
            <w:vAlign w:val="center"/>
          </w:tcPr>
          <w:p w14:paraId="4CAA266F" w14:textId="207F052F" w:rsidR="00647F3D" w:rsidRPr="00CE157F" w:rsidRDefault="00647F3D" w:rsidP="00782256">
            <w:pPr>
              <w:rPr>
                <w:rFonts w:ascii="Arial Narrow" w:hAnsi="Arial Narrow"/>
                <w:color w:val="333333"/>
                <w:sz w:val="20"/>
                <w:szCs w:val="20"/>
              </w:rPr>
            </w:pPr>
            <w:r w:rsidRPr="00CE157F">
              <w:rPr>
                <w:rFonts w:ascii="Arial Narrow" w:hAnsi="Arial Narrow"/>
                <w:color w:val="333333"/>
                <w:sz w:val="20"/>
                <w:szCs w:val="20"/>
              </w:rPr>
              <w:t>The treatment must not exceed a lifetime maximum of 12 months</w:t>
            </w:r>
            <w:r w:rsidRPr="00CE157F">
              <w:rPr>
                <w:rFonts w:ascii="Arial Narrow" w:hAnsi="Arial Narrow"/>
                <w:i/>
                <w:iCs/>
                <w:color w:val="333333"/>
                <w:sz w:val="20"/>
                <w:szCs w:val="20"/>
              </w:rPr>
              <w:t xml:space="preserve"> PBS and non-PBS </w:t>
            </w:r>
            <w:r w:rsidR="00A73D8D">
              <w:rPr>
                <w:rFonts w:ascii="Arial Narrow" w:hAnsi="Arial Narrow"/>
                <w:i/>
                <w:iCs/>
                <w:color w:val="333333"/>
                <w:sz w:val="20"/>
                <w:szCs w:val="20"/>
              </w:rPr>
              <w:t xml:space="preserve">subsidised </w:t>
            </w:r>
            <w:r w:rsidRPr="00CE157F">
              <w:rPr>
                <w:rFonts w:ascii="Arial Narrow" w:hAnsi="Arial Narrow"/>
                <w:color w:val="333333"/>
                <w:sz w:val="20"/>
                <w:szCs w:val="20"/>
              </w:rPr>
              <w:t xml:space="preserve"> therapy</w:t>
            </w:r>
          </w:p>
        </w:tc>
      </w:tr>
      <w:tr w:rsidR="00647F3D" w:rsidRPr="00120A12" w14:paraId="0D5816C2" w14:textId="77777777" w:rsidTr="00782256">
        <w:tblPrEx>
          <w:tblCellMar>
            <w:top w:w="15" w:type="dxa"/>
            <w:left w:w="15" w:type="dxa"/>
            <w:bottom w:w="15" w:type="dxa"/>
            <w:right w:w="15" w:type="dxa"/>
          </w:tblCellMar>
          <w:tblLook w:val="04A0" w:firstRow="1" w:lastRow="0" w:firstColumn="1" w:lastColumn="0" w:noHBand="0" w:noVBand="1"/>
        </w:tblPrEx>
        <w:tc>
          <w:tcPr>
            <w:tcW w:w="981" w:type="dxa"/>
            <w:gridSpan w:val="2"/>
            <w:vAlign w:val="center"/>
          </w:tcPr>
          <w:p w14:paraId="002FEF6A" w14:textId="77777777" w:rsidR="00647F3D" w:rsidRPr="00CE157F" w:rsidRDefault="00647F3D" w:rsidP="00782256">
            <w:pPr>
              <w:jc w:val="center"/>
              <w:rPr>
                <w:rFonts w:ascii="Arial Narrow" w:hAnsi="Arial Narrow"/>
                <w:color w:val="333333"/>
                <w:sz w:val="20"/>
                <w:szCs w:val="20"/>
              </w:rPr>
            </w:pPr>
          </w:p>
        </w:tc>
        <w:tc>
          <w:tcPr>
            <w:tcW w:w="8086" w:type="dxa"/>
            <w:gridSpan w:val="8"/>
          </w:tcPr>
          <w:p w14:paraId="4A006CBB" w14:textId="77777777" w:rsidR="00647F3D" w:rsidRPr="00CE157F" w:rsidRDefault="00647F3D" w:rsidP="00782256">
            <w:pPr>
              <w:rPr>
                <w:rFonts w:ascii="Arial Narrow" w:hAnsi="Arial Narrow"/>
                <w:b/>
                <w:bCs/>
                <w:color w:val="333333"/>
                <w:sz w:val="20"/>
                <w:szCs w:val="20"/>
              </w:rPr>
            </w:pPr>
            <w:r w:rsidRPr="00CE157F">
              <w:rPr>
                <w:rFonts w:ascii="Arial Narrow" w:hAnsi="Arial Narrow"/>
                <w:b/>
                <w:bCs/>
                <w:color w:val="333333"/>
                <w:sz w:val="20"/>
                <w:szCs w:val="20"/>
              </w:rPr>
              <w:t>AND</w:t>
            </w:r>
          </w:p>
        </w:tc>
      </w:tr>
      <w:tr w:rsidR="00647F3D" w:rsidRPr="00120A12" w14:paraId="72A0E3E3" w14:textId="77777777" w:rsidTr="00782256">
        <w:tblPrEx>
          <w:tblCellMar>
            <w:top w:w="15" w:type="dxa"/>
            <w:left w:w="15" w:type="dxa"/>
            <w:bottom w:w="15" w:type="dxa"/>
            <w:right w:w="15" w:type="dxa"/>
          </w:tblCellMar>
          <w:tblLook w:val="04A0" w:firstRow="1" w:lastRow="0" w:firstColumn="1" w:lastColumn="0" w:noHBand="0" w:noVBand="1"/>
        </w:tblPrEx>
        <w:tc>
          <w:tcPr>
            <w:tcW w:w="981" w:type="dxa"/>
            <w:gridSpan w:val="2"/>
            <w:vAlign w:val="center"/>
          </w:tcPr>
          <w:p w14:paraId="076DC3A8" w14:textId="1ADA325B" w:rsidR="00647F3D" w:rsidRPr="00CE157F" w:rsidRDefault="00647F3D" w:rsidP="00782256">
            <w:pPr>
              <w:jc w:val="center"/>
              <w:rPr>
                <w:rFonts w:ascii="Arial Narrow" w:hAnsi="Arial Narrow"/>
                <w:color w:val="333333"/>
                <w:sz w:val="20"/>
                <w:szCs w:val="20"/>
              </w:rPr>
            </w:pPr>
          </w:p>
        </w:tc>
        <w:tc>
          <w:tcPr>
            <w:tcW w:w="8086" w:type="dxa"/>
            <w:gridSpan w:val="8"/>
          </w:tcPr>
          <w:p w14:paraId="18F7B9D5" w14:textId="77777777" w:rsidR="00647F3D" w:rsidRPr="00CE157F" w:rsidRDefault="00647F3D" w:rsidP="00782256">
            <w:pPr>
              <w:rPr>
                <w:rFonts w:ascii="Arial Narrow" w:hAnsi="Arial Narrow"/>
                <w:b/>
                <w:bCs/>
                <w:color w:val="333333"/>
                <w:sz w:val="20"/>
                <w:szCs w:val="20"/>
              </w:rPr>
            </w:pPr>
            <w:r w:rsidRPr="00CE157F">
              <w:rPr>
                <w:rFonts w:ascii="Arial Narrow" w:hAnsi="Arial Narrow"/>
                <w:b/>
                <w:bCs/>
                <w:color w:val="333333"/>
                <w:sz w:val="20"/>
                <w:szCs w:val="20"/>
              </w:rPr>
              <w:t>Clinical criteria:</w:t>
            </w:r>
          </w:p>
        </w:tc>
      </w:tr>
      <w:tr w:rsidR="00647F3D" w:rsidRPr="00120A12" w14:paraId="5C208245" w14:textId="77777777" w:rsidTr="00782256">
        <w:tblPrEx>
          <w:tblCellMar>
            <w:top w:w="15" w:type="dxa"/>
            <w:left w:w="15" w:type="dxa"/>
            <w:bottom w:w="15" w:type="dxa"/>
            <w:right w:w="15" w:type="dxa"/>
          </w:tblCellMar>
          <w:tblLook w:val="04A0" w:firstRow="1" w:lastRow="0" w:firstColumn="1" w:lastColumn="0" w:noHBand="0" w:noVBand="1"/>
        </w:tblPrEx>
        <w:tc>
          <w:tcPr>
            <w:tcW w:w="981" w:type="dxa"/>
            <w:gridSpan w:val="2"/>
            <w:vAlign w:val="center"/>
          </w:tcPr>
          <w:p w14:paraId="21536E8F" w14:textId="3FCA8DCC" w:rsidR="00647F3D" w:rsidRPr="00CE157F" w:rsidRDefault="00647F3D" w:rsidP="00782256">
            <w:pPr>
              <w:jc w:val="center"/>
              <w:rPr>
                <w:rFonts w:ascii="Arial Narrow" w:hAnsi="Arial Narrow"/>
                <w:color w:val="333333"/>
                <w:sz w:val="20"/>
                <w:szCs w:val="20"/>
              </w:rPr>
            </w:pPr>
          </w:p>
        </w:tc>
        <w:tc>
          <w:tcPr>
            <w:tcW w:w="8086" w:type="dxa"/>
            <w:gridSpan w:val="8"/>
            <w:vAlign w:val="center"/>
          </w:tcPr>
          <w:p w14:paraId="18C5176D" w14:textId="77777777" w:rsidR="00647F3D" w:rsidRPr="00CE157F" w:rsidRDefault="00647F3D" w:rsidP="00782256">
            <w:pPr>
              <w:rPr>
                <w:rFonts w:ascii="Arial Narrow" w:hAnsi="Arial Narrow"/>
                <w:color w:val="333333"/>
                <w:sz w:val="20"/>
                <w:szCs w:val="20"/>
              </w:rPr>
            </w:pPr>
            <w:r w:rsidRPr="00CE157F">
              <w:rPr>
                <w:rFonts w:ascii="Arial Narrow" w:hAnsi="Arial Narrow"/>
                <w:color w:val="333333"/>
                <w:sz w:val="20"/>
                <w:szCs w:val="20"/>
              </w:rPr>
              <w:t>Patient must not have received treatment with PBS-subsidised teriparatide; or</w:t>
            </w:r>
          </w:p>
        </w:tc>
      </w:tr>
      <w:tr w:rsidR="00647F3D" w:rsidRPr="00120A12" w14:paraId="01C949B1" w14:textId="77777777" w:rsidTr="00782256">
        <w:tblPrEx>
          <w:tblCellMar>
            <w:top w:w="15" w:type="dxa"/>
            <w:left w:w="15" w:type="dxa"/>
            <w:bottom w:w="15" w:type="dxa"/>
            <w:right w:w="15" w:type="dxa"/>
          </w:tblCellMar>
          <w:tblLook w:val="04A0" w:firstRow="1" w:lastRow="0" w:firstColumn="1" w:lastColumn="0" w:noHBand="0" w:noVBand="1"/>
        </w:tblPrEx>
        <w:tc>
          <w:tcPr>
            <w:tcW w:w="981" w:type="dxa"/>
            <w:gridSpan w:val="2"/>
            <w:vAlign w:val="center"/>
          </w:tcPr>
          <w:p w14:paraId="66326A74" w14:textId="58AEA28D" w:rsidR="00647F3D" w:rsidRPr="00CE157F" w:rsidRDefault="00647F3D" w:rsidP="00782256">
            <w:pPr>
              <w:jc w:val="center"/>
              <w:rPr>
                <w:rFonts w:ascii="Arial Narrow" w:hAnsi="Arial Narrow"/>
                <w:color w:val="333333"/>
                <w:sz w:val="20"/>
                <w:szCs w:val="20"/>
              </w:rPr>
            </w:pPr>
          </w:p>
        </w:tc>
        <w:tc>
          <w:tcPr>
            <w:tcW w:w="8086" w:type="dxa"/>
            <w:gridSpan w:val="8"/>
            <w:vAlign w:val="center"/>
          </w:tcPr>
          <w:p w14:paraId="372AD8BB" w14:textId="77777777" w:rsidR="00647F3D" w:rsidRPr="00CE157F" w:rsidRDefault="00647F3D" w:rsidP="00782256">
            <w:pPr>
              <w:rPr>
                <w:rFonts w:ascii="Arial Narrow" w:hAnsi="Arial Narrow"/>
                <w:color w:val="333333"/>
                <w:sz w:val="20"/>
                <w:szCs w:val="20"/>
              </w:rPr>
            </w:pPr>
            <w:r w:rsidRPr="00CE157F">
              <w:rPr>
                <w:rFonts w:ascii="Arial Narrow" w:hAnsi="Arial Narrow"/>
                <w:color w:val="333333"/>
                <w:sz w:val="20"/>
                <w:szCs w:val="20"/>
              </w:rPr>
              <w:t>Patient must have developed intolerance to teriparatide of a severity necessitating permanent treatment withdrawal within the first 6 months of therapy.</w:t>
            </w:r>
          </w:p>
        </w:tc>
      </w:tr>
      <w:tr w:rsidR="00647F3D" w:rsidRPr="00120A12" w14:paraId="5FD5D359" w14:textId="77777777" w:rsidTr="00782256">
        <w:tblPrEx>
          <w:tblCellMar>
            <w:top w:w="15" w:type="dxa"/>
            <w:left w:w="15" w:type="dxa"/>
            <w:bottom w:w="15" w:type="dxa"/>
            <w:right w:w="15" w:type="dxa"/>
          </w:tblCellMar>
          <w:tblLook w:val="04A0" w:firstRow="1" w:lastRow="0" w:firstColumn="1" w:lastColumn="0" w:noHBand="0" w:noVBand="1"/>
        </w:tblPrEx>
        <w:tc>
          <w:tcPr>
            <w:tcW w:w="981" w:type="dxa"/>
            <w:gridSpan w:val="2"/>
            <w:vAlign w:val="center"/>
          </w:tcPr>
          <w:p w14:paraId="221CB0EB" w14:textId="3E9ED417" w:rsidR="00647F3D" w:rsidRPr="00CE157F" w:rsidRDefault="00647F3D" w:rsidP="00782256">
            <w:pPr>
              <w:jc w:val="center"/>
              <w:rPr>
                <w:rFonts w:ascii="Arial Narrow" w:hAnsi="Arial Narrow"/>
                <w:color w:val="333333"/>
                <w:sz w:val="20"/>
                <w:szCs w:val="20"/>
              </w:rPr>
            </w:pPr>
          </w:p>
        </w:tc>
        <w:tc>
          <w:tcPr>
            <w:tcW w:w="8086" w:type="dxa"/>
            <w:gridSpan w:val="8"/>
            <w:vAlign w:val="center"/>
            <w:hideMark/>
          </w:tcPr>
          <w:p w14:paraId="41BBE1E5" w14:textId="77777777" w:rsidR="00647F3D" w:rsidRPr="00CE157F" w:rsidRDefault="00647F3D" w:rsidP="00782256">
            <w:pPr>
              <w:rPr>
                <w:rFonts w:ascii="Arial Narrow" w:hAnsi="Arial Narrow"/>
                <w:color w:val="333333"/>
                <w:sz w:val="20"/>
                <w:szCs w:val="20"/>
              </w:rPr>
            </w:pPr>
            <w:r w:rsidRPr="00CE157F">
              <w:rPr>
                <w:rFonts w:ascii="Arial Narrow" w:hAnsi="Arial Narrow"/>
                <w:b/>
                <w:bCs/>
                <w:color w:val="333333"/>
                <w:sz w:val="20"/>
                <w:szCs w:val="20"/>
              </w:rPr>
              <w:t>Treatment criteria:</w:t>
            </w:r>
          </w:p>
        </w:tc>
      </w:tr>
      <w:tr w:rsidR="00647F3D" w:rsidRPr="00120A12" w14:paraId="0DE9C364" w14:textId="77777777" w:rsidTr="00782256">
        <w:tblPrEx>
          <w:tblCellMar>
            <w:top w:w="15" w:type="dxa"/>
            <w:left w:w="15" w:type="dxa"/>
            <w:bottom w:w="15" w:type="dxa"/>
            <w:right w:w="15" w:type="dxa"/>
          </w:tblCellMar>
          <w:tblLook w:val="04A0" w:firstRow="1" w:lastRow="0" w:firstColumn="1" w:lastColumn="0" w:noHBand="0" w:noVBand="1"/>
        </w:tblPrEx>
        <w:trPr>
          <w:trHeight w:val="337"/>
        </w:trPr>
        <w:tc>
          <w:tcPr>
            <w:tcW w:w="981" w:type="dxa"/>
            <w:gridSpan w:val="2"/>
            <w:vAlign w:val="center"/>
          </w:tcPr>
          <w:p w14:paraId="63237955" w14:textId="713345DB" w:rsidR="00647F3D" w:rsidRPr="00CE157F" w:rsidRDefault="00647F3D" w:rsidP="00782256">
            <w:pPr>
              <w:jc w:val="center"/>
              <w:rPr>
                <w:rFonts w:ascii="Arial Narrow" w:hAnsi="Arial Narrow"/>
                <w:color w:val="333333"/>
                <w:sz w:val="20"/>
                <w:szCs w:val="20"/>
              </w:rPr>
            </w:pPr>
          </w:p>
        </w:tc>
        <w:tc>
          <w:tcPr>
            <w:tcW w:w="8086" w:type="dxa"/>
            <w:gridSpan w:val="8"/>
            <w:vAlign w:val="center"/>
            <w:hideMark/>
          </w:tcPr>
          <w:p w14:paraId="62F28BCB" w14:textId="77777777" w:rsidR="00647F3D" w:rsidRPr="00CE157F" w:rsidRDefault="00647F3D" w:rsidP="00782256">
            <w:pPr>
              <w:tabs>
                <w:tab w:val="num" w:pos="720"/>
              </w:tabs>
              <w:rPr>
                <w:rFonts w:ascii="Arial Narrow" w:hAnsi="Arial Narrow" w:cs="Arial Narrow"/>
                <w:iCs/>
                <w:sz w:val="20"/>
                <w:szCs w:val="20"/>
              </w:rPr>
            </w:pPr>
            <w:r w:rsidRPr="00CE157F">
              <w:rPr>
                <w:rFonts w:ascii="Arial Narrow" w:hAnsi="Arial Narrow" w:cs="Arial Narrow"/>
                <w:iCs/>
                <w:sz w:val="20"/>
                <w:szCs w:val="20"/>
              </w:rPr>
              <w:t>Must be treated by a Specialist; OR</w:t>
            </w:r>
            <w:r>
              <w:rPr>
                <w:rFonts w:ascii="Arial Narrow" w:hAnsi="Arial Narrow" w:cs="Arial Narrow"/>
                <w:iCs/>
                <w:sz w:val="20"/>
                <w:szCs w:val="20"/>
              </w:rPr>
              <w:t xml:space="preserve"> </w:t>
            </w:r>
            <w:r w:rsidRPr="00CE157F">
              <w:rPr>
                <w:rFonts w:ascii="Arial Narrow" w:hAnsi="Arial Narrow" w:cs="Arial Narrow"/>
                <w:iCs/>
                <w:sz w:val="20"/>
                <w:szCs w:val="20"/>
              </w:rPr>
              <w:t>Must be treated by a Consultant Physician.</w:t>
            </w:r>
          </w:p>
        </w:tc>
      </w:tr>
      <w:tr w:rsidR="00647F3D" w:rsidRPr="00E03D40" w14:paraId="18303F4A" w14:textId="77777777" w:rsidTr="00A11377">
        <w:tblPrEx>
          <w:tblCellMar>
            <w:top w:w="15" w:type="dxa"/>
            <w:left w:w="15" w:type="dxa"/>
            <w:bottom w:w="15" w:type="dxa"/>
            <w:right w:w="15" w:type="dxa"/>
          </w:tblCellMar>
          <w:tblLook w:val="04A0" w:firstRow="1" w:lastRow="0" w:firstColumn="1" w:lastColumn="0" w:noHBand="0" w:noVBand="1"/>
        </w:tblPrEx>
        <w:tc>
          <w:tcPr>
            <w:tcW w:w="981" w:type="dxa"/>
            <w:gridSpan w:val="2"/>
            <w:vAlign w:val="center"/>
          </w:tcPr>
          <w:p w14:paraId="5BF9823B" w14:textId="570BD247" w:rsidR="00647F3D" w:rsidRPr="00CE157F" w:rsidRDefault="00647F3D" w:rsidP="00782256">
            <w:pPr>
              <w:jc w:val="center"/>
              <w:rPr>
                <w:rFonts w:ascii="Arial Narrow" w:hAnsi="Arial Narrow"/>
                <w:color w:val="333333"/>
                <w:sz w:val="20"/>
                <w:szCs w:val="20"/>
              </w:rPr>
            </w:pPr>
          </w:p>
        </w:tc>
        <w:tc>
          <w:tcPr>
            <w:tcW w:w="8086" w:type="dxa"/>
            <w:gridSpan w:val="8"/>
            <w:vAlign w:val="center"/>
            <w:hideMark/>
          </w:tcPr>
          <w:p w14:paraId="0E060666" w14:textId="77777777" w:rsidR="00647F3D" w:rsidRPr="00CE157F" w:rsidRDefault="00647F3D" w:rsidP="00782256">
            <w:pPr>
              <w:rPr>
                <w:rFonts w:ascii="Arial Narrow" w:hAnsi="Arial Narrow" w:cs="Arial Narrow"/>
                <w:iCs/>
                <w:sz w:val="20"/>
                <w:szCs w:val="20"/>
              </w:rPr>
            </w:pPr>
            <w:r w:rsidRPr="00CE157F">
              <w:rPr>
                <w:rFonts w:ascii="Arial Narrow" w:hAnsi="Arial Narrow"/>
                <w:b/>
                <w:bCs/>
                <w:color w:val="333333"/>
                <w:sz w:val="20"/>
                <w:szCs w:val="20"/>
              </w:rPr>
              <w:t xml:space="preserve">Prescribing Instructions: </w:t>
            </w:r>
            <w:r w:rsidRPr="00CE157F">
              <w:rPr>
                <w:rFonts w:ascii="Arial Narrow" w:hAnsi="Arial Narrow" w:cs="Arial Narrow"/>
                <w:iCs/>
                <w:sz w:val="20"/>
                <w:szCs w:val="20"/>
              </w:rPr>
              <w:t>A vertebral fracture is defined as a 20% or greater reduction in height of the anterior or mid portion of a vertebral body relative to the posterior height of that body, or a 20% or greater reduction in any of these heights compared to the vertebral body above or below the affected vertebral body.</w:t>
            </w:r>
          </w:p>
        </w:tc>
      </w:tr>
      <w:tr w:rsidR="00647F3D" w:rsidRPr="00E03D40" w14:paraId="7003186C" w14:textId="77777777" w:rsidTr="00782256">
        <w:tblPrEx>
          <w:tblCellMar>
            <w:top w:w="15" w:type="dxa"/>
            <w:left w:w="15" w:type="dxa"/>
            <w:bottom w:w="15" w:type="dxa"/>
            <w:right w:w="15" w:type="dxa"/>
          </w:tblCellMar>
          <w:tblLook w:val="04A0" w:firstRow="1" w:lastRow="0" w:firstColumn="1" w:lastColumn="0" w:noHBand="0" w:noVBand="1"/>
        </w:tblPrEx>
        <w:tc>
          <w:tcPr>
            <w:tcW w:w="981" w:type="dxa"/>
            <w:gridSpan w:val="2"/>
            <w:vAlign w:val="center"/>
          </w:tcPr>
          <w:p w14:paraId="0DF8B142" w14:textId="7B8EC109" w:rsidR="00647F3D" w:rsidRPr="00CE157F" w:rsidRDefault="00647F3D" w:rsidP="00782256">
            <w:pPr>
              <w:jc w:val="center"/>
              <w:rPr>
                <w:rFonts w:ascii="Arial Narrow" w:hAnsi="Arial Narrow"/>
                <w:color w:val="333333"/>
                <w:sz w:val="20"/>
                <w:szCs w:val="20"/>
              </w:rPr>
            </w:pPr>
          </w:p>
        </w:tc>
        <w:tc>
          <w:tcPr>
            <w:tcW w:w="8086" w:type="dxa"/>
            <w:gridSpan w:val="8"/>
            <w:vAlign w:val="center"/>
          </w:tcPr>
          <w:p w14:paraId="18B4ED5F" w14:textId="77777777" w:rsidR="00647F3D" w:rsidRPr="00CE157F" w:rsidRDefault="00647F3D" w:rsidP="00782256">
            <w:pPr>
              <w:rPr>
                <w:rFonts w:ascii="Arial Narrow" w:hAnsi="Arial Narrow" w:cs="Arial Narrow"/>
                <w:iCs/>
                <w:sz w:val="20"/>
                <w:szCs w:val="20"/>
              </w:rPr>
            </w:pPr>
            <w:r w:rsidRPr="00CE157F">
              <w:rPr>
                <w:rFonts w:ascii="Arial Narrow" w:hAnsi="Arial Narrow"/>
                <w:b/>
                <w:bCs/>
                <w:color w:val="333333"/>
                <w:sz w:val="20"/>
                <w:szCs w:val="20"/>
              </w:rPr>
              <w:t xml:space="preserve">Prescribing Instructions: </w:t>
            </w:r>
            <w:r w:rsidRPr="00CE157F">
              <w:rPr>
                <w:rFonts w:ascii="Arial Narrow" w:hAnsi="Arial Narrow" w:cs="Arial Narrow"/>
                <w:iCs/>
                <w:sz w:val="20"/>
                <w:szCs w:val="20"/>
              </w:rPr>
              <w:t xml:space="preserve">If treatment with anti-resorptive therapy is contraindicated according to the relevant TGA-approved Product Information, details of the contraindication must be documented in the patient's medical record at the time treatment with </w:t>
            </w:r>
            <w:r w:rsidRPr="00CE157F">
              <w:rPr>
                <w:rFonts w:ascii="Arial Narrow" w:hAnsi="Arial Narrow" w:cs="Arial Narrow"/>
                <w:i/>
                <w:sz w:val="20"/>
                <w:szCs w:val="20"/>
              </w:rPr>
              <w:t xml:space="preserve">this drug </w:t>
            </w:r>
            <w:r w:rsidRPr="00CE157F">
              <w:rPr>
                <w:rFonts w:ascii="Arial Narrow" w:hAnsi="Arial Narrow" w:cs="Arial Narrow"/>
                <w:iCs/>
                <w:strike/>
                <w:sz w:val="20"/>
                <w:szCs w:val="20"/>
              </w:rPr>
              <w:t>romosozumab</w:t>
            </w:r>
            <w:r w:rsidRPr="00CE157F">
              <w:rPr>
                <w:rFonts w:ascii="Arial Narrow" w:hAnsi="Arial Narrow" w:cs="Arial Narrow"/>
                <w:iCs/>
                <w:sz w:val="20"/>
                <w:szCs w:val="20"/>
              </w:rPr>
              <w:t xml:space="preserve"> is initiated.</w:t>
            </w:r>
          </w:p>
        </w:tc>
      </w:tr>
      <w:tr w:rsidR="00647F3D" w:rsidRPr="00E03D40" w14:paraId="51319A50" w14:textId="77777777" w:rsidTr="00782256">
        <w:tblPrEx>
          <w:tblCellMar>
            <w:top w:w="15" w:type="dxa"/>
            <w:left w:w="15" w:type="dxa"/>
            <w:bottom w:w="15" w:type="dxa"/>
            <w:right w:w="15" w:type="dxa"/>
          </w:tblCellMar>
          <w:tblLook w:val="04A0" w:firstRow="1" w:lastRow="0" w:firstColumn="1" w:lastColumn="0" w:noHBand="0" w:noVBand="1"/>
        </w:tblPrEx>
        <w:tc>
          <w:tcPr>
            <w:tcW w:w="981" w:type="dxa"/>
            <w:gridSpan w:val="2"/>
            <w:vAlign w:val="center"/>
          </w:tcPr>
          <w:p w14:paraId="41CCC8F1" w14:textId="2E906EE8" w:rsidR="00647F3D" w:rsidRPr="00CE157F" w:rsidRDefault="00647F3D" w:rsidP="00782256">
            <w:pPr>
              <w:jc w:val="center"/>
              <w:rPr>
                <w:rFonts w:ascii="Arial Narrow" w:hAnsi="Arial Narrow"/>
                <w:color w:val="333333"/>
                <w:sz w:val="20"/>
                <w:szCs w:val="20"/>
              </w:rPr>
            </w:pPr>
          </w:p>
        </w:tc>
        <w:tc>
          <w:tcPr>
            <w:tcW w:w="8086" w:type="dxa"/>
            <w:gridSpan w:val="8"/>
            <w:vAlign w:val="center"/>
          </w:tcPr>
          <w:p w14:paraId="684599FE" w14:textId="77777777" w:rsidR="00647F3D" w:rsidRPr="00CE157F" w:rsidRDefault="00647F3D" w:rsidP="00782256">
            <w:pPr>
              <w:rPr>
                <w:rFonts w:ascii="Arial Narrow" w:hAnsi="Arial Narrow"/>
                <w:sz w:val="20"/>
                <w:szCs w:val="20"/>
              </w:rPr>
            </w:pPr>
            <w:r w:rsidRPr="00CE157F">
              <w:rPr>
                <w:rFonts w:ascii="Arial Narrow" w:hAnsi="Arial Narrow"/>
                <w:b/>
                <w:bCs/>
                <w:color w:val="333333"/>
                <w:sz w:val="20"/>
                <w:szCs w:val="20"/>
              </w:rPr>
              <w:t xml:space="preserve">Prescribing Instructions: </w:t>
            </w:r>
            <w:r w:rsidRPr="00CE157F">
              <w:rPr>
                <w:rFonts w:ascii="Arial Narrow" w:hAnsi="Arial Narrow" w:cs="Arial Narrow"/>
                <w:iCs/>
                <w:sz w:val="20"/>
                <w:szCs w:val="20"/>
              </w:rPr>
              <w:t xml:space="preserve">If an intolerance of a severity necessitating permanent treatment withdrawal develops during the relevant period of use of one anti-resorptive agent, alternate anti-resorptive agents must be trialled so that the patient achieves the minimum requirement of 12 months continuous therapy.  Details must be documented in the patient's medical record at the time treatment with </w:t>
            </w:r>
            <w:r w:rsidRPr="00CE157F">
              <w:rPr>
                <w:rFonts w:ascii="Arial Narrow" w:hAnsi="Arial Narrow" w:cs="Arial Narrow"/>
                <w:i/>
                <w:sz w:val="20"/>
                <w:szCs w:val="20"/>
              </w:rPr>
              <w:t>this drug</w:t>
            </w:r>
            <w:r w:rsidRPr="00CE157F">
              <w:rPr>
                <w:rFonts w:ascii="Arial Narrow" w:hAnsi="Arial Narrow" w:cs="Arial Narrow"/>
                <w:iCs/>
                <w:strike/>
                <w:sz w:val="20"/>
                <w:szCs w:val="20"/>
              </w:rPr>
              <w:t>romosozumab</w:t>
            </w:r>
            <w:r w:rsidRPr="00CE157F">
              <w:rPr>
                <w:rFonts w:ascii="Arial Narrow" w:hAnsi="Arial Narrow" w:cs="Arial Narrow"/>
                <w:iCs/>
                <w:sz w:val="20"/>
                <w:szCs w:val="20"/>
              </w:rPr>
              <w:t xml:space="preserve"> is initiated.</w:t>
            </w:r>
          </w:p>
        </w:tc>
      </w:tr>
      <w:tr w:rsidR="00647F3D" w:rsidRPr="00E03D40" w14:paraId="659018C5" w14:textId="77777777" w:rsidTr="00782256">
        <w:tblPrEx>
          <w:tblCellMar>
            <w:top w:w="15" w:type="dxa"/>
            <w:left w:w="15" w:type="dxa"/>
            <w:bottom w:w="15" w:type="dxa"/>
            <w:right w:w="15" w:type="dxa"/>
          </w:tblCellMar>
          <w:tblLook w:val="04A0" w:firstRow="1" w:lastRow="0" w:firstColumn="1" w:lastColumn="0" w:noHBand="0" w:noVBand="1"/>
        </w:tblPrEx>
        <w:tc>
          <w:tcPr>
            <w:tcW w:w="981" w:type="dxa"/>
            <w:gridSpan w:val="2"/>
            <w:vAlign w:val="center"/>
          </w:tcPr>
          <w:p w14:paraId="76F9BE42" w14:textId="75FB7ED6" w:rsidR="00647F3D" w:rsidRPr="00CE157F" w:rsidRDefault="00647F3D" w:rsidP="00782256">
            <w:pPr>
              <w:jc w:val="center"/>
              <w:rPr>
                <w:rFonts w:ascii="Arial Narrow" w:hAnsi="Arial Narrow"/>
                <w:color w:val="333333"/>
                <w:sz w:val="20"/>
                <w:szCs w:val="20"/>
              </w:rPr>
            </w:pPr>
          </w:p>
        </w:tc>
        <w:tc>
          <w:tcPr>
            <w:tcW w:w="8086" w:type="dxa"/>
            <w:gridSpan w:val="8"/>
            <w:vAlign w:val="center"/>
          </w:tcPr>
          <w:p w14:paraId="6604E9F4" w14:textId="77777777" w:rsidR="00647F3D" w:rsidRPr="00CE157F" w:rsidRDefault="00647F3D" w:rsidP="00782256">
            <w:pPr>
              <w:rPr>
                <w:rFonts w:ascii="Arial Narrow" w:hAnsi="Arial Narrow"/>
                <w:sz w:val="20"/>
                <w:szCs w:val="20"/>
              </w:rPr>
            </w:pPr>
            <w:r w:rsidRPr="00CE157F">
              <w:rPr>
                <w:rFonts w:ascii="Arial Narrow" w:hAnsi="Arial Narrow"/>
                <w:b/>
                <w:bCs/>
                <w:color w:val="333333"/>
                <w:sz w:val="20"/>
                <w:szCs w:val="20"/>
              </w:rPr>
              <w:t xml:space="preserve">Prescribing Instructions: </w:t>
            </w:r>
            <w:r w:rsidRPr="00CE157F">
              <w:rPr>
                <w:rFonts w:ascii="Arial Narrow" w:hAnsi="Arial Narrow" w:cs="Arial Narrow"/>
                <w:iCs/>
                <w:sz w:val="20"/>
                <w:szCs w:val="20"/>
              </w:rPr>
              <w:t>Anti-resorptive therapies for osteoporosis and their adequate doses which will be accepted for the purposes of administering this restriction are alendronate sodium 10 mg per day or 70 mg once weekly, risedronate sodium 5 mg per day or 35 mg once weekly or 150 mg once monthly, raloxifene hydrochloride 60 mg per day (women only), denosumab 60 mg once every 6 months and zoledronic acid 5 mg per annum.</w:t>
            </w:r>
          </w:p>
        </w:tc>
      </w:tr>
      <w:tr w:rsidR="00647F3D" w:rsidRPr="00E03D40" w14:paraId="7D6D7A24" w14:textId="77777777" w:rsidTr="00782256">
        <w:tblPrEx>
          <w:tblCellMar>
            <w:top w:w="15" w:type="dxa"/>
            <w:left w:w="15" w:type="dxa"/>
            <w:bottom w:w="15" w:type="dxa"/>
            <w:right w:w="15" w:type="dxa"/>
          </w:tblCellMar>
          <w:tblLook w:val="04A0" w:firstRow="1" w:lastRow="0" w:firstColumn="1" w:lastColumn="0" w:noHBand="0" w:noVBand="1"/>
        </w:tblPrEx>
        <w:tc>
          <w:tcPr>
            <w:tcW w:w="981" w:type="dxa"/>
            <w:gridSpan w:val="2"/>
            <w:vAlign w:val="center"/>
          </w:tcPr>
          <w:p w14:paraId="64132351" w14:textId="4C3DDFA9" w:rsidR="00647F3D" w:rsidRPr="00CE157F" w:rsidRDefault="00647F3D" w:rsidP="00782256">
            <w:pPr>
              <w:jc w:val="center"/>
              <w:rPr>
                <w:rFonts w:ascii="Arial Narrow" w:hAnsi="Arial Narrow"/>
                <w:color w:val="333333"/>
                <w:sz w:val="20"/>
                <w:szCs w:val="20"/>
              </w:rPr>
            </w:pPr>
          </w:p>
        </w:tc>
        <w:tc>
          <w:tcPr>
            <w:tcW w:w="8086" w:type="dxa"/>
            <w:gridSpan w:val="8"/>
            <w:vAlign w:val="center"/>
          </w:tcPr>
          <w:p w14:paraId="4D3ECDE4" w14:textId="77777777" w:rsidR="00647F3D" w:rsidRPr="00CE157F" w:rsidRDefault="00647F3D" w:rsidP="00782256">
            <w:pPr>
              <w:rPr>
                <w:rFonts w:ascii="Arial Narrow" w:hAnsi="Arial Narrow"/>
                <w:b/>
                <w:bCs/>
                <w:color w:val="333333"/>
                <w:sz w:val="20"/>
                <w:szCs w:val="20"/>
              </w:rPr>
            </w:pPr>
            <w:r w:rsidRPr="00CE157F">
              <w:rPr>
                <w:rFonts w:ascii="Arial Narrow" w:hAnsi="Arial Narrow"/>
                <w:b/>
                <w:bCs/>
                <w:color w:val="333333"/>
                <w:sz w:val="20"/>
                <w:szCs w:val="20"/>
              </w:rPr>
              <w:t xml:space="preserve">Prescribing Instructions: </w:t>
            </w:r>
            <w:r w:rsidRPr="00CE157F">
              <w:rPr>
                <w:rFonts w:ascii="Arial Narrow" w:hAnsi="Arial Narrow" w:cs="Arial Narrow"/>
                <w:iCs/>
                <w:sz w:val="20"/>
                <w:szCs w:val="20"/>
              </w:rPr>
              <w:t>Details of prior anti-resorptive therapy, fracture history including the date(s), site(s), the symptoms associated with the fracture(s) which developed after at least 12 months continuous anti-resorptive therapy and the score of the qualifying BMD measurement must be provided at the time of application.</w:t>
            </w:r>
          </w:p>
        </w:tc>
      </w:tr>
      <w:tr w:rsidR="00647F3D" w:rsidRPr="00E03D40" w14:paraId="506F6E5B" w14:textId="77777777" w:rsidTr="00782256">
        <w:tblPrEx>
          <w:tblCellMar>
            <w:top w:w="15" w:type="dxa"/>
            <w:left w:w="15" w:type="dxa"/>
            <w:bottom w:w="15" w:type="dxa"/>
            <w:right w:w="15" w:type="dxa"/>
          </w:tblCellMar>
          <w:tblLook w:val="04A0" w:firstRow="1" w:lastRow="0" w:firstColumn="1" w:lastColumn="0" w:noHBand="0" w:noVBand="1"/>
        </w:tblPrEx>
        <w:tc>
          <w:tcPr>
            <w:tcW w:w="981" w:type="dxa"/>
            <w:gridSpan w:val="2"/>
          </w:tcPr>
          <w:p w14:paraId="6BF3C0DE" w14:textId="7CBA4369" w:rsidR="00647F3D" w:rsidRPr="00CE157F" w:rsidRDefault="00647F3D" w:rsidP="00782256">
            <w:pPr>
              <w:jc w:val="center"/>
              <w:rPr>
                <w:rFonts w:ascii="Arial Narrow" w:hAnsi="Arial Narrow"/>
                <w:color w:val="333333"/>
                <w:sz w:val="20"/>
                <w:szCs w:val="20"/>
              </w:rPr>
            </w:pPr>
          </w:p>
        </w:tc>
        <w:tc>
          <w:tcPr>
            <w:tcW w:w="8086" w:type="dxa"/>
            <w:gridSpan w:val="8"/>
          </w:tcPr>
          <w:p w14:paraId="013B065A" w14:textId="77777777" w:rsidR="00647F3D" w:rsidRPr="00CE157F" w:rsidRDefault="00647F3D" w:rsidP="00782256">
            <w:pPr>
              <w:rPr>
                <w:rFonts w:ascii="Arial Narrow" w:hAnsi="Arial Narrow"/>
                <w:b/>
                <w:bCs/>
                <w:color w:val="333333"/>
                <w:sz w:val="20"/>
                <w:szCs w:val="20"/>
              </w:rPr>
            </w:pPr>
            <w:r w:rsidRPr="00CE157F">
              <w:rPr>
                <w:rFonts w:ascii="Arial Narrow" w:hAnsi="Arial Narrow"/>
                <w:b/>
                <w:bCs/>
                <w:i/>
                <w:iCs/>
                <w:color w:val="333333"/>
                <w:sz w:val="20"/>
                <w:szCs w:val="20"/>
              </w:rPr>
              <w:t xml:space="preserve">Administrative advice: </w:t>
            </w:r>
            <w:r w:rsidRPr="00CE157F">
              <w:rPr>
                <w:rFonts w:ascii="Arial Narrow" w:hAnsi="Arial Narrow"/>
                <w:i/>
                <w:iCs/>
                <w:color w:val="333333"/>
                <w:sz w:val="20"/>
                <w:szCs w:val="20"/>
              </w:rPr>
              <w:t xml:space="preserve">Applications for authorisation under this restriction may be made in real time using the Online PBS Authorities system (see  </w:t>
            </w:r>
            <w:hyperlink r:id="rId10" w:history="1">
              <w:r w:rsidRPr="00CE157F">
                <w:rPr>
                  <w:rStyle w:val="Hyperlink"/>
                  <w:rFonts w:ascii="Arial Narrow" w:hAnsi="Arial Narrow"/>
                  <w:i/>
                  <w:iCs/>
                  <w:sz w:val="20"/>
                  <w:szCs w:val="20"/>
                </w:rPr>
                <w:t>www.servicesaustralia.gov.au/HPOS</w:t>
              </w:r>
            </w:hyperlink>
            <w:r w:rsidRPr="00CE157F">
              <w:rPr>
                <w:rFonts w:ascii="Arial Narrow" w:hAnsi="Arial Narrow"/>
                <w:i/>
                <w:iCs/>
                <w:color w:val="333333"/>
                <w:sz w:val="20"/>
                <w:szCs w:val="20"/>
              </w:rPr>
              <w:t>) or by telephone by contacting Services Australia on 1800 700 270 (hours of operation 8 a.m. to 5 p.m. Monday to Friday).</w:t>
            </w:r>
          </w:p>
        </w:tc>
      </w:tr>
      <w:tr w:rsidR="00647F3D" w:rsidRPr="00120A12" w14:paraId="624BEA78" w14:textId="77777777" w:rsidTr="00782256">
        <w:tblPrEx>
          <w:tblCellMar>
            <w:top w:w="15" w:type="dxa"/>
            <w:left w:w="15" w:type="dxa"/>
            <w:bottom w:w="15" w:type="dxa"/>
            <w:right w:w="15" w:type="dxa"/>
          </w:tblCellMar>
          <w:tblLook w:val="04A0" w:firstRow="1" w:lastRow="0" w:firstColumn="1" w:lastColumn="0" w:noHBand="0" w:noVBand="1"/>
        </w:tblPrEx>
        <w:tc>
          <w:tcPr>
            <w:tcW w:w="9067" w:type="dxa"/>
            <w:gridSpan w:val="10"/>
            <w:vAlign w:val="center"/>
          </w:tcPr>
          <w:p w14:paraId="5DE973B9" w14:textId="77777777" w:rsidR="00647F3D" w:rsidRPr="00CE157F" w:rsidRDefault="00647F3D" w:rsidP="00782256">
            <w:pPr>
              <w:rPr>
                <w:rFonts w:ascii="Arial Narrow" w:hAnsi="Arial Narrow"/>
                <w:bCs/>
                <w:color w:val="FF0000"/>
                <w:sz w:val="20"/>
                <w:szCs w:val="20"/>
              </w:rPr>
            </w:pPr>
          </w:p>
          <w:p w14:paraId="60095D44" w14:textId="77777777" w:rsidR="00647F3D" w:rsidRPr="00CE157F" w:rsidRDefault="00647F3D" w:rsidP="00782256">
            <w:pPr>
              <w:rPr>
                <w:rFonts w:ascii="Arial Narrow" w:hAnsi="Arial Narrow"/>
                <w:bCs/>
                <w:color w:val="FF0000"/>
                <w:sz w:val="20"/>
                <w:szCs w:val="20"/>
              </w:rPr>
            </w:pPr>
          </w:p>
        </w:tc>
      </w:tr>
      <w:tr w:rsidR="00647F3D" w14:paraId="5A6AD68D" w14:textId="77777777" w:rsidTr="00782256">
        <w:tblPrEx>
          <w:tblCellMar>
            <w:top w:w="15" w:type="dxa"/>
            <w:left w:w="15" w:type="dxa"/>
            <w:bottom w:w="15" w:type="dxa"/>
            <w:right w:w="15" w:type="dxa"/>
          </w:tblCellMar>
          <w:tblLook w:val="04A0" w:firstRow="1" w:lastRow="0" w:firstColumn="1" w:lastColumn="0" w:noHBand="0" w:noVBand="1"/>
        </w:tblPrEx>
        <w:tc>
          <w:tcPr>
            <w:tcW w:w="9067" w:type="dxa"/>
            <w:gridSpan w:val="10"/>
            <w:vAlign w:val="center"/>
          </w:tcPr>
          <w:p w14:paraId="156EE599" w14:textId="77777777" w:rsidR="00647F3D" w:rsidRPr="00CE157F" w:rsidRDefault="00647F3D" w:rsidP="00782256">
            <w:pPr>
              <w:rPr>
                <w:rFonts w:ascii="Arial Narrow" w:hAnsi="Arial Narrow"/>
                <w:b/>
                <w:bCs/>
                <w:color w:val="333333"/>
                <w:sz w:val="20"/>
                <w:szCs w:val="20"/>
              </w:rPr>
            </w:pPr>
            <w:r w:rsidRPr="00CE157F">
              <w:rPr>
                <w:rFonts w:ascii="Arial Narrow" w:hAnsi="Arial Narrow"/>
                <w:b/>
                <w:bCs/>
                <w:color w:val="333333"/>
                <w:sz w:val="20"/>
                <w:szCs w:val="20"/>
              </w:rPr>
              <w:t xml:space="preserve">Restriction Summary [new] 4567 / Treatment of Concept: [new] 1234  </w:t>
            </w:r>
          </w:p>
        </w:tc>
      </w:tr>
      <w:tr w:rsidR="00647F3D" w:rsidRPr="00120A12" w14:paraId="11AD1F48" w14:textId="77777777" w:rsidTr="00782256">
        <w:tblPrEx>
          <w:tblCellMar>
            <w:top w:w="15" w:type="dxa"/>
            <w:left w:w="15" w:type="dxa"/>
            <w:bottom w:w="15" w:type="dxa"/>
            <w:right w:w="15" w:type="dxa"/>
          </w:tblCellMar>
          <w:tblLook w:val="04A0" w:firstRow="1" w:lastRow="0" w:firstColumn="1" w:lastColumn="0" w:noHBand="0" w:noVBand="1"/>
        </w:tblPrEx>
        <w:tc>
          <w:tcPr>
            <w:tcW w:w="981" w:type="dxa"/>
            <w:gridSpan w:val="2"/>
            <w:vMerge w:val="restart"/>
            <w:tcBorders>
              <w:top w:val="single" w:sz="4" w:space="0" w:color="auto"/>
              <w:left w:val="single" w:sz="4" w:space="0" w:color="auto"/>
              <w:right w:val="single" w:sz="4" w:space="0" w:color="auto"/>
            </w:tcBorders>
          </w:tcPr>
          <w:p w14:paraId="2A9EDA10" w14:textId="28CE9C25" w:rsidR="00647F3D" w:rsidRPr="00CE157F" w:rsidRDefault="00647F3D" w:rsidP="00782256">
            <w:pPr>
              <w:jc w:val="center"/>
              <w:rPr>
                <w:rFonts w:ascii="Arial Narrow" w:hAnsi="Arial Narrow"/>
                <w:sz w:val="20"/>
                <w:szCs w:val="20"/>
              </w:rPr>
            </w:pPr>
          </w:p>
        </w:tc>
        <w:tc>
          <w:tcPr>
            <w:tcW w:w="8086" w:type="dxa"/>
            <w:gridSpan w:val="8"/>
            <w:tcBorders>
              <w:top w:val="single" w:sz="4" w:space="0" w:color="auto"/>
              <w:left w:val="single" w:sz="4" w:space="0" w:color="auto"/>
              <w:bottom w:val="single" w:sz="4" w:space="0" w:color="auto"/>
              <w:right w:val="single" w:sz="4" w:space="0" w:color="auto"/>
            </w:tcBorders>
          </w:tcPr>
          <w:p w14:paraId="2B205016" w14:textId="77777777" w:rsidR="00647F3D" w:rsidRPr="00CE157F" w:rsidRDefault="00647F3D" w:rsidP="00782256">
            <w:pPr>
              <w:rPr>
                <w:rFonts w:ascii="Arial Narrow" w:hAnsi="Arial Narrow"/>
                <w:sz w:val="20"/>
                <w:szCs w:val="20"/>
              </w:rPr>
            </w:pPr>
            <w:r w:rsidRPr="00CE157F">
              <w:rPr>
                <w:rFonts w:ascii="Arial Narrow" w:hAnsi="Arial Narrow"/>
                <w:b/>
                <w:sz w:val="20"/>
                <w:szCs w:val="20"/>
              </w:rPr>
              <w:t xml:space="preserve">Category / Program:   </w:t>
            </w:r>
            <w:r w:rsidRPr="00CE157F">
              <w:rPr>
                <w:rFonts w:ascii="Arial Narrow" w:hAnsi="Arial Narrow"/>
                <w:sz w:val="20"/>
                <w:szCs w:val="20"/>
              </w:rPr>
              <w:t>GENERAL – General Schedule (Code GE)</w:t>
            </w:r>
            <w:r w:rsidRPr="00CE157F">
              <w:rPr>
                <w:rFonts w:ascii="Arial Narrow" w:hAnsi="Arial Narrow"/>
                <w:color w:val="FF0000"/>
                <w:sz w:val="20"/>
                <w:szCs w:val="20"/>
              </w:rPr>
              <w:t xml:space="preserve"> </w:t>
            </w:r>
          </w:p>
        </w:tc>
      </w:tr>
      <w:tr w:rsidR="00647F3D" w:rsidRPr="00120A12" w14:paraId="7A7263B9" w14:textId="77777777" w:rsidTr="00782256">
        <w:tblPrEx>
          <w:tblCellMar>
            <w:top w:w="15" w:type="dxa"/>
            <w:left w:w="15" w:type="dxa"/>
            <w:bottom w:w="15" w:type="dxa"/>
            <w:right w:w="15" w:type="dxa"/>
          </w:tblCellMar>
          <w:tblLook w:val="04A0" w:firstRow="1" w:lastRow="0" w:firstColumn="1" w:lastColumn="0" w:noHBand="0" w:noVBand="1"/>
        </w:tblPrEx>
        <w:trPr>
          <w:trHeight w:val="240"/>
        </w:trPr>
        <w:tc>
          <w:tcPr>
            <w:tcW w:w="981" w:type="dxa"/>
            <w:gridSpan w:val="2"/>
            <w:vMerge/>
            <w:tcBorders>
              <w:left w:val="single" w:sz="4" w:space="0" w:color="auto"/>
              <w:right w:val="single" w:sz="4" w:space="0" w:color="auto"/>
            </w:tcBorders>
          </w:tcPr>
          <w:p w14:paraId="3995C4FB" w14:textId="77777777" w:rsidR="00647F3D" w:rsidRPr="00CE157F" w:rsidRDefault="00647F3D" w:rsidP="00782256">
            <w:pPr>
              <w:rPr>
                <w:rFonts w:ascii="Arial Narrow" w:hAnsi="Arial Narrow"/>
                <w:sz w:val="20"/>
                <w:szCs w:val="20"/>
              </w:rPr>
            </w:pPr>
          </w:p>
        </w:tc>
        <w:tc>
          <w:tcPr>
            <w:tcW w:w="8086" w:type="dxa"/>
            <w:gridSpan w:val="8"/>
            <w:tcBorders>
              <w:top w:val="single" w:sz="4" w:space="0" w:color="auto"/>
              <w:left w:val="single" w:sz="4" w:space="0" w:color="auto"/>
              <w:bottom w:val="single" w:sz="4" w:space="0" w:color="auto"/>
              <w:right w:val="single" w:sz="4" w:space="0" w:color="auto"/>
            </w:tcBorders>
          </w:tcPr>
          <w:p w14:paraId="41B29106" w14:textId="77777777" w:rsidR="00647F3D" w:rsidRPr="00CE157F" w:rsidRDefault="00647F3D" w:rsidP="00782256">
            <w:pPr>
              <w:rPr>
                <w:rFonts w:ascii="Arial Narrow" w:hAnsi="Arial Narrow"/>
                <w:b/>
                <w:sz w:val="20"/>
                <w:szCs w:val="20"/>
              </w:rPr>
            </w:pPr>
            <w:r w:rsidRPr="00CE157F">
              <w:rPr>
                <w:rFonts w:ascii="Arial Narrow" w:hAnsi="Arial Narrow"/>
                <w:b/>
                <w:sz w:val="20"/>
                <w:szCs w:val="20"/>
              </w:rPr>
              <w:t xml:space="preserve">Prescriber type:   </w:t>
            </w:r>
            <w:r w:rsidRPr="00CE157F">
              <w:rPr>
                <w:rFonts w:ascii="Arial Narrow" w:hAnsi="Arial Narrow"/>
                <w:sz w:val="20"/>
                <w:szCs w:val="20"/>
              </w:rPr>
              <w:fldChar w:fldCharType="begin">
                <w:ffData>
                  <w:name w:val=""/>
                  <w:enabled/>
                  <w:calcOnExit w:val="0"/>
                  <w:checkBox>
                    <w:sizeAuto/>
                    <w:default w:val="1"/>
                  </w:checkBox>
                </w:ffData>
              </w:fldChar>
            </w:r>
            <w:r w:rsidRPr="00CE157F">
              <w:rPr>
                <w:rFonts w:ascii="Arial Narrow" w:hAnsi="Arial Narrow"/>
                <w:sz w:val="20"/>
                <w:szCs w:val="20"/>
              </w:rPr>
              <w:instrText xml:space="preserve"> FORMCHECKBOX </w:instrText>
            </w:r>
            <w:r w:rsidR="00EC16BE">
              <w:rPr>
                <w:rFonts w:ascii="Arial Narrow" w:hAnsi="Arial Narrow"/>
                <w:sz w:val="20"/>
                <w:szCs w:val="20"/>
              </w:rPr>
            </w:r>
            <w:r w:rsidR="00EC16BE">
              <w:rPr>
                <w:rFonts w:ascii="Arial Narrow" w:hAnsi="Arial Narrow"/>
                <w:sz w:val="20"/>
                <w:szCs w:val="20"/>
              </w:rPr>
              <w:fldChar w:fldCharType="separate"/>
            </w:r>
            <w:r w:rsidRPr="00CE157F">
              <w:rPr>
                <w:rFonts w:ascii="Arial Narrow" w:hAnsi="Arial Narrow"/>
                <w:sz w:val="20"/>
                <w:szCs w:val="20"/>
              </w:rPr>
              <w:fldChar w:fldCharType="end"/>
            </w:r>
            <w:r w:rsidRPr="00CE157F">
              <w:rPr>
                <w:rFonts w:ascii="Arial Narrow" w:hAnsi="Arial Narrow"/>
                <w:sz w:val="20"/>
                <w:szCs w:val="20"/>
              </w:rPr>
              <w:t xml:space="preserve">Medical Practitioners </w:t>
            </w:r>
          </w:p>
        </w:tc>
      </w:tr>
      <w:tr w:rsidR="00647F3D" w:rsidRPr="00120A12" w14:paraId="1DC32B4C" w14:textId="77777777" w:rsidTr="00782256">
        <w:tblPrEx>
          <w:tblCellMar>
            <w:top w:w="15" w:type="dxa"/>
            <w:left w:w="15" w:type="dxa"/>
            <w:bottom w:w="15" w:type="dxa"/>
            <w:right w:w="15" w:type="dxa"/>
          </w:tblCellMar>
          <w:tblLook w:val="04A0" w:firstRow="1" w:lastRow="0" w:firstColumn="1" w:lastColumn="0" w:noHBand="0" w:noVBand="1"/>
        </w:tblPrEx>
        <w:trPr>
          <w:trHeight w:val="396"/>
        </w:trPr>
        <w:tc>
          <w:tcPr>
            <w:tcW w:w="981" w:type="dxa"/>
            <w:gridSpan w:val="2"/>
            <w:vMerge/>
            <w:tcBorders>
              <w:left w:val="single" w:sz="4" w:space="0" w:color="auto"/>
              <w:bottom w:val="single" w:sz="4" w:space="0" w:color="auto"/>
              <w:right w:val="single" w:sz="4" w:space="0" w:color="auto"/>
            </w:tcBorders>
          </w:tcPr>
          <w:p w14:paraId="1168BA87" w14:textId="77777777" w:rsidR="00647F3D" w:rsidRPr="00CE157F" w:rsidRDefault="00647F3D" w:rsidP="00782256">
            <w:pPr>
              <w:rPr>
                <w:rFonts w:ascii="Arial Narrow" w:hAnsi="Arial Narrow"/>
                <w:sz w:val="20"/>
                <w:szCs w:val="20"/>
              </w:rPr>
            </w:pPr>
          </w:p>
        </w:tc>
        <w:tc>
          <w:tcPr>
            <w:tcW w:w="8086" w:type="dxa"/>
            <w:gridSpan w:val="8"/>
            <w:tcBorders>
              <w:top w:val="single" w:sz="4" w:space="0" w:color="auto"/>
              <w:left w:val="single" w:sz="4" w:space="0" w:color="auto"/>
              <w:bottom w:val="single" w:sz="4" w:space="0" w:color="auto"/>
              <w:right w:val="single" w:sz="4" w:space="0" w:color="auto"/>
            </w:tcBorders>
          </w:tcPr>
          <w:p w14:paraId="79C88C81" w14:textId="77777777" w:rsidR="00647F3D" w:rsidRPr="00CE157F" w:rsidRDefault="00647F3D" w:rsidP="00782256">
            <w:pPr>
              <w:rPr>
                <w:rFonts w:ascii="Arial Narrow" w:eastAsia="Calibri" w:hAnsi="Arial Narrow"/>
                <w:color w:val="FF00FF"/>
                <w:sz w:val="20"/>
                <w:szCs w:val="20"/>
              </w:rPr>
            </w:pPr>
            <w:r w:rsidRPr="00CE157F">
              <w:rPr>
                <w:rFonts w:ascii="Arial Narrow" w:hAnsi="Arial Narrow"/>
                <w:b/>
                <w:sz w:val="20"/>
                <w:szCs w:val="20"/>
              </w:rPr>
              <w:t xml:space="preserve">Restriction type: </w:t>
            </w:r>
            <w:r w:rsidRPr="00CE157F">
              <w:rPr>
                <w:rFonts w:ascii="Arial Narrow" w:eastAsia="Calibri" w:hAnsi="Arial Narrow"/>
                <w:sz w:val="20"/>
                <w:szCs w:val="20"/>
              </w:rPr>
              <w:fldChar w:fldCharType="begin">
                <w:ffData>
                  <w:name w:val=""/>
                  <w:enabled/>
                  <w:calcOnExit w:val="0"/>
                  <w:checkBox>
                    <w:sizeAuto/>
                    <w:default w:val="1"/>
                  </w:checkBox>
                </w:ffData>
              </w:fldChar>
            </w:r>
            <w:r w:rsidRPr="00CE157F">
              <w:rPr>
                <w:rFonts w:ascii="Arial Narrow" w:eastAsia="Calibri" w:hAnsi="Arial Narrow"/>
                <w:sz w:val="20"/>
                <w:szCs w:val="20"/>
              </w:rPr>
              <w:instrText xml:space="preserve"> FORMCHECKBOX </w:instrText>
            </w:r>
            <w:r w:rsidR="00EC16BE">
              <w:rPr>
                <w:rFonts w:ascii="Arial Narrow" w:eastAsia="Calibri" w:hAnsi="Arial Narrow"/>
                <w:sz w:val="20"/>
                <w:szCs w:val="20"/>
              </w:rPr>
            </w:r>
            <w:r w:rsidR="00EC16BE">
              <w:rPr>
                <w:rFonts w:ascii="Arial Narrow" w:eastAsia="Calibri" w:hAnsi="Arial Narrow"/>
                <w:sz w:val="20"/>
                <w:szCs w:val="20"/>
              </w:rPr>
              <w:fldChar w:fldCharType="separate"/>
            </w:r>
            <w:r w:rsidRPr="00CE157F">
              <w:rPr>
                <w:rFonts w:ascii="Arial Narrow" w:eastAsia="Calibri" w:hAnsi="Arial Narrow"/>
                <w:sz w:val="20"/>
                <w:szCs w:val="20"/>
              </w:rPr>
              <w:fldChar w:fldCharType="end"/>
            </w:r>
            <w:r w:rsidRPr="00CE157F">
              <w:rPr>
                <w:rFonts w:ascii="Arial Narrow" w:eastAsia="Calibri" w:hAnsi="Arial Narrow"/>
                <w:sz w:val="20"/>
                <w:szCs w:val="20"/>
              </w:rPr>
              <w:t>Authority Required (STREAMLINED)</w:t>
            </w:r>
          </w:p>
        </w:tc>
      </w:tr>
      <w:tr w:rsidR="00647F3D" w:rsidRPr="001A310D" w14:paraId="04EE2D1B" w14:textId="77777777" w:rsidTr="00782256">
        <w:tblPrEx>
          <w:tblCellMar>
            <w:top w:w="15" w:type="dxa"/>
            <w:left w:w="15" w:type="dxa"/>
            <w:bottom w:w="15" w:type="dxa"/>
            <w:right w:w="15" w:type="dxa"/>
          </w:tblCellMar>
          <w:tblLook w:val="04A0" w:firstRow="1" w:lastRow="0" w:firstColumn="1" w:lastColumn="0" w:noHBand="0" w:noVBand="1"/>
        </w:tblPrEx>
        <w:tc>
          <w:tcPr>
            <w:tcW w:w="981" w:type="dxa"/>
            <w:gridSpan w:val="2"/>
            <w:vMerge w:val="restart"/>
            <w:vAlign w:val="center"/>
          </w:tcPr>
          <w:p w14:paraId="6360D4F4" w14:textId="77777777" w:rsidR="00647F3D" w:rsidRPr="00CE157F" w:rsidRDefault="00647F3D" w:rsidP="00782256">
            <w:pPr>
              <w:jc w:val="center"/>
              <w:rPr>
                <w:rFonts w:ascii="Arial Narrow" w:hAnsi="Arial Narrow"/>
                <w:color w:val="DDD9C3" w:themeColor="background2" w:themeShade="E6"/>
                <w:sz w:val="20"/>
                <w:szCs w:val="20"/>
              </w:rPr>
            </w:pPr>
          </w:p>
        </w:tc>
        <w:tc>
          <w:tcPr>
            <w:tcW w:w="8086" w:type="dxa"/>
            <w:gridSpan w:val="8"/>
            <w:vAlign w:val="center"/>
          </w:tcPr>
          <w:p w14:paraId="14D68662" w14:textId="77777777" w:rsidR="00647F3D" w:rsidRPr="00CE157F" w:rsidRDefault="00647F3D" w:rsidP="00782256">
            <w:pPr>
              <w:rPr>
                <w:rFonts w:ascii="Arial Narrow" w:hAnsi="Arial Narrow"/>
                <w:bCs/>
                <w:color w:val="DDD9C3" w:themeColor="background2" w:themeShade="E6"/>
                <w:sz w:val="20"/>
                <w:szCs w:val="20"/>
              </w:rPr>
            </w:pPr>
            <w:r w:rsidRPr="00CE157F">
              <w:rPr>
                <w:rFonts w:ascii="Arial Narrow" w:hAnsi="Arial Narrow"/>
                <w:b/>
                <w:bCs/>
                <w:color w:val="DDD9C3" w:themeColor="background2" w:themeShade="E6"/>
                <w:sz w:val="20"/>
                <w:szCs w:val="20"/>
              </w:rPr>
              <w:t xml:space="preserve">Episodicity: </w:t>
            </w:r>
          </w:p>
        </w:tc>
      </w:tr>
      <w:tr w:rsidR="00647F3D" w:rsidRPr="00120A12" w14:paraId="41245CD3" w14:textId="77777777" w:rsidTr="00782256">
        <w:tblPrEx>
          <w:tblCellMar>
            <w:top w:w="15" w:type="dxa"/>
            <w:left w:w="15" w:type="dxa"/>
            <w:bottom w:w="15" w:type="dxa"/>
            <w:right w:w="15" w:type="dxa"/>
          </w:tblCellMar>
          <w:tblLook w:val="04A0" w:firstRow="1" w:lastRow="0" w:firstColumn="1" w:lastColumn="0" w:noHBand="0" w:noVBand="1"/>
        </w:tblPrEx>
        <w:tc>
          <w:tcPr>
            <w:tcW w:w="981" w:type="dxa"/>
            <w:gridSpan w:val="2"/>
            <w:vMerge/>
            <w:vAlign w:val="center"/>
          </w:tcPr>
          <w:p w14:paraId="40450D92" w14:textId="77777777" w:rsidR="00647F3D" w:rsidRPr="00CE157F" w:rsidRDefault="00647F3D" w:rsidP="00782256">
            <w:pPr>
              <w:jc w:val="center"/>
              <w:rPr>
                <w:rFonts w:ascii="Arial Narrow" w:hAnsi="Arial Narrow"/>
                <w:color w:val="DDD9C3" w:themeColor="background2" w:themeShade="E6"/>
                <w:sz w:val="20"/>
                <w:szCs w:val="20"/>
              </w:rPr>
            </w:pPr>
          </w:p>
        </w:tc>
        <w:tc>
          <w:tcPr>
            <w:tcW w:w="8086" w:type="dxa"/>
            <w:gridSpan w:val="8"/>
            <w:vAlign w:val="center"/>
          </w:tcPr>
          <w:p w14:paraId="34266CB0" w14:textId="77777777" w:rsidR="00647F3D" w:rsidRPr="00CE157F" w:rsidRDefault="00647F3D" w:rsidP="00782256">
            <w:pPr>
              <w:rPr>
                <w:rFonts w:ascii="Arial Narrow" w:hAnsi="Arial Narrow"/>
                <w:b/>
                <w:bCs/>
                <w:color w:val="DDD9C3" w:themeColor="background2" w:themeShade="E6"/>
                <w:sz w:val="20"/>
                <w:szCs w:val="20"/>
              </w:rPr>
            </w:pPr>
            <w:r w:rsidRPr="00CE157F">
              <w:rPr>
                <w:rFonts w:ascii="Arial Narrow" w:hAnsi="Arial Narrow"/>
                <w:b/>
                <w:bCs/>
                <w:color w:val="DDD9C3" w:themeColor="background2" w:themeShade="E6"/>
                <w:sz w:val="20"/>
                <w:szCs w:val="20"/>
              </w:rPr>
              <w:t xml:space="preserve">Severity: Severe </w:t>
            </w:r>
          </w:p>
        </w:tc>
      </w:tr>
      <w:tr w:rsidR="00647F3D" w:rsidRPr="00120A12" w14:paraId="34A7ACF7" w14:textId="77777777" w:rsidTr="00782256">
        <w:tblPrEx>
          <w:tblCellMar>
            <w:top w:w="15" w:type="dxa"/>
            <w:left w:w="15" w:type="dxa"/>
            <w:bottom w:w="15" w:type="dxa"/>
            <w:right w:w="15" w:type="dxa"/>
          </w:tblCellMar>
          <w:tblLook w:val="04A0" w:firstRow="1" w:lastRow="0" w:firstColumn="1" w:lastColumn="0" w:noHBand="0" w:noVBand="1"/>
        </w:tblPrEx>
        <w:tc>
          <w:tcPr>
            <w:tcW w:w="981" w:type="dxa"/>
            <w:gridSpan w:val="2"/>
            <w:vMerge/>
            <w:vAlign w:val="center"/>
          </w:tcPr>
          <w:p w14:paraId="2B09F008" w14:textId="77777777" w:rsidR="00647F3D" w:rsidRPr="00CE157F" w:rsidRDefault="00647F3D" w:rsidP="00782256">
            <w:pPr>
              <w:jc w:val="center"/>
              <w:rPr>
                <w:rFonts w:ascii="Arial Narrow" w:hAnsi="Arial Narrow"/>
                <w:color w:val="DDD9C3" w:themeColor="background2" w:themeShade="E6"/>
                <w:sz w:val="20"/>
                <w:szCs w:val="20"/>
              </w:rPr>
            </w:pPr>
          </w:p>
        </w:tc>
        <w:tc>
          <w:tcPr>
            <w:tcW w:w="8086" w:type="dxa"/>
            <w:gridSpan w:val="8"/>
            <w:vAlign w:val="center"/>
          </w:tcPr>
          <w:p w14:paraId="374A3388" w14:textId="77777777" w:rsidR="00647F3D" w:rsidRPr="00CE157F" w:rsidRDefault="00647F3D" w:rsidP="00782256">
            <w:pPr>
              <w:rPr>
                <w:rFonts w:ascii="Arial Narrow" w:hAnsi="Arial Narrow"/>
                <w:b/>
                <w:bCs/>
                <w:color w:val="DDD9C3" w:themeColor="background2" w:themeShade="E6"/>
                <w:sz w:val="20"/>
                <w:szCs w:val="20"/>
              </w:rPr>
            </w:pPr>
            <w:r w:rsidRPr="00CE157F">
              <w:rPr>
                <w:rFonts w:ascii="Arial Narrow" w:hAnsi="Arial Narrow"/>
                <w:b/>
                <w:bCs/>
                <w:color w:val="DDD9C3" w:themeColor="background2" w:themeShade="E6"/>
                <w:sz w:val="20"/>
                <w:szCs w:val="20"/>
              </w:rPr>
              <w:t>Condition: Established osteoporosis</w:t>
            </w:r>
          </w:p>
        </w:tc>
      </w:tr>
      <w:tr w:rsidR="00647F3D" w:rsidRPr="00120A12" w14:paraId="5279453F" w14:textId="77777777" w:rsidTr="00A11377">
        <w:tblPrEx>
          <w:tblCellMar>
            <w:top w:w="15" w:type="dxa"/>
            <w:left w:w="15" w:type="dxa"/>
            <w:bottom w:w="15" w:type="dxa"/>
            <w:right w:w="15" w:type="dxa"/>
          </w:tblCellMar>
          <w:tblLook w:val="04A0" w:firstRow="1" w:lastRow="0" w:firstColumn="1" w:lastColumn="0" w:noHBand="0" w:noVBand="1"/>
        </w:tblPrEx>
        <w:tc>
          <w:tcPr>
            <w:tcW w:w="981" w:type="dxa"/>
            <w:gridSpan w:val="2"/>
            <w:vAlign w:val="center"/>
          </w:tcPr>
          <w:p w14:paraId="1FA3614A" w14:textId="1949006D" w:rsidR="00647F3D" w:rsidRPr="00CE157F" w:rsidRDefault="00647F3D" w:rsidP="00782256">
            <w:pPr>
              <w:jc w:val="center"/>
              <w:rPr>
                <w:rFonts w:ascii="Arial Narrow" w:hAnsi="Arial Narrow"/>
                <w:color w:val="333333"/>
                <w:sz w:val="20"/>
                <w:szCs w:val="20"/>
              </w:rPr>
            </w:pPr>
          </w:p>
        </w:tc>
        <w:tc>
          <w:tcPr>
            <w:tcW w:w="8086" w:type="dxa"/>
            <w:gridSpan w:val="8"/>
            <w:vAlign w:val="center"/>
            <w:hideMark/>
          </w:tcPr>
          <w:p w14:paraId="59D81A64" w14:textId="77777777" w:rsidR="00647F3D" w:rsidRPr="00CE157F" w:rsidRDefault="00647F3D" w:rsidP="00782256">
            <w:pPr>
              <w:rPr>
                <w:rFonts w:ascii="Arial Narrow" w:hAnsi="Arial Narrow"/>
                <w:color w:val="333333"/>
                <w:sz w:val="20"/>
                <w:szCs w:val="20"/>
              </w:rPr>
            </w:pPr>
            <w:r w:rsidRPr="00CE157F">
              <w:rPr>
                <w:rFonts w:ascii="Arial Narrow" w:hAnsi="Arial Narrow"/>
                <w:b/>
                <w:bCs/>
                <w:color w:val="333333"/>
                <w:sz w:val="20"/>
                <w:szCs w:val="20"/>
              </w:rPr>
              <w:t>Indication:</w:t>
            </w:r>
            <w:r w:rsidRPr="00CE157F">
              <w:rPr>
                <w:rFonts w:ascii="Arial Narrow" w:hAnsi="Arial Narrow"/>
                <w:color w:val="333333"/>
                <w:sz w:val="20"/>
                <w:szCs w:val="20"/>
              </w:rPr>
              <w:t xml:space="preserve"> Severe established osteoporosis </w:t>
            </w:r>
          </w:p>
        </w:tc>
      </w:tr>
      <w:tr w:rsidR="00647F3D" w:rsidRPr="00B90897" w14:paraId="31BE0489" w14:textId="77777777" w:rsidTr="00A11377">
        <w:tblPrEx>
          <w:tblCellMar>
            <w:top w:w="15" w:type="dxa"/>
            <w:left w:w="15" w:type="dxa"/>
            <w:bottom w:w="15" w:type="dxa"/>
            <w:right w:w="15" w:type="dxa"/>
          </w:tblCellMar>
          <w:tblLook w:val="04A0" w:firstRow="1" w:lastRow="0" w:firstColumn="1" w:lastColumn="0" w:noHBand="0" w:noVBand="1"/>
        </w:tblPrEx>
        <w:tc>
          <w:tcPr>
            <w:tcW w:w="981" w:type="dxa"/>
            <w:gridSpan w:val="2"/>
            <w:vAlign w:val="center"/>
          </w:tcPr>
          <w:p w14:paraId="11625057" w14:textId="77777777" w:rsidR="00647F3D" w:rsidRPr="00CE157F" w:rsidRDefault="00647F3D" w:rsidP="00782256">
            <w:pPr>
              <w:jc w:val="center"/>
              <w:rPr>
                <w:rFonts w:ascii="Arial Narrow" w:hAnsi="Arial Narrow"/>
                <w:color w:val="333333"/>
                <w:sz w:val="20"/>
                <w:szCs w:val="20"/>
              </w:rPr>
            </w:pPr>
          </w:p>
        </w:tc>
        <w:tc>
          <w:tcPr>
            <w:tcW w:w="8086" w:type="dxa"/>
            <w:gridSpan w:val="8"/>
            <w:vAlign w:val="center"/>
            <w:hideMark/>
          </w:tcPr>
          <w:p w14:paraId="03B0D3E7" w14:textId="77777777" w:rsidR="00647F3D" w:rsidRPr="00CE157F" w:rsidRDefault="00647F3D" w:rsidP="00782256">
            <w:pPr>
              <w:rPr>
                <w:rFonts w:ascii="Arial Narrow" w:hAnsi="Arial Narrow"/>
                <w:color w:val="FF00FF"/>
                <w:sz w:val="20"/>
                <w:szCs w:val="20"/>
              </w:rPr>
            </w:pPr>
            <w:r w:rsidRPr="00CE157F">
              <w:rPr>
                <w:rFonts w:ascii="Arial Narrow" w:hAnsi="Arial Narrow"/>
                <w:b/>
                <w:bCs/>
                <w:color w:val="333333"/>
                <w:sz w:val="20"/>
                <w:szCs w:val="20"/>
              </w:rPr>
              <w:t>Treatment Phase:</w:t>
            </w:r>
            <w:r w:rsidRPr="00CE157F">
              <w:rPr>
                <w:rFonts w:ascii="Arial Narrow" w:hAnsi="Arial Narrow"/>
                <w:color w:val="FF0000"/>
                <w:sz w:val="20"/>
                <w:szCs w:val="20"/>
              </w:rPr>
              <w:t xml:space="preserve"> </w:t>
            </w:r>
            <w:r w:rsidRPr="00CE157F">
              <w:rPr>
                <w:rFonts w:ascii="Arial Narrow" w:hAnsi="Arial Narrow"/>
                <w:color w:val="333333"/>
                <w:sz w:val="20"/>
                <w:szCs w:val="20"/>
              </w:rPr>
              <w:t>Continuing treatment</w:t>
            </w:r>
            <w:r w:rsidRPr="00CE157F">
              <w:rPr>
                <w:rFonts w:ascii="Arial Narrow" w:hAnsi="Arial Narrow"/>
                <w:color w:val="FF0000"/>
                <w:sz w:val="20"/>
                <w:szCs w:val="20"/>
              </w:rPr>
              <w:t xml:space="preserve">  </w:t>
            </w:r>
          </w:p>
        </w:tc>
      </w:tr>
      <w:tr w:rsidR="00647F3D" w:rsidRPr="007F2BB2" w14:paraId="467BBE6C" w14:textId="77777777" w:rsidTr="00A11377">
        <w:tblPrEx>
          <w:tblCellMar>
            <w:top w:w="15" w:type="dxa"/>
            <w:left w:w="15" w:type="dxa"/>
            <w:bottom w:w="15" w:type="dxa"/>
            <w:right w:w="15" w:type="dxa"/>
          </w:tblCellMar>
          <w:tblLook w:val="04A0" w:firstRow="1" w:lastRow="0" w:firstColumn="1" w:lastColumn="0" w:noHBand="0" w:noVBand="1"/>
        </w:tblPrEx>
        <w:tc>
          <w:tcPr>
            <w:tcW w:w="981" w:type="dxa"/>
            <w:gridSpan w:val="2"/>
          </w:tcPr>
          <w:p w14:paraId="61C0B769" w14:textId="20A205EE" w:rsidR="00647F3D" w:rsidRPr="00CE157F" w:rsidRDefault="00647F3D" w:rsidP="00782256">
            <w:pPr>
              <w:jc w:val="center"/>
              <w:rPr>
                <w:rFonts w:ascii="Arial Narrow" w:hAnsi="Arial Narrow"/>
                <w:color w:val="333333"/>
                <w:sz w:val="20"/>
                <w:szCs w:val="20"/>
              </w:rPr>
            </w:pPr>
          </w:p>
        </w:tc>
        <w:tc>
          <w:tcPr>
            <w:tcW w:w="8086" w:type="dxa"/>
            <w:gridSpan w:val="8"/>
            <w:hideMark/>
          </w:tcPr>
          <w:p w14:paraId="39492776" w14:textId="77777777" w:rsidR="00647F3D" w:rsidRPr="00CE157F" w:rsidRDefault="00647F3D" w:rsidP="00782256">
            <w:pPr>
              <w:rPr>
                <w:rFonts w:ascii="Arial Narrow" w:hAnsi="Arial Narrow"/>
                <w:color w:val="FF00FF"/>
                <w:sz w:val="20"/>
                <w:szCs w:val="20"/>
              </w:rPr>
            </w:pPr>
            <w:r w:rsidRPr="00CE157F">
              <w:rPr>
                <w:rFonts w:ascii="Arial Narrow" w:hAnsi="Arial Narrow"/>
                <w:b/>
                <w:bCs/>
                <w:color w:val="333333"/>
                <w:sz w:val="20"/>
                <w:szCs w:val="20"/>
              </w:rPr>
              <w:t>Clinical</w:t>
            </w:r>
            <w:r w:rsidRPr="00CE157F">
              <w:rPr>
                <w:sz w:val="20"/>
                <w:szCs w:val="20"/>
              </w:rPr>
              <w:t xml:space="preserve"> </w:t>
            </w:r>
            <w:r w:rsidRPr="00CE157F">
              <w:rPr>
                <w:rFonts w:ascii="Arial Narrow" w:hAnsi="Arial Narrow"/>
                <w:b/>
                <w:bCs/>
                <w:color w:val="333333"/>
                <w:sz w:val="20"/>
                <w:szCs w:val="20"/>
              </w:rPr>
              <w:t>criteria</w:t>
            </w:r>
            <w:r w:rsidRPr="00CE157F">
              <w:rPr>
                <w:sz w:val="20"/>
                <w:szCs w:val="20"/>
              </w:rPr>
              <w:t xml:space="preserve">: </w:t>
            </w:r>
          </w:p>
        </w:tc>
      </w:tr>
      <w:tr w:rsidR="00647F3D" w:rsidRPr="00720161" w14:paraId="4CCCF321" w14:textId="77777777" w:rsidTr="00A11377">
        <w:tblPrEx>
          <w:tblCellMar>
            <w:top w:w="15" w:type="dxa"/>
            <w:left w:w="15" w:type="dxa"/>
            <w:bottom w:w="15" w:type="dxa"/>
            <w:right w:w="15" w:type="dxa"/>
          </w:tblCellMar>
          <w:tblLook w:val="04A0" w:firstRow="1" w:lastRow="0" w:firstColumn="1" w:lastColumn="0" w:noHBand="0" w:noVBand="1"/>
        </w:tblPrEx>
        <w:tc>
          <w:tcPr>
            <w:tcW w:w="981" w:type="dxa"/>
            <w:gridSpan w:val="2"/>
          </w:tcPr>
          <w:p w14:paraId="144505EF" w14:textId="02CA3503" w:rsidR="00647F3D" w:rsidRPr="00CE157F" w:rsidRDefault="00647F3D" w:rsidP="00782256">
            <w:pPr>
              <w:jc w:val="center"/>
              <w:rPr>
                <w:rFonts w:ascii="Arial Narrow" w:hAnsi="Arial Narrow"/>
                <w:color w:val="333333"/>
                <w:sz w:val="20"/>
                <w:szCs w:val="20"/>
              </w:rPr>
            </w:pPr>
          </w:p>
        </w:tc>
        <w:tc>
          <w:tcPr>
            <w:tcW w:w="8086" w:type="dxa"/>
            <w:gridSpan w:val="8"/>
            <w:hideMark/>
          </w:tcPr>
          <w:p w14:paraId="37016D5A" w14:textId="77777777" w:rsidR="00647F3D" w:rsidRPr="00CE157F" w:rsidRDefault="00647F3D" w:rsidP="00782256">
            <w:pPr>
              <w:rPr>
                <w:rFonts w:ascii="Arial Narrow" w:hAnsi="Arial Narrow"/>
                <w:color w:val="333333"/>
                <w:sz w:val="20"/>
                <w:szCs w:val="20"/>
              </w:rPr>
            </w:pPr>
            <w:r w:rsidRPr="00CE157F">
              <w:rPr>
                <w:rFonts w:ascii="Arial Narrow" w:hAnsi="Arial Narrow"/>
                <w:color w:val="333333"/>
                <w:sz w:val="20"/>
                <w:szCs w:val="20"/>
              </w:rPr>
              <w:t>Patient must have previously received PBS-subsidised treatment with this drug for this condition.</w:t>
            </w:r>
          </w:p>
        </w:tc>
      </w:tr>
      <w:tr w:rsidR="00647F3D" w:rsidRPr="00120A12" w14:paraId="698AFB15" w14:textId="77777777" w:rsidTr="00782256">
        <w:tblPrEx>
          <w:tblCellMar>
            <w:top w:w="15" w:type="dxa"/>
            <w:left w:w="15" w:type="dxa"/>
            <w:bottom w:w="15" w:type="dxa"/>
            <w:right w:w="15" w:type="dxa"/>
          </w:tblCellMar>
          <w:tblLook w:val="04A0" w:firstRow="1" w:lastRow="0" w:firstColumn="1" w:lastColumn="0" w:noHBand="0" w:noVBand="1"/>
        </w:tblPrEx>
        <w:tc>
          <w:tcPr>
            <w:tcW w:w="981" w:type="dxa"/>
            <w:gridSpan w:val="2"/>
            <w:vAlign w:val="center"/>
          </w:tcPr>
          <w:p w14:paraId="6D98263B" w14:textId="77777777" w:rsidR="00647F3D" w:rsidRPr="00CE157F" w:rsidRDefault="00647F3D" w:rsidP="00782256">
            <w:pPr>
              <w:jc w:val="center"/>
              <w:rPr>
                <w:rFonts w:ascii="Arial Narrow" w:hAnsi="Arial Narrow"/>
                <w:color w:val="333333"/>
                <w:sz w:val="20"/>
                <w:szCs w:val="20"/>
              </w:rPr>
            </w:pPr>
          </w:p>
        </w:tc>
        <w:tc>
          <w:tcPr>
            <w:tcW w:w="8086" w:type="dxa"/>
            <w:gridSpan w:val="8"/>
          </w:tcPr>
          <w:p w14:paraId="00FF9F32" w14:textId="77777777" w:rsidR="00647F3D" w:rsidRPr="00CE157F" w:rsidRDefault="00647F3D" w:rsidP="00782256">
            <w:pPr>
              <w:rPr>
                <w:rFonts w:ascii="Arial Narrow" w:hAnsi="Arial Narrow"/>
                <w:b/>
                <w:bCs/>
                <w:color w:val="333333"/>
                <w:sz w:val="20"/>
                <w:szCs w:val="20"/>
              </w:rPr>
            </w:pPr>
            <w:r w:rsidRPr="00CE157F">
              <w:rPr>
                <w:rFonts w:ascii="Arial Narrow" w:hAnsi="Arial Narrow"/>
                <w:b/>
                <w:bCs/>
                <w:color w:val="333333"/>
                <w:sz w:val="20"/>
                <w:szCs w:val="20"/>
              </w:rPr>
              <w:t>AND</w:t>
            </w:r>
          </w:p>
        </w:tc>
      </w:tr>
      <w:tr w:rsidR="00647F3D" w:rsidRPr="00120A12" w14:paraId="658AE074" w14:textId="77777777" w:rsidTr="00782256">
        <w:tblPrEx>
          <w:tblCellMar>
            <w:top w:w="15" w:type="dxa"/>
            <w:left w:w="15" w:type="dxa"/>
            <w:bottom w:w="15" w:type="dxa"/>
            <w:right w:w="15" w:type="dxa"/>
          </w:tblCellMar>
          <w:tblLook w:val="04A0" w:firstRow="1" w:lastRow="0" w:firstColumn="1" w:lastColumn="0" w:noHBand="0" w:noVBand="1"/>
        </w:tblPrEx>
        <w:tc>
          <w:tcPr>
            <w:tcW w:w="981" w:type="dxa"/>
            <w:gridSpan w:val="2"/>
            <w:vAlign w:val="center"/>
          </w:tcPr>
          <w:p w14:paraId="13CF3E22" w14:textId="22605463" w:rsidR="00647F3D" w:rsidRPr="00CE157F" w:rsidRDefault="00647F3D" w:rsidP="00782256">
            <w:pPr>
              <w:jc w:val="center"/>
              <w:rPr>
                <w:rFonts w:ascii="Arial Narrow" w:hAnsi="Arial Narrow"/>
                <w:i/>
                <w:iCs/>
                <w:color w:val="333333"/>
                <w:sz w:val="20"/>
                <w:szCs w:val="20"/>
              </w:rPr>
            </w:pPr>
          </w:p>
        </w:tc>
        <w:tc>
          <w:tcPr>
            <w:tcW w:w="8086" w:type="dxa"/>
            <w:gridSpan w:val="8"/>
          </w:tcPr>
          <w:p w14:paraId="108F53B4" w14:textId="77777777" w:rsidR="00647F3D" w:rsidRPr="00CE157F" w:rsidRDefault="00647F3D" w:rsidP="00782256">
            <w:pPr>
              <w:rPr>
                <w:rFonts w:ascii="Arial Narrow" w:hAnsi="Arial Narrow"/>
                <w:b/>
                <w:bCs/>
                <w:i/>
                <w:iCs/>
                <w:color w:val="333333"/>
                <w:sz w:val="20"/>
                <w:szCs w:val="20"/>
              </w:rPr>
            </w:pPr>
            <w:r w:rsidRPr="00CE157F">
              <w:rPr>
                <w:rFonts w:ascii="Arial Narrow" w:hAnsi="Arial Narrow"/>
                <w:b/>
                <w:bCs/>
                <w:i/>
                <w:iCs/>
                <w:color w:val="333333"/>
                <w:sz w:val="20"/>
                <w:szCs w:val="20"/>
              </w:rPr>
              <w:t>Clinical criteria:</w:t>
            </w:r>
          </w:p>
        </w:tc>
      </w:tr>
      <w:tr w:rsidR="00647F3D" w:rsidRPr="00120A12" w14:paraId="797770FF" w14:textId="77777777" w:rsidTr="00782256">
        <w:tblPrEx>
          <w:tblCellMar>
            <w:top w:w="15" w:type="dxa"/>
            <w:left w:w="15" w:type="dxa"/>
            <w:bottom w:w="15" w:type="dxa"/>
            <w:right w:w="15" w:type="dxa"/>
          </w:tblCellMar>
          <w:tblLook w:val="04A0" w:firstRow="1" w:lastRow="0" w:firstColumn="1" w:lastColumn="0" w:noHBand="0" w:noVBand="1"/>
        </w:tblPrEx>
        <w:tc>
          <w:tcPr>
            <w:tcW w:w="981" w:type="dxa"/>
            <w:gridSpan w:val="2"/>
            <w:vAlign w:val="center"/>
          </w:tcPr>
          <w:p w14:paraId="1BD1A799" w14:textId="64921875" w:rsidR="00647F3D" w:rsidRPr="00CE157F" w:rsidRDefault="00647F3D" w:rsidP="00782256">
            <w:pPr>
              <w:jc w:val="center"/>
              <w:rPr>
                <w:rFonts w:ascii="Arial Narrow" w:hAnsi="Arial Narrow"/>
                <w:i/>
                <w:iCs/>
                <w:color w:val="333333"/>
                <w:sz w:val="20"/>
                <w:szCs w:val="20"/>
              </w:rPr>
            </w:pPr>
          </w:p>
        </w:tc>
        <w:tc>
          <w:tcPr>
            <w:tcW w:w="8086" w:type="dxa"/>
            <w:gridSpan w:val="8"/>
            <w:vAlign w:val="center"/>
          </w:tcPr>
          <w:p w14:paraId="551749CF" w14:textId="77777777" w:rsidR="00647F3D" w:rsidRPr="00CE157F" w:rsidRDefault="00647F3D" w:rsidP="00782256">
            <w:pPr>
              <w:rPr>
                <w:rFonts w:ascii="Arial Narrow" w:hAnsi="Arial Narrow"/>
                <w:i/>
                <w:iCs/>
                <w:color w:val="333333"/>
                <w:sz w:val="20"/>
                <w:szCs w:val="20"/>
              </w:rPr>
            </w:pPr>
            <w:r w:rsidRPr="00CE157F">
              <w:rPr>
                <w:rFonts w:ascii="Arial Narrow" w:hAnsi="Arial Narrow"/>
                <w:i/>
                <w:iCs/>
                <w:color w:val="333333"/>
                <w:sz w:val="20"/>
                <w:szCs w:val="20"/>
              </w:rPr>
              <w:t>The treatment must be the sole PBS-subsidised therapy for this condition.</w:t>
            </w:r>
          </w:p>
        </w:tc>
      </w:tr>
      <w:tr w:rsidR="00647F3D" w:rsidRPr="00120A12" w14:paraId="227D12D2" w14:textId="77777777" w:rsidTr="00782256">
        <w:tblPrEx>
          <w:tblCellMar>
            <w:top w:w="15" w:type="dxa"/>
            <w:left w:w="15" w:type="dxa"/>
            <w:bottom w:w="15" w:type="dxa"/>
            <w:right w:w="15" w:type="dxa"/>
          </w:tblCellMar>
          <w:tblLook w:val="04A0" w:firstRow="1" w:lastRow="0" w:firstColumn="1" w:lastColumn="0" w:noHBand="0" w:noVBand="1"/>
        </w:tblPrEx>
        <w:tc>
          <w:tcPr>
            <w:tcW w:w="981" w:type="dxa"/>
            <w:gridSpan w:val="2"/>
            <w:vAlign w:val="center"/>
          </w:tcPr>
          <w:p w14:paraId="7636EEEE" w14:textId="77777777" w:rsidR="00647F3D" w:rsidRPr="00CE157F" w:rsidRDefault="00647F3D" w:rsidP="00782256">
            <w:pPr>
              <w:jc w:val="center"/>
              <w:rPr>
                <w:rFonts w:ascii="Arial Narrow" w:hAnsi="Arial Narrow"/>
                <w:color w:val="333333"/>
                <w:sz w:val="20"/>
                <w:szCs w:val="20"/>
              </w:rPr>
            </w:pPr>
          </w:p>
        </w:tc>
        <w:tc>
          <w:tcPr>
            <w:tcW w:w="8086" w:type="dxa"/>
            <w:gridSpan w:val="8"/>
          </w:tcPr>
          <w:p w14:paraId="347909E3" w14:textId="77777777" w:rsidR="00647F3D" w:rsidRPr="00CE157F" w:rsidRDefault="00647F3D" w:rsidP="00782256">
            <w:pPr>
              <w:rPr>
                <w:rFonts w:ascii="Arial Narrow" w:hAnsi="Arial Narrow"/>
                <w:b/>
                <w:bCs/>
                <w:color w:val="333333"/>
                <w:sz w:val="20"/>
                <w:szCs w:val="20"/>
              </w:rPr>
            </w:pPr>
            <w:r w:rsidRPr="00CE157F">
              <w:rPr>
                <w:rFonts w:ascii="Arial Narrow" w:hAnsi="Arial Narrow"/>
                <w:b/>
                <w:bCs/>
                <w:color w:val="333333"/>
                <w:sz w:val="20"/>
                <w:szCs w:val="20"/>
              </w:rPr>
              <w:t>AND</w:t>
            </w:r>
          </w:p>
        </w:tc>
      </w:tr>
      <w:tr w:rsidR="00647F3D" w:rsidRPr="00120A12" w14:paraId="31E8EF84" w14:textId="77777777" w:rsidTr="00782256">
        <w:tblPrEx>
          <w:tblCellMar>
            <w:top w:w="15" w:type="dxa"/>
            <w:left w:w="15" w:type="dxa"/>
            <w:bottom w:w="15" w:type="dxa"/>
            <w:right w:w="15" w:type="dxa"/>
          </w:tblCellMar>
          <w:tblLook w:val="04A0" w:firstRow="1" w:lastRow="0" w:firstColumn="1" w:lastColumn="0" w:noHBand="0" w:noVBand="1"/>
        </w:tblPrEx>
        <w:tc>
          <w:tcPr>
            <w:tcW w:w="981" w:type="dxa"/>
            <w:gridSpan w:val="2"/>
            <w:vAlign w:val="center"/>
          </w:tcPr>
          <w:p w14:paraId="3347D576" w14:textId="77777777" w:rsidR="00647F3D" w:rsidRPr="00CE157F" w:rsidRDefault="00647F3D" w:rsidP="00782256">
            <w:pPr>
              <w:jc w:val="center"/>
              <w:rPr>
                <w:rFonts w:ascii="Arial Narrow" w:hAnsi="Arial Narrow"/>
                <w:color w:val="333333"/>
                <w:sz w:val="20"/>
                <w:szCs w:val="20"/>
              </w:rPr>
            </w:pPr>
          </w:p>
        </w:tc>
        <w:tc>
          <w:tcPr>
            <w:tcW w:w="8086" w:type="dxa"/>
            <w:gridSpan w:val="8"/>
          </w:tcPr>
          <w:p w14:paraId="65D4DB2B" w14:textId="77777777" w:rsidR="00647F3D" w:rsidRPr="00CE157F" w:rsidRDefault="00647F3D" w:rsidP="00782256">
            <w:pPr>
              <w:rPr>
                <w:rFonts w:ascii="Arial Narrow" w:hAnsi="Arial Narrow"/>
                <w:b/>
                <w:bCs/>
                <w:color w:val="333333"/>
                <w:sz w:val="20"/>
                <w:szCs w:val="20"/>
              </w:rPr>
            </w:pPr>
            <w:r w:rsidRPr="00CE157F">
              <w:rPr>
                <w:rFonts w:ascii="Arial Narrow" w:hAnsi="Arial Narrow"/>
                <w:b/>
                <w:bCs/>
                <w:color w:val="333333"/>
                <w:sz w:val="20"/>
                <w:szCs w:val="20"/>
              </w:rPr>
              <w:t>Clinical criteria:</w:t>
            </w:r>
          </w:p>
        </w:tc>
      </w:tr>
      <w:tr w:rsidR="00647F3D" w:rsidRPr="00120A12" w14:paraId="706BB8E1" w14:textId="77777777" w:rsidTr="00782256">
        <w:tblPrEx>
          <w:tblCellMar>
            <w:top w:w="15" w:type="dxa"/>
            <w:left w:w="15" w:type="dxa"/>
            <w:bottom w:w="15" w:type="dxa"/>
            <w:right w:w="15" w:type="dxa"/>
          </w:tblCellMar>
          <w:tblLook w:val="04A0" w:firstRow="1" w:lastRow="0" w:firstColumn="1" w:lastColumn="0" w:noHBand="0" w:noVBand="1"/>
        </w:tblPrEx>
        <w:tc>
          <w:tcPr>
            <w:tcW w:w="981" w:type="dxa"/>
            <w:gridSpan w:val="2"/>
            <w:vAlign w:val="center"/>
          </w:tcPr>
          <w:p w14:paraId="50396E33" w14:textId="53C11DB7" w:rsidR="00647F3D" w:rsidRPr="00CE157F" w:rsidRDefault="00647F3D" w:rsidP="00782256">
            <w:pPr>
              <w:jc w:val="center"/>
              <w:rPr>
                <w:rFonts w:ascii="Arial Narrow" w:hAnsi="Arial Narrow"/>
                <w:color w:val="333333"/>
                <w:sz w:val="20"/>
                <w:szCs w:val="20"/>
              </w:rPr>
            </w:pPr>
          </w:p>
        </w:tc>
        <w:tc>
          <w:tcPr>
            <w:tcW w:w="8086" w:type="dxa"/>
            <w:gridSpan w:val="8"/>
            <w:vAlign w:val="center"/>
          </w:tcPr>
          <w:p w14:paraId="46456CCC" w14:textId="68008233" w:rsidR="00647F3D" w:rsidRPr="00CE157F" w:rsidRDefault="00647F3D" w:rsidP="00782256">
            <w:pPr>
              <w:rPr>
                <w:rFonts w:ascii="Arial Narrow" w:hAnsi="Arial Narrow"/>
                <w:color w:val="333333"/>
                <w:sz w:val="20"/>
                <w:szCs w:val="20"/>
              </w:rPr>
            </w:pPr>
            <w:r w:rsidRPr="00CE157F">
              <w:rPr>
                <w:rFonts w:ascii="Arial Narrow" w:hAnsi="Arial Narrow"/>
                <w:color w:val="333333"/>
                <w:sz w:val="20"/>
                <w:szCs w:val="20"/>
              </w:rPr>
              <w:t xml:space="preserve">The treatment must not exceed a lifetime maximum of 12 months </w:t>
            </w:r>
            <w:r w:rsidRPr="00CE157F">
              <w:rPr>
                <w:rFonts w:ascii="Arial Narrow" w:hAnsi="Arial Narrow"/>
                <w:i/>
                <w:iCs/>
                <w:color w:val="333333"/>
                <w:sz w:val="20"/>
                <w:szCs w:val="20"/>
              </w:rPr>
              <w:t xml:space="preserve">PBS and non-PBS </w:t>
            </w:r>
            <w:r w:rsidR="00A73D8D">
              <w:rPr>
                <w:rFonts w:ascii="Arial Narrow" w:hAnsi="Arial Narrow"/>
                <w:i/>
                <w:iCs/>
                <w:color w:val="333333"/>
                <w:sz w:val="20"/>
                <w:szCs w:val="20"/>
              </w:rPr>
              <w:t>subsidised</w:t>
            </w:r>
            <w:r w:rsidRPr="00CE157F">
              <w:rPr>
                <w:rFonts w:ascii="Arial Narrow" w:hAnsi="Arial Narrow"/>
                <w:color w:val="333333"/>
                <w:sz w:val="20"/>
                <w:szCs w:val="20"/>
              </w:rPr>
              <w:t xml:space="preserve"> therapy</w:t>
            </w:r>
          </w:p>
        </w:tc>
      </w:tr>
      <w:tr w:rsidR="00647F3D" w:rsidRPr="00120A12" w14:paraId="5E25293F" w14:textId="77777777" w:rsidTr="00782256">
        <w:tblPrEx>
          <w:tblCellMar>
            <w:top w:w="15" w:type="dxa"/>
            <w:left w:w="15" w:type="dxa"/>
            <w:bottom w:w="15" w:type="dxa"/>
            <w:right w:w="15" w:type="dxa"/>
          </w:tblCellMar>
          <w:tblLook w:val="04A0" w:firstRow="1" w:lastRow="0" w:firstColumn="1" w:lastColumn="0" w:noHBand="0" w:noVBand="1"/>
        </w:tblPrEx>
        <w:tc>
          <w:tcPr>
            <w:tcW w:w="981" w:type="dxa"/>
            <w:gridSpan w:val="2"/>
            <w:vAlign w:val="center"/>
          </w:tcPr>
          <w:p w14:paraId="6FA089B8" w14:textId="329DCDD2" w:rsidR="00647F3D" w:rsidRPr="00CE157F" w:rsidRDefault="00647F3D" w:rsidP="00782256">
            <w:pPr>
              <w:jc w:val="center"/>
              <w:rPr>
                <w:rFonts w:ascii="Arial Narrow" w:hAnsi="Arial Narrow"/>
                <w:i/>
                <w:iCs/>
                <w:color w:val="333333"/>
                <w:sz w:val="20"/>
                <w:szCs w:val="20"/>
              </w:rPr>
            </w:pPr>
          </w:p>
        </w:tc>
        <w:tc>
          <w:tcPr>
            <w:tcW w:w="8086" w:type="dxa"/>
            <w:gridSpan w:val="8"/>
            <w:vAlign w:val="center"/>
            <w:hideMark/>
          </w:tcPr>
          <w:p w14:paraId="7CD04CF4" w14:textId="77777777" w:rsidR="00647F3D" w:rsidRPr="00CE157F" w:rsidRDefault="00647F3D" w:rsidP="00782256">
            <w:pPr>
              <w:rPr>
                <w:rFonts w:ascii="Arial Narrow" w:hAnsi="Arial Narrow"/>
                <w:i/>
                <w:iCs/>
                <w:color w:val="333333"/>
                <w:sz w:val="20"/>
                <w:szCs w:val="20"/>
              </w:rPr>
            </w:pPr>
            <w:r w:rsidRPr="00CE157F">
              <w:rPr>
                <w:rFonts w:ascii="Arial Narrow" w:hAnsi="Arial Narrow"/>
                <w:b/>
                <w:bCs/>
                <w:i/>
                <w:iCs/>
                <w:color w:val="333333"/>
                <w:sz w:val="20"/>
                <w:szCs w:val="20"/>
              </w:rPr>
              <w:t>Treatment criteria:</w:t>
            </w:r>
          </w:p>
        </w:tc>
      </w:tr>
      <w:tr w:rsidR="00647F3D" w:rsidRPr="00120A12" w14:paraId="7DDCC187" w14:textId="77777777" w:rsidTr="00782256">
        <w:tblPrEx>
          <w:tblCellMar>
            <w:top w:w="15" w:type="dxa"/>
            <w:left w:w="15" w:type="dxa"/>
            <w:bottom w:w="15" w:type="dxa"/>
            <w:right w:w="15" w:type="dxa"/>
          </w:tblCellMar>
          <w:tblLook w:val="04A0" w:firstRow="1" w:lastRow="0" w:firstColumn="1" w:lastColumn="0" w:noHBand="0" w:noVBand="1"/>
        </w:tblPrEx>
        <w:trPr>
          <w:trHeight w:val="337"/>
        </w:trPr>
        <w:tc>
          <w:tcPr>
            <w:tcW w:w="981" w:type="dxa"/>
            <w:gridSpan w:val="2"/>
            <w:vAlign w:val="center"/>
          </w:tcPr>
          <w:p w14:paraId="33173F96" w14:textId="40799872" w:rsidR="00647F3D" w:rsidRPr="00CE157F" w:rsidRDefault="00647F3D" w:rsidP="00782256">
            <w:pPr>
              <w:jc w:val="center"/>
              <w:rPr>
                <w:rFonts w:ascii="Arial Narrow" w:hAnsi="Arial Narrow"/>
                <w:i/>
                <w:iCs/>
                <w:color w:val="333333"/>
                <w:sz w:val="20"/>
                <w:szCs w:val="20"/>
              </w:rPr>
            </w:pPr>
          </w:p>
        </w:tc>
        <w:tc>
          <w:tcPr>
            <w:tcW w:w="8086" w:type="dxa"/>
            <w:gridSpan w:val="8"/>
            <w:vAlign w:val="center"/>
            <w:hideMark/>
          </w:tcPr>
          <w:p w14:paraId="1DEF3BFB" w14:textId="77777777" w:rsidR="00647F3D" w:rsidRPr="00CE157F" w:rsidRDefault="00647F3D" w:rsidP="00782256">
            <w:pPr>
              <w:tabs>
                <w:tab w:val="num" w:pos="720"/>
              </w:tabs>
              <w:rPr>
                <w:rFonts w:ascii="Arial Narrow" w:hAnsi="Arial Narrow" w:cs="Arial Narrow"/>
                <w:i/>
                <w:iCs/>
                <w:sz w:val="20"/>
                <w:szCs w:val="20"/>
              </w:rPr>
            </w:pPr>
            <w:r w:rsidRPr="00CE157F">
              <w:rPr>
                <w:rFonts w:ascii="Arial Narrow" w:hAnsi="Arial Narrow" w:cs="Arial Narrow"/>
                <w:i/>
                <w:iCs/>
                <w:sz w:val="20"/>
                <w:szCs w:val="20"/>
              </w:rPr>
              <w:t>Must be treated by a Specialist; OR</w:t>
            </w:r>
            <w:r>
              <w:rPr>
                <w:rFonts w:ascii="Arial Narrow" w:hAnsi="Arial Narrow" w:cs="Arial Narrow"/>
                <w:i/>
                <w:iCs/>
                <w:sz w:val="20"/>
                <w:szCs w:val="20"/>
              </w:rPr>
              <w:t xml:space="preserve"> </w:t>
            </w:r>
            <w:r w:rsidRPr="00CE157F">
              <w:rPr>
                <w:rFonts w:ascii="Arial Narrow" w:hAnsi="Arial Narrow" w:cs="Arial Narrow"/>
                <w:i/>
                <w:iCs/>
                <w:sz w:val="20"/>
                <w:szCs w:val="20"/>
              </w:rPr>
              <w:t>Must be treated by a Consultant Physician.</w:t>
            </w:r>
          </w:p>
        </w:tc>
      </w:tr>
      <w:tr w:rsidR="00647F3D" w:rsidRPr="00120A12" w14:paraId="77FAB6D6" w14:textId="77777777" w:rsidTr="00782256">
        <w:tblPrEx>
          <w:tblCellMar>
            <w:top w:w="15" w:type="dxa"/>
            <w:left w:w="15" w:type="dxa"/>
            <w:bottom w:w="15" w:type="dxa"/>
            <w:right w:w="15" w:type="dxa"/>
          </w:tblCellMar>
          <w:tblLook w:val="04A0" w:firstRow="1" w:lastRow="0" w:firstColumn="1" w:lastColumn="0" w:noHBand="0" w:noVBand="1"/>
        </w:tblPrEx>
        <w:trPr>
          <w:trHeight w:val="337"/>
        </w:trPr>
        <w:tc>
          <w:tcPr>
            <w:tcW w:w="981" w:type="dxa"/>
            <w:gridSpan w:val="2"/>
          </w:tcPr>
          <w:p w14:paraId="18F964D6" w14:textId="13DA1439" w:rsidR="00647F3D" w:rsidRPr="00CE157F" w:rsidRDefault="00647F3D" w:rsidP="00782256">
            <w:pPr>
              <w:rPr>
                <w:rFonts w:ascii="Arial Narrow" w:hAnsi="Arial Narrow"/>
                <w:strike/>
                <w:color w:val="333333"/>
                <w:sz w:val="20"/>
                <w:szCs w:val="20"/>
              </w:rPr>
            </w:pPr>
          </w:p>
        </w:tc>
        <w:tc>
          <w:tcPr>
            <w:tcW w:w="8086" w:type="dxa"/>
            <w:gridSpan w:val="8"/>
          </w:tcPr>
          <w:p w14:paraId="329E24E8" w14:textId="77777777" w:rsidR="00647F3D" w:rsidRPr="00CE157F" w:rsidRDefault="00647F3D" w:rsidP="00782256">
            <w:pPr>
              <w:tabs>
                <w:tab w:val="num" w:pos="720"/>
              </w:tabs>
              <w:rPr>
                <w:rFonts w:ascii="Arial Narrow" w:hAnsi="Arial Narrow"/>
                <w:strike/>
                <w:color w:val="333333"/>
                <w:sz w:val="20"/>
                <w:szCs w:val="20"/>
              </w:rPr>
            </w:pPr>
            <w:r w:rsidRPr="00CE157F">
              <w:rPr>
                <w:rFonts w:ascii="Arial Narrow" w:hAnsi="Arial Narrow"/>
                <w:b/>
                <w:bCs/>
                <w:strike/>
                <w:color w:val="333333"/>
                <w:sz w:val="20"/>
                <w:szCs w:val="20"/>
              </w:rPr>
              <w:t>Administrative Advice:</w:t>
            </w:r>
            <w:r w:rsidRPr="00CE157F">
              <w:rPr>
                <w:rFonts w:ascii="Arial Narrow" w:hAnsi="Arial Narrow"/>
                <w:strike/>
                <w:color w:val="333333"/>
                <w:sz w:val="20"/>
                <w:szCs w:val="20"/>
              </w:rPr>
              <w:t xml:space="preserve"> Details of accepted toxicities including severity can be found on the Department of Human Services website at www.humanservices.gov.au. </w:t>
            </w:r>
          </w:p>
        </w:tc>
      </w:tr>
      <w:tr w:rsidR="00647F3D" w:rsidRPr="00120A12" w14:paraId="1C928ADA" w14:textId="77777777" w:rsidTr="00782256">
        <w:tblPrEx>
          <w:tblCellMar>
            <w:top w:w="15" w:type="dxa"/>
            <w:left w:w="15" w:type="dxa"/>
            <w:bottom w:w="15" w:type="dxa"/>
            <w:right w:w="15" w:type="dxa"/>
          </w:tblCellMar>
          <w:tblLook w:val="04A0" w:firstRow="1" w:lastRow="0" w:firstColumn="1" w:lastColumn="0" w:noHBand="0" w:noVBand="1"/>
        </w:tblPrEx>
        <w:tc>
          <w:tcPr>
            <w:tcW w:w="9067" w:type="dxa"/>
            <w:gridSpan w:val="10"/>
            <w:vAlign w:val="center"/>
          </w:tcPr>
          <w:p w14:paraId="684538C9" w14:textId="77777777" w:rsidR="00647F3D" w:rsidRPr="00CE157F" w:rsidRDefault="00647F3D" w:rsidP="00782256">
            <w:pPr>
              <w:rPr>
                <w:rFonts w:ascii="Arial Narrow" w:hAnsi="Arial Narrow"/>
                <w:bCs/>
                <w:color w:val="FF0000"/>
                <w:sz w:val="20"/>
                <w:szCs w:val="20"/>
              </w:rPr>
            </w:pPr>
          </w:p>
          <w:p w14:paraId="42A05967" w14:textId="77777777" w:rsidR="00647F3D" w:rsidRPr="00CE157F" w:rsidRDefault="00647F3D" w:rsidP="00782256">
            <w:pPr>
              <w:rPr>
                <w:rFonts w:ascii="Arial Narrow" w:hAnsi="Arial Narrow"/>
                <w:bCs/>
                <w:color w:val="FF0000"/>
                <w:sz w:val="20"/>
                <w:szCs w:val="20"/>
              </w:rPr>
            </w:pPr>
          </w:p>
        </w:tc>
      </w:tr>
      <w:tr w:rsidR="00647F3D" w:rsidRPr="00120A12" w14:paraId="4FCA6703" w14:textId="77777777" w:rsidTr="00782256">
        <w:tblPrEx>
          <w:tblCellMar>
            <w:top w:w="15" w:type="dxa"/>
            <w:left w:w="15" w:type="dxa"/>
            <w:bottom w:w="15" w:type="dxa"/>
            <w:right w:w="15" w:type="dxa"/>
          </w:tblCellMar>
          <w:tblLook w:val="04A0" w:firstRow="1" w:lastRow="0" w:firstColumn="1" w:lastColumn="0" w:noHBand="0" w:noVBand="1"/>
        </w:tblPrEx>
        <w:tc>
          <w:tcPr>
            <w:tcW w:w="9067" w:type="dxa"/>
            <w:gridSpan w:val="10"/>
            <w:tcBorders>
              <w:top w:val="single" w:sz="4" w:space="0" w:color="auto"/>
              <w:left w:val="single" w:sz="4" w:space="0" w:color="auto"/>
              <w:right w:val="single" w:sz="4" w:space="0" w:color="auto"/>
            </w:tcBorders>
          </w:tcPr>
          <w:p w14:paraId="3CE59D25" w14:textId="77777777" w:rsidR="00647F3D" w:rsidRPr="00CE157F" w:rsidRDefault="00647F3D" w:rsidP="00782256">
            <w:pPr>
              <w:rPr>
                <w:rFonts w:ascii="Arial Narrow" w:hAnsi="Arial Narrow"/>
                <w:b/>
                <w:sz w:val="20"/>
                <w:szCs w:val="20"/>
              </w:rPr>
            </w:pPr>
            <w:r w:rsidRPr="00CE157F">
              <w:rPr>
                <w:rFonts w:ascii="Arial Narrow" w:hAnsi="Arial Narrow"/>
                <w:b/>
                <w:sz w:val="20"/>
                <w:szCs w:val="20"/>
              </w:rPr>
              <w:t xml:space="preserve">Restriction Summary [new] / Treatment of Concept: [new] </w:t>
            </w:r>
          </w:p>
        </w:tc>
      </w:tr>
      <w:tr w:rsidR="00647F3D" w:rsidRPr="00120A12" w14:paraId="32F193BD" w14:textId="77777777" w:rsidTr="00782256">
        <w:tblPrEx>
          <w:tblCellMar>
            <w:top w:w="15" w:type="dxa"/>
            <w:left w:w="15" w:type="dxa"/>
            <w:bottom w:w="15" w:type="dxa"/>
            <w:right w:w="15" w:type="dxa"/>
          </w:tblCellMar>
          <w:tblLook w:val="04A0" w:firstRow="1" w:lastRow="0" w:firstColumn="1" w:lastColumn="0" w:noHBand="0" w:noVBand="1"/>
        </w:tblPrEx>
        <w:tc>
          <w:tcPr>
            <w:tcW w:w="981" w:type="dxa"/>
            <w:gridSpan w:val="2"/>
            <w:vMerge w:val="restart"/>
            <w:tcBorders>
              <w:top w:val="single" w:sz="4" w:space="0" w:color="auto"/>
              <w:left w:val="single" w:sz="4" w:space="0" w:color="auto"/>
              <w:right w:val="single" w:sz="4" w:space="0" w:color="auto"/>
            </w:tcBorders>
          </w:tcPr>
          <w:p w14:paraId="10B73F57" w14:textId="1FBA4BAF" w:rsidR="00647F3D" w:rsidRPr="00CE157F" w:rsidRDefault="00647F3D" w:rsidP="00782256">
            <w:pPr>
              <w:jc w:val="center"/>
              <w:rPr>
                <w:rFonts w:ascii="Arial Narrow" w:hAnsi="Arial Narrow"/>
                <w:sz w:val="20"/>
                <w:szCs w:val="20"/>
              </w:rPr>
            </w:pPr>
          </w:p>
        </w:tc>
        <w:tc>
          <w:tcPr>
            <w:tcW w:w="8086" w:type="dxa"/>
            <w:gridSpan w:val="8"/>
            <w:tcBorders>
              <w:top w:val="single" w:sz="4" w:space="0" w:color="auto"/>
              <w:left w:val="single" w:sz="4" w:space="0" w:color="auto"/>
              <w:bottom w:val="single" w:sz="4" w:space="0" w:color="auto"/>
              <w:right w:val="single" w:sz="4" w:space="0" w:color="auto"/>
            </w:tcBorders>
          </w:tcPr>
          <w:p w14:paraId="6105B4AF" w14:textId="77777777" w:rsidR="00647F3D" w:rsidRPr="00CE157F" w:rsidRDefault="00647F3D" w:rsidP="00782256">
            <w:pPr>
              <w:rPr>
                <w:rFonts w:ascii="Arial Narrow" w:hAnsi="Arial Narrow"/>
                <w:sz w:val="20"/>
                <w:szCs w:val="20"/>
              </w:rPr>
            </w:pPr>
            <w:r w:rsidRPr="00CE157F">
              <w:rPr>
                <w:rFonts w:ascii="Arial Narrow" w:hAnsi="Arial Narrow"/>
                <w:b/>
                <w:sz w:val="20"/>
                <w:szCs w:val="20"/>
              </w:rPr>
              <w:t xml:space="preserve">Category / Program:   </w:t>
            </w:r>
            <w:r w:rsidRPr="00CE157F">
              <w:rPr>
                <w:rFonts w:ascii="Arial Narrow" w:hAnsi="Arial Narrow"/>
                <w:sz w:val="20"/>
                <w:szCs w:val="20"/>
              </w:rPr>
              <w:t>GENERAL – General Schedule (Code GE)</w:t>
            </w:r>
            <w:r w:rsidRPr="00CE157F">
              <w:rPr>
                <w:rFonts w:ascii="Arial Narrow" w:hAnsi="Arial Narrow"/>
                <w:color w:val="FF0000"/>
                <w:sz w:val="20"/>
                <w:szCs w:val="20"/>
              </w:rPr>
              <w:t xml:space="preserve"> </w:t>
            </w:r>
          </w:p>
        </w:tc>
      </w:tr>
      <w:tr w:rsidR="00647F3D" w:rsidRPr="00120A12" w14:paraId="3D3BCD64" w14:textId="77777777" w:rsidTr="00782256">
        <w:tblPrEx>
          <w:tblCellMar>
            <w:top w:w="15" w:type="dxa"/>
            <w:left w:w="15" w:type="dxa"/>
            <w:bottom w:w="15" w:type="dxa"/>
            <w:right w:w="15" w:type="dxa"/>
          </w:tblCellMar>
          <w:tblLook w:val="04A0" w:firstRow="1" w:lastRow="0" w:firstColumn="1" w:lastColumn="0" w:noHBand="0" w:noVBand="1"/>
        </w:tblPrEx>
        <w:trPr>
          <w:trHeight w:val="240"/>
        </w:trPr>
        <w:tc>
          <w:tcPr>
            <w:tcW w:w="981" w:type="dxa"/>
            <w:gridSpan w:val="2"/>
            <w:vMerge/>
            <w:tcBorders>
              <w:left w:val="single" w:sz="4" w:space="0" w:color="auto"/>
              <w:right w:val="single" w:sz="4" w:space="0" w:color="auto"/>
            </w:tcBorders>
          </w:tcPr>
          <w:p w14:paraId="78BD7E4B" w14:textId="77777777" w:rsidR="00647F3D" w:rsidRPr="00CE157F" w:rsidRDefault="00647F3D" w:rsidP="00782256">
            <w:pPr>
              <w:rPr>
                <w:rFonts w:ascii="Arial Narrow" w:hAnsi="Arial Narrow"/>
                <w:sz w:val="20"/>
                <w:szCs w:val="20"/>
              </w:rPr>
            </w:pPr>
          </w:p>
        </w:tc>
        <w:tc>
          <w:tcPr>
            <w:tcW w:w="8086" w:type="dxa"/>
            <w:gridSpan w:val="8"/>
            <w:tcBorders>
              <w:top w:val="single" w:sz="4" w:space="0" w:color="auto"/>
              <w:left w:val="single" w:sz="4" w:space="0" w:color="auto"/>
              <w:bottom w:val="single" w:sz="4" w:space="0" w:color="auto"/>
              <w:right w:val="single" w:sz="4" w:space="0" w:color="auto"/>
            </w:tcBorders>
          </w:tcPr>
          <w:p w14:paraId="18A2EBC6" w14:textId="77777777" w:rsidR="00647F3D" w:rsidRPr="00CE157F" w:rsidRDefault="00647F3D" w:rsidP="00782256">
            <w:pPr>
              <w:rPr>
                <w:rFonts w:ascii="Arial Narrow" w:hAnsi="Arial Narrow"/>
                <w:b/>
                <w:sz w:val="20"/>
                <w:szCs w:val="20"/>
              </w:rPr>
            </w:pPr>
            <w:r w:rsidRPr="00CE157F">
              <w:rPr>
                <w:rFonts w:ascii="Arial Narrow" w:hAnsi="Arial Narrow"/>
                <w:b/>
                <w:sz w:val="20"/>
                <w:szCs w:val="20"/>
              </w:rPr>
              <w:t xml:space="preserve">Prescriber type:   </w:t>
            </w:r>
            <w:r w:rsidRPr="00CE157F">
              <w:rPr>
                <w:rFonts w:ascii="Arial Narrow" w:hAnsi="Arial Narrow"/>
                <w:sz w:val="20"/>
                <w:szCs w:val="20"/>
              </w:rPr>
              <w:fldChar w:fldCharType="begin">
                <w:ffData>
                  <w:name w:val=""/>
                  <w:enabled/>
                  <w:calcOnExit w:val="0"/>
                  <w:checkBox>
                    <w:sizeAuto/>
                    <w:default w:val="1"/>
                  </w:checkBox>
                </w:ffData>
              </w:fldChar>
            </w:r>
            <w:r w:rsidRPr="00CE157F">
              <w:rPr>
                <w:rFonts w:ascii="Arial Narrow" w:hAnsi="Arial Narrow"/>
                <w:sz w:val="20"/>
                <w:szCs w:val="20"/>
              </w:rPr>
              <w:instrText xml:space="preserve"> FORMCHECKBOX </w:instrText>
            </w:r>
            <w:r w:rsidR="00EC16BE">
              <w:rPr>
                <w:rFonts w:ascii="Arial Narrow" w:hAnsi="Arial Narrow"/>
                <w:sz w:val="20"/>
                <w:szCs w:val="20"/>
              </w:rPr>
            </w:r>
            <w:r w:rsidR="00EC16BE">
              <w:rPr>
                <w:rFonts w:ascii="Arial Narrow" w:hAnsi="Arial Narrow"/>
                <w:sz w:val="20"/>
                <w:szCs w:val="20"/>
              </w:rPr>
              <w:fldChar w:fldCharType="separate"/>
            </w:r>
            <w:r w:rsidRPr="00CE157F">
              <w:rPr>
                <w:rFonts w:ascii="Arial Narrow" w:hAnsi="Arial Narrow"/>
                <w:sz w:val="20"/>
                <w:szCs w:val="20"/>
              </w:rPr>
              <w:fldChar w:fldCharType="end"/>
            </w:r>
            <w:r w:rsidRPr="00CE157F">
              <w:rPr>
                <w:rFonts w:ascii="Arial Narrow" w:hAnsi="Arial Narrow"/>
                <w:sz w:val="20"/>
                <w:szCs w:val="20"/>
              </w:rPr>
              <w:t xml:space="preserve">Medical Practitioners </w:t>
            </w:r>
          </w:p>
        </w:tc>
      </w:tr>
      <w:tr w:rsidR="00647F3D" w:rsidRPr="00120A12" w14:paraId="186FDC30" w14:textId="77777777" w:rsidTr="00782256">
        <w:tblPrEx>
          <w:tblCellMar>
            <w:top w:w="15" w:type="dxa"/>
            <w:left w:w="15" w:type="dxa"/>
            <w:bottom w:w="15" w:type="dxa"/>
            <w:right w:w="15" w:type="dxa"/>
          </w:tblCellMar>
          <w:tblLook w:val="04A0" w:firstRow="1" w:lastRow="0" w:firstColumn="1" w:lastColumn="0" w:noHBand="0" w:noVBand="1"/>
        </w:tblPrEx>
        <w:trPr>
          <w:trHeight w:val="396"/>
        </w:trPr>
        <w:tc>
          <w:tcPr>
            <w:tcW w:w="981" w:type="dxa"/>
            <w:gridSpan w:val="2"/>
            <w:vMerge/>
            <w:tcBorders>
              <w:left w:val="single" w:sz="4" w:space="0" w:color="auto"/>
              <w:bottom w:val="single" w:sz="4" w:space="0" w:color="auto"/>
              <w:right w:val="single" w:sz="4" w:space="0" w:color="auto"/>
            </w:tcBorders>
          </w:tcPr>
          <w:p w14:paraId="3A435397" w14:textId="77777777" w:rsidR="00647F3D" w:rsidRPr="00CE157F" w:rsidRDefault="00647F3D" w:rsidP="00782256">
            <w:pPr>
              <w:rPr>
                <w:rFonts w:ascii="Arial Narrow" w:hAnsi="Arial Narrow"/>
                <w:sz w:val="20"/>
                <w:szCs w:val="20"/>
              </w:rPr>
            </w:pPr>
          </w:p>
        </w:tc>
        <w:tc>
          <w:tcPr>
            <w:tcW w:w="8086" w:type="dxa"/>
            <w:gridSpan w:val="8"/>
            <w:tcBorders>
              <w:top w:val="single" w:sz="4" w:space="0" w:color="auto"/>
              <w:left w:val="single" w:sz="4" w:space="0" w:color="auto"/>
              <w:bottom w:val="single" w:sz="4" w:space="0" w:color="auto"/>
              <w:right w:val="single" w:sz="4" w:space="0" w:color="auto"/>
            </w:tcBorders>
          </w:tcPr>
          <w:p w14:paraId="43EA8EAA" w14:textId="77777777" w:rsidR="00647F3D" w:rsidRPr="00CE157F" w:rsidRDefault="00647F3D" w:rsidP="00782256">
            <w:pPr>
              <w:rPr>
                <w:rFonts w:ascii="Arial Narrow" w:eastAsia="Calibri" w:hAnsi="Arial Narrow"/>
                <w:color w:val="FF00FF"/>
                <w:sz w:val="20"/>
                <w:szCs w:val="20"/>
              </w:rPr>
            </w:pPr>
            <w:r w:rsidRPr="00CE157F">
              <w:rPr>
                <w:rFonts w:ascii="Arial Narrow" w:hAnsi="Arial Narrow"/>
                <w:b/>
                <w:sz w:val="20"/>
                <w:szCs w:val="20"/>
              </w:rPr>
              <w:t xml:space="preserve">Restriction type: </w:t>
            </w:r>
            <w:r w:rsidRPr="00CE157F">
              <w:rPr>
                <w:rFonts w:ascii="Arial Narrow" w:eastAsia="Calibri" w:hAnsi="Arial Narrow"/>
                <w:sz w:val="20"/>
                <w:szCs w:val="20"/>
              </w:rPr>
              <w:fldChar w:fldCharType="begin">
                <w:ffData>
                  <w:name w:val=""/>
                  <w:enabled/>
                  <w:calcOnExit w:val="0"/>
                  <w:checkBox>
                    <w:sizeAuto/>
                    <w:default w:val="1"/>
                  </w:checkBox>
                </w:ffData>
              </w:fldChar>
            </w:r>
            <w:r w:rsidRPr="00CE157F">
              <w:rPr>
                <w:rFonts w:ascii="Arial Narrow" w:eastAsia="Calibri" w:hAnsi="Arial Narrow"/>
                <w:sz w:val="20"/>
                <w:szCs w:val="20"/>
              </w:rPr>
              <w:instrText xml:space="preserve"> FORMCHECKBOX </w:instrText>
            </w:r>
            <w:r w:rsidR="00EC16BE">
              <w:rPr>
                <w:rFonts w:ascii="Arial Narrow" w:eastAsia="Calibri" w:hAnsi="Arial Narrow"/>
                <w:sz w:val="20"/>
                <w:szCs w:val="20"/>
              </w:rPr>
            </w:r>
            <w:r w:rsidR="00EC16BE">
              <w:rPr>
                <w:rFonts w:ascii="Arial Narrow" w:eastAsia="Calibri" w:hAnsi="Arial Narrow"/>
                <w:sz w:val="20"/>
                <w:szCs w:val="20"/>
              </w:rPr>
              <w:fldChar w:fldCharType="separate"/>
            </w:r>
            <w:r w:rsidRPr="00CE157F">
              <w:rPr>
                <w:rFonts w:ascii="Arial Narrow" w:eastAsia="Calibri" w:hAnsi="Arial Narrow"/>
                <w:sz w:val="20"/>
                <w:szCs w:val="20"/>
              </w:rPr>
              <w:fldChar w:fldCharType="end"/>
            </w:r>
            <w:r w:rsidRPr="00CE157F">
              <w:rPr>
                <w:rFonts w:ascii="Arial Narrow" w:eastAsia="Calibri" w:hAnsi="Arial Narrow"/>
                <w:sz w:val="20"/>
                <w:szCs w:val="20"/>
              </w:rPr>
              <w:t xml:space="preserve">Authority Required (telephone/online PBS Authorities system) </w:t>
            </w:r>
          </w:p>
        </w:tc>
      </w:tr>
      <w:tr w:rsidR="00647F3D" w:rsidRPr="001A310D" w14:paraId="259B3F4C" w14:textId="77777777" w:rsidTr="00782256">
        <w:tblPrEx>
          <w:tblCellMar>
            <w:top w:w="15" w:type="dxa"/>
            <w:left w:w="15" w:type="dxa"/>
            <w:bottom w:w="15" w:type="dxa"/>
            <w:right w:w="15" w:type="dxa"/>
          </w:tblCellMar>
          <w:tblLook w:val="04A0" w:firstRow="1" w:lastRow="0" w:firstColumn="1" w:lastColumn="0" w:noHBand="0" w:noVBand="1"/>
        </w:tblPrEx>
        <w:tc>
          <w:tcPr>
            <w:tcW w:w="981" w:type="dxa"/>
            <w:gridSpan w:val="2"/>
            <w:vMerge w:val="restart"/>
            <w:vAlign w:val="center"/>
          </w:tcPr>
          <w:p w14:paraId="165EDB68" w14:textId="77777777" w:rsidR="00647F3D" w:rsidRPr="00CE157F" w:rsidRDefault="00647F3D" w:rsidP="00782256">
            <w:pPr>
              <w:jc w:val="center"/>
              <w:rPr>
                <w:rFonts w:ascii="Arial Narrow" w:hAnsi="Arial Narrow"/>
                <w:color w:val="DDD9C3" w:themeColor="background2" w:themeShade="E6"/>
                <w:sz w:val="20"/>
                <w:szCs w:val="20"/>
              </w:rPr>
            </w:pPr>
          </w:p>
        </w:tc>
        <w:tc>
          <w:tcPr>
            <w:tcW w:w="8086" w:type="dxa"/>
            <w:gridSpan w:val="8"/>
            <w:vAlign w:val="center"/>
          </w:tcPr>
          <w:p w14:paraId="5013E093" w14:textId="77777777" w:rsidR="00647F3D" w:rsidRPr="00CE157F" w:rsidRDefault="00647F3D" w:rsidP="00782256">
            <w:pPr>
              <w:rPr>
                <w:rFonts w:ascii="Arial Narrow" w:hAnsi="Arial Narrow"/>
                <w:bCs/>
                <w:color w:val="DDD9C3" w:themeColor="background2" w:themeShade="E6"/>
                <w:sz w:val="20"/>
                <w:szCs w:val="20"/>
              </w:rPr>
            </w:pPr>
            <w:r w:rsidRPr="00CE157F">
              <w:rPr>
                <w:rFonts w:ascii="Arial Narrow" w:hAnsi="Arial Narrow"/>
                <w:b/>
                <w:bCs/>
                <w:color w:val="DDD9C3" w:themeColor="background2" w:themeShade="E6"/>
                <w:sz w:val="20"/>
                <w:szCs w:val="20"/>
              </w:rPr>
              <w:t xml:space="preserve">Episodicity: </w:t>
            </w:r>
          </w:p>
        </w:tc>
      </w:tr>
      <w:tr w:rsidR="00647F3D" w:rsidRPr="00120A12" w14:paraId="3587CC8A" w14:textId="77777777" w:rsidTr="00782256">
        <w:tblPrEx>
          <w:tblCellMar>
            <w:top w:w="15" w:type="dxa"/>
            <w:left w:w="15" w:type="dxa"/>
            <w:bottom w:w="15" w:type="dxa"/>
            <w:right w:w="15" w:type="dxa"/>
          </w:tblCellMar>
          <w:tblLook w:val="04A0" w:firstRow="1" w:lastRow="0" w:firstColumn="1" w:lastColumn="0" w:noHBand="0" w:noVBand="1"/>
        </w:tblPrEx>
        <w:tc>
          <w:tcPr>
            <w:tcW w:w="981" w:type="dxa"/>
            <w:gridSpan w:val="2"/>
            <w:vMerge/>
            <w:vAlign w:val="center"/>
          </w:tcPr>
          <w:p w14:paraId="4FD7FC8F" w14:textId="77777777" w:rsidR="00647F3D" w:rsidRPr="00CE157F" w:rsidRDefault="00647F3D" w:rsidP="00782256">
            <w:pPr>
              <w:jc w:val="center"/>
              <w:rPr>
                <w:rFonts w:ascii="Arial Narrow" w:hAnsi="Arial Narrow"/>
                <w:color w:val="DDD9C3" w:themeColor="background2" w:themeShade="E6"/>
                <w:sz w:val="20"/>
                <w:szCs w:val="20"/>
              </w:rPr>
            </w:pPr>
          </w:p>
        </w:tc>
        <w:tc>
          <w:tcPr>
            <w:tcW w:w="8086" w:type="dxa"/>
            <w:gridSpan w:val="8"/>
            <w:vAlign w:val="center"/>
          </w:tcPr>
          <w:p w14:paraId="2C00CB66" w14:textId="77777777" w:rsidR="00647F3D" w:rsidRPr="00CE157F" w:rsidRDefault="00647F3D" w:rsidP="00782256">
            <w:pPr>
              <w:rPr>
                <w:rFonts w:ascii="Arial Narrow" w:hAnsi="Arial Narrow"/>
                <w:b/>
                <w:bCs/>
                <w:color w:val="DDD9C3" w:themeColor="background2" w:themeShade="E6"/>
                <w:sz w:val="20"/>
                <w:szCs w:val="20"/>
              </w:rPr>
            </w:pPr>
            <w:r w:rsidRPr="00CE157F">
              <w:rPr>
                <w:rFonts w:ascii="Arial Narrow" w:hAnsi="Arial Narrow"/>
                <w:b/>
                <w:bCs/>
                <w:color w:val="DDD9C3" w:themeColor="background2" w:themeShade="E6"/>
                <w:sz w:val="20"/>
                <w:szCs w:val="20"/>
              </w:rPr>
              <w:t xml:space="preserve">Severity: Severe </w:t>
            </w:r>
          </w:p>
        </w:tc>
      </w:tr>
      <w:tr w:rsidR="00647F3D" w:rsidRPr="00120A12" w14:paraId="4A194349" w14:textId="77777777" w:rsidTr="00782256">
        <w:tblPrEx>
          <w:tblCellMar>
            <w:top w:w="15" w:type="dxa"/>
            <w:left w:w="15" w:type="dxa"/>
            <w:bottom w:w="15" w:type="dxa"/>
            <w:right w:w="15" w:type="dxa"/>
          </w:tblCellMar>
          <w:tblLook w:val="04A0" w:firstRow="1" w:lastRow="0" w:firstColumn="1" w:lastColumn="0" w:noHBand="0" w:noVBand="1"/>
        </w:tblPrEx>
        <w:tc>
          <w:tcPr>
            <w:tcW w:w="981" w:type="dxa"/>
            <w:gridSpan w:val="2"/>
            <w:vMerge/>
            <w:vAlign w:val="center"/>
          </w:tcPr>
          <w:p w14:paraId="35BEA4B9" w14:textId="77777777" w:rsidR="00647F3D" w:rsidRPr="00CE157F" w:rsidRDefault="00647F3D" w:rsidP="00782256">
            <w:pPr>
              <w:jc w:val="center"/>
              <w:rPr>
                <w:rFonts w:ascii="Arial Narrow" w:hAnsi="Arial Narrow"/>
                <w:color w:val="DDD9C3" w:themeColor="background2" w:themeShade="E6"/>
                <w:sz w:val="20"/>
                <w:szCs w:val="20"/>
              </w:rPr>
            </w:pPr>
          </w:p>
        </w:tc>
        <w:tc>
          <w:tcPr>
            <w:tcW w:w="8086" w:type="dxa"/>
            <w:gridSpan w:val="8"/>
            <w:vAlign w:val="center"/>
          </w:tcPr>
          <w:p w14:paraId="6DC217D5" w14:textId="77777777" w:rsidR="00647F3D" w:rsidRPr="00CE157F" w:rsidRDefault="00647F3D" w:rsidP="00782256">
            <w:pPr>
              <w:rPr>
                <w:rFonts w:ascii="Arial Narrow" w:hAnsi="Arial Narrow"/>
                <w:b/>
                <w:bCs/>
                <w:color w:val="DDD9C3" w:themeColor="background2" w:themeShade="E6"/>
                <w:sz w:val="20"/>
                <w:szCs w:val="20"/>
              </w:rPr>
            </w:pPr>
            <w:r w:rsidRPr="00CE157F">
              <w:rPr>
                <w:rFonts w:ascii="Arial Narrow" w:hAnsi="Arial Narrow"/>
                <w:b/>
                <w:bCs/>
                <w:color w:val="DDD9C3" w:themeColor="background2" w:themeShade="E6"/>
                <w:sz w:val="20"/>
                <w:szCs w:val="20"/>
              </w:rPr>
              <w:t>Condition: Established osteoporosis</w:t>
            </w:r>
          </w:p>
        </w:tc>
      </w:tr>
      <w:tr w:rsidR="00647F3D" w:rsidRPr="00120A12" w14:paraId="0DC7A57C" w14:textId="77777777" w:rsidTr="00A11377">
        <w:tblPrEx>
          <w:tblCellMar>
            <w:top w:w="15" w:type="dxa"/>
            <w:left w:w="15" w:type="dxa"/>
            <w:bottom w:w="15" w:type="dxa"/>
            <w:right w:w="15" w:type="dxa"/>
          </w:tblCellMar>
          <w:tblLook w:val="04A0" w:firstRow="1" w:lastRow="0" w:firstColumn="1" w:lastColumn="0" w:noHBand="0" w:noVBand="1"/>
        </w:tblPrEx>
        <w:tc>
          <w:tcPr>
            <w:tcW w:w="981" w:type="dxa"/>
            <w:gridSpan w:val="2"/>
            <w:vAlign w:val="center"/>
          </w:tcPr>
          <w:p w14:paraId="46371991" w14:textId="48F6345E" w:rsidR="00647F3D" w:rsidRPr="00CE157F" w:rsidRDefault="00647F3D" w:rsidP="00782256">
            <w:pPr>
              <w:jc w:val="center"/>
              <w:rPr>
                <w:rFonts w:ascii="Arial Narrow" w:hAnsi="Arial Narrow"/>
                <w:color w:val="333333"/>
                <w:sz w:val="20"/>
                <w:szCs w:val="20"/>
              </w:rPr>
            </w:pPr>
          </w:p>
        </w:tc>
        <w:tc>
          <w:tcPr>
            <w:tcW w:w="8086" w:type="dxa"/>
            <w:gridSpan w:val="8"/>
            <w:vAlign w:val="center"/>
            <w:hideMark/>
          </w:tcPr>
          <w:p w14:paraId="4ADCA58B" w14:textId="77777777" w:rsidR="00647F3D" w:rsidRPr="00CE157F" w:rsidRDefault="00647F3D" w:rsidP="00782256">
            <w:pPr>
              <w:rPr>
                <w:rFonts w:ascii="Arial Narrow" w:hAnsi="Arial Narrow"/>
                <w:color w:val="333333"/>
                <w:sz w:val="20"/>
                <w:szCs w:val="20"/>
              </w:rPr>
            </w:pPr>
            <w:r w:rsidRPr="00CE157F">
              <w:rPr>
                <w:rFonts w:ascii="Arial Narrow" w:hAnsi="Arial Narrow"/>
                <w:b/>
                <w:bCs/>
                <w:color w:val="333333"/>
                <w:sz w:val="20"/>
                <w:szCs w:val="20"/>
              </w:rPr>
              <w:t>Indication:</w:t>
            </w:r>
            <w:r w:rsidRPr="00CE157F">
              <w:rPr>
                <w:rFonts w:ascii="Arial Narrow" w:hAnsi="Arial Narrow"/>
                <w:color w:val="333333"/>
                <w:sz w:val="20"/>
                <w:szCs w:val="20"/>
              </w:rPr>
              <w:t xml:space="preserve"> Severe established osteoporosis </w:t>
            </w:r>
          </w:p>
        </w:tc>
      </w:tr>
      <w:tr w:rsidR="00647F3D" w:rsidRPr="00B90897" w14:paraId="79E238E7" w14:textId="77777777" w:rsidTr="00A11377">
        <w:tblPrEx>
          <w:tblCellMar>
            <w:top w:w="15" w:type="dxa"/>
            <w:left w:w="15" w:type="dxa"/>
            <w:bottom w:w="15" w:type="dxa"/>
            <w:right w:w="15" w:type="dxa"/>
          </w:tblCellMar>
          <w:tblLook w:val="04A0" w:firstRow="1" w:lastRow="0" w:firstColumn="1" w:lastColumn="0" w:noHBand="0" w:noVBand="1"/>
        </w:tblPrEx>
        <w:tc>
          <w:tcPr>
            <w:tcW w:w="981" w:type="dxa"/>
            <w:gridSpan w:val="2"/>
            <w:vAlign w:val="center"/>
          </w:tcPr>
          <w:p w14:paraId="3F242D4F" w14:textId="77777777" w:rsidR="00647F3D" w:rsidRPr="00CE157F" w:rsidRDefault="00647F3D" w:rsidP="00782256">
            <w:pPr>
              <w:jc w:val="center"/>
              <w:rPr>
                <w:rFonts w:ascii="Arial Narrow" w:hAnsi="Arial Narrow"/>
                <w:color w:val="333333"/>
                <w:sz w:val="20"/>
                <w:szCs w:val="20"/>
              </w:rPr>
            </w:pPr>
          </w:p>
        </w:tc>
        <w:tc>
          <w:tcPr>
            <w:tcW w:w="8086" w:type="dxa"/>
            <w:gridSpan w:val="8"/>
            <w:vAlign w:val="center"/>
            <w:hideMark/>
          </w:tcPr>
          <w:p w14:paraId="69EB106E" w14:textId="77777777" w:rsidR="00647F3D" w:rsidRPr="00CE157F" w:rsidRDefault="00647F3D" w:rsidP="00782256">
            <w:pPr>
              <w:rPr>
                <w:rFonts w:ascii="Arial Narrow" w:hAnsi="Arial Narrow"/>
                <w:color w:val="FF00FF"/>
                <w:sz w:val="20"/>
                <w:szCs w:val="20"/>
              </w:rPr>
            </w:pPr>
            <w:r w:rsidRPr="00CE157F">
              <w:rPr>
                <w:rFonts w:ascii="Arial Narrow" w:hAnsi="Arial Narrow"/>
                <w:b/>
                <w:bCs/>
                <w:color w:val="333333"/>
                <w:sz w:val="20"/>
                <w:szCs w:val="20"/>
              </w:rPr>
              <w:t>Treatment Phase:</w:t>
            </w:r>
            <w:r w:rsidRPr="00CE157F">
              <w:rPr>
                <w:rFonts w:ascii="Arial Narrow" w:hAnsi="Arial Narrow"/>
                <w:color w:val="FF0000"/>
                <w:sz w:val="20"/>
                <w:szCs w:val="20"/>
              </w:rPr>
              <w:t xml:space="preserve"> </w:t>
            </w:r>
            <w:r w:rsidRPr="00CE157F">
              <w:rPr>
                <w:rFonts w:ascii="Arial Narrow" w:hAnsi="Arial Narrow"/>
                <w:color w:val="333333"/>
                <w:sz w:val="20"/>
                <w:szCs w:val="20"/>
              </w:rPr>
              <w:t>Grandfathered</w:t>
            </w:r>
            <w:r w:rsidRPr="00CE157F">
              <w:rPr>
                <w:rFonts w:ascii="Arial Narrow" w:hAnsi="Arial Narrow"/>
                <w:color w:val="FF0000"/>
                <w:sz w:val="20"/>
                <w:szCs w:val="20"/>
              </w:rPr>
              <w:t xml:space="preserve">  </w:t>
            </w:r>
          </w:p>
        </w:tc>
      </w:tr>
      <w:tr w:rsidR="00647F3D" w:rsidRPr="00B90897" w14:paraId="721DE441" w14:textId="77777777" w:rsidTr="00782256">
        <w:tblPrEx>
          <w:tblCellMar>
            <w:top w:w="15" w:type="dxa"/>
            <w:left w:w="15" w:type="dxa"/>
            <w:bottom w:w="15" w:type="dxa"/>
            <w:right w:w="15" w:type="dxa"/>
          </w:tblCellMar>
          <w:tblLook w:val="04A0" w:firstRow="1" w:lastRow="0" w:firstColumn="1" w:lastColumn="0" w:noHBand="0" w:noVBand="1"/>
        </w:tblPrEx>
        <w:tc>
          <w:tcPr>
            <w:tcW w:w="981" w:type="dxa"/>
            <w:gridSpan w:val="2"/>
            <w:vAlign w:val="center"/>
          </w:tcPr>
          <w:p w14:paraId="76ADFA2A" w14:textId="77777777" w:rsidR="00647F3D" w:rsidRPr="00CE157F" w:rsidRDefault="00647F3D" w:rsidP="00782256">
            <w:pPr>
              <w:jc w:val="center"/>
              <w:rPr>
                <w:rFonts w:ascii="Arial Narrow" w:hAnsi="Arial Narrow"/>
                <w:color w:val="333333"/>
                <w:sz w:val="20"/>
                <w:szCs w:val="20"/>
              </w:rPr>
            </w:pPr>
          </w:p>
        </w:tc>
        <w:tc>
          <w:tcPr>
            <w:tcW w:w="8086" w:type="dxa"/>
            <w:gridSpan w:val="8"/>
            <w:vAlign w:val="center"/>
          </w:tcPr>
          <w:p w14:paraId="0B630E07" w14:textId="77777777" w:rsidR="00647F3D" w:rsidRPr="00CE157F" w:rsidRDefault="00647F3D" w:rsidP="00782256">
            <w:pPr>
              <w:rPr>
                <w:rFonts w:ascii="Arial Narrow" w:hAnsi="Arial Narrow"/>
                <w:b/>
                <w:bCs/>
                <w:color w:val="333333"/>
                <w:sz w:val="20"/>
                <w:szCs w:val="20"/>
              </w:rPr>
            </w:pPr>
            <w:r w:rsidRPr="00CE157F">
              <w:rPr>
                <w:rFonts w:ascii="Arial Narrow" w:hAnsi="Arial Narrow"/>
                <w:b/>
                <w:bCs/>
                <w:color w:val="333333"/>
                <w:sz w:val="20"/>
                <w:szCs w:val="20"/>
              </w:rPr>
              <w:t>Clinical criteria:</w:t>
            </w:r>
          </w:p>
        </w:tc>
      </w:tr>
      <w:tr w:rsidR="00647F3D" w:rsidRPr="00B90897" w14:paraId="74B8D84C" w14:textId="77777777" w:rsidTr="00782256">
        <w:tblPrEx>
          <w:tblCellMar>
            <w:top w:w="15" w:type="dxa"/>
            <w:left w:w="15" w:type="dxa"/>
            <w:bottom w:w="15" w:type="dxa"/>
            <w:right w:w="15" w:type="dxa"/>
          </w:tblCellMar>
          <w:tblLook w:val="04A0" w:firstRow="1" w:lastRow="0" w:firstColumn="1" w:lastColumn="0" w:noHBand="0" w:noVBand="1"/>
        </w:tblPrEx>
        <w:tc>
          <w:tcPr>
            <w:tcW w:w="981" w:type="dxa"/>
            <w:gridSpan w:val="2"/>
            <w:vAlign w:val="center"/>
          </w:tcPr>
          <w:p w14:paraId="7FCA76EA" w14:textId="77777777" w:rsidR="00647F3D" w:rsidRPr="00CE157F" w:rsidRDefault="00647F3D" w:rsidP="00782256">
            <w:pPr>
              <w:jc w:val="center"/>
              <w:rPr>
                <w:rFonts w:ascii="Arial Narrow" w:hAnsi="Arial Narrow"/>
                <w:color w:val="333333"/>
                <w:sz w:val="20"/>
                <w:szCs w:val="20"/>
              </w:rPr>
            </w:pPr>
          </w:p>
        </w:tc>
        <w:tc>
          <w:tcPr>
            <w:tcW w:w="8086" w:type="dxa"/>
            <w:gridSpan w:val="8"/>
            <w:vAlign w:val="center"/>
          </w:tcPr>
          <w:p w14:paraId="1540DF07" w14:textId="77777777" w:rsidR="00647F3D" w:rsidRPr="00CE157F" w:rsidRDefault="00647F3D" w:rsidP="00782256">
            <w:pPr>
              <w:rPr>
                <w:rFonts w:ascii="Arial Narrow" w:hAnsi="Arial Narrow"/>
                <w:color w:val="333333"/>
                <w:sz w:val="20"/>
                <w:szCs w:val="20"/>
              </w:rPr>
            </w:pPr>
            <w:r w:rsidRPr="00CE157F">
              <w:rPr>
                <w:rFonts w:ascii="Arial Narrow" w:hAnsi="Arial Narrow"/>
                <w:color w:val="333333"/>
                <w:sz w:val="20"/>
                <w:szCs w:val="20"/>
              </w:rPr>
              <w:t>Patient must have received non-PBS-subsidised treatment with this drug for this PBS indication prior to [insert listing date];</w:t>
            </w:r>
          </w:p>
        </w:tc>
      </w:tr>
      <w:tr w:rsidR="00647F3D" w:rsidRPr="00B90897" w14:paraId="17F2AC1A" w14:textId="77777777" w:rsidTr="00782256">
        <w:tblPrEx>
          <w:tblCellMar>
            <w:top w:w="15" w:type="dxa"/>
            <w:left w:w="15" w:type="dxa"/>
            <w:bottom w:w="15" w:type="dxa"/>
            <w:right w:w="15" w:type="dxa"/>
          </w:tblCellMar>
          <w:tblLook w:val="04A0" w:firstRow="1" w:lastRow="0" w:firstColumn="1" w:lastColumn="0" w:noHBand="0" w:noVBand="1"/>
        </w:tblPrEx>
        <w:tc>
          <w:tcPr>
            <w:tcW w:w="981" w:type="dxa"/>
            <w:gridSpan w:val="2"/>
            <w:vAlign w:val="center"/>
          </w:tcPr>
          <w:p w14:paraId="724EC3C2" w14:textId="77777777" w:rsidR="00647F3D" w:rsidRPr="00CE157F" w:rsidRDefault="00647F3D" w:rsidP="00782256">
            <w:pPr>
              <w:jc w:val="center"/>
              <w:rPr>
                <w:rFonts w:ascii="Arial Narrow" w:hAnsi="Arial Narrow"/>
                <w:color w:val="333333"/>
                <w:sz w:val="20"/>
                <w:szCs w:val="20"/>
              </w:rPr>
            </w:pPr>
          </w:p>
        </w:tc>
        <w:tc>
          <w:tcPr>
            <w:tcW w:w="8086" w:type="dxa"/>
            <w:gridSpan w:val="8"/>
            <w:vAlign w:val="center"/>
          </w:tcPr>
          <w:p w14:paraId="52B8D5E6" w14:textId="77777777" w:rsidR="00647F3D" w:rsidRPr="00CE157F" w:rsidRDefault="00647F3D" w:rsidP="00782256">
            <w:pPr>
              <w:rPr>
                <w:rFonts w:ascii="Arial Narrow" w:hAnsi="Arial Narrow"/>
                <w:b/>
                <w:bCs/>
                <w:color w:val="333333"/>
                <w:sz w:val="20"/>
                <w:szCs w:val="20"/>
              </w:rPr>
            </w:pPr>
            <w:r w:rsidRPr="00CE157F">
              <w:rPr>
                <w:rFonts w:ascii="Arial Narrow" w:hAnsi="Arial Narrow"/>
                <w:b/>
                <w:bCs/>
                <w:color w:val="333333"/>
                <w:sz w:val="20"/>
                <w:szCs w:val="20"/>
              </w:rPr>
              <w:t>AND</w:t>
            </w:r>
          </w:p>
        </w:tc>
      </w:tr>
      <w:tr w:rsidR="00647F3D" w:rsidRPr="007F2BB2" w14:paraId="197E4E8B" w14:textId="77777777" w:rsidTr="00A11377">
        <w:tblPrEx>
          <w:tblCellMar>
            <w:top w:w="15" w:type="dxa"/>
            <w:left w:w="15" w:type="dxa"/>
            <w:bottom w:w="15" w:type="dxa"/>
            <w:right w:w="15" w:type="dxa"/>
          </w:tblCellMar>
          <w:tblLook w:val="04A0" w:firstRow="1" w:lastRow="0" w:firstColumn="1" w:lastColumn="0" w:noHBand="0" w:noVBand="1"/>
        </w:tblPrEx>
        <w:tc>
          <w:tcPr>
            <w:tcW w:w="981" w:type="dxa"/>
            <w:gridSpan w:val="2"/>
            <w:vAlign w:val="center"/>
          </w:tcPr>
          <w:p w14:paraId="53C1293A" w14:textId="2843D20B" w:rsidR="00647F3D" w:rsidRPr="00CE157F" w:rsidRDefault="00647F3D" w:rsidP="00782256">
            <w:pPr>
              <w:jc w:val="center"/>
              <w:rPr>
                <w:rFonts w:ascii="Arial Narrow" w:hAnsi="Arial Narrow"/>
                <w:color w:val="333333"/>
                <w:sz w:val="20"/>
                <w:szCs w:val="20"/>
              </w:rPr>
            </w:pPr>
          </w:p>
        </w:tc>
        <w:tc>
          <w:tcPr>
            <w:tcW w:w="8086" w:type="dxa"/>
            <w:gridSpan w:val="8"/>
            <w:vAlign w:val="center"/>
            <w:hideMark/>
          </w:tcPr>
          <w:p w14:paraId="3457705C" w14:textId="77777777" w:rsidR="00647F3D" w:rsidRPr="00CE157F" w:rsidRDefault="00647F3D" w:rsidP="00782256">
            <w:pPr>
              <w:rPr>
                <w:rFonts w:ascii="Arial Narrow" w:hAnsi="Arial Narrow"/>
                <w:color w:val="FF00FF"/>
                <w:sz w:val="20"/>
                <w:szCs w:val="20"/>
              </w:rPr>
            </w:pPr>
            <w:r w:rsidRPr="00CE157F">
              <w:rPr>
                <w:rFonts w:ascii="Arial Narrow" w:hAnsi="Arial Narrow"/>
                <w:b/>
                <w:bCs/>
                <w:color w:val="333333"/>
                <w:sz w:val="20"/>
                <w:szCs w:val="20"/>
              </w:rPr>
              <w:t xml:space="preserve">Clinical criteria: </w:t>
            </w:r>
          </w:p>
        </w:tc>
      </w:tr>
      <w:tr w:rsidR="00647F3D" w:rsidRPr="00720161" w14:paraId="7B227722" w14:textId="77777777" w:rsidTr="00A11377">
        <w:tblPrEx>
          <w:tblCellMar>
            <w:top w:w="15" w:type="dxa"/>
            <w:left w:w="15" w:type="dxa"/>
            <w:bottom w:w="15" w:type="dxa"/>
            <w:right w:w="15" w:type="dxa"/>
          </w:tblCellMar>
          <w:tblLook w:val="04A0" w:firstRow="1" w:lastRow="0" w:firstColumn="1" w:lastColumn="0" w:noHBand="0" w:noVBand="1"/>
        </w:tblPrEx>
        <w:tc>
          <w:tcPr>
            <w:tcW w:w="981" w:type="dxa"/>
            <w:gridSpan w:val="2"/>
            <w:vAlign w:val="center"/>
          </w:tcPr>
          <w:p w14:paraId="1D97EB29" w14:textId="4CDDA5F2" w:rsidR="00647F3D" w:rsidRPr="00CE157F" w:rsidRDefault="00647F3D" w:rsidP="00782256">
            <w:pPr>
              <w:jc w:val="center"/>
              <w:rPr>
                <w:rFonts w:ascii="Arial Narrow" w:hAnsi="Arial Narrow"/>
                <w:color w:val="333333"/>
                <w:sz w:val="20"/>
                <w:szCs w:val="20"/>
              </w:rPr>
            </w:pPr>
          </w:p>
        </w:tc>
        <w:tc>
          <w:tcPr>
            <w:tcW w:w="8086" w:type="dxa"/>
            <w:gridSpan w:val="8"/>
            <w:vAlign w:val="center"/>
            <w:hideMark/>
          </w:tcPr>
          <w:p w14:paraId="6825545E" w14:textId="77777777" w:rsidR="00647F3D" w:rsidRPr="00CE157F" w:rsidRDefault="00647F3D" w:rsidP="00782256">
            <w:pPr>
              <w:rPr>
                <w:rFonts w:ascii="Arial Narrow" w:hAnsi="Arial Narrow"/>
                <w:color w:val="333333"/>
                <w:sz w:val="20"/>
                <w:szCs w:val="20"/>
              </w:rPr>
            </w:pPr>
            <w:r w:rsidRPr="00CE157F">
              <w:rPr>
                <w:rFonts w:ascii="Arial Narrow" w:hAnsi="Arial Narrow"/>
                <w:color w:val="333333"/>
                <w:sz w:val="20"/>
                <w:szCs w:val="20"/>
              </w:rPr>
              <w:t>Patient must be at very high risk of fracture.</w:t>
            </w:r>
          </w:p>
        </w:tc>
      </w:tr>
      <w:tr w:rsidR="00647F3D" w:rsidRPr="00120A12" w14:paraId="28835022" w14:textId="77777777" w:rsidTr="00A11377">
        <w:tblPrEx>
          <w:tblCellMar>
            <w:top w:w="15" w:type="dxa"/>
            <w:left w:w="15" w:type="dxa"/>
            <w:bottom w:w="15" w:type="dxa"/>
            <w:right w:w="15" w:type="dxa"/>
          </w:tblCellMar>
          <w:tblLook w:val="04A0" w:firstRow="1" w:lastRow="0" w:firstColumn="1" w:lastColumn="0" w:noHBand="0" w:noVBand="1"/>
        </w:tblPrEx>
        <w:tc>
          <w:tcPr>
            <w:tcW w:w="981" w:type="dxa"/>
            <w:gridSpan w:val="2"/>
            <w:vAlign w:val="center"/>
          </w:tcPr>
          <w:p w14:paraId="74413D26" w14:textId="77777777" w:rsidR="00647F3D" w:rsidRPr="00CE157F" w:rsidRDefault="00647F3D" w:rsidP="00782256">
            <w:pPr>
              <w:jc w:val="center"/>
              <w:rPr>
                <w:rFonts w:ascii="Arial Narrow" w:hAnsi="Arial Narrow"/>
                <w:color w:val="333333"/>
                <w:sz w:val="20"/>
                <w:szCs w:val="20"/>
              </w:rPr>
            </w:pPr>
          </w:p>
        </w:tc>
        <w:tc>
          <w:tcPr>
            <w:tcW w:w="8086" w:type="dxa"/>
            <w:gridSpan w:val="8"/>
            <w:vAlign w:val="center"/>
            <w:hideMark/>
          </w:tcPr>
          <w:p w14:paraId="05D3C6EE" w14:textId="77777777" w:rsidR="00647F3D" w:rsidRPr="00CE157F" w:rsidRDefault="00647F3D" w:rsidP="00782256">
            <w:pPr>
              <w:rPr>
                <w:rFonts w:ascii="Arial Narrow" w:hAnsi="Arial Narrow"/>
                <w:color w:val="333333"/>
                <w:sz w:val="20"/>
                <w:szCs w:val="20"/>
              </w:rPr>
            </w:pPr>
            <w:r w:rsidRPr="00CE157F">
              <w:rPr>
                <w:rFonts w:ascii="Arial Narrow" w:hAnsi="Arial Narrow"/>
                <w:b/>
                <w:bCs/>
                <w:color w:val="333333"/>
                <w:sz w:val="20"/>
                <w:szCs w:val="20"/>
              </w:rPr>
              <w:t>AND</w:t>
            </w:r>
          </w:p>
        </w:tc>
      </w:tr>
      <w:tr w:rsidR="00647F3D" w:rsidRPr="00120A12" w14:paraId="4392C2A5" w14:textId="77777777" w:rsidTr="00782256">
        <w:tblPrEx>
          <w:tblCellMar>
            <w:top w:w="15" w:type="dxa"/>
            <w:left w:w="15" w:type="dxa"/>
            <w:bottom w:w="15" w:type="dxa"/>
            <w:right w:w="15" w:type="dxa"/>
          </w:tblCellMar>
          <w:tblLook w:val="04A0" w:firstRow="1" w:lastRow="0" w:firstColumn="1" w:lastColumn="0" w:noHBand="0" w:noVBand="1"/>
        </w:tblPrEx>
        <w:tc>
          <w:tcPr>
            <w:tcW w:w="981" w:type="dxa"/>
            <w:gridSpan w:val="2"/>
            <w:vAlign w:val="center"/>
          </w:tcPr>
          <w:p w14:paraId="50A6009E" w14:textId="6E34065C" w:rsidR="00647F3D" w:rsidRPr="00CE157F" w:rsidRDefault="00647F3D" w:rsidP="00782256">
            <w:pPr>
              <w:jc w:val="center"/>
              <w:rPr>
                <w:rFonts w:ascii="Arial Narrow" w:hAnsi="Arial Narrow"/>
                <w:color w:val="333333"/>
                <w:sz w:val="20"/>
                <w:szCs w:val="20"/>
              </w:rPr>
            </w:pPr>
          </w:p>
        </w:tc>
        <w:tc>
          <w:tcPr>
            <w:tcW w:w="8086" w:type="dxa"/>
            <w:gridSpan w:val="8"/>
            <w:vAlign w:val="center"/>
            <w:hideMark/>
          </w:tcPr>
          <w:p w14:paraId="0B728631" w14:textId="77777777" w:rsidR="00647F3D" w:rsidRPr="00CE157F" w:rsidRDefault="00647F3D" w:rsidP="00782256">
            <w:pPr>
              <w:rPr>
                <w:rFonts w:ascii="Arial Narrow" w:hAnsi="Arial Narrow"/>
                <w:color w:val="333333"/>
                <w:sz w:val="20"/>
                <w:szCs w:val="20"/>
              </w:rPr>
            </w:pPr>
            <w:r w:rsidRPr="00CE157F">
              <w:rPr>
                <w:rFonts w:ascii="Arial Narrow" w:hAnsi="Arial Narrow"/>
                <w:b/>
                <w:bCs/>
                <w:color w:val="333333"/>
                <w:sz w:val="20"/>
                <w:szCs w:val="20"/>
              </w:rPr>
              <w:t>Clinical criteria:</w:t>
            </w:r>
          </w:p>
        </w:tc>
      </w:tr>
      <w:tr w:rsidR="00647F3D" w:rsidRPr="00720161" w14:paraId="6E927B7B" w14:textId="77777777" w:rsidTr="00782256">
        <w:tblPrEx>
          <w:tblCellMar>
            <w:top w:w="15" w:type="dxa"/>
            <w:left w:w="15" w:type="dxa"/>
            <w:bottom w:w="15" w:type="dxa"/>
            <w:right w:w="15" w:type="dxa"/>
          </w:tblCellMar>
          <w:tblLook w:val="04A0" w:firstRow="1" w:lastRow="0" w:firstColumn="1" w:lastColumn="0" w:noHBand="0" w:noVBand="1"/>
        </w:tblPrEx>
        <w:tc>
          <w:tcPr>
            <w:tcW w:w="981" w:type="dxa"/>
            <w:gridSpan w:val="2"/>
            <w:vAlign w:val="center"/>
          </w:tcPr>
          <w:p w14:paraId="7041FA4C" w14:textId="5CE4E245" w:rsidR="00647F3D" w:rsidRPr="00CE157F" w:rsidRDefault="00647F3D" w:rsidP="00782256">
            <w:pPr>
              <w:jc w:val="center"/>
              <w:rPr>
                <w:rFonts w:ascii="Arial Narrow" w:hAnsi="Arial Narrow"/>
                <w:color w:val="333333"/>
                <w:sz w:val="20"/>
                <w:szCs w:val="20"/>
              </w:rPr>
            </w:pPr>
          </w:p>
        </w:tc>
        <w:tc>
          <w:tcPr>
            <w:tcW w:w="8086" w:type="dxa"/>
            <w:gridSpan w:val="8"/>
            <w:vAlign w:val="center"/>
            <w:hideMark/>
          </w:tcPr>
          <w:p w14:paraId="2E2C24F4" w14:textId="77777777" w:rsidR="00647F3D" w:rsidRPr="00CE157F" w:rsidRDefault="00647F3D" w:rsidP="00782256">
            <w:pPr>
              <w:rPr>
                <w:rFonts w:ascii="Arial Narrow" w:hAnsi="Arial Narrow"/>
                <w:color w:val="333333"/>
                <w:sz w:val="20"/>
                <w:szCs w:val="20"/>
              </w:rPr>
            </w:pPr>
            <w:r w:rsidRPr="00CE157F">
              <w:rPr>
                <w:rFonts w:ascii="Arial Narrow" w:hAnsi="Arial Narrow"/>
                <w:color w:val="333333"/>
                <w:sz w:val="20"/>
                <w:szCs w:val="20"/>
              </w:rPr>
              <w:t>Patient must have a bone mineral density (BMD) T-score of -2.5 or less prior to starting non-PBS subsidised treatment with this drug for this condition.</w:t>
            </w:r>
          </w:p>
        </w:tc>
      </w:tr>
      <w:tr w:rsidR="00647F3D" w:rsidRPr="00120A12" w14:paraId="715403A1" w14:textId="77777777" w:rsidTr="00782256">
        <w:tblPrEx>
          <w:tblCellMar>
            <w:top w:w="15" w:type="dxa"/>
            <w:left w:w="15" w:type="dxa"/>
            <w:bottom w:w="15" w:type="dxa"/>
            <w:right w:w="15" w:type="dxa"/>
          </w:tblCellMar>
          <w:tblLook w:val="04A0" w:firstRow="1" w:lastRow="0" w:firstColumn="1" w:lastColumn="0" w:noHBand="0" w:noVBand="1"/>
        </w:tblPrEx>
        <w:tc>
          <w:tcPr>
            <w:tcW w:w="981" w:type="dxa"/>
            <w:gridSpan w:val="2"/>
            <w:vAlign w:val="center"/>
          </w:tcPr>
          <w:p w14:paraId="04980B88" w14:textId="77777777" w:rsidR="00647F3D" w:rsidRPr="00CE157F" w:rsidRDefault="00647F3D" w:rsidP="00782256">
            <w:pPr>
              <w:jc w:val="center"/>
              <w:rPr>
                <w:rFonts w:ascii="Arial Narrow" w:hAnsi="Arial Narrow"/>
                <w:color w:val="333333"/>
                <w:sz w:val="20"/>
                <w:szCs w:val="20"/>
              </w:rPr>
            </w:pPr>
          </w:p>
        </w:tc>
        <w:tc>
          <w:tcPr>
            <w:tcW w:w="8086" w:type="dxa"/>
            <w:gridSpan w:val="8"/>
            <w:vAlign w:val="center"/>
            <w:hideMark/>
          </w:tcPr>
          <w:p w14:paraId="57FF1EF8" w14:textId="77777777" w:rsidR="00647F3D" w:rsidRPr="00CE157F" w:rsidRDefault="00647F3D" w:rsidP="00782256">
            <w:pPr>
              <w:rPr>
                <w:rFonts w:ascii="Arial Narrow" w:hAnsi="Arial Narrow"/>
                <w:b/>
                <w:bCs/>
                <w:color w:val="333333"/>
                <w:sz w:val="20"/>
                <w:szCs w:val="20"/>
              </w:rPr>
            </w:pPr>
            <w:r w:rsidRPr="00CE157F">
              <w:rPr>
                <w:rFonts w:ascii="Arial Narrow" w:hAnsi="Arial Narrow"/>
                <w:b/>
                <w:bCs/>
                <w:color w:val="333333"/>
                <w:sz w:val="20"/>
                <w:szCs w:val="20"/>
              </w:rPr>
              <w:t>AND</w:t>
            </w:r>
          </w:p>
        </w:tc>
      </w:tr>
      <w:tr w:rsidR="00647F3D" w:rsidRPr="00120A12" w14:paraId="0AD2DAB1" w14:textId="77777777" w:rsidTr="00782256">
        <w:tblPrEx>
          <w:tblCellMar>
            <w:top w:w="15" w:type="dxa"/>
            <w:left w:w="15" w:type="dxa"/>
            <w:bottom w:w="15" w:type="dxa"/>
            <w:right w:w="15" w:type="dxa"/>
          </w:tblCellMar>
          <w:tblLook w:val="04A0" w:firstRow="1" w:lastRow="0" w:firstColumn="1" w:lastColumn="0" w:noHBand="0" w:noVBand="1"/>
        </w:tblPrEx>
        <w:tc>
          <w:tcPr>
            <w:tcW w:w="981" w:type="dxa"/>
            <w:gridSpan w:val="2"/>
          </w:tcPr>
          <w:p w14:paraId="3F1C3B23" w14:textId="77777777" w:rsidR="00647F3D" w:rsidRPr="00CE157F" w:rsidRDefault="00647F3D" w:rsidP="00782256">
            <w:pPr>
              <w:rPr>
                <w:rFonts w:ascii="Arial Narrow" w:hAnsi="Arial Narrow"/>
                <w:color w:val="333333"/>
                <w:sz w:val="20"/>
                <w:szCs w:val="20"/>
              </w:rPr>
            </w:pPr>
          </w:p>
        </w:tc>
        <w:tc>
          <w:tcPr>
            <w:tcW w:w="8086" w:type="dxa"/>
            <w:gridSpan w:val="8"/>
            <w:hideMark/>
          </w:tcPr>
          <w:p w14:paraId="39158D19" w14:textId="77777777" w:rsidR="00647F3D" w:rsidRPr="00CE157F" w:rsidRDefault="00647F3D" w:rsidP="00782256">
            <w:pPr>
              <w:rPr>
                <w:rFonts w:ascii="Arial Narrow" w:hAnsi="Arial Narrow"/>
                <w:color w:val="333333"/>
                <w:sz w:val="20"/>
                <w:szCs w:val="20"/>
              </w:rPr>
            </w:pPr>
            <w:r w:rsidRPr="00CE157F">
              <w:rPr>
                <w:rFonts w:ascii="Arial Narrow" w:hAnsi="Arial Narrow"/>
                <w:b/>
                <w:bCs/>
                <w:color w:val="333333"/>
                <w:sz w:val="20"/>
                <w:szCs w:val="20"/>
              </w:rPr>
              <w:t>Clinical criteria:</w:t>
            </w:r>
          </w:p>
        </w:tc>
      </w:tr>
      <w:tr w:rsidR="00647F3D" w:rsidRPr="00120A12" w14:paraId="57B05CEF" w14:textId="77777777" w:rsidTr="00782256">
        <w:tblPrEx>
          <w:tblCellMar>
            <w:top w:w="15" w:type="dxa"/>
            <w:left w:w="15" w:type="dxa"/>
            <w:bottom w:w="15" w:type="dxa"/>
            <w:right w:w="15" w:type="dxa"/>
          </w:tblCellMar>
          <w:tblLook w:val="04A0" w:firstRow="1" w:lastRow="0" w:firstColumn="1" w:lastColumn="0" w:noHBand="0" w:noVBand="1"/>
        </w:tblPrEx>
        <w:tc>
          <w:tcPr>
            <w:tcW w:w="981" w:type="dxa"/>
            <w:gridSpan w:val="2"/>
          </w:tcPr>
          <w:p w14:paraId="561C6D46" w14:textId="53C94BCE" w:rsidR="00647F3D" w:rsidRPr="00CE157F" w:rsidRDefault="00647F3D" w:rsidP="00782256">
            <w:pPr>
              <w:rPr>
                <w:rFonts w:ascii="Arial Narrow" w:hAnsi="Arial Narrow"/>
                <w:color w:val="333333"/>
                <w:sz w:val="20"/>
                <w:szCs w:val="20"/>
              </w:rPr>
            </w:pPr>
          </w:p>
        </w:tc>
        <w:tc>
          <w:tcPr>
            <w:tcW w:w="8086" w:type="dxa"/>
            <w:gridSpan w:val="8"/>
            <w:hideMark/>
          </w:tcPr>
          <w:p w14:paraId="1B990061" w14:textId="77777777" w:rsidR="00647F3D" w:rsidRPr="00CE157F" w:rsidRDefault="00647F3D" w:rsidP="00782256">
            <w:pPr>
              <w:rPr>
                <w:rFonts w:ascii="Arial Narrow" w:hAnsi="Arial Narrow"/>
                <w:color w:val="333333"/>
                <w:sz w:val="20"/>
                <w:szCs w:val="20"/>
              </w:rPr>
            </w:pPr>
            <w:r w:rsidRPr="00CE157F">
              <w:rPr>
                <w:rFonts w:ascii="Arial Narrow" w:hAnsi="Arial Narrow"/>
                <w:color w:val="333333"/>
                <w:sz w:val="20"/>
                <w:szCs w:val="20"/>
              </w:rPr>
              <w:t>Patient must have experienced at least 1 symptomatic new fracture after at least 12 months continuous therapy with an anti-resorptive agent at adequate doses prior to starting non-PBS subsidised treatment with this drug for this condition.</w:t>
            </w:r>
          </w:p>
        </w:tc>
      </w:tr>
      <w:tr w:rsidR="00647F3D" w:rsidRPr="00120A12" w14:paraId="65111A5D" w14:textId="77777777" w:rsidTr="00782256">
        <w:tblPrEx>
          <w:tblCellMar>
            <w:top w:w="15" w:type="dxa"/>
            <w:left w:w="15" w:type="dxa"/>
            <w:bottom w:w="15" w:type="dxa"/>
            <w:right w:w="15" w:type="dxa"/>
          </w:tblCellMar>
          <w:tblLook w:val="04A0" w:firstRow="1" w:lastRow="0" w:firstColumn="1" w:lastColumn="0" w:noHBand="0" w:noVBand="1"/>
        </w:tblPrEx>
        <w:tc>
          <w:tcPr>
            <w:tcW w:w="981" w:type="dxa"/>
            <w:gridSpan w:val="2"/>
            <w:vAlign w:val="center"/>
          </w:tcPr>
          <w:p w14:paraId="23EA128B" w14:textId="77777777" w:rsidR="00647F3D" w:rsidRPr="00CE157F" w:rsidRDefault="00647F3D" w:rsidP="00782256">
            <w:pPr>
              <w:jc w:val="center"/>
              <w:rPr>
                <w:rFonts w:ascii="Arial Narrow" w:hAnsi="Arial Narrow"/>
                <w:color w:val="333333"/>
                <w:sz w:val="20"/>
                <w:szCs w:val="20"/>
              </w:rPr>
            </w:pPr>
          </w:p>
        </w:tc>
        <w:tc>
          <w:tcPr>
            <w:tcW w:w="8086" w:type="dxa"/>
            <w:gridSpan w:val="8"/>
          </w:tcPr>
          <w:p w14:paraId="65D6308A" w14:textId="77777777" w:rsidR="00647F3D" w:rsidRPr="00CE157F" w:rsidRDefault="00647F3D" w:rsidP="00782256">
            <w:pPr>
              <w:rPr>
                <w:rFonts w:ascii="Arial Narrow" w:hAnsi="Arial Narrow"/>
                <w:b/>
                <w:bCs/>
                <w:color w:val="333333"/>
                <w:sz w:val="20"/>
                <w:szCs w:val="20"/>
              </w:rPr>
            </w:pPr>
            <w:r w:rsidRPr="00CE157F">
              <w:rPr>
                <w:rFonts w:ascii="Arial Narrow" w:hAnsi="Arial Narrow"/>
                <w:b/>
                <w:bCs/>
                <w:color w:val="333333"/>
                <w:sz w:val="20"/>
                <w:szCs w:val="20"/>
              </w:rPr>
              <w:t>AND</w:t>
            </w:r>
          </w:p>
        </w:tc>
      </w:tr>
      <w:tr w:rsidR="00647F3D" w:rsidRPr="00120A12" w14:paraId="094B6889" w14:textId="77777777" w:rsidTr="00782256">
        <w:tblPrEx>
          <w:tblCellMar>
            <w:top w:w="15" w:type="dxa"/>
            <w:left w:w="15" w:type="dxa"/>
            <w:bottom w:w="15" w:type="dxa"/>
            <w:right w:w="15" w:type="dxa"/>
          </w:tblCellMar>
          <w:tblLook w:val="04A0" w:firstRow="1" w:lastRow="0" w:firstColumn="1" w:lastColumn="0" w:noHBand="0" w:noVBand="1"/>
        </w:tblPrEx>
        <w:tc>
          <w:tcPr>
            <w:tcW w:w="981" w:type="dxa"/>
            <w:gridSpan w:val="2"/>
            <w:vAlign w:val="center"/>
          </w:tcPr>
          <w:p w14:paraId="5C2D41C4" w14:textId="6C6DF666" w:rsidR="00647F3D" w:rsidRPr="00CE157F" w:rsidRDefault="00647F3D" w:rsidP="00782256">
            <w:pPr>
              <w:jc w:val="center"/>
              <w:rPr>
                <w:rFonts w:ascii="Arial Narrow" w:hAnsi="Arial Narrow"/>
                <w:color w:val="333333"/>
                <w:sz w:val="20"/>
                <w:szCs w:val="20"/>
              </w:rPr>
            </w:pPr>
          </w:p>
        </w:tc>
        <w:tc>
          <w:tcPr>
            <w:tcW w:w="8086" w:type="dxa"/>
            <w:gridSpan w:val="8"/>
          </w:tcPr>
          <w:p w14:paraId="4F40F031" w14:textId="77777777" w:rsidR="00647F3D" w:rsidRPr="00CE157F" w:rsidRDefault="00647F3D" w:rsidP="00782256">
            <w:pPr>
              <w:rPr>
                <w:rFonts w:ascii="Arial Narrow" w:hAnsi="Arial Narrow"/>
                <w:b/>
                <w:bCs/>
                <w:color w:val="333333"/>
                <w:sz w:val="20"/>
                <w:szCs w:val="20"/>
              </w:rPr>
            </w:pPr>
            <w:r w:rsidRPr="00CE157F">
              <w:rPr>
                <w:rFonts w:ascii="Arial Narrow" w:hAnsi="Arial Narrow"/>
                <w:b/>
                <w:bCs/>
                <w:color w:val="333333"/>
                <w:sz w:val="20"/>
                <w:szCs w:val="20"/>
              </w:rPr>
              <w:t>Clinical criteria:</w:t>
            </w:r>
          </w:p>
        </w:tc>
      </w:tr>
      <w:tr w:rsidR="00647F3D" w:rsidRPr="00120A12" w14:paraId="42871675" w14:textId="77777777" w:rsidTr="00782256">
        <w:tblPrEx>
          <w:tblCellMar>
            <w:top w:w="15" w:type="dxa"/>
            <w:left w:w="15" w:type="dxa"/>
            <w:bottom w:w="15" w:type="dxa"/>
            <w:right w:w="15" w:type="dxa"/>
          </w:tblCellMar>
          <w:tblLook w:val="04A0" w:firstRow="1" w:lastRow="0" w:firstColumn="1" w:lastColumn="0" w:noHBand="0" w:noVBand="1"/>
        </w:tblPrEx>
        <w:tc>
          <w:tcPr>
            <w:tcW w:w="981" w:type="dxa"/>
            <w:gridSpan w:val="2"/>
            <w:vAlign w:val="center"/>
          </w:tcPr>
          <w:p w14:paraId="2CF6165A" w14:textId="51929BB8" w:rsidR="00647F3D" w:rsidRPr="00CE157F" w:rsidRDefault="00647F3D" w:rsidP="00782256">
            <w:pPr>
              <w:jc w:val="center"/>
              <w:rPr>
                <w:rFonts w:ascii="Arial Narrow" w:hAnsi="Arial Narrow"/>
                <w:color w:val="333333"/>
                <w:sz w:val="20"/>
                <w:szCs w:val="20"/>
              </w:rPr>
            </w:pPr>
          </w:p>
        </w:tc>
        <w:tc>
          <w:tcPr>
            <w:tcW w:w="8086" w:type="dxa"/>
            <w:gridSpan w:val="8"/>
            <w:vAlign w:val="center"/>
          </w:tcPr>
          <w:p w14:paraId="77C45894" w14:textId="77777777" w:rsidR="00647F3D" w:rsidRPr="00CE157F" w:rsidRDefault="00647F3D" w:rsidP="00782256">
            <w:pPr>
              <w:rPr>
                <w:rFonts w:ascii="Arial Narrow" w:hAnsi="Arial Narrow"/>
                <w:color w:val="333333"/>
                <w:sz w:val="20"/>
                <w:szCs w:val="20"/>
              </w:rPr>
            </w:pPr>
            <w:r w:rsidRPr="00CE157F">
              <w:rPr>
                <w:rFonts w:ascii="Arial Narrow" w:hAnsi="Arial Narrow"/>
                <w:color w:val="333333"/>
                <w:sz w:val="20"/>
                <w:szCs w:val="20"/>
              </w:rPr>
              <w:t>The treatment must be the sole PBS-subsidised therapy for this condition.</w:t>
            </w:r>
          </w:p>
        </w:tc>
      </w:tr>
      <w:tr w:rsidR="00647F3D" w:rsidRPr="00120A12" w14:paraId="792DDF78" w14:textId="77777777" w:rsidTr="00782256">
        <w:tblPrEx>
          <w:tblCellMar>
            <w:top w:w="15" w:type="dxa"/>
            <w:left w:w="15" w:type="dxa"/>
            <w:bottom w:w="15" w:type="dxa"/>
            <w:right w:w="15" w:type="dxa"/>
          </w:tblCellMar>
          <w:tblLook w:val="04A0" w:firstRow="1" w:lastRow="0" w:firstColumn="1" w:lastColumn="0" w:noHBand="0" w:noVBand="1"/>
        </w:tblPrEx>
        <w:tc>
          <w:tcPr>
            <w:tcW w:w="981" w:type="dxa"/>
            <w:gridSpan w:val="2"/>
            <w:vAlign w:val="center"/>
          </w:tcPr>
          <w:p w14:paraId="53756789" w14:textId="77777777" w:rsidR="00647F3D" w:rsidRPr="00CE157F" w:rsidRDefault="00647F3D" w:rsidP="00782256">
            <w:pPr>
              <w:jc w:val="center"/>
              <w:rPr>
                <w:rFonts w:ascii="Arial Narrow" w:hAnsi="Arial Narrow"/>
                <w:color w:val="333333"/>
                <w:sz w:val="20"/>
                <w:szCs w:val="20"/>
              </w:rPr>
            </w:pPr>
          </w:p>
        </w:tc>
        <w:tc>
          <w:tcPr>
            <w:tcW w:w="8086" w:type="dxa"/>
            <w:gridSpan w:val="8"/>
          </w:tcPr>
          <w:p w14:paraId="5A11D539" w14:textId="77777777" w:rsidR="00647F3D" w:rsidRPr="00CE157F" w:rsidRDefault="00647F3D" w:rsidP="00782256">
            <w:pPr>
              <w:rPr>
                <w:rFonts w:ascii="Arial Narrow" w:hAnsi="Arial Narrow"/>
                <w:b/>
                <w:bCs/>
                <w:color w:val="333333"/>
                <w:sz w:val="20"/>
                <w:szCs w:val="20"/>
              </w:rPr>
            </w:pPr>
            <w:r w:rsidRPr="00CE157F">
              <w:rPr>
                <w:rFonts w:ascii="Arial Narrow" w:hAnsi="Arial Narrow"/>
                <w:b/>
                <w:bCs/>
                <w:color w:val="333333"/>
                <w:sz w:val="20"/>
                <w:szCs w:val="20"/>
              </w:rPr>
              <w:t>AND</w:t>
            </w:r>
          </w:p>
        </w:tc>
      </w:tr>
      <w:tr w:rsidR="00647F3D" w:rsidRPr="00120A12" w14:paraId="4DEFDD91" w14:textId="77777777" w:rsidTr="00782256">
        <w:tblPrEx>
          <w:tblCellMar>
            <w:top w:w="15" w:type="dxa"/>
            <w:left w:w="15" w:type="dxa"/>
            <w:bottom w:w="15" w:type="dxa"/>
            <w:right w:w="15" w:type="dxa"/>
          </w:tblCellMar>
          <w:tblLook w:val="04A0" w:firstRow="1" w:lastRow="0" w:firstColumn="1" w:lastColumn="0" w:noHBand="0" w:noVBand="1"/>
        </w:tblPrEx>
        <w:tc>
          <w:tcPr>
            <w:tcW w:w="981" w:type="dxa"/>
            <w:gridSpan w:val="2"/>
          </w:tcPr>
          <w:p w14:paraId="6FE2F0C8" w14:textId="77777777" w:rsidR="00647F3D" w:rsidRPr="00CE157F" w:rsidRDefault="00647F3D" w:rsidP="00782256">
            <w:pPr>
              <w:jc w:val="center"/>
              <w:rPr>
                <w:rFonts w:ascii="Arial Narrow" w:hAnsi="Arial Narrow"/>
                <w:color w:val="333333"/>
                <w:sz w:val="20"/>
                <w:szCs w:val="20"/>
              </w:rPr>
            </w:pPr>
          </w:p>
        </w:tc>
        <w:tc>
          <w:tcPr>
            <w:tcW w:w="8086" w:type="dxa"/>
            <w:gridSpan w:val="8"/>
          </w:tcPr>
          <w:p w14:paraId="703C21F6" w14:textId="77777777" w:rsidR="00647F3D" w:rsidRPr="00CE157F" w:rsidRDefault="00647F3D" w:rsidP="00782256">
            <w:pPr>
              <w:rPr>
                <w:rFonts w:ascii="Arial Narrow" w:hAnsi="Arial Narrow"/>
                <w:b/>
                <w:bCs/>
                <w:color w:val="333333"/>
                <w:sz w:val="20"/>
                <w:szCs w:val="20"/>
              </w:rPr>
            </w:pPr>
            <w:r w:rsidRPr="00CE157F">
              <w:rPr>
                <w:rFonts w:ascii="Arial Narrow" w:hAnsi="Arial Narrow"/>
                <w:b/>
                <w:bCs/>
                <w:color w:val="333333"/>
                <w:sz w:val="20"/>
                <w:szCs w:val="20"/>
              </w:rPr>
              <w:t>Clinical criteria:</w:t>
            </w:r>
          </w:p>
        </w:tc>
      </w:tr>
      <w:tr w:rsidR="00647F3D" w:rsidRPr="00120A12" w14:paraId="2F278274" w14:textId="77777777" w:rsidTr="00782256">
        <w:tblPrEx>
          <w:tblCellMar>
            <w:top w:w="15" w:type="dxa"/>
            <w:left w:w="15" w:type="dxa"/>
            <w:bottom w:w="15" w:type="dxa"/>
            <w:right w:w="15" w:type="dxa"/>
          </w:tblCellMar>
          <w:tblLook w:val="04A0" w:firstRow="1" w:lastRow="0" w:firstColumn="1" w:lastColumn="0" w:noHBand="0" w:noVBand="1"/>
        </w:tblPrEx>
        <w:tc>
          <w:tcPr>
            <w:tcW w:w="981" w:type="dxa"/>
            <w:gridSpan w:val="2"/>
          </w:tcPr>
          <w:p w14:paraId="0613DF9E" w14:textId="006CB4A5" w:rsidR="00647F3D" w:rsidRPr="00CE157F" w:rsidRDefault="00647F3D" w:rsidP="00782256">
            <w:pPr>
              <w:jc w:val="center"/>
              <w:rPr>
                <w:rFonts w:ascii="Arial Narrow" w:hAnsi="Arial Narrow"/>
                <w:color w:val="333333"/>
                <w:sz w:val="20"/>
                <w:szCs w:val="20"/>
              </w:rPr>
            </w:pPr>
          </w:p>
        </w:tc>
        <w:tc>
          <w:tcPr>
            <w:tcW w:w="8086" w:type="dxa"/>
            <w:gridSpan w:val="8"/>
          </w:tcPr>
          <w:p w14:paraId="43765F01" w14:textId="0034E8A1" w:rsidR="00647F3D" w:rsidRPr="00CE157F" w:rsidRDefault="00647F3D" w:rsidP="00782256">
            <w:pPr>
              <w:rPr>
                <w:rFonts w:ascii="Arial Narrow" w:hAnsi="Arial Narrow"/>
                <w:color w:val="333333"/>
                <w:sz w:val="20"/>
                <w:szCs w:val="20"/>
              </w:rPr>
            </w:pPr>
            <w:r w:rsidRPr="00CE157F">
              <w:rPr>
                <w:rFonts w:ascii="Arial Narrow" w:hAnsi="Arial Narrow"/>
                <w:color w:val="333333"/>
                <w:sz w:val="20"/>
                <w:szCs w:val="20"/>
              </w:rPr>
              <w:t xml:space="preserve">The treatment must not exceed a lifetime maximum of 12 months </w:t>
            </w:r>
            <w:r w:rsidRPr="00CE157F">
              <w:rPr>
                <w:rFonts w:ascii="Arial Narrow" w:hAnsi="Arial Narrow"/>
                <w:i/>
                <w:iCs/>
                <w:color w:val="333333"/>
                <w:sz w:val="20"/>
                <w:szCs w:val="20"/>
              </w:rPr>
              <w:t>PBS and non-PBS</w:t>
            </w:r>
            <w:r w:rsidR="00A73D8D">
              <w:rPr>
                <w:rFonts w:ascii="Arial Narrow" w:hAnsi="Arial Narrow"/>
                <w:i/>
                <w:iCs/>
                <w:color w:val="333333"/>
                <w:sz w:val="20"/>
                <w:szCs w:val="20"/>
              </w:rPr>
              <w:t xml:space="preserve"> subsidised</w:t>
            </w:r>
            <w:r w:rsidRPr="00CE157F">
              <w:rPr>
                <w:rFonts w:ascii="Arial Narrow" w:hAnsi="Arial Narrow"/>
                <w:color w:val="333333"/>
                <w:sz w:val="20"/>
                <w:szCs w:val="20"/>
              </w:rPr>
              <w:t xml:space="preserve"> therapy</w:t>
            </w:r>
          </w:p>
        </w:tc>
      </w:tr>
      <w:tr w:rsidR="00647F3D" w:rsidRPr="00120A12" w14:paraId="13544997" w14:textId="77777777" w:rsidTr="00782256">
        <w:tblPrEx>
          <w:tblCellMar>
            <w:top w:w="15" w:type="dxa"/>
            <w:left w:w="15" w:type="dxa"/>
            <w:bottom w:w="15" w:type="dxa"/>
            <w:right w:w="15" w:type="dxa"/>
          </w:tblCellMar>
          <w:tblLook w:val="04A0" w:firstRow="1" w:lastRow="0" w:firstColumn="1" w:lastColumn="0" w:noHBand="0" w:noVBand="1"/>
        </w:tblPrEx>
        <w:tc>
          <w:tcPr>
            <w:tcW w:w="981" w:type="dxa"/>
            <w:gridSpan w:val="2"/>
          </w:tcPr>
          <w:p w14:paraId="19C474DC" w14:textId="77777777" w:rsidR="00647F3D" w:rsidRPr="00CE157F" w:rsidRDefault="00647F3D" w:rsidP="00782256">
            <w:pPr>
              <w:jc w:val="center"/>
              <w:rPr>
                <w:rFonts w:ascii="Arial Narrow" w:hAnsi="Arial Narrow"/>
                <w:i/>
                <w:iCs/>
                <w:color w:val="333333"/>
                <w:sz w:val="20"/>
                <w:szCs w:val="20"/>
              </w:rPr>
            </w:pPr>
          </w:p>
        </w:tc>
        <w:tc>
          <w:tcPr>
            <w:tcW w:w="8086" w:type="dxa"/>
            <w:gridSpan w:val="8"/>
          </w:tcPr>
          <w:p w14:paraId="20C3D1CC" w14:textId="77777777" w:rsidR="00647F3D" w:rsidRPr="00CE157F" w:rsidRDefault="00647F3D" w:rsidP="00782256">
            <w:pPr>
              <w:rPr>
                <w:rFonts w:ascii="Arial Narrow" w:hAnsi="Arial Narrow"/>
                <w:b/>
                <w:bCs/>
                <w:i/>
                <w:iCs/>
                <w:color w:val="333333"/>
                <w:sz w:val="20"/>
                <w:szCs w:val="20"/>
              </w:rPr>
            </w:pPr>
            <w:r w:rsidRPr="00CE157F">
              <w:rPr>
                <w:rFonts w:ascii="Arial Narrow" w:hAnsi="Arial Narrow"/>
                <w:b/>
                <w:bCs/>
                <w:i/>
                <w:iCs/>
                <w:color w:val="333333"/>
                <w:sz w:val="20"/>
                <w:szCs w:val="20"/>
              </w:rPr>
              <w:t>AND</w:t>
            </w:r>
          </w:p>
        </w:tc>
      </w:tr>
      <w:tr w:rsidR="00647F3D" w:rsidRPr="00120A12" w14:paraId="2C7D96C8" w14:textId="77777777" w:rsidTr="00782256">
        <w:tblPrEx>
          <w:tblCellMar>
            <w:top w:w="15" w:type="dxa"/>
            <w:left w:w="15" w:type="dxa"/>
            <w:bottom w:w="15" w:type="dxa"/>
            <w:right w:w="15" w:type="dxa"/>
          </w:tblCellMar>
          <w:tblLook w:val="04A0" w:firstRow="1" w:lastRow="0" w:firstColumn="1" w:lastColumn="0" w:noHBand="0" w:noVBand="1"/>
        </w:tblPrEx>
        <w:tc>
          <w:tcPr>
            <w:tcW w:w="981" w:type="dxa"/>
            <w:gridSpan w:val="2"/>
          </w:tcPr>
          <w:p w14:paraId="2397EE77" w14:textId="77777777" w:rsidR="00647F3D" w:rsidRPr="00CE157F" w:rsidRDefault="00647F3D" w:rsidP="00782256">
            <w:pPr>
              <w:jc w:val="center"/>
              <w:rPr>
                <w:rFonts w:ascii="Arial Narrow" w:hAnsi="Arial Narrow"/>
                <w:i/>
                <w:iCs/>
                <w:color w:val="333333"/>
                <w:sz w:val="20"/>
                <w:szCs w:val="20"/>
              </w:rPr>
            </w:pPr>
          </w:p>
        </w:tc>
        <w:tc>
          <w:tcPr>
            <w:tcW w:w="8086" w:type="dxa"/>
            <w:gridSpan w:val="8"/>
          </w:tcPr>
          <w:p w14:paraId="16A3FF15" w14:textId="77777777" w:rsidR="00647F3D" w:rsidRPr="00CE157F" w:rsidRDefault="00647F3D" w:rsidP="00782256">
            <w:pPr>
              <w:rPr>
                <w:rFonts w:ascii="Arial Narrow" w:hAnsi="Arial Narrow"/>
                <w:b/>
                <w:bCs/>
                <w:i/>
                <w:iCs/>
                <w:color w:val="333333"/>
                <w:sz w:val="20"/>
                <w:szCs w:val="20"/>
              </w:rPr>
            </w:pPr>
            <w:r w:rsidRPr="00CE157F">
              <w:rPr>
                <w:rFonts w:ascii="Arial Narrow" w:hAnsi="Arial Narrow"/>
                <w:b/>
                <w:bCs/>
                <w:i/>
                <w:iCs/>
                <w:color w:val="333333"/>
                <w:sz w:val="20"/>
                <w:szCs w:val="20"/>
              </w:rPr>
              <w:t>Clinical criteria:</w:t>
            </w:r>
          </w:p>
        </w:tc>
      </w:tr>
      <w:tr w:rsidR="00647F3D" w:rsidRPr="003801BB" w14:paraId="61F64850" w14:textId="77777777" w:rsidTr="00782256">
        <w:tblPrEx>
          <w:tblCellMar>
            <w:top w:w="15" w:type="dxa"/>
            <w:left w:w="15" w:type="dxa"/>
            <w:bottom w:w="15" w:type="dxa"/>
            <w:right w:w="15" w:type="dxa"/>
          </w:tblCellMar>
          <w:tblLook w:val="04A0" w:firstRow="1" w:lastRow="0" w:firstColumn="1" w:lastColumn="0" w:noHBand="0" w:noVBand="1"/>
        </w:tblPrEx>
        <w:tc>
          <w:tcPr>
            <w:tcW w:w="981" w:type="dxa"/>
            <w:gridSpan w:val="2"/>
            <w:tcBorders>
              <w:top w:val="single" w:sz="4" w:space="0" w:color="auto"/>
              <w:left w:val="single" w:sz="4" w:space="0" w:color="auto"/>
              <w:bottom w:val="single" w:sz="4" w:space="0" w:color="auto"/>
              <w:right w:val="single" w:sz="4" w:space="0" w:color="auto"/>
            </w:tcBorders>
          </w:tcPr>
          <w:p w14:paraId="690E3B70" w14:textId="655AC667" w:rsidR="00647F3D" w:rsidRPr="00CE157F" w:rsidRDefault="00647F3D" w:rsidP="00782256">
            <w:pPr>
              <w:jc w:val="center"/>
              <w:rPr>
                <w:rFonts w:ascii="Arial Narrow" w:hAnsi="Arial Narrow"/>
                <w:i/>
                <w:iCs/>
                <w:color w:val="333333"/>
                <w:sz w:val="20"/>
                <w:szCs w:val="20"/>
              </w:rPr>
            </w:pPr>
          </w:p>
        </w:tc>
        <w:tc>
          <w:tcPr>
            <w:tcW w:w="8086" w:type="dxa"/>
            <w:gridSpan w:val="8"/>
            <w:tcBorders>
              <w:top w:val="single" w:sz="4" w:space="0" w:color="auto"/>
              <w:left w:val="single" w:sz="4" w:space="0" w:color="auto"/>
              <w:bottom w:val="single" w:sz="4" w:space="0" w:color="auto"/>
              <w:right w:val="single" w:sz="4" w:space="0" w:color="auto"/>
            </w:tcBorders>
          </w:tcPr>
          <w:p w14:paraId="620B2E26" w14:textId="77777777" w:rsidR="00647F3D" w:rsidRPr="00CE157F" w:rsidRDefault="00647F3D" w:rsidP="00782256">
            <w:pPr>
              <w:rPr>
                <w:rFonts w:ascii="Arial Narrow" w:hAnsi="Arial Narrow"/>
                <w:i/>
                <w:iCs/>
                <w:color w:val="333333"/>
                <w:sz w:val="20"/>
                <w:szCs w:val="20"/>
              </w:rPr>
            </w:pPr>
            <w:r w:rsidRPr="00CE157F">
              <w:rPr>
                <w:rFonts w:ascii="Arial Narrow" w:hAnsi="Arial Narrow"/>
                <w:i/>
                <w:iCs/>
                <w:color w:val="333333"/>
                <w:sz w:val="20"/>
                <w:szCs w:val="20"/>
              </w:rPr>
              <w:t>Patient must not have received treatment with PBS-subsidised teriparatide prior to starting non-PBS subsidised treatment with this drug for this condition; or</w:t>
            </w:r>
          </w:p>
        </w:tc>
      </w:tr>
      <w:tr w:rsidR="00647F3D" w:rsidRPr="003801BB" w14:paraId="1FCC4DDF" w14:textId="77777777" w:rsidTr="00782256">
        <w:tblPrEx>
          <w:tblCellMar>
            <w:top w:w="15" w:type="dxa"/>
            <w:left w:w="15" w:type="dxa"/>
            <w:bottom w:w="15" w:type="dxa"/>
            <w:right w:w="15" w:type="dxa"/>
          </w:tblCellMar>
          <w:tblLook w:val="04A0" w:firstRow="1" w:lastRow="0" w:firstColumn="1" w:lastColumn="0" w:noHBand="0" w:noVBand="1"/>
        </w:tblPrEx>
        <w:tc>
          <w:tcPr>
            <w:tcW w:w="981" w:type="dxa"/>
            <w:gridSpan w:val="2"/>
            <w:tcBorders>
              <w:top w:val="single" w:sz="4" w:space="0" w:color="auto"/>
              <w:left w:val="single" w:sz="4" w:space="0" w:color="auto"/>
              <w:bottom w:val="single" w:sz="4" w:space="0" w:color="auto"/>
              <w:right w:val="single" w:sz="4" w:space="0" w:color="auto"/>
            </w:tcBorders>
          </w:tcPr>
          <w:p w14:paraId="4040FD1B" w14:textId="667A3A8E" w:rsidR="00647F3D" w:rsidRPr="00CE157F" w:rsidRDefault="00647F3D" w:rsidP="00782256">
            <w:pPr>
              <w:jc w:val="center"/>
              <w:rPr>
                <w:rFonts w:ascii="Arial Narrow" w:hAnsi="Arial Narrow"/>
                <w:i/>
                <w:iCs/>
                <w:color w:val="333333"/>
                <w:sz w:val="20"/>
                <w:szCs w:val="20"/>
              </w:rPr>
            </w:pPr>
          </w:p>
        </w:tc>
        <w:tc>
          <w:tcPr>
            <w:tcW w:w="8086" w:type="dxa"/>
            <w:gridSpan w:val="8"/>
            <w:tcBorders>
              <w:top w:val="single" w:sz="4" w:space="0" w:color="auto"/>
              <w:left w:val="single" w:sz="4" w:space="0" w:color="auto"/>
              <w:bottom w:val="single" w:sz="4" w:space="0" w:color="auto"/>
              <w:right w:val="single" w:sz="4" w:space="0" w:color="auto"/>
            </w:tcBorders>
          </w:tcPr>
          <w:p w14:paraId="183AB8B2" w14:textId="77777777" w:rsidR="00647F3D" w:rsidRPr="00CE157F" w:rsidRDefault="00647F3D" w:rsidP="00782256">
            <w:pPr>
              <w:rPr>
                <w:rFonts w:ascii="Arial Narrow" w:hAnsi="Arial Narrow"/>
                <w:i/>
                <w:iCs/>
                <w:color w:val="333333"/>
                <w:sz w:val="20"/>
                <w:szCs w:val="20"/>
              </w:rPr>
            </w:pPr>
            <w:r w:rsidRPr="00CE157F">
              <w:rPr>
                <w:rFonts w:ascii="Arial Narrow" w:hAnsi="Arial Narrow"/>
                <w:i/>
                <w:iCs/>
                <w:color w:val="333333"/>
                <w:sz w:val="20"/>
                <w:szCs w:val="20"/>
              </w:rPr>
              <w:t>Patient must have developed intolerance to teriparatide of a severity necessitating permanent treatment withdrawal within the first 6 months of therapy prior to starting non-PBS subsidised treatment with this drug for this condition</w:t>
            </w:r>
            <w:r w:rsidRPr="00CE157F">
              <w:rPr>
                <w:rFonts w:ascii="Arial Narrow" w:hAnsi="Arial Narrow"/>
                <w:color w:val="333333"/>
                <w:sz w:val="20"/>
                <w:szCs w:val="20"/>
              </w:rPr>
              <w:t>.</w:t>
            </w:r>
          </w:p>
        </w:tc>
      </w:tr>
      <w:tr w:rsidR="00647F3D" w:rsidRPr="00120A12" w14:paraId="33254F2E" w14:textId="77777777" w:rsidTr="00782256">
        <w:tblPrEx>
          <w:tblCellMar>
            <w:top w:w="15" w:type="dxa"/>
            <w:left w:w="15" w:type="dxa"/>
            <w:bottom w:w="15" w:type="dxa"/>
            <w:right w:w="15" w:type="dxa"/>
          </w:tblCellMar>
          <w:tblLook w:val="04A0" w:firstRow="1" w:lastRow="0" w:firstColumn="1" w:lastColumn="0" w:noHBand="0" w:noVBand="1"/>
        </w:tblPrEx>
        <w:tc>
          <w:tcPr>
            <w:tcW w:w="981" w:type="dxa"/>
            <w:gridSpan w:val="2"/>
            <w:tcBorders>
              <w:top w:val="single" w:sz="4" w:space="0" w:color="auto"/>
              <w:left w:val="single" w:sz="4" w:space="0" w:color="auto"/>
              <w:bottom w:val="single" w:sz="4" w:space="0" w:color="auto"/>
              <w:right w:val="single" w:sz="4" w:space="0" w:color="auto"/>
            </w:tcBorders>
          </w:tcPr>
          <w:p w14:paraId="7BD4293E" w14:textId="7A25366B" w:rsidR="00647F3D" w:rsidRPr="00CE157F" w:rsidRDefault="00647F3D" w:rsidP="00782256">
            <w:pPr>
              <w:jc w:val="center"/>
              <w:rPr>
                <w:rFonts w:ascii="Arial Narrow" w:hAnsi="Arial Narrow"/>
                <w:color w:val="333333"/>
                <w:sz w:val="20"/>
                <w:szCs w:val="20"/>
              </w:rPr>
            </w:pPr>
          </w:p>
        </w:tc>
        <w:tc>
          <w:tcPr>
            <w:tcW w:w="8086" w:type="dxa"/>
            <w:gridSpan w:val="8"/>
            <w:tcBorders>
              <w:top w:val="single" w:sz="4" w:space="0" w:color="auto"/>
              <w:left w:val="single" w:sz="4" w:space="0" w:color="auto"/>
              <w:bottom w:val="single" w:sz="4" w:space="0" w:color="auto"/>
              <w:right w:val="single" w:sz="4" w:space="0" w:color="auto"/>
            </w:tcBorders>
          </w:tcPr>
          <w:p w14:paraId="153F296F" w14:textId="77777777" w:rsidR="00647F3D" w:rsidRPr="00CE157F" w:rsidRDefault="00647F3D" w:rsidP="00782256">
            <w:pPr>
              <w:rPr>
                <w:rFonts w:ascii="Arial Narrow" w:hAnsi="Arial Narrow"/>
                <w:b/>
                <w:bCs/>
                <w:color w:val="333333"/>
                <w:sz w:val="20"/>
                <w:szCs w:val="20"/>
              </w:rPr>
            </w:pPr>
            <w:r w:rsidRPr="00CE157F">
              <w:rPr>
                <w:rFonts w:ascii="Arial Narrow" w:hAnsi="Arial Narrow"/>
                <w:b/>
                <w:bCs/>
                <w:color w:val="333333"/>
                <w:sz w:val="20"/>
                <w:szCs w:val="20"/>
              </w:rPr>
              <w:t>Treatment criteria:</w:t>
            </w:r>
          </w:p>
        </w:tc>
      </w:tr>
      <w:tr w:rsidR="00647F3D" w:rsidRPr="00B20769" w14:paraId="5F669F6D" w14:textId="77777777" w:rsidTr="00782256">
        <w:tblPrEx>
          <w:tblCellMar>
            <w:top w:w="15" w:type="dxa"/>
            <w:left w:w="15" w:type="dxa"/>
            <w:bottom w:w="15" w:type="dxa"/>
            <w:right w:w="15" w:type="dxa"/>
          </w:tblCellMar>
          <w:tblLook w:val="04A0" w:firstRow="1" w:lastRow="0" w:firstColumn="1" w:lastColumn="0" w:noHBand="0" w:noVBand="1"/>
        </w:tblPrEx>
        <w:tc>
          <w:tcPr>
            <w:tcW w:w="981" w:type="dxa"/>
            <w:gridSpan w:val="2"/>
            <w:tcBorders>
              <w:top w:val="single" w:sz="4" w:space="0" w:color="auto"/>
              <w:left w:val="single" w:sz="4" w:space="0" w:color="auto"/>
              <w:bottom w:val="single" w:sz="4" w:space="0" w:color="auto"/>
              <w:right w:val="single" w:sz="4" w:space="0" w:color="auto"/>
            </w:tcBorders>
          </w:tcPr>
          <w:p w14:paraId="053C9318" w14:textId="6E54F23B" w:rsidR="00647F3D" w:rsidRPr="00CE157F" w:rsidRDefault="00647F3D" w:rsidP="00782256">
            <w:pPr>
              <w:jc w:val="center"/>
              <w:rPr>
                <w:rFonts w:ascii="Arial Narrow" w:hAnsi="Arial Narrow"/>
                <w:color w:val="333333"/>
                <w:sz w:val="20"/>
                <w:szCs w:val="20"/>
              </w:rPr>
            </w:pPr>
          </w:p>
        </w:tc>
        <w:tc>
          <w:tcPr>
            <w:tcW w:w="8086" w:type="dxa"/>
            <w:gridSpan w:val="8"/>
            <w:tcBorders>
              <w:top w:val="single" w:sz="4" w:space="0" w:color="auto"/>
              <w:left w:val="single" w:sz="4" w:space="0" w:color="auto"/>
              <w:bottom w:val="single" w:sz="4" w:space="0" w:color="auto"/>
              <w:right w:val="single" w:sz="4" w:space="0" w:color="auto"/>
            </w:tcBorders>
          </w:tcPr>
          <w:p w14:paraId="7FE3C0C1" w14:textId="77777777" w:rsidR="00647F3D" w:rsidRPr="00CE157F" w:rsidRDefault="00647F3D" w:rsidP="00782256">
            <w:pPr>
              <w:rPr>
                <w:rFonts w:ascii="Arial Narrow" w:hAnsi="Arial Narrow"/>
                <w:color w:val="333333"/>
                <w:sz w:val="20"/>
                <w:szCs w:val="20"/>
              </w:rPr>
            </w:pPr>
            <w:r w:rsidRPr="00CE157F">
              <w:rPr>
                <w:rFonts w:ascii="Arial Narrow" w:hAnsi="Arial Narrow"/>
                <w:color w:val="333333"/>
                <w:sz w:val="20"/>
                <w:szCs w:val="20"/>
              </w:rPr>
              <w:t>Must be treated by a Specialist; OR</w:t>
            </w:r>
            <w:r>
              <w:rPr>
                <w:rFonts w:ascii="Arial Narrow" w:hAnsi="Arial Narrow"/>
                <w:color w:val="333333"/>
                <w:sz w:val="20"/>
                <w:szCs w:val="20"/>
              </w:rPr>
              <w:t xml:space="preserve"> </w:t>
            </w:r>
            <w:r w:rsidRPr="00CE157F">
              <w:rPr>
                <w:rFonts w:ascii="Arial Narrow" w:hAnsi="Arial Narrow"/>
                <w:color w:val="333333"/>
                <w:sz w:val="20"/>
                <w:szCs w:val="20"/>
              </w:rPr>
              <w:t>Must be treated by a Consultant Physician.</w:t>
            </w:r>
          </w:p>
        </w:tc>
      </w:tr>
      <w:tr w:rsidR="00647F3D" w:rsidRPr="00D779FF" w14:paraId="73916858" w14:textId="77777777" w:rsidTr="00782256">
        <w:tblPrEx>
          <w:tblCellMar>
            <w:top w:w="15" w:type="dxa"/>
            <w:left w:w="15" w:type="dxa"/>
            <w:bottom w:w="15" w:type="dxa"/>
            <w:right w:w="15" w:type="dxa"/>
          </w:tblCellMar>
          <w:tblLook w:val="04A0" w:firstRow="1" w:lastRow="0" w:firstColumn="1" w:lastColumn="0" w:noHBand="0" w:noVBand="1"/>
        </w:tblPrEx>
        <w:tc>
          <w:tcPr>
            <w:tcW w:w="981" w:type="dxa"/>
            <w:gridSpan w:val="2"/>
            <w:tcBorders>
              <w:top w:val="single" w:sz="4" w:space="0" w:color="auto"/>
              <w:left w:val="single" w:sz="4" w:space="0" w:color="auto"/>
              <w:bottom w:val="single" w:sz="4" w:space="0" w:color="auto"/>
              <w:right w:val="single" w:sz="4" w:space="0" w:color="auto"/>
            </w:tcBorders>
          </w:tcPr>
          <w:p w14:paraId="7EFF076A" w14:textId="4BDDAC95" w:rsidR="00647F3D" w:rsidRPr="00CE157F" w:rsidRDefault="00647F3D" w:rsidP="00782256">
            <w:pPr>
              <w:jc w:val="center"/>
              <w:rPr>
                <w:rFonts w:ascii="Arial Narrow" w:hAnsi="Arial Narrow"/>
                <w:color w:val="333333"/>
                <w:sz w:val="20"/>
                <w:szCs w:val="20"/>
              </w:rPr>
            </w:pPr>
          </w:p>
        </w:tc>
        <w:tc>
          <w:tcPr>
            <w:tcW w:w="8086" w:type="dxa"/>
            <w:gridSpan w:val="8"/>
            <w:tcBorders>
              <w:top w:val="single" w:sz="4" w:space="0" w:color="auto"/>
              <w:left w:val="single" w:sz="4" w:space="0" w:color="auto"/>
              <w:bottom w:val="single" w:sz="4" w:space="0" w:color="auto"/>
              <w:right w:val="single" w:sz="4" w:space="0" w:color="auto"/>
            </w:tcBorders>
          </w:tcPr>
          <w:p w14:paraId="18CC6027" w14:textId="77777777" w:rsidR="00647F3D" w:rsidRPr="00CE157F" w:rsidRDefault="00647F3D" w:rsidP="00782256">
            <w:pPr>
              <w:rPr>
                <w:rFonts w:ascii="Arial Narrow" w:hAnsi="Arial Narrow"/>
                <w:color w:val="333333"/>
                <w:sz w:val="20"/>
                <w:szCs w:val="20"/>
              </w:rPr>
            </w:pPr>
            <w:r w:rsidRPr="00CE157F">
              <w:rPr>
                <w:rFonts w:ascii="Arial Narrow" w:hAnsi="Arial Narrow"/>
                <w:b/>
                <w:bCs/>
                <w:color w:val="333333"/>
                <w:sz w:val="20"/>
                <w:szCs w:val="20"/>
              </w:rPr>
              <w:t>Prescribing Instructions:</w:t>
            </w:r>
            <w:r w:rsidRPr="00CE157F">
              <w:rPr>
                <w:rFonts w:ascii="Arial Narrow" w:hAnsi="Arial Narrow"/>
                <w:color w:val="333333"/>
                <w:sz w:val="20"/>
                <w:szCs w:val="20"/>
              </w:rPr>
              <w:t xml:space="preserve"> A vertebral fracture is defined as a 20% or greater reduction in height of the anterior or mid portion of a vertebral body relative to the posterior height of that body, or a 20% or greater reduction in any of these heights compared to the vertebral body above or below the affected vertebral body.</w:t>
            </w:r>
          </w:p>
        </w:tc>
      </w:tr>
      <w:tr w:rsidR="00647F3D" w:rsidRPr="00D779FF" w14:paraId="180434A5" w14:textId="77777777" w:rsidTr="00782256">
        <w:tblPrEx>
          <w:tblCellMar>
            <w:top w:w="15" w:type="dxa"/>
            <w:left w:w="15" w:type="dxa"/>
            <w:bottom w:w="15" w:type="dxa"/>
            <w:right w:w="15" w:type="dxa"/>
          </w:tblCellMar>
          <w:tblLook w:val="04A0" w:firstRow="1" w:lastRow="0" w:firstColumn="1" w:lastColumn="0" w:noHBand="0" w:noVBand="1"/>
        </w:tblPrEx>
        <w:tc>
          <w:tcPr>
            <w:tcW w:w="981" w:type="dxa"/>
            <w:gridSpan w:val="2"/>
            <w:tcBorders>
              <w:top w:val="single" w:sz="4" w:space="0" w:color="auto"/>
              <w:left w:val="single" w:sz="4" w:space="0" w:color="auto"/>
              <w:bottom w:val="single" w:sz="4" w:space="0" w:color="auto"/>
              <w:right w:val="single" w:sz="4" w:space="0" w:color="auto"/>
            </w:tcBorders>
          </w:tcPr>
          <w:p w14:paraId="2C5CF04E" w14:textId="1232ABC5" w:rsidR="00647F3D" w:rsidRPr="00CE157F" w:rsidRDefault="00647F3D" w:rsidP="00782256">
            <w:pPr>
              <w:jc w:val="center"/>
              <w:rPr>
                <w:rFonts w:ascii="Arial Narrow" w:hAnsi="Arial Narrow"/>
                <w:color w:val="333333"/>
                <w:sz w:val="20"/>
                <w:szCs w:val="20"/>
              </w:rPr>
            </w:pPr>
          </w:p>
        </w:tc>
        <w:tc>
          <w:tcPr>
            <w:tcW w:w="8086" w:type="dxa"/>
            <w:gridSpan w:val="8"/>
            <w:tcBorders>
              <w:top w:val="single" w:sz="4" w:space="0" w:color="auto"/>
              <w:left w:val="single" w:sz="4" w:space="0" w:color="auto"/>
              <w:bottom w:val="single" w:sz="4" w:space="0" w:color="auto"/>
              <w:right w:val="single" w:sz="4" w:space="0" w:color="auto"/>
            </w:tcBorders>
          </w:tcPr>
          <w:p w14:paraId="047BAF64" w14:textId="77777777" w:rsidR="00647F3D" w:rsidRPr="00CE157F" w:rsidRDefault="00647F3D" w:rsidP="00782256">
            <w:pPr>
              <w:rPr>
                <w:rFonts w:ascii="Arial Narrow" w:hAnsi="Arial Narrow"/>
                <w:color w:val="333333"/>
                <w:sz w:val="20"/>
                <w:szCs w:val="20"/>
              </w:rPr>
            </w:pPr>
            <w:r w:rsidRPr="00CE157F">
              <w:rPr>
                <w:rFonts w:ascii="Arial Narrow" w:hAnsi="Arial Narrow"/>
                <w:b/>
                <w:bCs/>
                <w:color w:val="333333"/>
                <w:sz w:val="20"/>
                <w:szCs w:val="20"/>
              </w:rPr>
              <w:t>Prescribing Instructions:</w:t>
            </w:r>
            <w:r w:rsidRPr="00CE157F">
              <w:rPr>
                <w:rFonts w:ascii="Arial Narrow" w:hAnsi="Arial Narrow"/>
                <w:color w:val="333333"/>
                <w:sz w:val="20"/>
                <w:szCs w:val="20"/>
              </w:rPr>
              <w:t xml:space="preserve"> If treatment with anti-resorptive therapy is contraindicated according to the relevant TGA-approved Product Information, details of the contraindication must be documented in the patient's medical record at the time treatment with this drug romosozumab is initiated.</w:t>
            </w:r>
          </w:p>
        </w:tc>
      </w:tr>
      <w:tr w:rsidR="00647F3D" w:rsidRPr="00D779FF" w14:paraId="6AE6434C" w14:textId="77777777" w:rsidTr="00782256">
        <w:tblPrEx>
          <w:tblCellMar>
            <w:top w:w="15" w:type="dxa"/>
            <w:left w:w="15" w:type="dxa"/>
            <w:bottom w:w="15" w:type="dxa"/>
            <w:right w:w="15" w:type="dxa"/>
          </w:tblCellMar>
          <w:tblLook w:val="04A0" w:firstRow="1" w:lastRow="0" w:firstColumn="1" w:lastColumn="0" w:noHBand="0" w:noVBand="1"/>
        </w:tblPrEx>
        <w:tc>
          <w:tcPr>
            <w:tcW w:w="981" w:type="dxa"/>
            <w:gridSpan w:val="2"/>
            <w:tcBorders>
              <w:top w:val="single" w:sz="4" w:space="0" w:color="auto"/>
              <w:left w:val="single" w:sz="4" w:space="0" w:color="auto"/>
              <w:bottom w:val="single" w:sz="4" w:space="0" w:color="auto"/>
              <w:right w:val="single" w:sz="4" w:space="0" w:color="auto"/>
            </w:tcBorders>
          </w:tcPr>
          <w:p w14:paraId="746462F3" w14:textId="3CF45DAA" w:rsidR="00647F3D" w:rsidRPr="00CE157F" w:rsidRDefault="00647F3D" w:rsidP="00782256">
            <w:pPr>
              <w:jc w:val="center"/>
              <w:rPr>
                <w:rFonts w:ascii="Arial Narrow" w:hAnsi="Arial Narrow"/>
                <w:color w:val="333333"/>
                <w:sz w:val="20"/>
                <w:szCs w:val="20"/>
              </w:rPr>
            </w:pPr>
          </w:p>
        </w:tc>
        <w:tc>
          <w:tcPr>
            <w:tcW w:w="8086" w:type="dxa"/>
            <w:gridSpan w:val="8"/>
            <w:tcBorders>
              <w:top w:val="single" w:sz="4" w:space="0" w:color="auto"/>
              <w:left w:val="single" w:sz="4" w:space="0" w:color="auto"/>
              <w:bottom w:val="single" w:sz="4" w:space="0" w:color="auto"/>
              <w:right w:val="single" w:sz="4" w:space="0" w:color="auto"/>
            </w:tcBorders>
          </w:tcPr>
          <w:p w14:paraId="4A34E948" w14:textId="77777777" w:rsidR="00647F3D" w:rsidRPr="00CE157F" w:rsidRDefault="00647F3D" w:rsidP="00782256">
            <w:pPr>
              <w:rPr>
                <w:rFonts w:ascii="Arial Narrow" w:hAnsi="Arial Narrow"/>
                <w:color w:val="333333"/>
                <w:sz w:val="20"/>
                <w:szCs w:val="20"/>
              </w:rPr>
            </w:pPr>
            <w:r w:rsidRPr="00CE157F">
              <w:rPr>
                <w:rFonts w:ascii="Arial Narrow" w:hAnsi="Arial Narrow"/>
                <w:b/>
                <w:bCs/>
                <w:color w:val="333333"/>
                <w:sz w:val="20"/>
                <w:szCs w:val="20"/>
              </w:rPr>
              <w:t>Prescribing Instructions:</w:t>
            </w:r>
            <w:r w:rsidRPr="00CE157F">
              <w:rPr>
                <w:rFonts w:ascii="Arial Narrow" w:hAnsi="Arial Narrow"/>
                <w:color w:val="333333"/>
                <w:sz w:val="20"/>
                <w:szCs w:val="20"/>
              </w:rPr>
              <w:t xml:space="preserve"> If an intolerance of a severity necessitating permanent treatment withdrawal develops during the relevant period of use of one anti-resorptive agent, alternate anti-resorptive agents must be trialled so that the patient achieves the minimum requirement of 12 months continuous therapy.  Details must be documented in the patient's medical record at the time treatment with </w:t>
            </w:r>
            <w:r w:rsidRPr="00CE157F">
              <w:rPr>
                <w:rFonts w:ascii="Arial Narrow" w:hAnsi="Arial Narrow"/>
                <w:i/>
                <w:iCs/>
                <w:color w:val="333333"/>
                <w:sz w:val="20"/>
                <w:szCs w:val="20"/>
              </w:rPr>
              <w:t>this drug</w:t>
            </w:r>
            <w:r w:rsidRPr="00CE157F">
              <w:rPr>
                <w:rFonts w:ascii="Arial Narrow" w:hAnsi="Arial Narrow"/>
                <w:color w:val="333333"/>
                <w:sz w:val="20"/>
                <w:szCs w:val="20"/>
              </w:rPr>
              <w:t xml:space="preserve"> </w:t>
            </w:r>
            <w:r w:rsidRPr="00CE157F">
              <w:rPr>
                <w:rFonts w:ascii="Arial Narrow" w:hAnsi="Arial Narrow"/>
                <w:strike/>
                <w:color w:val="333333"/>
                <w:sz w:val="20"/>
                <w:szCs w:val="20"/>
              </w:rPr>
              <w:t>romosozumab</w:t>
            </w:r>
            <w:r w:rsidRPr="00CE157F">
              <w:rPr>
                <w:rFonts w:ascii="Arial Narrow" w:hAnsi="Arial Narrow"/>
                <w:color w:val="333333"/>
                <w:sz w:val="20"/>
                <w:szCs w:val="20"/>
              </w:rPr>
              <w:t xml:space="preserve"> is initiated.</w:t>
            </w:r>
          </w:p>
        </w:tc>
      </w:tr>
      <w:tr w:rsidR="00647F3D" w:rsidRPr="00D779FF" w14:paraId="793ED0E9" w14:textId="77777777" w:rsidTr="00782256">
        <w:tblPrEx>
          <w:tblCellMar>
            <w:top w:w="15" w:type="dxa"/>
            <w:left w:w="15" w:type="dxa"/>
            <w:bottom w:w="15" w:type="dxa"/>
            <w:right w:w="15" w:type="dxa"/>
          </w:tblCellMar>
          <w:tblLook w:val="04A0" w:firstRow="1" w:lastRow="0" w:firstColumn="1" w:lastColumn="0" w:noHBand="0" w:noVBand="1"/>
        </w:tblPrEx>
        <w:tc>
          <w:tcPr>
            <w:tcW w:w="981" w:type="dxa"/>
            <w:gridSpan w:val="2"/>
            <w:tcBorders>
              <w:top w:val="single" w:sz="4" w:space="0" w:color="auto"/>
              <w:left w:val="single" w:sz="4" w:space="0" w:color="auto"/>
              <w:bottom w:val="single" w:sz="4" w:space="0" w:color="auto"/>
              <w:right w:val="single" w:sz="4" w:space="0" w:color="auto"/>
            </w:tcBorders>
          </w:tcPr>
          <w:p w14:paraId="1EB0BA24" w14:textId="05BA05F9" w:rsidR="00647F3D" w:rsidRPr="00CE157F" w:rsidRDefault="00647F3D" w:rsidP="00782256">
            <w:pPr>
              <w:jc w:val="center"/>
              <w:rPr>
                <w:rFonts w:ascii="Arial Narrow" w:hAnsi="Arial Narrow"/>
                <w:color w:val="333333"/>
                <w:sz w:val="20"/>
                <w:szCs w:val="20"/>
              </w:rPr>
            </w:pPr>
          </w:p>
        </w:tc>
        <w:tc>
          <w:tcPr>
            <w:tcW w:w="8086" w:type="dxa"/>
            <w:gridSpan w:val="8"/>
            <w:tcBorders>
              <w:top w:val="single" w:sz="4" w:space="0" w:color="auto"/>
              <w:left w:val="single" w:sz="4" w:space="0" w:color="auto"/>
              <w:bottom w:val="single" w:sz="4" w:space="0" w:color="auto"/>
              <w:right w:val="single" w:sz="4" w:space="0" w:color="auto"/>
            </w:tcBorders>
          </w:tcPr>
          <w:p w14:paraId="7CE1B08B" w14:textId="77777777" w:rsidR="00647F3D" w:rsidRPr="00CE157F" w:rsidRDefault="00647F3D" w:rsidP="00782256">
            <w:pPr>
              <w:rPr>
                <w:rFonts w:ascii="Arial Narrow" w:hAnsi="Arial Narrow"/>
                <w:color w:val="333333"/>
                <w:sz w:val="20"/>
                <w:szCs w:val="20"/>
              </w:rPr>
            </w:pPr>
            <w:r w:rsidRPr="00CE157F">
              <w:rPr>
                <w:rFonts w:ascii="Arial Narrow" w:hAnsi="Arial Narrow"/>
                <w:b/>
                <w:bCs/>
                <w:color w:val="333333"/>
                <w:sz w:val="20"/>
                <w:szCs w:val="20"/>
              </w:rPr>
              <w:t>Prescribing Instructions:</w:t>
            </w:r>
            <w:r w:rsidRPr="00CE157F">
              <w:rPr>
                <w:rFonts w:ascii="Arial Narrow" w:hAnsi="Arial Narrow"/>
                <w:color w:val="333333"/>
                <w:sz w:val="20"/>
                <w:szCs w:val="20"/>
              </w:rPr>
              <w:t xml:space="preserve"> Anti-resorptive therapies for osteoporosis and their adequate doses which will be accepted for the purposes of administering this restriction are alendronate sodium 10 mg per day or 70 mg once weekly, risedronate sodium 5 mg per day or 35 mg once weekly or 150 mg once monthly, raloxifene hydrochloride 60 mg per day (women only), denosumab 60 mg once every 6 months and zoledronic acid 5 mg per annum.</w:t>
            </w:r>
          </w:p>
        </w:tc>
      </w:tr>
      <w:tr w:rsidR="00647F3D" w:rsidRPr="00120A12" w14:paraId="37C2AFE0" w14:textId="77777777" w:rsidTr="00782256">
        <w:tblPrEx>
          <w:tblCellMar>
            <w:top w:w="15" w:type="dxa"/>
            <w:left w:w="15" w:type="dxa"/>
            <w:bottom w:w="15" w:type="dxa"/>
            <w:right w:w="15" w:type="dxa"/>
          </w:tblCellMar>
          <w:tblLook w:val="04A0" w:firstRow="1" w:lastRow="0" w:firstColumn="1" w:lastColumn="0" w:noHBand="0" w:noVBand="1"/>
        </w:tblPrEx>
        <w:tc>
          <w:tcPr>
            <w:tcW w:w="981" w:type="dxa"/>
            <w:gridSpan w:val="2"/>
            <w:tcBorders>
              <w:top w:val="single" w:sz="4" w:space="0" w:color="auto"/>
              <w:left w:val="single" w:sz="4" w:space="0" w:color="auto"/>
              <w:bottom w:val="single" w:sz="4" w:space="0" w:color="auto"/>
              <w:right w:val="single" w:sz="4" w:space="0" w:color="auto"/>
            </w:tcBorders>
          </w:tcPr>
          <w:p w14:paraId="79E163C4" w14:textId="4C83D24F" w:rsidR="00647F3D" w:rsidRPr="00CE157F" w:rsidRDefault="00647F3D" w:rsidP="00782256">
            <w:pPr>
              <w:jc w:val="center"/>
              <w:rPr>
                <w:rFonts w:ascii="Arial Narrow" w:hAnsi="Arial Narrow"/>
                <w:color w:val="333333"/>
                <w:sz w:val="20"/>
                <w:szCs w:val="20"/>
              </w:rPr>
            </w:pPr>
          </w:p>
        </w:tc>
        <w:tc>
          <w:tcPr>
            <w:tcW w:w="8086" w:type="dxa"/>
            <w:gridSpan w:val="8"/>
            <w:tcBorders>
              <w:top w:val="single" w:sz="4" w:space="0" w:color="auto"/>
              <w:left w:val="single" w:sz="4" w:space="0" w:color="auto"/>
              <w:bottom w:val="single" w:sz="4" w:space="0" w:color="auto"/>
              <w:right w:val="single" w:sz="4" w:space="0" w:color="auto"/>
            </w:tcBorders>
          </w:tcPr>
          <w:p w14:paraId="56BD5069" w14:textId="77777777" w:rsidR="00647F3D" w:rsidRPr="00CE157F" w:rsidRDefault="00647F3D" w:rsidP="00782256">
            <w:pPr>
              <w:rPr>
                <w:rFonts w:ascii="Arial Narrow" w:hAnsi="Arial Narrow"/>
                <w:color w:val="333333"/>
                <w:sz w:val="20"/>
                <w:szCs w:val="20"/>
              </w:rPr>
            </w:pPr>
            <w:r w:rsidRPr="00CE157F">
              <w:rPr>
                <w:rFonts w:ascii="Arial Narrow" w:hAnsi="Arial Narrow"/>
                <w:b/>
                <w:bCs/>
                <w:color w:val="333333"/>
                <w:sz w:val="20"/>
                <w:szCs w:val="20"/>
              </w:rPr>
              <w:t>Prescribing Instructions:</w:t>
            </w:r>
            <w:r w:rsidRPr="00CE157F">
              <w:rPr>
                <w:rFonts w:ascii="Arial Narrow" w:hAnsi="Arial Narrow"/>
                <w:color w:val="333333"/>
                <w:sz w:val="20"/>
                <w:szCs w:val="20"/>
              </w:rPr>
              <w:t xml:space="preserve"> Details of prior anti-resorptive therapy, fracture history including the date(s), site(s), the symptoms associated with the fracture(s) which developed after at least 12 months continuous anti-resorptive therapy and the score of the qualifying BMD measurement must be provided at the time of application.</w:t>
            </w:r>
          </w:p>
        </w:tc>
      </w:tr>
      <w:tr w:rsidR="00647F3D" w:rsidRPr="00120A12" w14:paraId="50B4B449" w14:textId="77777777" w:rsidTr="00782256">
        <w:tblPrEx>
          <w:tblCellMar>
            <w:top w:w="15" w:type="dxa"/>
            <w:left w:w="15" w:type="dxa"/>
            <w:bottom w:w="15" w:type="dxa"/>
            <w:right w:w="15" w:type="dxa"/>
          </w:tblCellMar>
          <w:tblLook w:val="04A0" w:firstRow="1" w:lastRow="0" w:firstColumn="1" w:lastColumn="0" w:noHBand="0" w:noVBand="1"/>
        </w:tblPrEx>
        <w:tc>
          <w:tcPr>
            <w:tcW w:w="981" w:type="dxa"/>
            <w:gridSpan w:val="2"/>
            <w:tcBorders>
              <w:top w:val="single" w:sz="4" w:space="0" w:color="auto"/>
              <w:left w:val="single" w:sz="4" w:space="0" w:color="auto"/>
              <w:bottom w:val="single" w:sz="4" w:space="0" w:color="auto"/>
              <w:right w:val="single" w:sz="4" w:space="0" w:color="auto"/>
            </w:tcBorders>
          </w:tcPr>
          <w:p w14:paraId="42E1F526" w14:textId="78280B05" w:rsidR="00647F3D" w:rsidRPr="00CE157F" w:rsidRDefault="00647F3D" w:rsidP="00782256">
            <w:pPr>
              <w:jc w:val="center"/>
              <w:rPr>
                <w:rFonts w:ascii="Arial Narrow" w:hAnsi="Arial Narrow"/>
                <w:strike/>
                <w:color w:val="333333"/>
                <w:sz w:val="20"/>
                <w:szCs w:val="20"/>
              </w:rPr>
            </w:pPr>
          </w:p>
        </w:tc>
        <w:tc>
          <w:tcPr>
            <w:tcW w:w="8086" w:type="dxa"/>
            <w:gridSpan w:val="8"/>
            <w:tcBorders>
              <w:top w:val="single" w:sz="4" w:space="0" w:color="auto"/>
              <w:left w:val="single" w:sz="4" w:space="0" w:color="auto"/>
              <w:bottom w:val="single" w:sz="4" w:space="0" w:color="auto"/>
              <w:right w:val="single" w:sz="4" w:space="0" w:color="auto"/>
            </w:tcBorders>
          </w:tcPr>
          <w:p w14:paraId="7186854C" w14:textId="77777777" w:rsidR="00647F3D" w:rsidRPr="00CE157F" w:rsidRDefault="00647F3D" w:rsidP="00782256">
            <w:pPr>
              <w:textAlignment w:val="baseline"/>
              <w:rPr>
                <w:rFonts w:ascii="Arial Narrow" w:hAnsi="Arial Narrow" w:cs="Segoe UI"/>
                <w:strike/>
                <w:sz w:val="20"/>
                <w:szCs w:val="20"/>
              </w:rPr>
            </w:pPr>
            <w:r w:rsidRPr="00CE157F">
              <w:rPr>
                <w:rFonts w:ascii="Arial Narrow" w:hAnsi="Arial Narrow"/>
                <w:b/>
                <w:bCs/>
                <w:strike/>
                <w:color w:val="333333"/>
                <w:sz w:val="20"/>
                <w:szCs w:val="20"/>
              </w:rPr>
              <w:t xml:space="preserve">Administrative Advice: </w:t>
            </w:r>
            <w:r w:rsidRPr="00CE157F">
              <w:rPr>
                <w:rFonts w:ascii="Arial Narrow" w:hAnsi="Arial Narrow"/>
                <w:strike/>
                <w:color w:val="333333"/>
                <w:sz w:val="20"/>
                <w:szCs w:val="20"/>
              </w:rPr>
              <w:t>Details of accepted toxicities including severity can be found on the Department of Human Services website at www.humanservices.gov.au.</w:t>
            </w:r>
            <w:r w:rsidRPr="00CE157F">
              <w:rPr>
                <w:rFonts w:ascii="Arial Narrow" w:hAnsi="Arial Narrow" w:cs="Segoe UI"/>
                <w:strike/>
                <w:sz w:val="20"/>
                <w:szCs w:val="20"/>
              </w:rPr>
              <w:t> </w:t>
            </w:r>
          </w:p>
        </w:tc>
      </w:tr>
      <w:tr w:rsidR="00647F3D" w:rsidRPr="00861FA9" w14:paraId="4751123E" w14:textId="77777777" w:rsidTr="007822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15" w:type="dxa"/>
            <w:left w:w="15" w:type="dxa"/>
            <w:bottom w:w="15" w:type="dxa"/>
            <w:right w:w="15" w:type="dxa"/>
          </w:tblCellMar>
          <w:tblLook w:val="04A0" w:firstRow="1" w:lastRow="0" w:firstColumn="1" w:lastColumn="0" w:noHBand="0" w:noVBand="1"/>
        </w:tblPrEx>
        <w:tc>
          <w:tcPr>
            <w:tcW w:w="981" w:type="dxa"/>
            <w:gridSpan w:val="2"/>
            <w:tcBorders>
              <w:top w:val="single" w:sz="4" w:space="0" w:color="auto"/>
              <w:left w:val="single" w:sz="4" w:space="0" w:color="auto"/>
              <w:bottom w:val="single" w:sz="4" w:space="0" w:color="auto"/>
              <w:right w:val="single" w:sz="4" w:space="0" w:color="auto"/>
            </w:tcBorders>
          </w:tcPr>
          <w:p w14:paraId="3F754224" w14:textId="333BB55B" w:rsidR="00647F3D" w:rsidRPr="00CE157F" w:rsidRDefault="00647F3D" w:rsidP="00782256">
            <w:pPr>
              <w:jc w:val="center"/>
              <w:rPr>
                <w:rFonts w:ascii="Arial Narrow" w:hAnsi="Arial Narrow"/>
                <w:i/>
                <w:iCs/>
                <w:color w:val="333333"/>
                <w:sz w:val="20"/>
                <w:szCs w:val="20"/>
              </w:rPr>
            </w:pPr>
          </w:p>
        </w:tc>
        <w:tc>
          <w:tcPr>
            <w:tcW w:w="8086" w:type="dxa"/>
            <w:gridSpan w:val="8"/>
            <w:tcBorders>
              <w:top w:val="single" w:sz="4" w:space="0" w:color="auto"/>
              <w:left w:val="single" w:sz="4" w:space="0" w:color="auto"/>
              <w:bottom w:val="single" w:sz="4" w:space="0" w:color="auto"/>
              <w:right w:val="single" w:sz="4" w:space="0" w:color="auto"/>
            </w:tcBorders>
          </w:tcPr>
          <w:p w14:paraId="10772EF4" w14:textId="77777777" w:rsidR="00647F3D" w:rsidRPr="00CE157F" w:rsidRDefault="00647F3D" w:rsidP="00782256">
            <w:pPr>
              <w:textAlignment w:val="baseline"/>
              <w:rPr>
                <w:rFonts w:ascii="Arial Narrow" w:hAnsi="Arial Narrow"/>
                <w:b/>
                <w:bCs/>
                <w:i/>
                <w:iCs/>
                <w:color w:val="333333"/>
                <w:sz w:val="20"/>
                <w:szCs w:val="20"/>
              </w:rPr>
            </w:pPr>
            <w:r w:rsidRPr="00CE157F">
              <w:rPr>
                <w:rFonts w:ascii="Arial Narrow" w:hAnsi="Arial Narrow"/>
                <w:b/>
                <w:bCs/>
                <w:i/>
                <w:iCs/>
                <w:color w:val="333333"/>
                <w:sz w:val="20"/>
                <w:szCs w:val="20"/>
              </w:rPr>
              <w:t xml:space="preserve">Administrative advice: </w:t>
            </w:r>
            <w:r w:rsidRPr="00CE157F">
              <w:rPr>
                <w:rFonts w:ascii="Arial Narrow" w:hAnsi="Arial Narrow"/>
                <w:i/>
                <w:iCs/>
                <w:color w:val="333333"/>
                <w:sz w:val="20"/>
                <w:szCs w:val="20"/>
              </w:rPr>
              <w:t>Patients may qualify for PBS-subsidised treatment under this restriction once only. For continuing PBS-subsidised treatment, a 'Grandfathered' patient must qualify under the 'Continuing treatment' criteria.</w:t>
            </w:r>
          </w:p>
        </w:tc>
      </w:tr>
      <w:tr w:rsidR="00647F3D" w:rsidRPr="00861FA9" w14:paraId="32E06F7A" w14:textId="77777777" w:rsidTr="007822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15" w:type="dxa"/>
            <w:left w:w="15" w:type="dxa"/>
            <w:bottom w:w="15" w:type="dxa"/>
            <w:right w:w="15" w:type="dxa"/>
          </w:tblCellMar>
          <w:tblLook w:val="04A0" w:firstRow="1" w:lastRow="0" w:firstColumn="1" w:lastColumn="0" w:noHBand="0" w:noVBand="1"/>
        </w:tblPrEx>
        <w:tc>
          <w:tcPr>
            <w:tcW w:w="981" w:type="dxa"/>
            <w:gridSpan w:val="2"/>
            <w:tcBorders>
              <w:top w:val="single" w:sz="4" w:space="0" w:color="auto"/>
              <w:left w:val="single" w:sz="4" w:space="0" w:color="auto"/>
              <w:bottom w:val="single" w:sz="4" w:space="0" w:color="auto"/>
              <w:right w:val="single" w:sz="4" w:space="0" w:color="auto"/>
            </w:tcBorders>
          </w:tcPr>
          <w:p w14:paraId="0C35B8EE" w14:textId="14A92553" w:rsidR="00647F3D" w:rsidRPr="00CE157F" w:rsidRDefault="00647F3D" w:rsidP="00782256">
            <w:pPr>
              <w:jc w:val="center"/>
              <w:rPr>
                <w:rFonts w:ascii="Arial Narrow" w:hAnsi="Arial Narrow"/>
                <w:i/>
                <w:iCs/>
                <w:color w:val="333333"/>
                <w:sz w:val="20"/>
                <w:szCs w:val="20"/>
              </w:rPr>
            </w:pPr>
          </w:p>
        </w:tc>
        <w:tc>
          <w:tcPr>
            <w:tcW w:w="8086" w:type="dxa"/>
            <w:gridSpan w:val="8"/>
            <w:tcBorders>
              <w:top w:val="single" w:sz="4" w:space="0" w:color="auto"/>
              <w:left w:val="single" w:sz="4" w:space="0" w:color="auto"/>
              <w:bottom w:val="single" w:sz="4" w:space="0" w:color="auto"/>
              <w:right w:val="single" w:sz="4" w:space="0" w:color="auto"/>
            </w:tcBorders>
          </w:tcPr>
          <w:p w14:paraId="0404453A" w14:textId="77777777" w:rsidR="00647F3D" w:rsidRPr="00CE157F" w:rsidRDefault="00647F3D" w:rsidP="00782256">
            <w:pPr>
              <w:textAlignment w:val="baseline"/>
              <w:rPr>
                <w:rFonts w:ascii="Arial Narrow" w:hAnsi="Arial Narrow"/>
                <w:b/>
                <w:bCs/>
                <w:i/>
                <w:iCs/>
                <w:color w:val="333333"/>
                <w:sz w:val="20"/>
                <w:szCs w:val="20"/>
              </w:rPr>
            </w:pPr>
            <w:r w:rsidRPr="00CE157F">
              <w:rPr>
                <w:rFonts w:ascii="Arial Narrow" w:hAnsi="Arial Narrow"/>
                <w:b/>
                <w:bCs/>
                <w:i/>
                <w:iCs/>
                <w:color w:val="333333"/>
                <w:sz w:val="20"/>
                <w:szCs w:val="20"/>
              </w:rPr>
              <w:t xml:space="preserve">Administrative advice: </w:t>
            </w:r>
            <w:r w:rsidRPr="00CE157F">
              <w:rPr>
                <w:rFonts w:ascii="Arial Narrow" w:hAnsi="Arial Narrow"/>
                <w:i/>
                <w:iCs/>
                <w:color w:val="333333"/>
                <w:sz w:val="20"/>
                <w:szCs w:val="20"/>
              </w:rPr>
              <w:t>This grandfather restriction will cease to operate from 12 months after the date specified in the clinical criteria.</w:t>
            </w:r>
          </w:p>
        </w:tc>
      </w:tr>
      <w:tr w:rsidR="00647F3D" w:rsidRPr="00861FA9" w14:paraId="17A386EA" w14:textId="77777777" w:rsidTr="007822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15" w:type="dxa"/>
            <w:left w:w="15" w:type="dxa"/>
            <w:bottom w:w="15" w:type="dxa"/>
            <w:right w:w="15" w:type="dxa"/>
          </w:tblCellMar>
          <w:tblLook w:val="04A0" w:firstRow="1" w:lastRow="0" w:firstColumn="1" w:lastColumn="0" w:noHBand="0" w:noVBand="1"/>
        </w:tblPrEx>
        <w:tc>
          <w:tcPr>
            <w:tcW w:w="981" w:type="dxa"/>
            <w:gridSpan w:val="2"/>
            <w:tcBorders>
              <w:top w:val="single" w:sz="4" w:space="0" w:color="auto"/>
              <w:left w:val="single" w:sz="4" w:space="0" w:color="auto"/>
              <w:bottom w:val="single" w:sz="4" w:space="0" w:color="auto"/>
              <w:right w:val="single" w:sz="4" w:space="0" w:color="auto"/>
            </w:tcBorders>
          </w:tcPr>
          <w:p w14:paraId="67217801" w14:textId="38099CA5" w:rsidR="00647F3D" w:rsidRPr="00CE157F" w:rsidRDefault="00647F3D" w:rsidP="00782256">
            <w:pPr>
              <w:jc w:val="center"/>
              <w:rPr>
                <w:rFonts w:ascii="Arial Narrow" w:hAnsi="Arial Narrow"/>
                <w:i/>
                <w:iCs/>
                <w:color w:val="333333"/>
                <w:sz w:val="20"/>
                <w:szCs w:val="20"/>
              </w:rPr>
            </w:pPr>
          </w:p>
        </w:tc>
        <w:tc>
          <w:tcPr>
            <w:tcW w:w="8086" w:type="dxa"/>
            <w:gridSpan w:val="8"/>
            <w:tcBorders>
              <w:top w:val="single" w:sz="4" w:space="0" w:color="auto"/>
              <w:left w:val="single" w:sz="4" w:space="0" w:color="auto"/>
              <w:bottom w:val="single" w:sz="4" w:space="0" w:color="auto"/>
              <w:right w:val="single" w:sz="4" w:space="0" w:color="auto"/>
            </w:tcBorders>
          </w:tcPr>
          <w:p w14:paraId="0A05B2A8" w14:textId="77777777" w:rsidR="00647F3D" w:rsidRPr="00CE157F" w:rsidRDefault="00647F3D" w:rsidP="00782256">
            <w:pPr>
              <w:textAlignment w:val="baseline"/>
              <w:rPr>
                <w:rFonts w:ascii="Arial Narrow" w:hAnsi="Arial Narrow"/>
                <w:b/>
                <w:bCs/>
                <w:i/>
                <w:iCs/>
                <w:color w:val="333333"/>
                <w:sz w:val="20"/>
                <w:szCs w:val="20"/>
              </w:rPr>
            </w:pPr>
            <w:r w:rsidRPr="00CE157F">
              <w:rPr>
                <w:rFonts w:ascii="Arial Narrow" w:hAnsi="Arial Narrow"/>
                <w:b/>
                <w:bCs/>
                <w:i/>
                <w:iCs/>
                <w:color w:val="333333"/>
                <w:sz w:val="20"/>
                <w:szCs w:val="20"/>
              </w:rPr>
              <w:t xml:space="preserve">Administrative advice: </w:t>
            </w:r>
            <w:r w:rsidRPr="00CE157F">
              <w:rPr>
                <w:rFonts w:ascii="Arial Narrow" w:hAnsi="Arial Narrow"/>
                <w:i/>
                <w:iCs/>
                <w:color w:val="333333"/>
                <w:sz w:val="20"/>
                <w:szCs w:val="20"/>
              </w:rPr>
              <w:t xml:space="preserve">Applications for authorisation under this restriction may be made in real time using the Online PBS Authorities system (see  </w:t>
            </w:r>
            <w:hyperlink r:id="rId11" w:history="1">
              <w:r w:rsidRPr="00CE157F">
                <w:rPr>
                  <w:rStyle w:val="Hyperlink"/>
                  <w:rFonts w:ascii="Arial Narrow" w:hAnsi="Arial Narrow"/>
                  <w:i/>
                  <w:iCs/>
                  <w:sz w:val="20"/>
                  <w:szCs w:val="20"/>
                </w:rPr>
                <w:t>www.servicesaustralia.gov.au/HPOS</w:t>
              </w:r>
            </w:hyperlink>
            <w:r w:rsidRPr="00CE157F">
              <w:rPr>
                <w:rFonts w:ascii="Arial Narrow" w:hAnsi="Arial Narrow"/>
                <w:i/>
                <w:iCs/>
                <w:color w:val="333333"/>
                <w:sz w:val="20"/>
                <w:szCs w:val="20"/>
              </w:rPr>
              <w:t>) or by telephone by contacting Services Australia on 1800 700 270 (hours of operation 8 a.m. to 5 p.m. Monday to Friday).</w:t>
            </w:r>
          </w:p>
        </w:tc>
      </w:tr>
    </w:tbl>
    <w:p w14:paraId="0F8302BA" w14:textId="77777777" w:rsidR="00945856" w:rsidRPr="00262BDA" w:rsidRDefault="00945856" w:rsidP="00393BD8">
      <w:pPr>
        <w:pStyle w:val="TableFooter"/>
      </w:pPr>
    </w:p>
    <w:p w14:paraId="059997BC" w14:textId="106AE4AE" w:rsidR="00F67A69" w:rsidRDefault="009520A1" w:rsidP="00F9393E">
      <w:pPr>
        <w:pStyle w:val="ExecSumBodyText"/>
      </w:pPr>
      <w:r w:rsidRPr="009520A1">
        <w:t xml:space="preserve">The proposed published and effective prices </w:t>
      </w:r>
      <w:r w:rsidR="0034772A">
        <w:t>are</w:t>
      </w:r>
      <w:r w:rsidRPr="009520A1">
        <w:t xml:space="preserve"> the same as</w:t>
      </w:r>
      <w:r w:rsidR="0034772A">
        <w:t xml:space="preserve"> the</w:t>
      </w:r>
      <w:r w:rsidRPr="009520A1">
        <w:t xml:space="preserve"> current prices of romosozumab on the PBS for the treatment of severe osteoporosis in the second line setting.</w:t>
      </w:r>
    </w:p>
    <w:p w14:paraId="1E4BDD78" w14:textId="44989897" w:rsidR="009520A1" w:rsidRPr="00442592" w:rsidRDefault="009520A1" w:rsidP="00F9393E">
      <w:pPr>
        <w:pStyle w:val="ExecSumBodyText"/>
      </w:pPr>
      <w:r w:rsidRPr="00442592">
        <w:t>The requested restrictions are narrower than the TGA indication (patients with osteoporosis at high risk of fracture) as they are limited to secondary prevention, in a subset of patients with severe osteoporosis at very high risk of fracture who meet specific clinical criteria relating to fracture history (number, location, severity, recency), BMD T-scores and prior therapies.</w:t>
      </w:r>
    </w:p>
    <w:p w14:paraId="632B8F8E" w14:textId="33A16F1A" w:rsidR="0081383C" w:rsidRPr="005E2E4D" w:rsidRDefault="002118A6" w:rsidP="0081383C">
      <w:pPr>
        <w:pStyle w:val="ExecSumBodyText"/>
      </w:pPr>
      <w:r w:rsidRPr="00442592">
        <w:t xml:space="preserve">The proposed </w:t>
      </w:r>
      <w:r w:rsidRPr="00442592">
        <w:rPr>
          <w:u w:val="single"/>
        </w:rPr>
        <w:t>first line restriction</w:t>
      </w:r>
      <w:r w:rsidRPr="00442592">
        <w:t xml:space="preserve"> limits the patient population to patients who have received less than 12 months of anti-resorptive therapy. The intent of this criterion was uncertain given the proposed algorithm positioned romosozumab as initial treatment prior to the use of anti-resorptives (i.e. in treatment naïve patients).</w:t>
      </w:r>
      <w:r w:rsidR="001D3A1D">
        <w:t xml:space="preserve"> </w:t>
      </w:r>
      <w:r w:rsidR="001D3A1D" w:rsidRPr="005E2E4D">
        <w:t xml:space="preserve">The Pre-Sub Committee Response (PSCR) clarified that the intent of the first line restriction wording was to allow access to romosozumab in the complementary population of </w:t>
      </w:r>
      <w:r w:rsidR="00E664BE" w:rsidRPr="005E2E4D">
        <w:t>patients</w:t>
      </w:r>
      <w:r w:rsidR="001D3A1D" w:rsidRPr="005E2E4D">
        <w:t xml:space="preserve"> who have either not yet started osteoporosis therapy or have received an anti</w:t>
      </w:r>
      <w:r w:rsidR="00A90F34">
        <w:t>-</w:t>
      </w:r>
      <w:r w:rsidR="001D3A1D" w:rsidRPr="005E2E4D">
        <w:t xml:space="preserve">resorptive agent for a very short time (&lt;12 months) </w:t>
      </w:r>
      <w:r w:rsidR="00361538" w:rsidRPr="005E2E4D">
        <w:t>in addition to the fracture and BMD requirements. The ESC noted that the financial estimates of the resubmission were based on treated patients only, stratified by duration of treatment of less than 12 months (first</w:t>
      </w:r>
      <w:r w:rsidR="00F713DF" w:rsidRPr="005E2E4D">
        <w:t xml:space="preserve"> </w:t>
      </w:r>
      <w:r w:rsidR="00361538" w:rsidRPr="005E2E4D">
        <w:t>line) and 12 months or more (second</w:t>
      </w:r>
      <w:r w:rsidR="00F713DF" w:rsidRPr="005E2E4D">
        <w:t xml:space="preserve"> </w:t>
      </w:r>
      <w:r w:rsidR="00361538" w:rsidRPr="005E2E4D">
        <w:t xml:space="preserve">line). </w:t>
      </w:r>
    </w:p>
    <w:p w14:paraId="1A9DE503" w14:textId="533008D8" w:rsidR="00380F09" w:rsidRDefault="00E32F61" w:rsidP="006D00BB">
      <w:pPr>
        <w:pStyle w:val="ExecSumBodyText"/>
      </w:pPr>
      <w:bookmarkStart w:id="9" w:name="_Hlk103246640"/>
      <w:r>
        <w:lastRenderedPageBreak/>
        <w:t>The PBAC secretariat suggested it</w:t>
      </w:r>
      <w:r w:rsidRPr="005E2E4D">
        <w:t xml:space="preserve"> </w:t>
      </w:r>
      <w:r w:rsidR="0081383C" w:rsidRPr="005E2E4D">
        <w:t>may be reasonable to consider a combined single restriction for secondary prevention that identifie</w:t>
      </w:r>
      <w:r w:rsidR="001C626B" w:rsidRPr="005E2E4D">
        <w:t>s</w:t>
      </w:r>
      <w:r w:rsidR="0081383C" w:rsidRPr="005E2E4D">
        <w:t xml:space="preserve"> the various very high-risk groups proposed </w:t>
      </w:r>
      <w:r w:rsidR="00E96496" w:rsidRPr="005E2E4D">
        <w:t>as</w:t>
      </w:r>
      <w:r w:rsidR="0081383C" w:rsidRPr="005E2E4D">
        <w:t xml:space="preserve"> separate first</w:t>
      </w:r>
      <w:r w:rsidR="00227950">
        <w:t>-</w:t>
      </w:r>
      <w:r w:rsidR="0081383C" w:rsidRPr="005E2E4D">
        <w:t xml:space="preserve"> and second-line restrictions. This approach may reduce the complexities associated with overlapping populations.</w:t>
      </w:r>
      <w:bookmarkEnd w:id="9"/>
      <w:r w:rsidR="0081383C" w:rsidRPr="005E2E4D">
        <w:t xml:space="preserve"> </w:t>
      </w:r>
      <w:r w:rsidR="00AF3E5B">
        <w:t xml:space="preserve">The pre-PBAC response provided a combined single restriction for romosozumab </w:t>
      </w:r>
      <w:r w:rsidR="007A2A75">
        <w:t>which encompassed both first</w:t>
      </w:r>
      <w:r w:rsidR="00227950">
        <w:t>-</w:t>
      </w:r>
      <w:r w:rsidR="007A2A75">
        <w:t xml:space="preserve"> and second</w:t>
      </w:r>
      <w:r w:rsidR="00227950">
        <w:t>-</w:t>
      </w:r>
      <w:r w:rsidR="007A2A75">
        <w:t xml:space="preserve">line use. </w:t>
      </w:r>
      <w:r w:rsidR="00380F09">
        <w:t>The suggested clinical criteria are outlined below:</w:t>
      </w:r>
    </w:p>
    <w:p w14:paraId="7B443599" w14:textId="2CE9B4C0" w:rsidR="006D00BB" w:rsidRPr="006D00BB" w:rsidRDefault="006D00BB" w:rsidP="006D00BB">
      <w:pPr>
        <w:spacing w:after="120"/>
        <w:rPr>
          <w:rFonts w:asciiTheme="minorHAnsi" w:hAnsiTheme="minorHAnsi" w:cstheme="minorHAnsi"/>
          <w:b/>
          <w:bCs/>
          <w:u w:val="single"/>
        </w:rPr>
      </w:pPr>
      <w:r w:rsidRPr="006D00BB">
        <w:rPr>
          <w:rFonts w:asciiTheme="minorHAnsi" w:hAnsiTheme="minorHAnsi" w:cstheme="minorHAnsi"/>
          <w:b/>
          <w:bCs/>
          <w:u w:val="single"/>
        </w:rPr>
        <w:t xml:space="preserve">Proposed </w:t>
      </w:r>
      <w:r>
        <w:rPr>
          <w:rFonts w:asciiTheme="minorHAnsi" w:hAnsiTheme="minorHAnsi" w:cstheme="minorHAnsi"/>
          <w:b/>
          <w:bCs/>
          <w:u w:val="single"/>
        </w:rPr>
        <w:t>combined single</w:t>
      </w:r>
      <w:r w:rsidRPr="006D00BB">
        <w:rPr>
          <w:rFonts w:asciiTheme="minorHAnsi" w:hAnsiTheme="minorHAnsi" w:cstheme="minorHAnsi"/>
          <w:b/>
          <w:bCs/>
          <w:u w:val="single"/>
        </w:rPr>
        <w:t xml:space="preserve"> restriction</w:t>
      </w:r>
      <w:r>
        <w:rPr>
          <w:rFonts w:asciiTheme="minorHAnsi" w:hAnsiTheme="minorHAnsi" w:cstheme="minorHAnsi"/>
          <w:b/>
          <w:bCs/>
          <w:u w:val="single"/>
        </w:rPr>
        <w:t xml:space="preserve"> encompassing first- and second-line use</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358"/>
      </w:tblGrid>
      <w:tr w:rsidR="00380F09" w:rsidRPr="00380F09" w14:paraId="39D89655" w14:textId="77777777" w:rsidTr="006D00BB">
        <w:trPr>
          <w:trHeight w:val="93"/>
        </w:trPr>
        <w:tc>
          <w:tcPr>
            <w:tcW w:w="9358" w:type="dxa"/>
          </w:tcPr>
          <w:p w14:paraId="366773F7" w14:textId="501AD18D" w:rsidR="00380F09" w:rsidRPr="00380F09" w:rsidRDefault="00380F09" w:rsidP="00380F09">
            <w:pPr>
              <w:autoSpaceDE w:val="0"/>
              <w:autoSpaceDN w:val="0"/>
              <w:adjustRightInd w:val="0"/>
              <w:jc w:val="left"/>
              <w:rPr>
                <w:rFonts w:ascii="Arial Narrow" w:hAnsi="Arial Narrow"/>
                <w:color w:val="000000"/>
                <w:sz w:val="20"/>
                <w:szCs w:val="20"/>
              </w:rPr>
            </w:pPr>
            <w:r w:rsidRPr="00380F09">
              <w:rPr>
                <w:rFonts w:ascii="Arial Narrow" w:hAnsi="Arial Narrow"/>
                <w:b/>
                <w:bCs/>
                <w:color w:val="000000"/>
                <w:sz w:val="20"/>
                <w:szCs w:val="20"/>
              </w:rPr>
              <w:t xml:space="preserve">Clinical criteria: </w:t>
            </w:r>
          </w:p>
        </w:tc>
      </w:tr>
      <w:tr w:rsidR="00380F09" w:rsidRPr="00380F09" w14:paraId="7D18F647" w14:textId="77777777" w:rsidTr="006D00BB">
        <w:trPr>
          <w:trHeight w:val="93"/>
        </w:trPr>
        <w:tc>
          <w:tcPr>
            <w:tcW w:w="9358" w:type="dxa"/>
          </w:tcPr>
          <w:p w14:paraId="450C1F48" w14:textId="77777777" w:rsidR="00380F09" w:rsidRPr="00380F09" w:rsidRDefault="00380F09" w:rsidP="00380F09">
            <w:pPr>
              <w:autoSpaceDE w:val="0"/>
              <w:autoSpaceDN w:val="0"/>
              <w:adjustRightInd w:val="0"/>
              <w:jc w:val="left"/>
              <w:rPr>
                <w:rFonts w:ascii="Arial Narrow" w:hAnsi="Arial Narrow"/>
                <w:color w:val="000000"/>
                <w:sz w:val="20"/>
                <w:szCs w:val="20"/>
              </w:rPr>
            </w:pPr>
            <w:r w:rsidRPr="00380F09">
              <w:rPr>
                <w:rFonts w:ascii="Arial Narrow" w:hAnsi="Arial Narrow"/>
                <w:color w:val="000000"/>
                <w:sz w:val="20"/>
                <w:szCs w:val="20"/>
              </w:rPr>
              <w:t xml:space="preserve">Patient must be at very high risk of fracture. </w:t>
            </w:r>
          </w:p>
        </w:tc>
      </w:tr>
      <w:tr w:rsidR="00380F09" w:rsidRPr="00380F09" w14:paraId="24498FF0" w14:textId="77777777" w:rsidTr="006D00BB">
        <w:trPr>
          <w:trHeight w:val="93"/>
        </w:trPr>
        <w:tc>
          <w:tcPr>
            <w:tcW w:w="9358" w:type="dxa"/>
          </w:tcPr>
          <w:p w14:paraId="41ACFBED" w14:textId="77777777" w:rsidR="00380F09" w:rsidRPr="00380F09" w:rsidRDefault="00380F09" w:rsidP="00380F09">
            <w:pPr>
              <w:autoSpaceDE w:val="0"/>
              <w:autoSpaceDN w:val="0"/>
              <w:adjustRightInd w:val="0"/>
              <w:jc w:val="left"/>
              <w:rPr>
                <w:rFonts w:ascii="Arial Narrow" w:hAnsi="Arial Narrow"/>
                <w:color w:val="000000"/>
                <w:sz w:val="20"/>
                <w:szCs w:val="20"/>
              </w:rPr>
            </w:pPr>
            <w:r w:rsidRPr="00380F09">
              <w:rPr>
                <w:rFonts w:ascii="Arial Narrow" w:hAnsi="Arial Narrow"/>
                <w:b/>
                <w:bCs/>
                <w:color w:val="000000"/>
                <w:sz w:val="20"/>
                <w:szCs w:val="20"/>
              </w:rPr>
              <w:t xml:space="preserve">AND </w:t>
            </w:r>
          </w:p>
        </w:tc>
      </w:tr>
      <w:tr w:rsidR="00380F09" w:rsidRPr="00380F09" w14:paraId="32B1F0F0" w14:textId="77777777" w:rsidTr="006D00BB">
        <w:trPr>
          <w:trHeight w:val="93"/>
        </w:trPr>
        <w:tc>
          <w:tcPr>
            <w:tcW w:w="9358" w:type="dxa"/>
          </w:tcPr>
          <w:p w14:paraId="35239FB0" w14:textId="77777777" w:rsidR="00380F09" w:rsidRPr="00380F09" w:rsidRDefault="00380F09" w:rsidP="00380F09">
            <w:pPr>
              <w:autoSpaceDE w:val="0"/>
              <w:autoSpaceDN w:val="0"/>
              <w:adjustRightInd w:val="0"/>
              <w:jc w:val="left"/>
              <w:rPr>
                <w:rFonts w:ascii="Arial Narrow" w:hAnsi="Arial Narrow"/>
                <w:color w:val="000000"/>
                <w:sz w:val="20"/>
                <w:szCs w:val="20"/>
              </w:rPr>
            </w:pPr>
            <w:r w:rsidRPr="00380F09">
              <w:rPr>
                <w:rFonts w:ascii="Arial Narrow" w:hAnsi="Arial Narrow"/>
                <w:color w:val="000000"/>
                <w:sz w:val="20"/>
                <w:szCs w:val="20"/>
              </w:rPr>
              <w:t xml:space="preserve">Patient must have a bone mineral density (BMD) T-score of -2.5 or less. </w:t>
            </w:r>
          </w:p>
        </w:tc>
      </w:tr>
      <w:tr w:rsidR="00380F09" w:rsidRPr="00380F09" w14:paraId="77369564" w14:textId="77777777" w:rsidTr="006D00BB">
        <w:trPr>
          <w:trHeight w:val="93"/>
        </w:trPr>
        <w:tc>
          <w:tcPr>
            <w:tcW w:w="9358" w:type="dxa"/>
          </w:tcPr>
          <w:p w14:paraId="6F750465" w14:textId="77777777" w:rsidR="00380F09" w:rsidRPr="00380F09" w:rsidRDefault="00380F09" w:rsidP="00380F09">
            <w:pPr>
              <w:autoSpaceDE w:val="0"/>
              <w:autoSpaceDN w:val="0"/>
              <w:adjustRightInd w:val="0"/>
              <w:jc w:val="left"/>
              <w:rPr>
                <w:rFonts w:ascii="Arial Narrow" w:hAnsi="Arial Narrow"/>
                <w:color w:val="000000"/>
                <w:sz w:val="20"/>
                <w:szCs w:val="20"/>
              </w:rPr>
            </w:pPr>
            <w:r w:rsidRPr="00380F09">
              <w:rPr>
                <w:rFonts w:ascii="Arial Narrow" w:hAnsi="Arial Narrow"/>
                <w:b/>
                <w:bCs/>
                <w:color w:val="000000"/>
                <w:sz w:val="20"/>
                <w:szCs w:val="20"/>
              </w:rPr>
              <w:t xml:space="preserve">AND </w:t>
            </w:r>
          </w:p>
        </w:tc>
      </w:tr>
      <w:tr w:rsidR="00380F09" w:rsidRPr="00380F09" w14:paraId="2D75B1CF" w14:textId="77777777" w:rsidTr="006D00BB">
        <w:trPr>
          <w:trHeight w:val="93"/>
        </w:trPr>
        <w:tc>
          <w:tcPr>
            <w:tcW w:w="9358" w:type="dxa"/>
          </w:tcPr>
          <w:p w14:paraId="040E2387" w14:textId="77777777" w:rsidR="00380F09" w:rsidRPr="00380F09" w:rsidRDefault="00380F09" w:rsidP="00380F09">
            <w:pPr>
              <w:autoSpaceDE w:val="0"/>
              <w:autoSpaceDN w:val="0"/>
              <w:adjustRightInd w:val="0"/>
              <w:jc w:val="left"/>
              <w:rPr>
                <w:rFonts w:ascii="Arial Narrow" w:hAnsi="Arial Narrow"/>
                <w:color w:val="000000"/>
                <w:sz w:val="20"/>
                <w:szCs w:val="20"/>
              </w:rPr>
            </w:pPr>
            <w:r w:rsidRPr="00380F09">
              <w:rPr>
                <w:rFonts w:ascii="Arial Narrow" w:hAnsi="Arial Narrow"/>
                <w:color w:val="000000"/>
                <w:sz w:val="20"/>
                <w:szCs w:val="20"/>
              </w:rPr>
              <w:t xml:space="preserve">Patient must have had at least 1 symptomatic minimal trauma fracture </w:t>
            </w:r>
          </w:p>
        </w:tc>
      </w:tr>
      <w:tr w:rsidR="00380F09" w:rsidRPr="00380F09" w14:paraId="1EBD895F" w14:textId="77777777" w:rsidTr="006D00BB">
        <w:trPr>
          <w:trHeight w:val="93"/>
        </w:trPr>
        <w:tc>
          <w:tcPr>
            <w:tcW w:w="9358" w:type="dxa"/>
          </w:tcPr>
          <w:p w14:paraId="17331BC8" w14:textId="77777777" w:rsidR="00380F09" w:rsidRPr="00380F09" w:rsidRDefault="00380F09" w:rsidP="00380F09">
            <w:pPr>
              <w:autoSpaceDE w:val="0"/>
              <w:autoSpaceDN w:val="0"/>
              <w:adjustRightInd w:val="0"/>
              <w:jc w:val="left"/>
              <w:rPr>
                <w:rFonts w:ascii="Arial Narrow" w:hAnsi="Arial Narrow"/>
                <w:color w:val="000000"/>
                <w:sz w:val="20"/>
                <w:szCs w:val="20"/>
              </w:rPr>
            </w:pPr>
            <w:r w:rsidRPr="00380F09">
              <w:rPr>
                <w:rFonts w:ascii="Arial Narrow" w:hAnsi="Arial Narrow"/>
                <w:b/>
                <w:bCs/>
                <w:color w:val="000000"/>
                <w:sz w:val="20"/>
                <w:szCs w:val="20"/>
              </w:rPr>
              <w:t xml:space="preserve">AND </w:t>
            </w:r>
          </w:p>
        </w:tc>
      </w:tr>
      <w:tr w:rsidR="00380F09" w:rsidRPr="00380F09" w14:paraId="0A732BC9" w14:textId="77777777" w:rsidTr="006D00BB">
        <w:trPr>
          <w:trHeight w:val="451"/>
        </w:trPr>
        <w:tc>
          <w:tcPr>
            <w:tcW w:w="9358" w:type="dxa"/>
          </w:tcPr>
          <w:p w14:paraId="684BC073" w14:textId="77777777" w:rsidR="00380F09" w:rsidRPr="00380F09" w:rsidRDefault="00380F09" w:rsidP="00380F09">
            <w:pPr>
              <w:autoSpaceDE w:val="0"/>
              <w:autoSpaceDN w:val="0"/>
              <w:adjustRightInd w:val="0"/>
              <w:jc w:val="left"/>
              <w:rPr>
                <w:rFonts w:ascii="Arial Narrow" w:hAnsi="Arial Narrow"/>
              </w:rPr>
            </w:pPr>
          </w:p>
          <w:p w14:paraId="3D22EBCC" w14:textId="77777777" w:rsidR="00380F09" w:rsidRPr="00380F09" w:rsidRDefault="00380F09" w:rsidP="00C11AB8">
            <w:pPr>
              <w:autoSpaceDE w:val="0"/>
              <w:autoSpaceDN w:val="0"/>
              <w:adjustRightInd w:val="0"/>
              <w:jc w:val="left"/>
              <w:rPr>
                <w:rFonts w:ascii="Arial Narrow" w:hAnsi="Arial Narrow"/>
                <w:color w:val="000000"/>
                <w:sz w:val="20"/>
                <w:szCs w:val="20"/>
              </w:rPr>
            </w:pPr>
            <w:r w:rsidRPr="00380F09">
              <w:rPr>
                <w:rFonts w:ascii="Arial Narrow" w:hAnsi="Arial Narrow"/>
                <w:color w:val="000000"/>
                <w:sz w:val="20"/>
                <w:szCs w:val="20"/>
              </w:rPr>
              <w:t xml:space="preserve">• Patient must have had at least 1 hip or symptomatic vertebral fracture in the previous 24 months, OR </w:t>
            </w:r>
          </w:p>
          <w:p w14:paraId="7FBCB9C9" w14:textId="77777777" w:rsidR="00380F09" w:rsidRPr="00380F09" w:rsidRDefault="00380F09" w:rsidP="00C11AB8">
            <w:pPr>
              <w:autoSpaceDE w:val="0"/>
              <w:autoSpaceDN w:val="0"/>
              <w:adjustRightInd w:val="0"/>
              <w:jc w:val="left"/>
              <w:rPr>
                <w:rFonts w:ascii="Arial Narrow" w:hAnsi="Arial Narrow"/>
                <w:color w:val="000000"/>
                <w:sz w:val="20"/>
                <w:szCs w:val="20"/>
              </w:rPr>
            </w:pPr>
            <w:r w:rsidRPr="00380F09">
              <w:rPr>
                <w:rFonts w:ascii="Arial Narrow" w:hAnsi="Arial Narrow"/>
                <w:color w:val="000000"/>
                <w:sz w:val="20"/>
                <w:szCs w:val="20"/>
              </w:rPr>
              <w:t xml:space="preserve">• Patient must have had multiple symptomatic fractures including 1 in the previous 24 months, OR </w:t>
            </w:r>
          </w:p>
          <w:p w14:paraId="06305B92" w14:textId="77777777" w:rsidR="00380F09" w:rsidRPr="00380F09" w:rsidRDefault="00380F09" w:rsidP="00C11AB8">
            <w:pPr>
              <w:autoSpaceDE w:val="0"/>
              <w:autoSpaceDN w:val="0"/>
              <w:adjustRightInd w:val="0"/>
              <w:jc w:val="left"/>
              <w:rPr>
                <w:rFonts w:ascii="Arial Narrow" w:hAnsi="Arial Narrow"/>
                <w:color w:val="000000"/>
                <w:sz w:val="20"/>
                <w:szCs w:val="20"/>
              </w:rPr>
            </w:pPr>
            <w:r w:rsidRPr="00380F09">
              <w:rPr>
                <w:rFonts w:ascii="Arial Narrow" w:hAnsi="Arial Narrow"/>
                <w:color w:val="000000"/>
                <w:sz w:val="20"/>
                <w:szCs w:val="20"/>
              </w:rPr>
              <w:t xml:space="preserve">• Patient must have experienced at least 1 symptomatic new fracture after at least 12 months continuous therapy with an anti-resorptive agent at adequate doses. </w:t>
            </w:r>
          </w:p>
          <w:p w14:paraId="083593C9" w14:textId="77777777" w:rsidR="00380F09" w:rsidRPr="00380F09" w:rsidRDefault="00380F09" w:rsidP="00380F09">
            <w:pPr>
              <w:autoSpaceDE w:val="0"/>
              <w:autoSpaceDN w:val="0"/>
              <w:adjustRightInd w:val="0"/>
              <w:jc w:val="left"/>
              <w:rPr>
                <w:rFonts w:ascii="Arial Narrow" w:hAnsi="Arial Narrow"/>
                <w:color w:val="000000"/>
                <w:sz w:val="20"/>
                <w:szCs w:val="20"/>
              </w:rPr>
            </w:pPr>
          </w:p>
        </w:tc>
      </w:tr>
      <w:tr w:rsidR="00380F09" w:rsidRPr="00380F09" w14:paraId="282AC299" w14:textId="77777777" w:rsidTr="006D00BB">
        <w:trPr>
          <w:trHeight w:val="93"/>
        </w:trPr>
        <w:tc>
          <w:tcPr>
            <w:tcW w:w="9358" w:type="dxa"/>
          </w:tcPr>
          <w:p w14:paraId="7F638679" w14:textId="77777777" w:rsidR="00380F09" w:rsidRPr="00380F09" w:rsidRDefault="00380F09" w:rsidP="00380F09">
            <w:pPr>
              <w:autoSpaceDE w:val="0"/>
              <w:autoSpaceDN w:val="0"/>
              <w:adjustRightInd w:val="0"/>
              <w:jc w:val="left"/>
              <w:rPr>
                <w:rFonts w:ascii="Arial Narrow" w:hAnsi="Arial Narrow"/>
                <w:color w:val="000000"/>
                <w:sz w:val="20"/>
                <w:szCs w:val="20"/>
              </w:rPr>
            </w:pPr>
            <w:r w:rsidRPr="00380F09">
              <w:rPr>
                <w:rFonts w:ascii="Arial Narrow" w:hAnsi="Arial Narrow"/>
                <w:b/>
                <w:bCs/>
                <w:color w:val="000000"/>
                <w:sz w:val="20"/>
                <w:szCs w:val="20"/>
              </w:rPr>
              <w:t xml:space="preserve">AND </w:t>
            </w:r>
          </w:p>
        </w:tc>
      </w:tr>
      <w:tr w:rsidR="00380F09" w:rsidRPr="00380F09" w14:paraId="1EF42399" w14:textId="77777777" w:rsidTr="006D00BB">
        <w:trPr>
          <w:trHeight w:val="93"/>
        </w:trPr>
        <w:tc>
          <w:tcPr>
            <w:tcW w:w="9358" w:type="dxa"/>
          </w:tcPr>
          <w:p w14:paraId="0B783E21" w14:textId="3D1042ED" w:rsidR="00380F09" w:rsidRPr="00380F09" w:rsidRDefault="00380F09" w:rsidP="00380F09">
            <w:pPr>
              <w:autoSpaceDE w:val="0"/>
              <w:autoSpaceDN w:val="0"/>
              <w:adjustRightInd w:val="0"/>
              <w:jc w:val="left"/>
              <w:rPr>
                <w:rFonts w:ascii="Arial Narrow" w:hAnsi="Arial Narrow"/>
                <w:color w:val="000000"/>
                <w:sz w:val="20"/>
                <w:szCs w:val="20"/>
              </w:rPr>
            </w:pPr>
            <w:r w:rsidRPr="00380F09">
              <w:rPr>
                <w:rFonts w:ascii="Arial Narrow" w:hAnsi="Arial Narrow"/>
                <w:color w:val="000000"/>
                <w:sz w:val="20"/>
                <w:szCs w:val="20"/>
              </w:rPr>
              <w:t>The treatment must be the sole PBS</w:t>
            </w:r>
            <w:r w:rsidR="00E43E7B">
              <w:rPr>
                <w:rFonts w:ascii="Arial Narrow" w:hAnsi="Arial Narrow"/>
                <w:color w:val="000000"/>
                <w:sz w:val="20"/>
                <w:szCs w:val="20"/>
              </w:rPr>
              <w:t xml:space="preserve"> </w:t>
            </w:r>
            <w:r w:rsidRPr="00380F09">
              <w:rPr>
                <w:rFonts w:ascii="Arial Narrow" w:hAnsi="Arial Narrow"/>
                <w:color w:val="000000"/>
                <w:sz w:val="20"/>
                <w:szCs w:val="20"/>
              </w:rPr>
              <w:t xml:space="preserve">subsidised therapy for this condition. </w:t>
            </w:r>
          </w:p>
        </w:tc>
      </w:tr>
      <w:tr w:rsidR="00380F09" w:rsidRPr="00380F09" w14:paraId="6D8919C9" w14:textId="77777777" w:rsidTr="006D00BB">
        <w:trPr>
          <w:trHeight w:val="93"/>
        </w:trPr>
        <w:tc>
          <w:tcPr>
            <w:tcW w:w="9358" w:type="dxa"/>
          </w:tcPr>
          <w:p w14:paraId="1706737C" w14:textId="77777777" w:rsidR="00380F09" w:rsidRPr="00380F09" w:rsidRDefault="00380F09" w:rsidP="00380F09">
            <w:pPr>
              <w:autoSpaceDE w:val="0"/>
              <w:autoSpaceDN w:val="0"/>
              <w:adjustRightInd w:val="0"/>
              <w:jc w:val="left"/>
              <w:rPr>
                <w:rFonts w:ascii="Arial Narrow" w:hAnsi="Arial Narrow"/>
                <w:color w:val="000000"/>
                <w:sz w:val="20"/>
                <w:szCs w:val="20"/>
              </w:rPr>
            </w:pPr>
            <w:r w:rsidRPr="00380F09">
              <w:rPr>
                <w:rFonts w:ascii="Arial Narrow" w:hAnsi="Arial Narrow"/>
                <w:b/>
                <w:bCs/>
                <w:color w:val="000000"/>
                <w:sz w:val="20"/>
                <w:szCs w:val="20"/>
              </w:rPr>
              <w:t xml:space="preserve">AND </w:t>
            </w:r>
          </w:p>
        </w:tc>
      </w:tr>
      <w:tr w:rsidR="00380F09" w:rsidRPr="00380F09" w14:paraId="3D90562E" w14:textId="77777777" w:rsidTr="006D00BB">
        <w:trPr>
          <w:trHeight w:val="93"/>
        </w:trPr>
        <w:tc>
          <w:tcPr>
            <w:tcW w:w="9358" w:type="dxa"/>
          </w:tcPr>
          <w:p w14:paraId="3FAF27A2" w14:textId="77777777" w:rsidR="00380F09" w:rsidRPr="00380F09" w:rsidRDefault="00380F09" w:rsidP="00380F09">
            <w:pPr>
              <w:autoSpaceDE w:val="0"/>
              <w:autoSpaceDN w:val="0"/>
              <w:adjustRightInd w:val="0"/>
              <w:jc w:val="left"/>
              <w:rPr>
                <w:rFonts w:ascii="Arial Narrow" w:hAnsi="Arial Narrow"/>
                <w:color w:val="000000"/>
                <w:sz w:val="20"/>
                <w:szCs w:val="20"/>
              </w:rPr>
            </w:pPr>
            <w:r w:rsidRPr="00380F09">
              <w:rPr>
                <w:rFonts w:ascii="Arial Narrow" w:hAnsi="Arial Narrow"/>
                <w:color w:val="000000"/>
                <w:sz w:val="20"/>
                <w:szCs w:val="20"/>
              </w:rPr>
              <w:t xml:space="preserve">The treatment must not exceed a lifetime maximum of 12 months PBS subsidised therapy. </w:t>
            </w:r>
          </w:p>
        </w:tc>
      </w:tr>
    </w:tbl>
    <w:p w14:paraId="2E1D47F4" w14:textId="4992F8E9" w:rsidR="00380F09" w:rsidRDefault="00F56CCB" w:rsidP="00F56CCB">
      <w:pPr>
        <w:pStyle w:val="TableFooter"/>
      </w:pPr>
      <w:r>
        <w:t>Source: Pg 1. Romosozumab pre-PBAC response</w:t>
      </w:r>
    </w:p>
    <w:p w14:paraId="2663EB52" w14:textId="77777777" w:rsidR="00F56CCB" w:rsidRPr="00442592" w:rsidRDefault="00F56CCB" w:rsidP="00F56CCB">
      <w:pPr>
        <w:pStyle w:val="TableFooter"/>
      </w:pPr>
    </w:p>
    <w:p w14:paraId="22EF6E0B" w14:textId="3874E420" w:rsidR="00646FA6" w:rsidRPr="00442592" w:rsidRDefault="00E73A49" w:rsidP="00F9393E">
      <w:pPr>
        <w:pStyle w:val="ExecSumBodyText"/>
      </w:pPr>
      <w:r w:rsidRPr="00442592">
        <w:t>The resubmission claimed that updated international guidelines support the</w:t>
      </w:r>
      <w:r w:rsidR="003B20DF" w:rsidRPr="00442592">
        <w:t xml:space="preserve"> earlier</w:t>
      </w:r>
      <w:r w:rsidRPr="00442592">
        <w:t xml:space="preserve"> use of anabolic agents in patients with very high and/or imminent risk. </w:t>
      </w:r>
      <w:r w:rsidR="00BA494C" w:rsidRPr="00442592">
        <w:t>The characterisation of very high risk varied between guidelines and w</w:t>
      </w:r>
      <w:r w:rsidR="001C626B" w:rsidRPr="00442592">
        <w:t>as</w:t>
      </w:r>
      <w:r w:rsidR="00BA494C" w:rsidRPr="00442592">
        <w:t xml:space="preserve"> generally based on fracture history, BMD and fracture probability calculated using risk algorithms that incorporate a variety of clinical factors. Treatment thresholds were country-specific and likely reflect broader factors such as willingness to pay, health care resources, reimbursement policies and geographical variations in fracture incidence.</w:t>
      </w:r>
    </w:p>
    <w:p w14:paraId="24C2ED0D" w14:textId="33DC693C" w:rsidR="00BA494C" w:rsidRPr="00442592" w:rsidRDefault="00E240B5" w:rsidP="00F9393E">
      <w:pPr>
        <w:pStyle w:val="ExecSumBodyText"/>
      </w:pPr>
      <w:r w:rsidRPr="00442592">
        <w:t xml:space="preserve">Traditionally, guidelines have classified fracture risk as high or very high based on fracture history, age and BMD T-scores. However, there is increasing recognition of the time-dependent nature of fracture risk and that patients with a recent major osteoporotic fracture are at “imminent risk” with an increased risk of fracture immediately after the incident fracture. The resubmission cited emerging evidence based on observational data suggesting the risk of a subsequent fracture was highest in the immediate post-fracture interval (1-2 years) and decreased markedly over a 10-year period (Kanis 2018). The resubmission claimed that anabolic agents provide the greatest probability of rapidly normalising BMD and reducing the risk of subsequent fractures in patients with imminent risk. The resubmission claimed that this proposition is supported by data from head-to-head trials demonstrating the superiority of anabolic agents compared to anti-resorptive therapy. </w:t>
      </w:r>
      <w:r w:rsidR="009C1442" w:rsidRPr="005E2E4D">
        <w:t>The</w:t>
      </w:r>
      <w:r w:rsidR="009E4206" w:rsidRPr="005E2E4D">
        <w:t xml:space="preserve"> ESC considered these</w:t>
      </w:r>
      <w:r w:rsidR="009C1442" w:rsidRPr="005E2E4D">
        <w:t xml:space="preserve"> claims were inadequately supported in the resubmission, with</w:t>
      </w:r>
      <w:r w:rsidR="009C1442" w:rsidRPr="00442592">
        <w:t xml:space="preserve"> </w:t>
      </w:r>
      <w:r w:rsidR="00BB0B8F" w:rsidRPr="00442592">
        <w:t xml:space="preserve">no data </w:t>
      </w:r>
      <w:r w:rsidR="00F34EE8" w:rsidRPr="00442592">
        <w:t xml:space="preserve">presented </w:t>
      </w:r>
      <w:r w:rsidR="00536E09" w:rsidRPr="00442592">
        <w:t xml:space="preserve">supporting the treatment benefit of romosozumab in patients at imminent fracture risk. </w:t>
      </w:r>
    </w:p>
    <w:p w14:paraId="2A03B30F" w14:textId="1167BBB9" w:rsidR="00E73A49" w:rsidRPr="00442592" w:rsidRDefault="00E73A49" w:rsidP="00F9393E">
      <w:pPr>
        <w:pStyle w:val="ExecSumBodyText"/>
      </w:pPr>
      <w:r w:rsidRPr="00442592">
        <w:t xml:space="preserve">The </w:t>
      </w:r>
      <w:r w:rsidR="0029718E" w:rsidRPr="00442592">
        <w:t>rationale for</w:t>
      </w:r>
      <w:r w:rsidRPr="00442592">
        <w:t xml:space="preserve"> </w:t>
      </w:r>
      <w:r w:rsidR="003B20DF" w:rsidRPr="00442592">
        <w:t xml:space="preserve">the </w:t>
      </w:r>
      <w:r w:rsidR="0029718E" w:rsidRPr="00442592">
        <w:t xml:space="preserve">proposed </w:t>
      </w:r>
      <w:r w:rsidR="00F8468A" w:rsidRPr="00442592">
        <w:t xml:space="preserve">clinical criteria </w:t>
      </w:r>
      <w:r w:rsidR="0029718E" w:rsidRPr="00442592">
        <w:t>in first</w:t>
      </w:r>
      <w:r w:rsidR="00F713DF">
        <w:t xml:space="preserve"> </w:t>
      </w:r>
      <w:r w:rsidR="0029718E" w:rsidRPr="00442592">
        <w:t xml:space="preserve">line </w:t>
      </w:r>
      <w:r w:rsidRPr="00442592">
        <w:t xml:space="preserve">was unclear but appeared to be </w:t>
      </w:r>
      <w:r w:rsidR="0029718E" w:rsidRPr="00442592">
        <w:t xml:space="preserve">based on </w:t>
      </w:r>
      <w:r w:rsidRPr="00442592">
        <w:t xml:space="preserve">a synthesis of factors </w:t>
      </w:r>
      <w:r w:rsidR="00602350" w:rsidRPr="00442592">
        <w:rPr>
          <w:rFonts w:cs="Calibri"/>
        </w:rPr>
        <w:t>incorporating fracture location, number of fractures, clinical symptoms, recency of fracture and BMD T-score</w:t>
      </w:r>
      <w:r w:rsidRPr="00442592">
        <w:t xml:space="preserve">. </w:t>
      </w:r>
      <w:r w:rsidR="00B20EFB" w:rsidRPr="00442592">
        <w:t>The clinical criteria did not appear consistent with the wide range of very high risk groups identified in published guidelines</w:t>
      </w:r>
      <w:r w:rsidRPr="00442592">
        <w:t>.</w:t>
      </w:r>
      <w:r w:rsidR="009E4206">
        <w:t xml:space="preserve"> </w:t>
      </w:r>
    </w:p>
    <w:p w14:paraId="21065F36" w14:textId="6B1D2F45" w:rsidR="00490A84" w:rsidRPr="00442592" w:rsidRDefault="00490A84" w:rsidP="00F9393E">
      <w:pPr>
        <w:pStyle w:val="ExecSumBodyText"/>
      </w:pPr>
      <w:r w:rsidRPr="00442592">
        <w:t xml:space="preserve">It was difficult to reconcile the proposed clinical criteria for first line therapy with the inclusion criteria of the ARCH trial (see </w:t>
      </w:r>
      <w:r w:rsidR="005260F8" w:rsidRPr="00442592">
        <w:fldChar w:fldCharType="begin"/>
      </w:r>
      <w:r w:rsidR="005260F8" w:rsidRPr="00442592">
        <w:instrText xml:space="preserve"> REF _Ref101858750 \h  \* MERGEFORMAT </w:instrText>
      </w:r>
      <w:r w:rsidR="005260F8" w:rsidRPr="00442592">
        <w:fldChar w:fldCharType="separate"/>
      </w:r>
      <w:r w:rsidR="00E97DE4">
        <w:t xml:space="preserve">Table </w:t>
      </w:r>
      <w:r w:rsidR="00E97DE4">
        <w:rPr>
          <w:noProof/>
        </w:rPr>
        <w:t>3</w:t>
      </w:r>
      <w:r w:rsidR="005260F8" w:rsidRPr="00442592">
        <w:fldChar w:fldCharType="end"/>
      </w:r>
      <w:r w:rsidR="005260F8" w:rsidRPr="00442592">
        <w:t xml:space="preserve"> </w:t>
      </w:r>
      <w:r w:rsidRPr="00442592">
        <w:t>below).</w:t>
      </w:r>
    </w:p>
    <w:p w14:paraId="50DF3000" w14:textId="47EF8F7B" w:rsidR="00CC35EA" w:rsidRDefault="00E135CA" w:rsidP="00F9393E">
      <w:pPr>
        <w:pStyle w:val="ExecSumBodyText"/>
      </w:pPr>
      <w:r w:rsidRPr="00442592">
        <w:t xml:space="preserve">The requested first line restriction was also inconsistent with responses to </w:t>
      </w:r>
      <w:r w:rsidR="0026440C" w:rsidRPr="00442592">
        <w:t>a</w:t>
      </w:r>
      <w:r w:rsidRPr="00442592">
        <w:t xml:space="preserve"> survey of the sponsor’s advisory board, with the majority</w:t>
      </w:r>
      <w:r w:rsidR="00BA4E90" w:rsidRPr="00442592">
        <w:t xml:space="preserve"> of respondents</w:t>
      </w:r>
      <w:r w:rsidRPr="00442592">
        <w:t xml:space="preserve"> indicating the most important very high-risk factor was multiple minimal trauma fractures. This was followed by low BMD T-score (≤-3.0) and fracture site (e.g. hip or vertebral). Other definitions included various combinations of multiple fractures, high falls risk, fracture site, low BMD and microarchitectural decay. The concept of ‘imminent risk’ was not included in the survey.</w:t>
      </w:r>
    </w:p>
    <w:p w14:paraId="4C604F3A" w14:textId="64677ABF" w:rsidR="00C2435D" w:rsidRPr="005E2E4D" w:rsidRDefault="00C2435D" w:rsidP="00C2435D">
      <w:pPr>
        <w:pStyle w:val="ExecSumBodyText"/>
      </w:pPr>
      <w:r w:rsidRPr="005E2E4D">
        <w:t xml:space="preserve">The PSCR acknowledged that the proposed restriction is not precisely consistent with the varied definitions of very high fracture risk in published guidelines. However, the PSCR claimed the proposed restriction defines a very high fracture risk population, where the risk-benefit profile of romosozumab is clearly favourable. The ESC </w:t>
      </w:r>
      <w:r w:rsidR="00056AAC" w:rsidRPr="005E2E4D">
        <w:t xml:space="preserve">noted </w:t>
      </w:r>
      <w:r w:rsidRPr="005E2E4D">
        <w:t>there were inconsistencies in the subpopulation definitions of very high risk between the restriction, clinical evidence, economic model and financial estimates (</w:t>
      </w:r>
      <w:r w:rsidR="009C7EA1" w:rsidRPr="005E2E4D">
        <w:t xml:space="preserve">see </w:t>
      </w:r>
      <w:r w:rsidRPr="005E2E4D">
        <w:fldChar w:fldCharType="begin"/>
      </w:r>
      <w:r w:rsidRPr="005E2E4D">
        <w:instrText xml:space="preserve"> REF _Ref101858750 \h  \* MERGEFORMAT </w:instrText>
      </w:r>
      <w:r w:rsidRPr="005E2E4D">
        <w:fldChar w:fldCharType="separate"/>
      </w:r>
      <w:r w:rsidR="00972AAC" w:rsidRPr="005E2E4D">
        <w:t xml:space="preserve">Table </w:t>
      </w:r>
      <w:r w:rsidR="00972AAC" w:rsidRPr="005E2E4D">
        <w:rPr>
          <w:noProof/>
        </w:rPr>
        <w:t>3</w:t>
      </w:r>
      <w:r w:rsidRPr="005E2E4D">
        <w:fldChar w:fldCharType="end"/>
      </w:r>
      <w:r w:rsidRPr="005E2E4D">
        <w:t xml:space="preserve">). </w:t>
      </w:r>
      <w:r w:rsidR="00555852">
        <w:t>In</w:t>
      </w:r>
      <w:r w:rsidR="005731FE">
        <w:t xml:space="preserve"> the combined restriction proposed in the p</w:t>
      </w:r>
      <w:r w:rsidR="00E97DE4">
        <w:t>re</w:t>
      </w:r>
      <w:r w:rsidR="005731FE">
        <w:t xml:space="preserve">-PBAC response the clinical criterion terminology referring to ‘at least 2 clinical fractures’ </w:t>
      </w:r>
      <w:r w:rsidR="00555852">
        <w:t xml:space="preserve">was replaced </w:t>
      </w:r>
      <w:r w:rsidR="005731FE">
        <w:t xml:space="preserve">with ‘multiple symptomatic fractures’. </w:t>
      </w:r>
    </w:p>
    <w:p w14:paraId="13ACC2E1" w14:textId="682A6118" w:rsidR="00E135CA" w:rsidRPr="00442592" w:rsidRDefault="00FA26CC" w:rsidP="00F9393E">
      <w:pPr>
        <w:pStyle w:val="ExecSumBodyText"/>
      </w:pPr>
      <w:r w:rsidRPr="00442592">
        <w:t xml:space="preserve">The proposed changes to the current </w:t>
      </w:r>
      <w:r w:rsidRPr="00442592">
        <w:rPr>
          <w:u w:val="single"/>
        </w:rPr>
        <w:t>second line listing</w:t>
      </w:r>
      <w:r w:rsidRPr="00442592">
        <w:t xml:space="preserve"> of romosozumab include the removal of the requirement for patients to have multiple minimal trauma fractures and changing the BMD T-score threshold from ≤</w:t>
      </w:r>
      <w:r w:rsidR="00A11377">
        <w:t> </w:t>
      </w:r>
      <w:r w:rsidRPr="00442592">
        <w:t>-3.0 to ≤</w:t>
      </w:r>
      <w:r w:rsidR="00A11377">
        <w:t> </w:t>
      </w:r>
      <w:r w:rsidRPr="00442592">
        <w:t xml:space="preserve">-2.5. </w:t>
      </w:r>
      <w:r w:rsidRPr="00442592" w:rsidDel="0029718E">
        <w:t xml:space="preserve">The resubmission’s claim that these changes were recommended by the sponsor’s advisory board appeared to be a misrepresentation of responses to a sponsor-commissioned survey which asked which PBS requirements stopped the prescribing of anabolic agents most often but did not determine whether the current requirements were appropriately identifying patients with severe osteoporosis who would benefit from treatment with anabolic agents. </w:t>
      </w:r>
    </w:p>
    <w:p w14:paraId="6A83FBF8" w14:textId="70DCDA22" w:rsidR="004B3DFE" w:rsidRDefault="00F06DA1" w:rsidP="00F9393E">
      <w:pPr>
        <w:pStyle w:val="ExecSumBodyText"/>
      </w:pPr>
      <w:r w:rsidRPr="00442592">
        <w:t xml:space="preserve">The resubmission stated that the sponsor’s advisory board had highlighted that access to second line anabolic treatment was inequitable for patients without multiple minimal trauma fractures. The resubmission claimed that when qualifying for initial treatment (first line), the primary and secondary prevention populations were of similar fracture risk and therefore both populations remain at an equivalent, albeit higher fracture risk when experiencing an on-treatment fracture. </w:t>
      </w:r>
      <w:r w:rsidR="004B3DFE">
        <w:t>The combined restriction proposed in the pre-PBAC response required that all patients must have had at least 1 symptomatic minimal trauma fracture.</w:t>
      </w:r>
    </w:p>
    <w:p w14:paraId="24D545A9" w14:textId="58B8EFC2" w:rsidR="00F06DA1" w:rsidRPr="00442592" w:rsidRDefault="00F06DA1" w:rsidP="004B3DFE">
      <w:pPr>
        <w:pStyle w:val="ExecSumBodyText"/>
      </w:pPr>
      <w:r w:rsidRPr="00442592">
        <w:t>The resubmission claimed that eligibility for osteoporosis treatments was historically limited to secondary prevention of fracture and that age and BMD thresholds were subsequently introduced to define a primary prevention population of similar fracture risk to the secondary prevention population (</w:t>
      </w:r>
      <w:r w:rsidR="005E69E8" w:rsidRPr="00442592">
        <w:t xml:space="preserve">citing the </w:t>
      </w:r>
      <w:r w:rsidRPr="00442592">
        <w:t>alendronate PSD, July 2006 PBAC meeting).</w:t>
      </w:r>
      <w:r w:rsidR="004B3DFE">
        <w:t xml:space="preserve"> </w:t>
      </w:r>
      <w:r w:rsidRPr="00442592">
        <w:t>The resubmission’s claim did not appear consistent with PBAC’s historical considerations of submissions to extend the listing of anti-resorptives to include primary prevention.</w:t>
      </w:r>
      <w:r w:rsidR="00D74EE5" w:rsidRPr="00442592">
        <w:t xml:space="preserve"> </w:t>
      </w:r>
      <w:r w:rsidR="00483C99" w:rsidRPr="00442592">
        <w:t>Subsequent PBAC recommendations to include the primary prevention population were based on acceptable cost-effectiveness</w:t>
      </w:r>
      <w:r w:rsidR="00A11EC9" w:rsidRPr="00442592">
        <w:t xml:space="preserve">, </w:t>
      </w:r>
      <w:r w:rsidR="00D74609" w:rsidRPr="00442592">
        <w:t xml:space="preserve">originally based on a BMD threshold of </w:t>
      </w:r>
      <w:r w:rsidR="00D74609" w:rsidRPr="004B3DFE">
        <w:rPr>
          <w:rFonts w:cstheme="minorHAnsi"/>
        </w:rPr>
        <w:t>≤</w:t>
      </w:r>
      <w:r w:rsidR="00A11377">
        <w:rPr>
          <w:rFonts w:cstheme="minorHAnsi"/>
        </w:rPr>
        <w:t> </w:t>
      </w:r>
      <w:r w:rsidR="00D74609" w:rsidRPr="00442592">
        <w:t>-3 then</w:t>
      </w:r>
      <w:r w:rsidR="00D74609" w:rsidRPr="004B3DFE">
        <w:rPr>
          <w:i/>
          <w:iCs/>
        </w:rPr>
        <w:t xml:space="preserve"> </w:t>
      </w:r>
      <w:r w:rsidR="00D74609" w:rsidRPr="00442592">
        <w:t xml:space="preserve">extended to BMD </w:t>
      </w:r>
      <w:r w:rsidR="00D74609" w:rsidRPr="004B3DFE">
        <w:rPr>
          <w:rFonts w:cstheme="minorHAnsi"/>
        </w:rPr>
        <w:t>≤</w:t>
      </w:r>
      <w:r w:rsidR="00A11377">
        <w:rPr>
          <w:rFonts w:cstheme="minorHAnsi"/>
        </w:rPr>
        <w:t> </w:t>
      </w:r>
      <w:r w:rsidR="00D74609" w:rsidRPr="00442592">
        <w:t xml:space="preserve">-2.5. </w:t>
      </w:r>
      <w:r w:rsidR="00A83A99" w:rsidRPr="00442592">
        <w:t>P</w:t>
      </w:r>
      <w:r w:rsidR="00D74EE5" w:rsidRPr="00442592">
        <w:t xml:space="preserve">atients with multiple fractures are likely to be at a higher fracture risk </w:t>
      </w:r>
      <w:r w:rsidR="00FC15B4" w:rsidRPr="00442592">
        <w:t>than</w:t>
      </w:r>
      <w:r w:rsidR="00D74EE5" w:rsidRPr="00442592">
        <w:t xml:space="preserve"> patients with a single fracture.</w:t>
      </w:r>
    </w:p>
    <w:p w14:paraId="34B445E0" w14:textId="50E6F425" w:rsidR="0029718E" w:rsidRPr="00442592" w:rsidRDefault="0029718E" w:rsidP="0029718E">
      <w:pPr>
        <w:pStyle w:val="ExecSumBodyText"/>
      </w:pPr>
      <w:r w:rsidRPr="00442592">
        <w:t>The PBAC previously noted numerous issues with the data presented to support the restricted second line listing of romosozumab including the lack of comparative data in patients with prior anti-resorptive therapy and lack of comparative data on residual effectiveness with and without subsequent anti-resorptive therapy (para 7.3, romosozumab PSD, November 2018 PBAC meeting</w:t>
      </w:r>
      <w:r w:rsidRPr="005E2E4D">
        <w:t xml:space="preserve">). </w:t>
      </w:r>
      <w:r w:rsidR="009C7EA1" w:rsidRPr="005E2E4D">
        <w:t>The ESC noted that</w:t>
      </w:r>
      <w:r w:rsidR="009C7EA1">
        <w:rPr>
          <w:i/>
          <w:iCs/>
        </w:rPr>
        <w:t xml:space="preserve"> </w:t>
      </w:r>
      <w:r w:rsidR="009C7EA1">
        <w:t>n</w:t>
      </w:r>
      <w:r w:rsidRPr="00442592">
        <w:t xml:space="preserve">o new data were presented in the current resubmission to address these concerns or support the expanded use of romosozumab in the second line setting.  </w:t>
      </w:r>
    </w:p>
    <w:p w14:paraId="0B76CA15" w14:textId="64B2DAF8" w:rsidR="0071235D" w:rsidRPr="005E2E4D" w:rsidRDefault="002C7775" w:rsidP="00F9393E">
      <w:pPr>
        <w:pStyle w:val="ExecSumBodyText"/>
      </w:pPr>
      <w:r w:rsidRPr="00442592">
        <w:t xml:space="preserve">For </w:t>
      </w:r>
      <w:r w:rsidRPr="00442592">
        <w:rPr>
          <w:u w:val="single"/>
        </w:rPr>
        <w:t>continuing treatment</w:t>
      </w:r>
      <w:r w:rsidRPr="00442592">
        <w:t>, t</w:t>
      </w:r>
      <w:r w:rsidR="0071235D" w:rsidRPr="00442592">
        <w:t xml:space="preserve">he resubmission proposed allowing general practitioner prescribing. </w:t>
      </w:r>
      <w:r w:rsidR="00851582" w:rsidRPr="00442592">
        <w:t>The PBAC previously raised concerns regarding the need to transition to anti-resorptive therapies after</w:t>
      </w:r>
      <w:r w:rsidR="0017364B" w:rsidRPr="00442592">
        <w:t xml:space="preserve"> </w:t>
      </w:r>
      <w:r w:rsidR="00851582" w:rsidRPr="00442592">
        <w:t>romosozumab,</w:t>
      </w:r>
      <w:r w:rsidR="00400B3F" w:rsidRPr="00442592">
        <w:t xml:space="preserve"> the</w:t>
      </w:r>
      <w:r w:rsidR="00851582" w:rsidRPr="00442592">
        <w:t xml:space="preserve"> cardiovascular risk associated with romosozumab, and uncertainties regarding the size of the eligible population and potentially substantial market expansion (in the second line setting). </w:t>
      </w:r>
      <w:r w:rsidR="006F470D">
        <w:t>In March 2020, t</w:t>
      </w:r>
      <w:r w:rsidR="00851582" w:rsidRPr="00442592">
        <w:t>he PBAC considered that restricting prescribing to Specialists</w:t>
      </w:r>
      <w:r w:rsidR="009D3965" w:rsidRPr="00442592">
        <w:t>/</w:t>
      </w:r>
      <w:r w:rsidR="00851582" w:rsidRPr="00442592">
        <w:t xml:space="preserve">Consultant Physicians would reduce concerns regarding these risks. </w:t>
      </w:r>
      <w:r w:rsidR="00CF6F3C">
        <w:t>At that meeting</w:t>
      </w:r>
      <w:r w:rsidR="006F470D">
        <w:t xml:space="preserve"> t</w:t>
      </w:r>
      <w:r w:rsidR="00851582" w:rsidRPr="00442592">
        <w:t xml:space="preserve">he PBAC </w:t>
      </w:r>
      <w:r w:rsidR="006F470D">
        <w:t xml:space="preserve">also </w:t>
      </w:r>
      <w:r w:rsidR="00851582" w:rsidRPr="00442592">
        <w:t xml:space="preserve">considered that the utilisation of anti-resorptive therapy following cessation of romosozumab should be reviewed to investigate the success of </w:t>
      </w:r>
      <w:r w:rsidR="00E3081D" w:rsidRPr="00442592">
        <w:t>treatment transition</w:t>
      </w:r>
      <w:r w:rsidR="00400B3F" w:rsidRPr="00442592">
        <w:t xml:space="preserve"> (</w:t>
      </w:r>
      <w:r w:rsidR="00851582" w:rsidRPr="00442592">
        <w:t xml:space="preserve">para 7.6, 7.9 and 7.13, romosozumab PSD, March 2020 PBAC meeting). </w:t>
      </w:r>
      <w:r w:rsidR="009C7EA1" w:rsidRPr="005E2E4D">
        <w:t xml:space="preserve">The ESC considered </w:t>
      </w:r>
      <w:r w:rsidR="004A38A4" w:rsidRPr="005E2E4D">
        <w:t>the effectiveness of ongoing monitoring of the cardiovascular risk associated with romosozumab would not be reduced by general practitioner prescribing. However, the ESC noted n</w:t>
      </w:r>
      <w:r w:rsidR="00851582" w:rsidRPr="005E2E4D">
        <w:t>o new data were presented in the resubmission in support of successful patient transitions to anti-resorptives after romosozumab treatment.</w:t>
      </w:r>
      <w:r w:rsidR="004A38A4" w:rsidRPr="005E2E4D">
        <w:t xml:space="preserve"> </w:t>
      </w:r>
    </w:p>
    <w:p w14:paraId="2FE1FECA" w14:textId="0A652464" w:rsidR="004A38A4" w:rsidRPr="005E2E4D" w:rsidRDefault="004A38A4" w:rsidP="00F9393E">
      <w:pPr>
        <w:pStyle w:val="ExecSumBodyText"/>
      </w:pPr>
      <w:r w:rsidRPr="00442592">
        <w:t xml:space="preserve">For </w:t>
      </w:r>
      <w:r w:rsidRPr="004B3DFE">
        <w:t>continuing treatment</w:t>
      </w:r>
      <w:r w:rsidRPr="00442592">
        <w:t xml:space="preserve">, the resubmission </w:t>
      </w:r>
      <w:r>
        <w:t>also proposed</w:t>
      </w:r>
      <w:r w:rsidRPr="00442592">
        <w:t xml:space="preserve"> changing the restriction level to Streamlined Authority</w:t>
      </w:r>
      <w:r>
        <w:t xml:space="preserve">. </w:t>
      </w:r>
      <w:r w:rsidRPr="005E2E4D">
        <w:rPr>
          <w:rFonts w:eastAsia="Batang"/>
          <w:lang w:eastAsia="ko-KR"/>
        </w:rPr>
        <w:t>The ESC considered an Authority Required (telephone/online PBS Authorities system) listing may be more appropriate for both initial and continuing treatment restrictions to allow compliance with the requirement for a lifetime maximum of 12 months therapy to be checked by Services Australia.</w:t>
      </w:r>
    </w:p>
    <w:p w14:paraId="3DA40065" w14:textId="17663705" w:rsidR="003A323F" w:rsidRDefault="003A323F" w:rsidP="00F9393E">
      <w:pPr>
        <w:pStyle w:val="ExecSumBodyText"/>
      </w:pPr>
      <w:r w:rsidRPr="00442592">
        <w:t xml:space="preserve">The resubmission requested </w:t>
      </w:r>
      <w:r w:rsidRPr="00442592">
        <w:rPr>
          <w:u w:val="single"/>
        </w:rPr>
        <w:t>grandfathering</w:t>
      </w:r>
      <w:r w:rsidRPr="00442592">
        <w:t xml:space="preserve"> provisions for patients meeting the proposed clinical criteria for the first line and expanded second line listings. </w:t>
      </w:r>
      <w:r w:rsidR="00B67434">
        <w:t>The pre-PBAC response estimated that around</w:t>
      </w:r>
      <w:r w:rsidR="007E39C0">
        <w:t xml:space="preserve"> </w:t>
      </w:r>
      <w:r w:rsidR="007E39C0" w:rsidRPr="007E39C0">
        <w:t>&lt; 500</w:t>
      </w:r>
      <w:r w:rsidR="00B67434">
        <w:t xml:space="preserve"> patients are currently privately funding romosozumab</w:t>
      </w:r>
      <w:r w:rsidR="005731FE">
        <w:t xml:space="preserve"> and anticipated the number would increase to approximately</w:t>
      </w:r>
      <w:r w:rsidR="007E39C0">
        <w:t xml:space="preserve"> </w:t>
      </w:r>
      <w:r w:rsidR="007E39C0" w:rsidRPr="007E39C0">
        <w:t xml:space="preserve">500 to </w:t>
      </w:r>
      <w:r w:rsidR="007E39C0">
        <w:br/>
      </w:r>
      <w:r w:rsidR="007E39C0" w:rsidRPr="007E39C0">
        <w:t>&lt; 5,000</w:t>
      </w:r>
      <w:r w:rsidR="005731FE">
        <w:t xml:space="preserve"> patients by 2023 with the introduction of a shared cost program by the sponsor. </w:t>
      </w:r>
      <w:r w:rsidR="00B67434">
        <w:t xml:space="preserve"> </w:t>
      </w:r>
    </w:p>
    <w:p w14:paraId="23321831" w14:textId="1C12BD4B" w:rsidR="00F2109D" w:rsidRPr="00F2109D" w:rsidRDefault="00F2109D" w:rsidP="00F2109D">
      <w:pPr>
        <w:pStyle w:val="ExecSumBodyText"/>
        <w:numPr>
          <w:ilvl w:val="0"/>
          <w:numId w:val="0"/>
        </w:numPr>
        <w:ind w:left="720"/>
        <w:rPr>
          <w:i/>
          <w:iCs/>
        </w:rPr>
      </w:pPr>
      <w:r w:rsidRPr="00F2109D">
        <w:rPr>
          <w:i/>
          <w:iCs/>
        </w:rPr>
        <w:t>For more detail on PBAC’s view, see section 7 PBAC outcome.</w:t>
      </w:r>
    </w:p>
    <w:p w14:paraId="7075B85C" w14:textId="1655A25A" w:rsidR="00B50DB8" w:rsidRPr="00262BDA" w:rsidRDefault="00203181" w:rsidP="004E18E9">
      <w:pPr>
        <w:pStyle w:val="2-SectionHeading"/>
      </w:pPr>
      <w:bookmarkStart w:id="10" w:name="_Toc103610470"/>
      <w:r w:rsidRPr="00262BDA">
        <w:t xml:space="preserve">Population and </w:t>
      </w:r>
      <w:r w:rsidR="008E0D3C" w:rsidRPr="00262BDA">
        <w:t>d</w:t>
      </w:r>
      <w:r w:rsidRPr="00262BDA">
        <w:t>isease</w:t>
      </w:r>
      <w:bookmarkEnd w:id="10"/>
    </w:p>
    <w:p w14:paraId="34F9A011" w14:textId="091EE8CA" w:rsidR="002C2775" w:rsidRDefault="00F37D60" w:rsidP="003406B4">
      <w:pPr>
        <w:pStyle w:val="ExecSumBodyText"/>
      </w:pPr>
      <w:r w:rsidRPr="00F37D60">
        <w:t xml:space="preserve">Osteoporosis is a condition that occurs when the bones lose minerals more quickly than the body can replace them, leading to enhanced bone fragility (due to reduced bone mass and micro-architectural deterioration of bone tissue) and consequent increase in fracture risk. Loss of bone strength occurs gradually over many years and </w:t>
      </w:r>
      <w:r w:rsidR="00E14E31">
        <w:t xml:space="preserve">is </w:t>
      </w:r>
      <w:r w:rsidRPr="00F37D60">
        <w:t>usually symptom</w:t>
      </w:r>
      <w:r w:rsidR="00E14E31">
        <w:t>-free</w:t>
      </w:r>
      <w:r w:rsidRPr="00F37D60">
        <w:t xml:space="preserve">. The most common fractures occur at the hip, spine and wrist and can lead to increased mortality, long-lasting pain, reduced mobility and disability. </w:t>
      </w:r>
    </w:p>
    <w:p w14:paraId="6D95C49E" w14:textId="0D20104F" w:rsidR="0083319D" w:rsidRDefault="00DD0048" w:rsidP="003406B4">
      <w:pPr>
        <w:pStyle w:val="ExecSumBodyText"/>
      </w:pPr>
      <w:r>
        <w:t>F</w:t>
      </w:r>
      <w:r w:rsidR="0083319D" w:rsidRPr="0083319D">
        <w:t>our mutually exclusive subgroups</w:t>
      </w:r>
      <w:r>
        <w:rPr>
          <w:rStyle w:val="CommentReference"/>
          <w:snapToGrid/>
        </w:rPr>
        <w:t xml:space="preserve"> </w:t>
      </w:r>
      <w:r w:rsidRPr="00BF7FAF">
        <w:rPr>
          <w:bCs/>
        </w:rPr>
        <w:t>a</w:t>
      </w:r>
      <w:r>
        <w:t xml:space="preserve">re </w:t>
      </w:r>
      <w:r w:rsidR="0083319D" w:rsidRPr="0083319D">
        <w:t>being targeted</w:t>
      </w:r>
      <w:r>
        <w:rPr>
          <w:rStyle w:val="CommentReference"/>
          <w:snapToGrid/>
        </w:rPr>
        <w:t xml:space="preserve"> i</w:t>
      </w:r>
      <w:r w:rsidR="0083319D" w:rsidRPr="0083319D">
        <w:t>n</w:t>
      </w:r>
      <w:r>
        <w:t xml:space="preserve"> the resubmission in</w:t>
      </w:r>
      <w:r w:rsidR="0083319D" w:rsidRPr="0083319D">
        <w:t xml:space="preserve"> addition to the population eligible under the current PBS restriction</w:t>
      </w:r>
      <w:r w:rsidR="0081041F">
        <w:t xml:space="preserve">. </w:t>
      </w:r>
      <w:r w:rsidR="000D3C67">
        <w:t xml:space="preserve">The definition of each subgroup informing </w:t>
      </w:r>
      <w:r w:rsidR="0081041F">
        <w:t>the clinical</w:t>
      </w:r>
      <w:r w:rsidR="00556EBA">
        <w:t xml:space="preserve"> evidence</w:t>
      </w:r>
      <w:r w:rsidR="0081041F">
        <w:t>, economic</w:t>
      </w:r>
      <w:r w:rsidR="00556EBA">
        <w:t xml:space="preserve"> model</w:t>
      </w:r>
      <w:r w:rsidR="0081041F">
        <w:t xml:space="preserve"> and financial </w:t>
      </w:r>
      <w:r w:rsidR="00556EBA">
        <w:t>estimates</w:t>
      </w:r>
      <w:r w:rsidR="0081041F">
        <w:t xml:space="preserve"> </w:t>
      </w:r>
      <w:r w:rsidR="00556EBA">
        <w:t>in</w:t>
      </w:r>
      <w:r w:rsidR="0081041F">
        <w:t xml:space="preserve"> the resubmission </w:t>
      </w:r>
      <w:r w:rsidR="00D73045">
        <w:t xml:space="preserve">are compared in the table below. </w:t>
      </w:r>
    </w:p>
    <w:p w14:paraId="24E991D4" w14:textId="28F9FCB5" w:rsidR="002D7A49" w:rsidRDefault="002D7A49" w:rsidP="002D7A49">
      <w:pPr>
        <w:pStyle w:val="TableFigureCaption"/>
      </w:pPr>
      <w:bookmarkStart w:id="11" w:name="_Ref101858750"/>
      <w:r>
        <w:t xml:space="preserve">Table </w:t>
      </w:r>
      <w:fldSimple w:instr=" SEQ Table \* ARABIC ">
        <w:r w:rsidR="00016A98">
          <w:rPr>
            <w:noProof/>
          </w:rPr>
          <w:t>3</w:t>
        </w:r>
      </w:fldSimple>
      <w:bookmarkEnd w:id="11"/>
      <w:r>
        <w:t>: Subgroup definitions used in the resubmission</w:t>
      </w:r>
    </w:p>
    <w:tbl>
      <w:tblPr>
        <w:tblStyle w:val="TableGrid"/>
        <w:tblW w:w="0" w:type="auto"/>
        <w:tblCellMar>
          <w:left w:w="28" w:type="dxa"/>
          <w:right w:w="28" w:type="dxa"/>
        </w:tblCellMar>
        <w:tblLook w:val="04A0" w:firstRow="1" w:lastRow="0" w:firstColumn="1" w:lastColumn="0" w:noHBand="0" w:noVBand="1"/>
      </w:tblPr>
      <w:tblGrid>
        <w:gridCol w:w="2254"/>
        <w:gridCol w:w="2254"/>
        <w:gridCol w:w="2254"/>
        <w:gridCol w:w="2255"/>
      </w:tblGrid>
      <w:tr w:rsidR="0083319D" w14:paraId="155BC3BD" w14:textId="77777777" w:rsidTr="003406B4">
        <w:tc>
          <w:tcPr>
            <w:tcW w:w="2254" w:type="dxa"/>
            <w:vAlign w:val="center"/>
          </w:tcPr>
          <w:p w14:paraId="3EA2A2E7" w14:textId="77777777" w:rsidR="0083319D" w:rsidRDefault="0083319D" w:rsidP="003406B4">
            <w:pPr>
              <w:pStyle w:val="Tabletext0"/>
              <w:keepNext/>
            </w:pPr>
            <w:r w:rsidRPr="00DA26EF">
              <w:rPr>
                <w:b/>
              </w:rPr>
              <w:t>Restriction</w:t>
            </w:r>
          </w:p>
        </w:tc>
        <w:tc>
          <w:tcPr>
            <w:tcW w:w="2254" w:type="dxa"/>
            <w:vAlign w:val="center"/>
          </w:tcPr>
          <w:p w14:paraId="00504061" w14:textId="77777777" w:rsidR="0083319D" w:rsidRDefault="0083319D" w:rsidP="003406B4">
            <w:pPr>
              <w:pStyle w:val="Tabletext0"/>
              <w:keepNext/>
            </w:pPr>
            <w:r>
              <w:rPr>
                <w:b/>
              </w:rPr>
              <w:t>Clinical</w:t>
            </w:r>
          </w:p>
        </w:tc>
        <w:tc>
          <w:tcPr>
            <w:tcW w:w="2254" w:type="dxa"/>
            <w:vAlign w:val="center"/>
          </w:tcPr>
          <w:p w14:paraId="21C26F27" w14:textId="77777777" w:rsidR="0083319D" w:rsidRDefault="0083319D" w:rsidP="003406B4">
            <w:pPr>
              <w:pStyle w:val="Tabletext0"/>
              <w:keepNext/>
            </w:pPr>
            <w:r w:rsidRPr="00DA26EF">
              <w:rPr>
                <w:b/>
              </w:rPr>
              <w:t>Economic model</w:t>
            </w:r>
          </w:p>
        </w:tc>
        <w:tc>
          <w:tcPr>
            <w:tcW w:w="2255" w:type="dxa"/>
            <w:vAlign w:val="center"/>
          </w:tcPr>
          <w:p w14:paraId="3B2F0190" w14:textId="77777777" w:rsidR="0083319D" w:rsidRDefault="0083319D" w:rsidP="003406B4">
            <w:pPr>
              <w:pStyle w:val="Tabletext0"/>
              <w:keepNext/>
            </w:pPr>
            <w:r w:rsidRPr="00DA26EF">
              <w:rPr>
                <w:b/>
              </w:rPr>
              <w:t>Budget impact</w:t>
            </w:r>
          </w:p>
        </w:tc>
      </w:tr>
      <w:tr w:rsidR="0083319D" w14:paraId="0FC0E653" w14:textId="77777777" w:rsidTr="003406B4">
        <w:tc>
          <w:tcPr>
            <w:tcW w:w="9017" w:type="dxa"/>
            <w:gridSpan w:val="4"/>
            <w:vAlign w:val="center"/>
          </w:tcPr>
          <w:p w14:paraId="7C70D5A4" w14:textId="77777777" w:rsidR="0083319D" w:rsidRDefault="0083319D" w:rsidP="003406B4">
            <w:pPr>
              <w:pStyle w:val="Tabletext0"/>
              <w:keepNext/>
            </w:pPr>
            <w:r>
              <w:rPr>
                <w:b/>
              </w:rPr>
              <w:t>First line setting</w:t>
            </w:r>
          </w:p>
        </w:tc>
      </w:tr>
      <w:tr w:rsidR="0083319D" w14:paraId="5558CC8A" w14:textId="77777777" w:rsidTr="003406B4">
        <w:trPr>
          <w:trHeight w:val="2634"/>
        </w:trPr>
        <w:tc>
          <w:tcPr>
            <w:tcW w:w="2254" w:type="dxa"/>
            <w:vAlign w:val="center"/>
          </w:tcPr>
          <w:p w14:paraId="7650A76F" w14:textId="77777777" w:rsidR="0083319D" w:rsidRDefault="0083319D" w:rsidP="003406B4">
            <w:pPr>
              <w:pStyle w:val="TableText"/>
            </w:pPr>
            <w:r>
              <w:t>≥1 hip or clinical vertebral fracture in the previous 24 months,</w:t>
            </w:r>
          </w:p>
          <w:p w14:paraId="0F3450C0" w14:textId="77777777" w:rsidR="0083319D" w:rsidRDefault="0083319D" w:rsidP="003406B4">
            <w:pPr>
              <w:pStyle w:val="TableText"/>
            </w:pPr>
            <w:r>
              <w:t>AND</w:t>
            </w:r>
          </w:p>
          <w:p w14:paraId="650AA04D" w14:textId="49D2D0A0" w:rsidR="0083319D" w:rsidRDefault="0083319D" w:rsidP="003406B4">
            <w:pPr>
              <w:pStyle w:val="TableText"/>
            </w:pPr>
            <w:r>
              <w:t>BMD T-score ≤</w:t>
            </w:r>
            <w:r w:rsidR="00A11377">
              <w:t> </w:t>
            </w:r>
            <w:r>
              <w:t>-2.5,</w:t>
            </w:r>
          </w:p>
          <w:p w14:paraId="63B49FE8" w14:textId="77777777" w:rsidR="0083319D" w:rsidRDefault="0083319D" w:rsidP="003406B4">
            <w:pPr>
              <w:pStyle w:val="TableText"/>
            </w:pPr>
            <w:r>
              <w:t>AND</w:t>
            </w:r>
          </w:p>
          <w:p w14:paraId="236783BD" w14:textId="77777777" w:rsidR="0083319D" w:rsidRDefault="0083319D" w:rsidP="003406B4">
            <w:pPr>
              <w:pStyle w:val="Tabletext0"/>
              <w:keepNext/>
            </w:pPr>
            <w:r>
              <w:t>Received &lt;12 months anti-resorptive therapy</w:t>
            </w:r>
          </w:p>
        </w:tc>
        <w:tc>
          <w:tcPr>
            <w:tcW w:w="2254" w:type="dxa"/>
            <w:vMerge w:val="restart"/>
            <w:vAlign w:val="center"/>
          </w:tcPr>
          <w:p w14:paraId="5535B82F" w14:textId="77777777" w:rsidR="0083319D" w:rsidRDefault="0083319D" w:rsidP="003406B4">
            <w:pPr>
              <w:pStyle w:val="Tabletext0"/>
              <w:keepNext/>
            </w:pPr>
            <w:r>
              <w:t>Based on ARCH trial ITT population with single/multiple fractures at varying BMD thresholds (defined below) who were predominantly treatment naïve</w:t>
            </w:r>
          </w:p>
          <w:p w14:paraId="08E7CAB4" w14:textId="77777777" w:rsidR="0083319D" w:rsidRDefault="0083319D" w:rsidP="003406B4">
            <w:pPr>
              <w:pStyle w:val="Tabletext0"/>
              <w:keepNext/>
            </w:pPr>
          </w:p>
          <w:p w14:paraId="3F5816E2" w14:textId="77777777" w:rsidR="0083319D" w:rsidRPr="00396D82" w:rsidRDefault="0083319D" w:rsidP="003406B4">
            <w:pPr>
              <w:pStyle w:val="Tabletext0"/>
              <w:keepNext/>
              <w:rPr>
                <w:u w:val="single"/>
              </w:rPr>
            </w:pPr>
            <w:r>
              <w:rPr>
                <w:u w:val="single"/>
              </w:rPr>
              <w:t>At least one fracture</w:t>
            </w:r>
          </w:p>
          <w:p w14:paraId="3172BE7C" w14:textId="4BBC2B6F" w:rsidR="0083319D" w:rsidRDefault="0083319D" w:rsidP="003406B4">
            <w:pPr>
              <w:pStyle w:val="Tabletext0"/>
              <w:keepNext/>
            </w:pPr>
            <w:r>
              <w:t>BMD T-score ≤</w:t>
            </w:r>
            <w:r w:rsidR="00A11377">
              <w:t> </w:t>
            </w:r>
            <w:r>
              <w:t>-2.5, and ≥1 moderate or severe vertebral fracture</w:t>
            </w:r>
          </w:p>
          <w:p w14:paraId="1A02617B" w14:textId="77777777" w:rsidR="0083319D" w:rsidRDefault="0083319D" w:rsidP="003406B4">
            <w:pPr>
              <w:pStyle w:val="Tabletext0"/>
              <w:keepNext/>
            </w:pPr>
            <w:r>
              <w:t>OR</w:t>
            </w:r>
          </w:p>
          <w:p w14:paraId="68627BA1" w14:textId="0CDB15C6" w:rsidR="0083319D" w:rsidRDefault="0083319D" w:rsidP="003406B4">
            <w:pPr>
              <w:pStyle w:val="Tabletext0"/>
              <w:keepNext/>
            </w:pPr>
            <w:r>
              <w:t>BMD T-score ≤</w:t>
            </w:r>
            <w:r w:rsidR="00A11377">
              <w:t> </w:t>
            </w:r>
            <w:r>
              <w:t>-2.0, and ≥1 fracture of the proximal femur that occurred within 3 to 24 months prior to randomisation</w:t>
            </w:r>
          </w:p>
          <w:p w14:paraId="252DC86D" w14:textId="77777777" w:rsidR="0083319D" w:rsidRDefault="0083319D" w:rsidP="003406B4">
            <w:pPr>
              <w:pStyle w:val="TableText"/>
              <w:rPr>
                <w:bCs w:val="0"/>
              </w:rPr>
            </w:pPr>
          </w:p>
          <w:p w14:paraId="686EB784" w14:textId="77777777" w:rsidR="0083319D" w:rsidRPr="00396D82" w:rsidRDefault="0083319D" w:rsidP="003406B4">
            <w:pPr>
              <w:pStyle w:val="TableText"/>
              <w:rPr>
                <w:bCs w:val="0"/>
                <w:u w:val="single"/>
              </w:rPr>
            </w:pPr>
            <w:r>
              <w:rPr>
                <w:bCs w:val="0"/>
                <w:u w:val="single"/>
              </w:rPr>
              <w:t>Multiple fractures</w:t>
            </w:r>
          </w:p>
          <w:p w14:paraId="7A832C73" w14:textId="4BDEF53E" w:rsidR="0083319D" w:rsidRDefault="0083319D" w:rsidP="003406B4">
            <w:pPr>
              <w:pStyle w:val="TableText"/>
            </w:pPr>
            <w:r>
              <w:t>BMD T-score ≤</w:t>
            </w:r>
            <w:r w:rsidR="00A11377">
              <w:t> </w:t>
            </w:r>
            <w:r>
              <w:t>-2.5, and ≥2 mild vertebral fractures</w:t>
            </w:r>
          </w:p>
          <w:p w14:paraId="154D2E64" w14:textId="77777777" w:rsidR="0083319D" w:rsidRDefault="0083319D" w:rsidP="003406B4">
            <w:pPr>
              <w:pStyle w:val="TableText"/>
            </w:pPr>
            <w:r>
              <w:t>OR</w:t>
            </w:r>
          </w:p>
          <w:p w14:paraId="4CF97A7C" w14:textId="43731AB9" w:rsidR="0083319D" w:rsidRDefault="0083319D" w:rsidP="003406B4">
            <w:pPr>
              <w:pStyle w:val="Tabletext0"/>
              <w:keepNext/>
            </w:pPr>
            <w:r>
              <w:t>BMD T-score ≤</w:t>
            </w:r>
            <w:r w:rsidR="00A11377">
              <w:t> </w:t>
            </w:r>
            <w:r>
              <w:t>-2.0, and ≥2 moderate or severe vertebral fractures</w:t>
            </w:r>
          </w:p>
        </w:tc>
        <w:tc>
          <w:tcPr>
            <w:tcW w:w="2254" w:type="dxa"/>
            <w:vMerge w:val="restart"/>
            <w:vAlign w:val="center"/>
          </w:tcPr>
          <w:p w14:paraId="19DCBDD1" w14:textId="77777777" w:rsidR="0083319D" w:rsidRDefault="0083319D" w:rsidP="003406B4">
            <w:pPr>
              <w:pStyle w:val="Tabletext0"/>
              <w:keepNext/>
            </w:pPr>
            <w:r>
              <w:t>Based on ARCH trial ITT population with single/multiple fractures at varying BMD thresholds who were predominantly treatment naïve</w:t>
            </w:r>
          </w:p>
          <w:p w14:paraId="446ABB70" w14:textId="77777777" w:rsidR="0083319D" w:rsidRDefault="0083319D" w:rsidP="003406B4">
            <w:pPr>
              <w:pStyle w:val="TableText"/>
            </w:pPr>
          </w:p>
        </w:tc>
        <w:tc>
          <w:tcPr>
            <w:tcW w:w="2255" w:type="dxa"/>
            <w:vMerge w:val="restart"/>
            <w:vAlign w:val="center"/>
          </w:tcPr>
          <w:p w14:paraId="4DA5A096" w14:textId="77777777" w:rsidR="0083319D" w:rsidRDefault="0083319D" w:rsidP="003406B4">
            <w:pPr>
              <w:pStyle w:val="TableText"/>
            </w:pPr>
            <w:r>
              <w:t>Treated osteoporosis patients,</w:t>
            </w:r>
          </w:p>
          <w:p w14:paraId="660E7FB8" w14:textId="77777777" w:rsidR="0083319D" w:rsidRDefault="0083319D" w:rsidP="003406B4">
            <w:pPr>
              <w:pStyle w:val="TableText"/>
            </w:pPr>
            <w:r>
              <w:t>AND</w:t>
            </w:r>
          </w:p>
          <w:p w14:paraId="55469EE4" w14:textId="77777777" w:rsidR="0083319D" w:rsidRDefault="0083319D" w:rsidP="003406B4">
            <w:pPr>
              <w:pStyle w:val="TableText"/>
            </w:pPr>
            <w:r>
              <w:t>Received &lt;12 months continuous anti-resorptive therapy,</w:t>
            </w:r>
          </w:p>
          <w:p w14:paraId="114A83FF" w14:textId="77777777" w:rsidR="0083319D" w:rsidRDefault="0083319D" w:rsidP="003406B4">
            <w:pPr>
              <w:pStyle w:val="TableText"/>
            </w:pPr>
            <w:r>
              <w:t>AND</w:t>
            </w:r>
          </w:p>
          <w:p w14:paraId="72B68814" w14:textId="77777777" w:rsidR="0083319D" w:rsidRDefault="0083319D" w:rsidP="003406B4">
            <w:pPr>
              <w:pStyle w:val="TableText"/>
            </w:pPr>
            <w:r>
              <w:t>With prevalent fracture,</w:t>
            </w:r>
          </w:p>
          <w:p w14:paraId="5F8F5B2E" w14:textId="77777777" w:rsidR="0083319D" w:rsidRDefault="0083319D" w:rsidP="003406B4">
            <w:pPr>
              <w:pStyle w:val="TableText"/>
            </w:pPr>
            <w:r>
              <w:t>AND</w:t>
            </w:r>
          </w:p>
          <w:p w14:paraId="19A9CD8D" w14:textId="0E1AF68E" w:rsidR="0083319D" w:rsidRDefault="0083319D" w:rsidP="003406B4">
            <w:pPr>
              <w:pStyle w:val="TableText"/>
            </w:pPr>
            <w:r>
              <w:t>BMD T-score ≤</w:t>
            </w:r>
            <w:r w:rsidR="00A11377">
              <w:t> </w:t>
            </w:r>
            <w:r>
              <w:t>-2.5,</w:t>
            </w:r>
          </w:p>
          <w:p w14:paraId="223F6BE6" w14:textId="77777777" w:rsidR="0083319D" w:rsidRDefault="0083319D" w:rsidP="003406B4">
            <w:pPr>
              <w:pStyle w:val="TableText"/>
            </w:pPr>
            <w:r>
              <w:t>AND</w:t>
            </w:r>
          </w:p>
          <w:p w14:paraId="761B0994" w14:textId="77777777" w:rsidR="0083319D" w:rsidRDefault="0083319D" w:rsidP="003406B4">
            <w:pPr>
              <w:pStyle w:val="TableText"/>
            </w:pPr>
            <w:r>
              <w:t>Multiple clinical fractures or single hip/vertebral fracture</w:t>
            </w:r>
          </w:p>
          <w:p w14:paraId="064B675C" w14:textId="77777777" w:rsidR="0083319D" w:rsidRDefault="0083319D" w:rsidP="003406B4">
            <w:pPr>
              <w:jc w:val="left"/>
              <w:rPr>
                <w:rFonts w:ascii="Arial Narrow" w:hAnsi="Arial Narrow" w:cs="Times New Roman"/>
                <w:sz w:val="20"/>
                <w:szCs w:val="22"/>
                <w:lang w:eastAsia="en-US"/>
              </w:rPr>
            </w:pPr>
          </w:p>
          <w:p w14:paraId="15C8D9D0" w14:textId="77777777" w:rsidR="0083319D" w:rsidRPr="00A8249E" w:rsidRDefault="0083319D" w:rsidP="003406B4">
            <w:pPr>
              <w:jc w:val="left"/>
              <w:rPr>
                <w:lang w:eastAsia="en-US"/>
              </w:rPr>
            </w:pPr>
          </w:p>
        </w:tc>
      </w:tr>
      <w:tr w:rsidR="0083319D" w14:paraId="5450AD38" w14:textId="77777777" w:rsidTr="003406B4">
        <w:trPr>
          <w:trHeight w:val="2634"/>
        </w:trPr>
        <w:tc>
          <w:tcPr>
            <w:tcW w:w="2254" w:type="dxa"/>
            <w:vAlign w:val="center"/>
          </w:tcPr>
          <w:p w14:paraId="4AABAB04" w14:textId="77777777" w:rsidR="0083319D" w:rsidRDefault="0083319D" w:rsidP="003406B4">
            <w:pPr>
              <w:pStyle w:val="TableText"/>
            </w:pPr>
            <w:r>
              <w:t>Multiple clinical fractures including 1 in the previous 24 months,</w:t>
            </w:r>
          </w:p>
          <w:p w14:paraId="36CC8CF9" w14:textId="77777777" w:rsidR="0083319D" w:rsidRDefault="0083319D" w:rsidP="003406B4">
            <w:pPr>
              <w:pStyle w:val="TableText"/>
            </w:pPr>
            <w:r>
              <w:t>AND</w:t>
            </w:r>
          </w:p>
          <w:p w14:paraId="60490219" w14:textId="379A5A39" w:rsidR="0083319D" w:rsidRDefault="0083319D" w:rsidP="003406B4">
            <w:pPr>
              <w:pStyle w:val="TableText"/>
            </w:pPr>
            <w:r>
              <w:t>BMD T-score ≤</w:t>
            </w:r>
            <w:r w:rsidR="00A11377">
              <w:t> </w:t>
            </w:r>
            <w:r>
              <w:t>-2.5,</w:t>
            </w:r>
          </w:p>
          <w:p w14:paraId="6BE26A85" w14:textId="77777777" w:rsidR="0083319D" w:rsidRDefault="0083319D" w:rsidP="003406B4">
            <w:pPr>
              <w:pStyle w:val="TableText"/>
            </w:pPr>
            <w:r>
              <w:t>AND</w:t>
            </w:r>
          </w:p>
          <w:p w14:paraId="681D70AB" w14:textId="77777777" w:rsidR="0083319D" w:rsidRDefault="0083319D" w:rsidP="003406B4">
            <w:pPr>
              <w:pStyle w:val="Tabletext0"/>
              <w:keepNext/>
            </w:pPr>
            <w:r>
              <w:t>Received &lt;12 months anti-resorptive therapy</w:t>
            </w:r>
          </w:p>
        </w:tc>
        <w:tc>
          <w:tcPr>
            <w:tcW w:w="2254" w:type="dxa"/>
            <w:vMerge/>
            <w:vAlign w:val="center"/>
          </w:tcPr>
          <w:p w14:paraId="4C782FCE" w14:textId="77777777" w:rsidR="0083319D" w:rsidRDefault="0083319D" w:rsidP="003406B4">
            <w:pPr>
              <w:pStyle w:val="Tabletext0"/>
              <w:keepNext/>
            </w:pPr>
          </w:p>
        </w:tc>
        <w:tc>
          <w:tcPr>
            <w:tcW w:w="2254" w:type="dxa"/>
            <w:vMerge/>
            <w:vAlign w:val="center"/>
          </w:tcPr>
          <w:p w14:paraId="39CEC9F4" w14:textId="77777777" w:rsidR="0083319D" w:rsidRDefault="0083319D" w:rsidP="003406B4">
            <w:pPr>
              <w:pStyle w:val="Tabletext0"/>
              <w:keepNext/>
            </w:pPr>
          </w:p>
        </w:tc>
        <w:tc>
          <w:tcPr>
            <w:tcW w:w="2255" w:type="dxa"/>
            <w:vMerge/>
            <w:vAlign w:val="center"/>
          </w:tcPr>
          <w:p w14:paraId="4D26607E" w14:textId="77777777" w:rsidR="0083319D" w:rsidRDefault="0083319D" w:rsidP="003406B4">
            <w:pPr>
              <w:pStyle w:val="Tabletext0"/>
              <w:keepNext/>
            </w:pPr>
          </w:p>
        </w:tc>
      </w:tr>
      <w:tr w:rsidR="0083319D" w14:paraId="71C7D872" w14:textId="77777777" w:rsidTr="003406B4">
        <w:tc>
          <w:tcPr>
            <w:tcW w:w="9017" w:type="dxa"/>
            <w:gridSpan w:val="4"/>
            <w:vAlign w:val="center"/>
          </w:tcPr>
          <w:p w14:paraId="36122951" w14:textId="77777777" w:rsidR="0083319D" w:rsidRDefault="0083319D" w:rsidP="003406B4">
            <w:pPr>
              <w:pStyle w:val="Tabletext0"/>
              <w:keepNext/>
            </w:pPr>
            <w:r>
              <w:rPr>
                <w:b/>
              </w:rPr>
              <w:t>Second line setting</w:t>
            </w:r>
            <w:r>
              <w:rPr>
                <w:b/>
                <w:bCs/>
              </w:rPr>
              <w:t xml:space="preserve"> (additional requested subpopulations, excluding patients eligible under existing PBS listing)</w:t>
            </w:r>
          </w:p>
        </w:tc>
      </w:tr>
      <w:tr w:rsidR="0083319D" w14:paraId="711D4BE8" w14:textId="77777777" w:rsidTr="003406B4">
        <w:tc>
          <w:tcPr>
            <w:tcW w:w="2254" w:type="dxa"/>
            <w:vAlign w:val="center"/>
          </w:tcPr>
          <w:p w14:paraId="1AC78D52" w14:textId="77777777" w:rsidR="0083319D" w:rsidRDefault="0083319D" w:rsidP="003406B4">
            <w:pPr>
              <w:pStyle w:val="TableText"/>
            </w:pPr>
            <w:r>
              <w:t xml:space="preserve">Multiple minimal trauma fractures including ≥1 symptomatic new fracture after 12 months of anti-resorptive therapy, </w:t>
            </w:r>
          </w:p>
          <w:p w14:paraId="748538A9" w14:textId="77777777" w:rsidR="0083319D" w:rsidRDefault="0083319D" w:rsidP="003406B4">
            <w:pPr>
              <w:pStyle w:val="TableText"/>
            </w:pPr>
            <w:r>
              <w:t xml:space="preserve">AND </w:t>
            </w:r>
          </w:p>
          <w:p w14:paraId="2FA50FA9" w14:textId="77777777" w:rsidR="00A11377" w:rsidRDefault="0083319D" w:rsidP="003406B4">
            <w:pPr>
              <w:pStyle w:val="Tabletext0"/>
              <w:keepNext/>
            </w:pPr>
            <w:r>
              <w:t>BMD T-score ≤</w:t>
            </w:r>
            <w:r w:rsidR="00A11377">
              <w:t> </w:t>
            </w:r>
            <w:r>
              <w:t xml:space="preserve">-2.5 and </w:t>
            </w:r>
          </w:p>
          <w:p w14:paraId="35DB9C3D" w14:textId="41C7F8EA" w:rsidR="0083319D" w:rsidRDefault="0083319D" w:rsidP="003406B4">
            <w:pPr>
              <w:pStyle w:val="Tabletext0"/>
              <w:keepNext/>
            </w:pPr>
            <w:r>
              <w:t>&gt;</w:t>
            </w:r>
            <w:r w:rsidR="00A11377">
              <w:t> </w:t>
            </w:r>
            <w:r>
              <w:t>-3.0</w:t>
            </w:r>
          </w:p>
        </w:tc>
        <w:tc>
          <w:tcPr>
            <w:tcW w:w="2254" w:type="dxa"/>
            <w:vAlign w:val="center"/>
          </w:tcPr>
          <w:p w14:paraId="450598EA" w14:textId="77777777" w:rsidR="0083319D" w:rsidRPr="00442592" w:rsidRDefault="0083319D" w:rsidP="003406B4">
            <w:pPr>
              <w:pStyle w:val="Tabletext0"/>
              <w:keepNext/>
            </w:pPr>
            <w:r w:rsidRPr="00442592">
              <w:t>No data</w:t>
            </w:r>
          </w:p>
        </w:tc>
        <w:tc>
          <w:tcPr>
            <w:tcW w:w="2254" w:type="dxa"/>
            <w:vAlign w:val="center"/>
          </w:tcPr>
          <w:p w14:paraId="02C8312A" w14:textId="77777777" w:rsidR="0083319D" w:rsidRPr="00442592" w:rsidRDefault="0083319D" w:rsidP="003406B4">
            <w:pPr>
              <w:pStyle w:val="Tabletext0"/>
              <w:keepNext/>
            </w:pPr>
            <w:r w:rsidRPr="00442592">
              <w:t>Not modelled</w:t>
            </w:r>
          </w:p>
        </w:tc>
        <w:tc>
          <w:tcPr>
            <w:tcW w:w="2255" w:type="dxa"/>
            <w:vAlign w:val="center"/>
          </w:tcPr>
          <w:p w14:paraId="5512B7CD" w14:textId="77777777" w:rsidR="0083319D" w:rsidRDefault="0083319D" w:rsidP="003406B4">
            <w:pPr>
              <w:pStyle w:val="TableText"/>
            </w:pPr>
            <w:r>
              <w:t>Treated osteoporosis patients,</w:t>
            </w:r>
          </w:p>
          <w:p w14:paraId="4A221F5F" w14:textId="77777777" w:rsidR="0083319D" w:rsidRDefault="0083319D" w:rsidP="003406B4">
            <w:pPr>
              <w:pStyle w:val="TableText"/>
            </w:pPr>
            <w:r>
              <w:t>AND</w:t>
            </w:r>
          </w:p>
          <w:p w14:paraId="1A1A5F93" w14:textId="77777777" w:rsidR="0083319D" w:rsidRDefault="0083319D" w:rsidP="003406B4">
            <w:pPr>
              <w:pStyle w:val="TableText"/>
            </w:pPr>
            <w:r>
              <w:t>Received ≥12 months continuous anti-resorptive therapy,</w:t>
            </w:r>
          </w:p>
          <w:p w14:paraId="00D138A3" w14:textId="77777777" w:rsidR="0083319D" w:rsidRDefault="0083319D" w:rsidP="003406B4">
            <w:pPr>
              <w:pStyle w:val="TableText"/>
            </w:pPr>
            <w:r>
              <w:t>AND</w:t>
            </w:r>
          </w:p>
          <w:p w14:paraId="75767B76" w14:textId="77777777" w:rsidR="0083319D" w:rsidRDefault="0083319D" w:rsidP="003406B4">
            <w:pPr>
              <w:pStyle w:val="TableText"/>
            </w:pPr>
            <w:r>
              <w:t>With prevalent fracture,</w:t>
            </w:r>
          </w:p>
          <w:p w14:paraId="5D6B4B30" w14:textId="77777777" w:rsidR="0083319D" w:rsidRDefault="0083319D" w:rsidP="003406B4">
            <w:pPr>
              <w:pStyle w:val="TableText"/>
            </w:pPr>
            <w:r>
              <w:t>AND</w:t>
            </w:r>
          </w:p>
          <w:p w14:paraId="7740CCF4" w14:textId="77777777" w:rsidR="00A11377" w:rsidRDefault="0083319D" w:rsidP="003406B4">
            <w:pPr>
              <w:pStyle w:val="TableText"/>
            </w:pPr>
            <w:r>
              <w:t>BMD T-score ≤</w:t>
            </w:r>
            <w:r w:rsidR="00A11377">
              <w:t> </w:t>
            </w:r>
            <w:r>
              <w:t xml:space="preserve">-2.5 and </w:t>
            </w:r>
          </w:p>
          <w:p w14:paraId="78305669" w14:textId="67746482" w:rsidR="0083319D" w:rsidRDefault="0083319D" w:rsidP="003406B4">
            <w:pPr>
              <w:pStyle w:val="TableText"/>
            </w:pPr>
            <w:r>
              <w:t>&gt;</w:t>
            </w:r>
            <w:r w:rsidR="00A11377">
              <w:t> </w:t>
            </w:r>
            <w:r>
              <w:t xml:space="preserve">-3.0, AND </w:t>
            </w:r>
          </w:p>
          <w:p w14:paraId="71700283" w14:textId="77777777" w:rsidR="0083319D" w:rsidRDefault="0083319D" w:rsidP="003406B4">
            <w:pPr>
              <w:pStyle w:val="Tabletext0"/>
              <w:keepNext/>
            </w:pPr>
            <w:r>
              <w:t>Fracture while on treatment</w:t>
            </w:r>
          </w:p>
        </w:tc>
      </w:tr>
      <w:tr w:rsidR="0083319D" w14:paraId="61DB5C0B" w14:textId="77777777" w:rsidTr="003406B4">
        <w:tc>
          <w:tcPr>
            <w:tcW w:w="2254" w:type="dxa"/>
            <w:vAlign w:val="center"/>
          </w:tcPr>
          <w:p w14:paraId="0BF5E7EA" w14:textId="77777777" w:rsidR="0083319D" w:rsidRDefault="0083319D" w:rsidP="003406B4">
            <w:pPr>
              <w:pStyle w:val="TableText"/>
            </w:pPr>
            <w:r>
              <w:t>Single symptomatic new fracture after 12 months of anti-resorptive therapy,</w:t>
            </w:r>
          </w:p>
          <w:p w14:paraId="73CEAD62" w14:textId="77777777" w:rsidR="0083319D" w:rsidRDefault="0083319D" w:rsidP="003406B4">
            <w:pPr>
              <w:pStyle w:val="TableText"/>
            </w:pPr>
            <w:r>
              <w:t xml:space="preserve">AND </w:t>
            </w:r>
          </w:p>
          <w:p w14:paraId="5ADE7D57" w14:textId="0C03A4E7" w:rsidR="0083319D" w:rsidRDefault="0083319D" w:rsidP="003406B4">
            <w:pPr>
              <w:pStyle w:val="Tabletext0"/>
              <w:keepNext/>
            </w:pPr>
            <w:r>
              <w:t>BMD T-score ≤</w:t>
            </w:r>
            <w:r w:rsidR="00A11377">
              <w:t> </w:t>
            </w:r>
            <w:r>
              <w:t>-2.5</w:t>
            </w:r>
          </w:p>
        </w:tc>
        <w:tc>
          <w:tcPr>
            <w:tcW w:w="2254" w:type="dxa"/>
            <w:vAlign w:val="center"/>
          </w:tcPr>
          <w:p w14:paraId="247B4C72" w14:textId="77777777" w:rsidR="0083319D" w:rsidRPr="00442592" w:rsidRDefault="0083319D" w:rsidP="003406B4">
            <w:pPr>
              <w:pStyle w:val="Tabletext0"/>
              <w:keepNext/>
            </w:pPr>
            <w:r w:rsidRPr="00442592">
              <w:t>No data</w:t>
            </w:r>
          </w:p>
        </w:tc>
        <w:tc>
          <w:tcPr>
            <w:tcW w:w="2254" w:type="dxa"/>
            <w:vAlign w:val="center"/>
          </w:tcPr>
          <w:p w14:paraId="29308316" w14:textId="77777777" w:rsidR="0083319D" w:rsidRPr="00442592" w:rsidRDefault="0083319D" w:rsidP="003406B4">
            <w:pPr>
              <w:pStyle w:val="Tabletext0"/>
              <w:keepNext/>
            </w:pPr>
            <w:r w:rsidRPr="00442592">
              <w:t>Not modelled</w:t>
            </w:r>
          </w:p>
        </w:tc>
        <w:tc>
          <w:tcPr>
            <w:tcW w:w="2255" w:type="dxa"/>
            <w:vAlign w:val="center"/>
          </w:tcPr>
          <w:p w14:paraId="4521BC62" w14:textId="77777777" w:rsidR="0083319D" w:rsidRDefault="0083319D" w:rsidP="003406B4">
            <w:pPr>
              <w:pStyle w:val="TableText"/>
            </w:pPr>
            <w:r>
              <w:t>Treated osteoporosis patients,</w:t>
            </w:r>
          </w:p>
          <w:p w14:paraId="3A44C9D4" w14:textId="77777777" w:rsidR="0083319D" w:rsidRDefault="0083319D" w:rsidP="003406B4">
            <w:pPr>
              <w:pStyle w:val="TableText"/>
            </w:pPr>
            <w:r>
              <w:t>AND</w:t>
            </w:r>
          </w:p>
          <w:p w14:paraId="7BFF95C4" w14:textId="77777777" w:rsidR="0083319D" w:rsidRDefault="0083319D" w:rsidP="003406B4">
            <w:pPr>
              <w:pStyle w:val="TableText"/>
            </w:pPr>
            <w:r>
              <w:t>Received ≥12 months continuous anti-resorptive therapy,</w:t>
            </w:r>
          </w:p>
          <w:p w14:paraId="1721728C" w14:textId="77777777" w:rsidR="0083319D" w:rsidRDefault="0083319D" w:rsidP="003406B4">
            <w:pPr>
              <w:pStyle w:val="TableText"/>
            </w:pPr>
            <w:r>
              <w:t xml:space="preserve">AND </w:t>
            </w:r>
          </w:p>
          <w:p w14:paraId="79341F86" w14:textId="77777777" w:rsidR="0083319D" w:rsidRDefault="0083319D" w:rsidP="003406B4">
            <w:pPr>
              <w:pStyle w:val="TableText"/>
            </w:pPr>
            <w:r>
              <w:t xml:space="preserve">No prevalent fracture, </w:t>
            </w:r>
          </w:p>
          <w:p w14:paraId="5FAA607F" w14:textId="77777777" w:rsidR="0083319D" w:rsidRDefault="0083319D" w:rsidP="003406B4">
            <w:pPr>
              <w:pStyle w:val="TableText"/>
            </w:pPr>
            <w:r>
              <w:t xml:space="preserve">AND </w:t>
            </w:r>
          </w:p>
          <w:p w14:paraId="2644DC0D" w14:textId="123D348F" w:rsidR="0083319D" w:rsidRDefault="0083319D" w:rsidP="003406B4">
            <w:pPr>
              <w:pStyle w:val="TableText"/>
            </w:pPr>
            <w:r>
              <w:t>BMD T-score ≤</w:t>
            </w:r>
            <w:r w:rsidR="00FD7591">
              <w:t> </w:t>
            </w:r>
            <w:r>
              <w:t xml:space="preserve">-2.5, </w:t>
            </w:r>
          </w:p>
          <w:p w14:paraId="3ABAB87D" w14:textId="77777777" w:rsidR="0083319D" w:rsidRDefault="0083319D" w:rsidP="003406B4">
            <w:pPr>
              <w:pStyle w:val="TableText"/>
            </w:pPr>
            <w:r>
              <w:t xml:space="preserve">AND </w:t>
            </w:r>
          </w:p>
          <w:p w14:paraId="28445E1E" w14:textId="77777777" w:rsidR="0083319D" w:rsidRPr="00A8249E" w:rsidRDefault="0083319D" w:rsidP="003406B4">
            <w:pPr>
              <w:pStyle w:val="Tabletext0"/>
              <w:keepNext/>
            </w:pPr>
            <w:r>
              <w:t>Fracture while on treatment</w:t>
            </w:r>
          </w:p>
        </w:tc>
      </w:tr>
    </w:tbl>
    <w:p w14:paraId="37670636" w14:textId="77777777" w:rsidR="0083319D" w:rsidRDefault="0083319D" w:rsidP="0083319D">
      <w:pPr>
        <w:pStyle w:val="TableFigureFooter"/>
      </w:pPr>
      <w:r>
        <w:t xml:space="preserve">Source: constructed during the evaluation </w:t>
      </w:r>
    </w:p>
    <w:p w14:paraId="11FCAAEE" w14:textId="7BC52DA3" w:rsidR="007627BE" w:rsidRPr="00442592" w:rsidRDefault="00E22593" w:rsidP="004E18E9">
      <w:pPr>
        <w:pStyle w:val="ExecSumBodyText"/>
      </w:pPr>
      <w:bookmarkStart w:id="12" w:name="_Ref110419246"/>
      <w:r w:rsidRPr="00442592">
        <w:t xml:space="preserve">There were inconsistencies </w:t>
      </w:r>
      <w:r w:rsidR="00322933" w:rsidRPr="00442592">
        <w:t xml:space="preserve">in the </w:t>
      </w:r>
      <w:r w:rsidRPr="00442592">
        <w:t>subpopulation definitions of very high risk between the restriction, clinical evidence, economic model and financial estimates. No clinical data or economic model w</w:t>
      </w:r>
      <w:r w:rsidR="0005454A" w:rsidRPr="00442592">
        <w:t>ere</w:t>
      </w:r>
      <w:r w:rsidRPr="00442592">
        <w:t xml:space="preserve"> presented for the requested second line population in addition to those currently eligible under the existing PBS listing.</w:t>
      </w:r>
      <w:bookmarkEnd w:id="12"/>
    </w:p>
    <w:p w14:paraId="6251B5B7" w14:textId="31D504D3" w:rsidR="005E0A92" w:rsidRPr="00442592" w:rsidRDefault="005E0A92" w:rsidP="004E18E9">
      <w:pPr>
        <w:pStyle w:val="ExecSumBodyText"/>
      </w:pPr>
      <w:bookmarkStart w:id="13" w:name="_Ref110419243"/>
      <w:r w:rsidRPr="00442592">
        <w:t>The resubmission did not consider emerging discussions surrounding optimal treatment sequencing of osteoporosis treatments. Some international guidelines recommend that in patients at very high fracture risk, initial treatment with an anabolic agent is optimal (International Osteoporosis Foundation (IOF) and European Society for Clinical and Economic Aspects of Osteoporosis and Osteoarthritis (ESCEO) 2020 update). Given that treatments with anabolic agents are limited to 12-24 months, there is potential for earlier use to achieve greater effects on BMD and fracture risk if followed by persistent use of anti-resorptives. The IOF/ESCEO guidelines contrasted this scenario with potentially lower gains should anabolic agents be used following anti-resorptive therapy. This thesis regarding greater benefit with earlier use of anabolic agents appears to be supported by post-hoc analyses of BMD outcomes</w:t>
      </w:r>
      <w:r w:rsidR="00191FEB" w:rsidRPr="00442592">
        <w:t xml:space="preserve"> in trials of romosozumab</w:t>
      </w:r>
      <w:r w:rsidR="007C1D93" w:rsidRPr="00442592">
        <w:t xml:space="preserve"> (</w:t>
      </w:r>
      <w:r w:rsidR="00C74263" w:rsidRPr="00BF7FAF">
        <w:t>see para</w:t>
      </w:r>
      <w:r w:rsidR="00BE7259" w:rsidRPr="00BF7FAF">
        <w:t xml:space="preserve"> </w:t>
      </w:r>
      <w:r w:rsidR="00660C60" w:rsidRPr="00BF7FAF">
        <w:fldChar w:fldCharType="begin"/>
      </w:r>
      <w:r w:rsidR="00660C60" w:rsidRPr="00BF7FAF">
        <w:instrText xml:space="preserve"> REF _Ref102142083 \r \h </w:instrText>
      </w:r>
      <w:r w:rsidR="00442592" w:rsidRPr="00BF7FAF">
        <w:instrText xml:space="preserve"> \* MERGEFORMAT </w:instrText>
      </w:r>
      <w:r w:rsidR="00660C60" w:rsidRPr="00BF7FAF">
        <w:fldChar w:fldCharType="separate"/>
      </w:r>
      <w:r w:rsidR="00B32F82">
        <w:t>6.23</w:t>
      </w:r>
      <w:r w:rsidR="00660C60" w:rsidRPr="00BF7FAF">
        <w:fldChar w:fldCharType="end"/>
      </w:r>
      <w:r w:rsidR="00C74263" w:rsidRPr="00BF7FAF">
        <w:t xml:space="preserve"> below</w:t>
      </w:r>
      <w:r w:rsidR="00C74263" w:rsidRPr="00442592">
        <w:t>)</w:t>
      </w:r>
      <w:r w:rsidR="00F87905" w:rsidRPr="00442592">
        <w:t>.</w:t>
      </w:r>
      <w:bookmarkEnd w:id="13"/>
      <w:r w:rsidR="00234F2A">
        <w:t xml:space="preserve"> The pre-PBAC response noted that NICE recently recommended a wider role for anabolic therapy than is currently available on the PBS. NICE guidance state</w:t>
      </w:r>
      <w:r w:rsidR="0086225F">
        <w:t>d</w:t>
      </w:r>
      <w:r w:rsidR="00234F2A">
        <w:t xml:space="preserve"> that romosozumab is recommended </w:t>
      </w:r>
      <w:r w:rsidR="0086225F">
        <w:t>as an option for treating severe osteoporosis in people after menopause who are at high risk of fracture, only if they have had a major osteoporotic fracture (spine, hip, forearm or humerus fracture) within 24 months (so are at imminent risk of another fracture).</w:t>
      </w:r>
      <w:r w:rsidR="0086225F">
        <w:rPr>
          <w:rStyle w:val="FootnoteReference"/>
        </w:rPr>
        <w:footnoteReference w:id="2"/>
      </w:r>
      <w:r w:rsidR="0086225F">
        <w:t xml:space="preserve"> </w:t>
      </w:r>
    </w:p>
    <w:p w14:paraId="095F6500" w14:textId="079496E0" w:rsidR="007C1D93" w:rsidRDefault="007C1D93" w:rsidP="004E18E9">
      <w:pPr>
        <w:pStyle w:val="ExecSumBodyText"/>
      </w:pPr>
      <w:r w:rsidRPr="00442592">
        <w:t xml:space="preserve">Overall, the </w:t>
      </w:r>
      <w:r w:rsidR="00BF7FAF" w:rsidRPr="005E2E4D">
        <w:t>ESC agreed with the evaluation that the</w:t>
      </w:r>
      <w:r w:rsidR="00BF7FAF">
        <w:rPr>
          <w:i/>
          <w:iCs/>
        </w:rPr>
        <w:t xml:space="preserve"> </w:t>
      </w:r>
      <w:r w:rsidRPr="00442592">
        <w:t>appropriateness of the proposed place in therapy in first</w:t>
      </w:r>
      <w:r w:rsidR="00227950">
        <w:t>-</w:t>
      </w:r>
      <w:r w:rsidRPr="00442592">
        <w:t xml:space="preserve"> and second-line settings was uncertain given the lack of clarity surrounding the definition of very high</w:t>
      </w:r>
      <w:r w:rsidR="00941C13" w:rsidRPr="00442592">
        <w:t>/imminent</w:t>
      </w:r>
      <w:r w:rsidRPr="00442592">
        <w:t xml:space="preserve"> risk and optimal treatment sequence (i.e. earlier versus later-line use).</w:t>
      </w:r>
    </w:p>
    <w:p w14:paraId="160AB51F" w14:textId="6009FAA4" w:rsidR="00F2109D" w:rsidRPr="00F2109D" w:rsidRDefault="00F2109D" w:rsidP="00F2109D">
      <w:pPr>
        <w:pStyle w:val="ExecSumBodyText"/>
        <w:numPr>
          <w:ilvl w:val="0"/>
          <w:numId w:val="0"/>
        </w:numPr>
        <w:ind w:left="720"/>
        <w:rPr>
          <w:i/>
          <w:iCs/>
        </w:rPr>
      </w:pPr>
      <w:r w:rsidRPr="00F2109D">
        <w:rPr>
          <w:i/>
          <w:iCs/>
        </w:rPr>
        <w:t>For more detail on PBAC’s view, see section 7 PBAC outcome.</w:t>
      </w:r>
    </w:p>
    <w:p w14:paraId="51E5AE96" w14:textId="136A63B1" w:rsidR="00B50DB8" w:rsidRPr="00262BDA" w:rsidRDefault="00B50DB8" w:rsidP="004E18E9">
      <w:pPr>
        <w:pStyle w:val="2-SectionHeading"/>
      </w:pPr>
      <w:bookmarkStart w:id="14" w:name="_Toc103610471"/>
      <w:r w:rsidRPr="00262BDA">
        <w:t>Comparator</w:t>
      </w:r>
      <w:bookmarkEnd w:id="14"/>
    </w:p>
    <w:p w14:paraId="747A75CC" w14:textId="4760AD31" w:rsidR="00A05472" w:rsidRPr="00442592" w:rsidRDefault="00330975" w:rsidP="00882E3C">
      <w:pPr>
        <w:pStyle w:val="ExecSumBodyText"/>
        <w:rPr>
          <w:snapToGrid/>
        </w:rPr>
      </w:pPr>
      <w:r w:rsidRPr="00442592">
        <w:rPr>
          <w:snapToGrid/>
        </w:rPr>
        <w:t xml:space="preserve">The resubmission nominated alendronate as the main comparator. The PBAC previously considered alendronate was the appropriate comparator in the first line setting and that teriparatide was the appropriate comparator for the restricted second line setting. However, the PBAC </w:t>
      </w:r>
      <w:r w:rsidR="006F470D">
        <w:rPr>
          <w:snapToGrid/>
        </w:rPr>
        <w:t xml:space="preserve">had also previously </w:t>
      </w:r>
      <w:r w:rsidRPr="00442592">
        <w:rPr>
          <w:snapToGrid/>
        </w:rPr>
        <w:t>noted that comparative evidence against denosumab would have been informative as it is the therapy most likely to be replaced in the first line and broader second line setting (para 7.9, romosozumab PSD, November 2018 PBAC meeting and para 7.4, romosozumab PSD, March 2020 PBAC meeting).</w:t>
      </w:r>
    </w:p>
    <w:p w14:paraId="514347B1" w14:textId="20BE6F1D" w:rsidR="00330975" w:rsidRDefault="00330975" w:rsidP="00882E3C">
      <w:pPr>
        <w:pStyle w:val="ExecSumBodyText"/>
        <w:rPr>
          <w:snapToGrid/>
        </w:rPr>
      </w:pPr>
      <w:r w:rsidRPr="00442592">
        <w:rPr>
          <w:snapToGrid/>
        </w:rPr>
        <w:t>The resubmission acknowledged that denosumab is the therapy most likely to be replaced in practice. However, the resubmission claimed that a robust comparison with romosozumab was not feasible due to a lack of direct comparative trial data. The resubmission claimed that alendronate was a reasonable proxy for anti-resorptive therapies as most treatments were listed on the PBS based on therapeutic equivalence to alendronate. Denosumab was listed on a cost-minimisation basis compared to zoledronic acid which in turn was listed on a cost-minimisation basis compared to alendronate (PBS therapeutic relativity sheets, effective date: April 2014). Under these circumstances,</w:t>
      </w:r>
      <w:r w:rsidR="00380F09">
        <w:rPr>
          <w:snapToGrid/>
        </w:rPr>
        <w:t xml:space="preserve"> it was argued that</w:t>
      </w:r>
      <w:r w:rsidRPr="00442592">
        <w:rPr>
          <w:snapToGrid/>
        </w:rPr>
        <w:t xml:space="preserve"> alendronate may also be an appropriate comparator in the additional second line population requested in the resubmission.  </w:t>
      </w:r>
    </w:p>
    <w:p w14:paraId="525051C6" w14:textId="6D55A688" w:rsidR="00F2109D" w:rsidRPr="00F2109D" w:rsidRDefault="00F2109D" w:rsidP="00F2109D">
      <w:pPr>
        <w:pStyle w:val="ExecSumBodyText"/>
        <w:numPr>
          <w:ilvl w:val="0"/>
          <w:numId w:val="0"/>
        </w:numPr>
        <w:ind w:left="720"/>
        <w:rPr>
          <w:i/>
          <w:iCs/>
          <w:snapToGrid/>
        </w:rPr>
      </w:pPr>
      <w:r w:rsidRPr="00F2109D">
        <w:rPr>
          <w:i/>
          <w:iCs/>
          <w:snapToGrid/>
        </w:rPr>
        <w:t>For more detail on PBAC’s view, see section 7 PBAC outcome.</w:t>
      </w:r>
    </w:p>
    <w:p w14:paraId="7F9C27C8" w14:textId="77777777" w:rsidR="00223D5A" w:rsidRPr="00262BDA" w:rsidRDefault="00223D5A" w:rsidP="00223D5A">
      <w:pPr>
        <w:pStyle w:val="2-SectionHeading"/>
      </w:pPr>
      <w:bookmarkStart w:id="15" w:name="_Toc103610472"/>
      <w:bookmarkStart w:id="16" w:name="_Toc22897640"/>
      <w:r w:rsidRPr="00262BDA">
        <w:t>Consideration of the evidence</w:t>
      </w:r>
      <w:bookmarkEnd w:id="15"/>
    </w:p>
    <w:p w14:paraId="63050492" w14:textId="77777777" w:rsidR="00F2109D" w:rsidRPr="006E1229" w:rsidRDefault="00F2109D" w:rsidP="00F2109D">
      <w:pPr>
        <w:pStyle w:val="3-SubsectionHeading"/>
      </w:pPr>
      <w:bookmarkStart w:id="17" w:name="_Hlk76375935"/>
      <w:bookmarkStart w:id="18" w:name="_Toc103610473"/>
      <w:r w:rsidRPr="006E1229">
        <w:t>Sponsor hearing</w:t>
      </w:r>
    </w:p>
    <w:p w14:paraId="528D371F" w14:textId="6FD7B66F" w:rsidR="00F2109D" w:rsidRPr="00B32F82" w:rsidRDefault="00F2109D" w:rsidP="00F2109D">
      <w:pPr>
        <w:widowControl w:val="0"/>
        <w:numPr>
          <w:ilvl w:val="1"/>
          <w:numId w:val="1"/>
        </w:numPr>
        <w:spacing w:after="120"/>
        <w:rPr>
          <w:rFonts w:asciiTheme="minorHAnsi" w:hAnsiTheme="minorHAnsi"/>
          <w:bCs/>
          <w:snapToGrid w:val="0"/>
        </w:rPr>
      </w:pPr>
      <w:bookmarkStart w:id="19" w:name="_Hlk76382586"/>
      <w:r w:rsidRPr="00836F75">
        <w:rPr>
          <w:rFonts w:asciiTheme="minorHAnsi" w:hAnsiTheme="minorHAnsi"/>
          <w:bCs/>
          <w:snapToGrid w:val="0"/>
        </w:rPr>
        <w:t>The sponsor requested a hearing for this item. The clinician discussed how the drug</w:t>
      </w:r>
      <w:r w:rsidR="00A90F34">
        <w:rPr>
          <w:rFonts w:asciiTheme="minorHAnsi" w:hAnsiTheme="minorHAnsi"/>
          <w:bCs/>
          <w:snapToGrid w:val="0"/>
        </w:rPr>
        <w:t xml:space="preserve"> was currently used in clinical practice and indicated the expanded second line listing may address</w:t>
      </w:r>
      <w:r w:rsidR="001803EF">
        <w:rPr>
          <w:rFonts w:asciiTheme="minorHAnsi" w:hAnsiTheme="minorHAnsi"/>
          <w:bCs/>
          <w:snapToGrid w:val="0"/>
        </w:rPr>
        <w:t xml:space="preserve"> concerns regarding</w:t>
      </w:r>
      <w:r w:rsidR="00A90F34">
        <w:rPr>
          <w:rFonts w:asciiTheme="minorHAnsi" w:hAnsiTheme="minorHAnsi"/>
          <w:bCs/>
          <w:snapToGrid w:val="0"/>
        </w:rPr>
        <w:t xml:space="preserve"> inequity in access for patients aged 70 years and who may have started anti-resorptive therapy before having a fracture</w:t>
      </w:r>
      <w:r w:rsidR="001803EF">
        <w:rPr>
          <w:rFonts w:asciiTheme="minorHAnsi" w:hAnsiTheme="minorHAnsi"/>
          <w:bCs/>
          <w:snapToGrid w:val="0"/>
        </w:rPr>
        <w:t xml:space="preserve"> depending on their BMD</w:t>
      </w:r>
      <w:r w:rsidR="00A90F34">
        <w:rPr>
          <w:rFonts w:asciiTheme="minorHAnsi" w:hAnsiTheme="minorHAnsi"/>
          <w:bCs/>
          <w:snapToGrid w:val="0"/>
        </w:rPr>
        <w:t xml:space="preserve">. The clinician also </w:t>
      </w:r>
      <w:r w:rsidR="002D5B4C">
        <w:rPr>
          <w:rFonts w:asciiTheme="minorHAnsi" w:hAnsiTheme="minorHAnsi"/>
          <w:bCs/>
          <w:snapToGrid w:val="0"/>
        </w:rPr>
        <w:t>considered</w:t>
      </w:r>
      <w:r w:rsidR="00A90F34">
        <w:rPr>
          <w:rFonts w:asciiTheme="minorHAnsi" w:hAnsiTheme="minorHAnsi"/>
          <w:bCs/>
          <w:snapToGrid w:val="0"/>
        </w:rPr>
        <w:t xml:space="preserve"> that</w:t>
      </w:r>
      <w:r w:rsidR="002D5B4C">
        <w:rPr>
          <w:rFonts w:asciiTheme="minorHAnsi" w:hAnsiTheme="minorHAnsi"/>
          <w:bCs/>
          <w:snapToGrid w:val="0"/>
        </w:rPr>
        <w:t xml:space="preserve"> the </w:t>
      </w:r>
      <w:r w:rsidR="002D5B4C" w:rsidRPr="00442592">
        <w:t>use of anabolic agents</w:t>
      </w:r>
      <w:r w:rsidR="00A90F34">
        <w:rPr>
          <w:rFonts w:asciiTheme="minorHAnsi" w:hAnsiTheme="minorHAnsi"/>
          <w:bCs/>
          <w:snapToGrid w:val="0"/>
        </w:rPr>
        <w:t xml:space="preserve"> </w:t>
      </w:r>
      <w:r w:rsidR="002D5B4C">
        <w:rPr>
          <w:rFonts w:asciiTheme="minorHAnsi" w:hAnsiTheme="minorHAnsi"/>
          <w:bCs/>
          <w:snapToGrid w:val="0"/>
        </w:rPr>
        <w:t xml:space="preserve">in the first-line setting was appropriate in those at highest risk of fracture recurrence. </w:t>
      </w:r>
      <w:r w:rsidRPr="00B32F82">
        <w:rPr>
          <w:rFonts w:asciiTheme="minorHAnsi" w:hAnsiTheme="minorHAnsi"/>
          <w:bCs/>
          <w:snapToGrid w:val="0"/>
        </w:rPr>
        <w:t xml:space="preserve">The PBAC considered that the hearing was informative as it provided a clinical perspective on </w:t>
      </w:r>
      <w:r w:rsidR="00551149">
        <w:rPr>
          <w:rFonts w:asciiTheme="minorHAnsi" w:hAnsiTheme="minorHAnsi"/>
          <w:bCs/>
          <w:snapToGrid w:val="0"/>
        </w:rPr>
        <w:t>access concerns</w:t>
      </w:r>
      <w:r w:rsidRPr="00B32F82">
        <w:rPr>
          <w:rFonts w:asciiTheme="minorHAnsi" w:hAnsiTheme="minorHAnsi"/>
          <w:bCs/>
          <w:snapToGrid w:val="0"/>
        </w:rPr>
        <w:t>.</w:t>
      </w:r>
    </w:p>
    <w:bookmarkEnd w:id="19"/>
    <w:p w14:paraId="59CC644C" w14:textId="77777777" w:rsidR="00F2109D" w:rsidRPr="006E1229" w:rsidRDefault="00F2109D" w:rsidP="00F2109D">
      <w:pPr>
        <w:pStyle w:val="3-SubsectionHeading"/>
      </w:pPr>
      <w:r w:rsidRPr="006E1229">
        <w:t>Consumer comments</w:t>
      </w:r>
    </w:p>
    <w:p w14:paraId="0145EFFC" w14:textId="677C368B" w:rsidR="00BA4203" w:rsidRDefault="00F2109D" w:rsidP="00F2109D">
      <w:pPr>
        <w:widowControl w:val="0"/>
        <w:numPr>
          <w:ilvl w:val="1"/>
          <w:numId w:val="1"/>
        </w:numPr>
        <w:spacing w:after="120"/>
        <w:rPr>
          <w:rFonts w:asciiTheme="minorHAnsi" w:hAnsiTheme="minorHAnsi"/>
          <w:bCs/>
          <w:snapToGrid w:val="0"/>
        </w:rPr>
      </w:pPr>
      <w:bookmarkStart w:id="20" w:name="_Hlk76382618"/>
      <w:r w:rsidRPr="00836F75">
        <w:rPr>
          <w:rFonts w:asciiTheme="minorHAnsi" w:hAnsiTheme="minorHAnsi"/>
          <w:bCs/>
          <w:snapToGrid w:val="0"/>
        </w:rPr>
        <w:t>The PBAC noted and welcomed the input from individuals (</w:t>
      </w:r>
      <w:r w:rsidR="00BA4203">
        <w:rPr>
          <w:rFonts w:asciiTheme="minorHAnsi" w:hAnsiTheme="minorHAnsi"/>
          <w:bCs/>
          <w:snapToGrid w:val="0"/>
        </w:rPr>
        <w:t>3</w:t>
      </w:r>
      <w:r w:rsidRPr="00836F75">
        <w:rPr>
          <w:rFonts w:asciiTheme="minorHAnsi" w:hAnsiTheme="minorHAnsi"/>
          <w:bCs/>
          <w:snapToGrid w:val="0"/>
        </w:rPr>
        <w:t>), health care professionals (</w:t>
      </w:r>
      <w:r w:rsidR="00BA4203">
        <w:rPr>
          <w:rFonts w:asciiTheme="minorHAnsi" w:hAnsiTheme="minorHAnsi"/>
          <w:bCs/>
          <w:snapToGrid w:val="0"/>
        </w:rPr>
        <w:t>8</w:t>
      </w:r>
      <w:r w:rsidRPr="00836F75">
        <w:rPr>
          <w:rFonts w:asciiTheme="minorHAnsi" w:hAnsiTheme="minorHAnsi"/>
          <w:bCs/>
          <w:snapToGrid w:val="0"/>
        </w:rPr>
        <w:t>)</w:t>
      </w:r>
      <w:r w:rsidR="002B556D">
        <w:rPr>
          <w:rFonts w:asciiTheme="minorHAnsi" w:hAnsiTheme="minorHAnsi"/>
          <w:bCs/>
          <w:snapToGrid w:val="0"/>
        </w:rPr>
        <w:t xml:space="preserve"> and </w:t>
      </w:r>
      <w:r w:rsidRPr="00836F75">
        <w:rPr>
          <w:rFonts w:asciiTheme="minorHAnsi" w:hAnsiTheme="minorHAnsi"/>
          <w:bCs/>
          <w:snapToGrid w:val="0"/>
        </w:rPr>
        <w:t>organisations (</w:t>
      </w:r>
      <w:r w:rsidR="002B556D">
        <w:rPr>
          <w:rFonts w:asciiTheme="minorHAnsi" w:hAnsiTheme="minorHAnsi"/>
          <w:bCs/>
          <w:snapToGrid w:val="0"/>
        </w:rPr>
        <w:t>7</w:t>
      </w:r>
      <w:r w:rsidRPr="00836F75">
        <w:rPr>
          <w:rFonts w:asciiTheme="minorHAnsi" w:hAnsiTheme="minorHAnsi"/>
          <w:bCs/>
          <w:snapToGrid w:val="0"/>
        </w:rPr>
        <w:t>)</w:t>
      </w:r>
      <w:r w:rsidR="00BA4203">
        <w:rPr>
          <w:rFonts w:asciiTheme="minorHAnsi" w:hAnsiTheme="minorHAnsi"/>
          <w:bCs/>
          <w:snapToGrid w:val="0"/>
        </w:rPr>
        <w:t xml:space="preserve"> </w:t>
      </w:r>
      <w:r w:rsidRPr="00836F75">
        <w:rPr>
          <w:rFonts w:asciiTheme="minorHAnsi" w:hAnsiTheme="minorHAnsi"/>
          <w:bCs/>
          <w:snapToGrid w:val="0"/>
        </w:rPr>
        <w:t>via the Consumer Comments facility on the PBS website.</w:t>
      </w:r>
    </w:p>
    <w:p w14:paraId="2EAD583C" w14:textId="28BFED91" w:rsidR="001424EA" w:rsidRDefault="001424EA" w:rsidP="00F2109D">
      <w:pPr>
        <w:widowControl w:val="0"/>
        <w:numPr>
          <w:ilvl w:val="1"/>
          <w:numId w:val="1"/>
        </w:numPr>
        <w:spacing w:after="120"/>
        <w:rPr>
          <w:rFonts w:asciiTheme="minorHAnsi" w:hAnsiTheme="minorHAnsi"/>
          <w:bCs/>
          <w:snapToGrid w:val="0"/>
        </w:rPr>
      </w:pPr>
      <w:r>
        <w:rPr>
          <w:rFonts w:asciiTheme="minorHAnsi" w:hAnsiTheme="minorHAnsi"/>
          <w:bCs/>
          <w:snapToGrid w:val="0"/>
        </w:rPr>
        <w:t>The comments from individuals who would like access to the drug to treat their own health condition or other interested individual</w:t>
      </w:r>
      <w:r w:rsidR="00551149">
        <w:rPr>
          <w:rFonts w:asciiTheme="minorHAnsi" w:hAnsiTheme="minorHAnsi"/>
          <w:bCs/>
          <w:snapToGrid w:val="0"/>
        </w:rPr>
        <w:t>s</w:t>
      </w:r>
      <w:r>
        <w:rPr>
          <w:rFonts w:asciiTheme="minorHAnsi" w:hAnsiTheme="minorHAnsi"/>
          <w:bCs/>
          <w:snapToGrid w:val="0"/>
        </w:rPr>
        <w:t xml:space="preserve"> described the impact of osteoporosis on the people who have the condition and who have experienced fractures. The comments also describe the benefits of romosozumab in terms of helping to prevent fractures and the associated pain and disability they can cause. </w:t>
      </w:r>
    </w:p>
    <w:p w14:paraId="282F7723" w14:textId="7E7BE935" w:rsidR="001803EF" w:rsidRDefault="00034D44" w:rsidP="00F2109D">
      <w:pPr>
        <w:widowControl w:val="0"/>
        <w:numPr>
          <w:ilvl w:val="1"/>
          <w:numId w:val="1"/>
        </w:numPr>
        <w:spacing w:after="120"/>
        <w:rPr>
          <w:rFonts w:asciiTheme="minorHAnsi" w:hAnsiTheme="minorHAnsi"/>
          <w:bCs/>
          <w:snapToGrid w:val="0"/>
        </w:rPr>
      </w:pPr>
      <w:r>
        <w:rPr>
          <w:rFonts w:asciiTheme="minorHAnsi" w:hAnsiTheme="minorHAnsi"/>
          <w:bCs/>
          <w:snapToGrid w:val="0"/>
        </w:rPr>
        <w:t xml:space="preserve">The comments from health care professionals emphasised the points raised by consumers in terms of the impact of fractures and the benefits of romosozumab in </w:t>
      </w:r>
      <w:r w:rsidR="00551149">
        <w:rPr>
          <w:rFonts w:asciiTheme="minorHAnsi" w:hAnsiTheme="minorHAnsi"/>
          <w:bCs/>
          <w:snapToGrid w:val="0"/>
        </w:rPr>
        <w:t>prevention of these events</w:t>
      </w:r>
      <w:r>
        <w:rPr>
          <w:rFonts w:asciiTheme="minorHAnsi" w:hAnsiTheme="minorHAnsi"/>
          <w:bCs/>
          <w:snapToGrid w:val="0"/>
        </w:rPr>
        <w:t xml:space="preserve">. The comments also raised concern regarding inequity in access as a result of the current PBS criteria. </w:t>
      </w:r>
    </w:p>
    <w:p w14:paraId="1130A5FB" w14:textId="57AF57AE" w:rsidR="00F2109D" w:rsidRPr="00034D44" w:rsidRDefault="001424EA" w:rsidP="00F2109D">
      <w:pPr>
        <w:widowControl w:val="0"/>
        <w:numPr>
          <w:ilvl w:val="1"/>
          <w:numId w:val="1"/>
        </w:numPr>
        <w:spacing w:after="120"/>
        <w:rPr>
          <w:rFonts w:asciiTheme="minorHAnsi" w:hAnsiTheme="minorHAnsi"/>
          <w:bCs/>
          <w:snapToGrid w:val="0"/>
        </w:rPr>
      </w:pPr>
      <w:r>
        <w:rPr>
          <w:rFonts w:asciiTheme="minorHAnsi" w:hAnsiTheme="minorHAnsi"/>
          <w:bCs/>
          <w:snapToGrid w:val="0"/>
        </w:rPr>
        <w:t xml:space="preserve">The comments from </w:t>
      </w:r>
      <w:r w:rsidR="00DF3E88">
        <w:rPr>
          <w:rFonts w:asciiTheme="minorHAnsi" w:hAnsiTheme="minorHAnsi"/>
          <w:bCs/>
          <w:snapToGrid w:val="0"/>
        </w:rPr>
        <w:t>Australian Menopause Societ</w:t>
      </w:r>
      <w:r w:rsidR="00DF64E3">
        <w:rPr>
          <w:rFonts w:asciiTheme="minorHAnsi" w:hAnsiTheme="minorHAnsi"/>
          <w:bCs/>
          <w:snapToGrid w:val="0"/>
        </w:rPr>
        <w:t>y</w:t>
      </w:r>
      <w:r w:rsidR="00DF3E88">
        <w:rPr>
          <w:rFonts w:asciiTheme="minorHAnsi" w:hAnsiTheme="minorHAnsi"/>
          <w:bCs/>
          <w:snapToGrid w:val="0"/>
        </w:rPr>
        <w:t xml:space="preserve">, </w:t>
      </w:r>
      <w:bookmarkStart w:id="21" w:name="_Hlk107843066"/>
      <w:r w:rsidR="00DF3E88">
        <w:rPr>
          <w:rFonts w:asciiTheme="minorHAnsi" w:hAnsiTheme="minorHAnsi"/>
          <w:bCs/>
          <w:snapToGrid w:val="0"/>
        </w:rPr>
        <w:t xml:space="preserve">Australian </w:t>
      </w:r>
      <w:r w:rsidR="00DF64E3">
        <w:rPr>
          <w:rFonts w:asciiTheme="minorHAnsi" w:hAnsiTheme="minorHAnsi"/>
          <w:bCs/>
          <w:snapToGrid w:val="0"/>
        </w:rPr>
        <w:t>&amp; New Zealand Bone &amp; Mineral Society</w:t>
      </w:r>
      <w:bookmarkEnd w:id="21"/>
      <w:r w:rsidR="001803EF">
        <w:rPr>
          <w:rFonts w:asciiTheme="minorHAnsi" w:hAnsiTheme="minorHAnsi"/>
          <w:bCs/>
          <w:snapToGrid w:val="0"/>
        </w:rPr>
        <w:t xml:space="preserve"> (ANZBMS)</w:t>
      </w:r>
      <w:r w:rsidR="00DF64E3">
        <w:rPr>
          <w:rFonts w:asciiTheme="minorHAnsi" w:hAnsiTheme="minorHAnsi"/>
          <w:bCs/>
          <w:snapToGrid w:val="0"/>
        </w:rPr>
        <w:t xml:space="preserve">, Australian Rheumatology Association and Austin Health/University of Melbourne describe the benefits of romosozumab in terms of bone formation and the importance of not delaying effective treatment until after a second fracture. The </w:t>
      </w:r>
      <w:r w:rsidR="001803EF">
        <w:rPr>
          <w:rFonts w:asciiTheme="minorHAnsi" w:hAnsiTheme="minorHAnsi"/>
          <w:bCs/>
          <w:snapToGrid w:val="0"/>
        </w:rPr>
        <w:t xml:space="preserve">ANZBMS proposed a clinical management algorithm for individuals at high risk of future fractures. Although the algorithm clinical criteria were different to the first line restriction criterion the ANZBMS suggested that there was enough clinical information to support the </w:t>
      </w:r>
      <w:r w:rsidR="001803EF" w:rsidRPr="00034D44">
        <w:rPr>
          <w:rFonts w:asciiTheme="minorHAnsi" w:hAnsiTheme="minorHAnsi"/>
          <w:bCs/>
          <w:snapToGrid w:val="0"/>
        </w:rPr>
        <w:t>definition of high-risk patients as individuals who had evidence a recent (i.e. last 24 months) hip or clinical vertebral fracture or at least 2 clinical fractures (including 1 in the last 24 months) and a recent BMD T score of</w:t>
      </w:r>
      <w:r w:rsidR="00EB5234">
        <w:rPr>
          <w:rFonts w:asciiTheme="minorHAnsi" w:hAnsiTheme="minorHAnsi"/>
          <w:bCs/>
          <w:snapToGrid w:val="0"/>
        </w:rPr>
        <w:t xml:space="preserve"> </w:t>
      </w:r>
      <w:r w:rsidR="001803EF" w:rsidRPr="00034D44">
        <w:rPr>
          <w:rFonts w:asciiTheme="minorHAnsi" w:hAnsiTheme="minorHAnsi"/>
          <w:bCs/>
          <w:snapToGrid w:val="0"/>
        </w:rPr>
        <w:t>≤</w:t>
      </w:r>
      <w:r w:rsidR="00FD7591">
        <w:rPr>
          <w:rFonts w:asciiTheme="minorHAnsi" w:hAnsiTheme="minorHAnsi"/>
          <w:bCs/>
          <w:snapToGrid w:val="0"/>
        </w:rPr>
        <w:t> </w:t>
      </w:r>
      <w:r w:rsidR="001803EF" w:rsidRPr="00034D44">
        <w:rPr>
          <w:rFonts w:asciiTheme="minorHAnsi" w:hAnsiTheme="minorHAnsi"/>
          <w:bCs/>
          <w:snapToGrid w:val="0"/>
        </w:rPr>
        <w:t xml:space="preserve">-2.5. </w:t>
      </w:r>
    </w:p>
    <w:p w14:paraId="5049F166" w14:textId="0F5014CA" w:rsidR="00034D44" w:rsidRPr="00034D44" w:rsidRDefault="00034D44" w:rsidP="00034D44">
      <w:pPr>
        <w:pStyle w:val="ExecSumBodyText"/>
      </w:pPr>
      <w:r w:rsidRPr="00836F75">
        <w:t xml:space="preserve">The comments </w:t>
      </w:r>
      <w:r>
        <w:t>from Healthy Bones Australia, Musculoskeletal Australia and the Australian Women’s Coalition Inc outlined</w:t>
      </w:r>
      <w:r w:rsidRPr="00836F75">
        <w:t xml:space="preserve"> </w:t>
      </w:r>
      <w:r>
        <w:t xml:space="preserve">the costs associated with treating osteoporosis related fractures and the fracture benefits potentially arising from broader access to romosozumab. </w:t>
      </w:r>
    </w:p>
    <w:bookmarkEnd w:id="17"/>
    <w:bookmarkEnd w:id="20"/>
    <w:p w14:paraId="609C0765" w14:textId="4B80512D" w:rsidR="00B60939" w:rsidRPr="00262BDA" w:rsidRDefault="00B60939" w:rsidP="002E4F02">
      <w:pPr>
        <w:pStyle w:val="3-SubsectionHeading"/>
      </w:pPr>
      <w:r w:rsidRPr="00262BDA">
        <w:t>Clinical</w:t>
      </w:r>
      <w:r w:rsidR="00533C55">
        <w:t xml:space="preserve"> </w:t>
      </w:r>
      <w:r w:rsidRPr="00262BDA">
        <w:t>trials</w:t>
      </w:r>
      <w:bookmarkEnd w:id="16"/>
      <w:bookmarkEnd w:id="18"/>
    </w:p>
    <w:p w14:paraId="76186907" w14:textId="77777777" w:rsidR="00175FFA" w:rsidRPr="00442592" w:rsidRDefault="00175FFA" w:rsidP="00175FFA">
      <w:pPr>
        <w:pStyle w:val="ExecSumBodyText"/>
        <w:spacing w:after="0"/>
      </w:pPr>
      <w:r w:rsidRPr="00442592">
        <w:t>The following comparisons were previously considered by the PBAC at the November 2018, July 2019 and March 2020 PBAC meetings:</w:t>
      </w:r>
    </w:p>
    <w:p w14:paraId="4AA0C4D6" w14:textId="77777777" w:rsidR="00175FFA" w:rsidRPr="00442592" w:rsidRDefault="00175FFA" w:rsidP="006215FA">
      <w:pPr>
        <w:pStyle w:val="ExecSumBodyText"/>
        <w:numPr>
          <w:ilvl w:val="0"/>
          <w:numId w:val="8"/>
        </w:numPr>
        <w:spacing w:after="0"/>
        <w:ind w:left="1077" w:hanging="357"/>
      </w:pPr>
      <w:r w:rsidRPr="00442592">
        <w:t>Direct comparison of BMD and fracture outcomes with romosozumab versus alendronate in postmenopausal women with osteoporosis who were predominantly naïve to anti-resorptive therapy (ARCH).</w:t>
      </w:r>
    </w:p>
    <w:p w14:paraId="3CBA4D63" w14:textId="77777777" w:rsidR="00175FFA" w:rsidRPr="00442592" w:rsidRDefault="00175FFA" w:rsidP="006215FA">
      <w:pPr>
        <w:pStyle w:val="ExecSumBodyText"/>
        <w:numPr>
          <w:ilvl w:val="0"/>
          <w:numId w:val="8"/>
        </w:numPr>
        <w:spacing w:after="0"/>
        <w:ind w:left="1077" w:hanging="357"/>
      </w:pPr>
      <w:r w:rsidRPr="00442592">
        <w:t xml:space="preserve">Direct comparison of BMD outcomes with romosozumab versus teriparatide in postmenopausal women with osteoporosis who were previously treated with anti-resorptive therapy (STRUCTURE). </w:t>
      </w:r>
    </w:p>
    <w:p w14:paraId="19D0B8B2" w14:textId="77777777" w:rsidR="00175FFA" w:rsidRPr="00442592" w:rsidRDefault="00175FFA" w:rsidP="006215FA">
      <w:pPr>
        <w:pStyle w:val="ExecSumBodyText"/>
        <w:numPr>
          <w:ilvl w:val="0"/>
          <w:numId w:val="8"/>
        </w:numPr>
        <w:spacing w:after="0"/>
        <w:ind w:left="1077" w:hanging="357"/>
      </w:pPr>
      <w:r w:rsidRPr="00442592">
        <w:t>Indirect comparison of fracture outcomes with romosozumab (FRAME) versus teriparatide (GHAC, ACTIVE) using placebo as the common comparator in postmenopausal women with osteoporosis who were predominantly naïve to anti-resorptive therapy.</w:t>
      </w:r>
    </w:p>
    <w:p w14:paraId="7F050D05" w14:textId="7FD17C03" w:rsidR="00175FFA" w:rsidRPr="00442592" w:rsidRDefault="00175FFA" w:rsidP="006215FA">
      <w:pPr>
        <w:pStyle w:val="ExecSumBodyText"/>
        <w:numPr>
          <w:ilvl w:val="0"/>
          <w:numId w:val="8"/>
        </w:numPr>
        <w:spacing w:after="0"/>
        <w:ind w:left="1077" w:hanging="357"/>
      </w:pPr>
      <w:r w:rsidRPr="00442592">
        <w:t>Supportive direct comparison of BMD outcomes with romosozumab versus placebo in men with osteoporosis (BRIDGE).</w:t>
      </w:r>
    </w:p>
    <w:p w14:paraId="2D017509" w14:textId="40BF0E42" w:rsidR="00175FFA" w:rsidRPr="00442592" w:rsidRDefault="00175FFA" w:rsidP="006215FA">
      <w:pPr>
        <w:pStyle w:val="ExecSumBodyText"/>
        <w:numPr>
          <w:ilvl w:val="0"/>
          <w:numId w:val="8"/>
        </w:numPr>
        <w:spacing w:after="0"/>
        <w:ind w:left="1077" w:hanging="357"/>
      </w:pPr>
      <w:r w:rsidRPr="00442592">
        <w:t>Supportive non-inferiority analysis of BMD outcomes with the marketed formulation of romosozumab compared to the romosozumab formulation used in the key trials (Study 156).</w:t>
      </w:r>
    </w:p>
    <w:p w14:paraId="7C92E3FF" w14:textId="51B3E2D8" w:rsidR="00565215" w:rsidRPr="00442592" w:rsidRDefault="00565215" w:rsidP="006215FA">
      <w:pPr>
        <w:pStyle w:val="ExecSumBodyText"/>
        <w:numPr>
          <w:ilvl w:val="0"/>
          <w:numId w:val="8"/>
        </w:numPr>
      </w:pPr>
      <w:r w:rsidRPr="00442592">
        <w:t xml:space="preserve">Supportive </w:t>
      </w:r>
      <w:r w:rsidR="00660E8D" w:rsidRPr="00442592">
        <w:t>direct comparison of BMD outcomes from a Phase 2 dose ranging study (Study 326) comparing romosozumab, alendronate, teriparatide and p</w:t>
      </w:r>
      <w:r w:rsidR="00382A5D" w:rsidRPr="00442592">
        <w:t xml:space="preserve">lacebo. </w:t>
      </w:r>
    </w:p>
    <w:p w14:paraId="368E5370" w14:textId="17322DF4" w:rsidR="00175FFA" w:rsidRPr="00442592" w:rsidRDefault="004D717E" w:rsidP="002E4F02">
      <w:pPr>
        <w:pStyle w:val="ExecSumBodyText"/>
      </w:pPr>
      <w:r w:rsidRPr="00442592">
        <w:t xml:space="preserve">The resubmission was based on a direct comparison of romosozumab versus alendronate in the ARCH trial only. The resubmission excluded all other identified trials </w:t>
      </w:r>
      <w:r w:rsidR="00875506" w:rsidRPr="00442592">
        <w:t>as ARCH</w:t>
      </w:r>
      <w:r w:rsidRPr="00442592">
        <w:t xml:space="preserve"> </w:t>
      </w:r>
      <w:r w:rsidR="00EA2FBF" w:rsidRPr="00442592">
        <w:t>wa</w:t>
      </w:r>
      <w:r w:rsidRPr="00442592">
        <w:t xml:space="preserve">s the only trial </w:t>
      </w:r>
      <w:r w:rsidR="00875506" w:rsidRPr="00442592">
        <w:t>comparing</w:t>
      </w:r>
      <w:r w:rsidRPr="00442592">
        <w:t xml:space="preserve"> romosozumab with an anti-resorptive agent</w:t>
      </w:r>
      <w:r w:rsidR="00875506" w:rsidRPr="00442592">
        <w:t xml:space="preserve"> </w:t>
      </w:r>
      <w:r w:rsidRPr="00442592">
        <w:t>and included fracture outcomes. The exclusion of the STRUCTURE trial</w:t>
      </w:r>
      <w:r w:rsidR="00136CAF" w:rsidRPr="00442592">
        <w:t xml:space="preserve"> (BMD outcomes only)</w:t>
      </w:r>
      <w:r w:rsidRPr="00442592">
        <w:t xml:space="preserve"> was inadequately justified given PBAC’s </w:t>
      </w:r>
      <w:r w:rsidR="00380F09">
        <w:t xml:space="preserve">previous </w:t>
      </w:r>
      <w:r w:rsidRPr="00442592">
        <w:t>concerns surrounding the applicability of the ARCH trial to patients previously treated with anti-resorptives. Likewise, the exclusion of the FRAME</w:t>
      </w:r>
      <w:r w:rsidR="00136CAF" w:rsidRPr="00442592">
        <w:t xml:space="preserve"> placebo-controlled</w:t>
      </w:r>
      <w:r w:rsidRPr="00442592">
        <w:t xml:space="preserve"> trial was inadequately justified as it provided evidence of residual efficacy associated with the follow-up use of denosumab after 12 months of romosozumab. </w:t>
      </w:r>
      <w:r w:rsidR="008B7BDF" w:rsidRPr="00442592">
        <w:t>These trials</w:t>
      </w:r>
      <w:r w:rsidRPr="00442592">
        <w:t xml:space="preserve"> were included during the evaluation.</w:t>
      </w:r>
    </w:p>
    <w:p w14:paraId="7843FC60" w14:textId="55537748" w:rsidR="003918A3" w:rsidRPr="00442592" w:rsidRDefault="003918A3" w:rsidP="007437A2">
      <w:pPr>
        <w:pStyle w:val="ExecSumBodyText"/>
        <w:spacing w:after="0"/>
      </w:pPr>
      <w:r w:rsidRPr="00442592">
        <w:t>The following post-hoc subgroup analyses were provided with the resubmission</w:t>
      </w:r>
      <w:r w:rsidR="00B21E29" w:rsidRPr="00442592">
        <w:t xml:space="preserve"> and </w:t>
      </w:r>
      <w:r w:rsidRPr="00442592">
        <w:t xml:space="preserve">used to estimate the size of the eligible population in the financial estimates. These data </w:t>
      </w:r>
      <w:r w:rsidR="00C11AB8" w:rsidRPr="00442592">
        <w:t>ha</w:t>
      </w:r>
      <w:r w:rsidR="00C11AB8">
        <w:t>d</w:t>
      </w:r>
      <w:r w:rsidR="00C11AB8" w:rsidRPr="00442592">
        <w:t xml:space="preserve"> </w:t>
      </w:r>
      <w:r w:rsidRPr="00442592">
        <w:t>not previously been considered by the PBAC:</w:t>
      </w:r>
    </w:p>
    <w:p w14:paraId="4ECDA9F4" w14:textId="7CC384E6" w:rsidR="00CC10EA" w:rsidRPr="00442592" w:rsidRDefault="003918A3" w:rsidP="006215FA">
      <w:pPr>
        <w:pStyle w:val="ExecSumBodyText"/>
        <w:numPr>
          <w:ilvl w:val="0"/>
          <w:numId w:val="9"/>
        </w:numPr>
        <w:spacing w:after="0"/>
        <w:ind w:left="1077" w:hanging="357"/>
      </w:pPr>
      <w:r w:rsidRPr="00442592">
        <w:t>Post-hoc analysis of baseline fracture history in the ARCH trial to determine the proportion of patients with BMD T-score ≤</w:t>
      </w:r>
      <w:r w:rsidR="00FD7591">
        <w:t> </w:t>
      </w:r>
      <w:r w:rsidRPr="00442592">
        <w:t xml:space="preserve">-2.5 who have a history of multiple clinical fractures (any site) OR at least one hip or clinical vertebral fracture. </w:t>
      </w:r>
    </w:p>
    <w:p w14:paraId="385B754F" w14:textId="40D09ED8" w:rsidR="003918A3" w:rsidRPr="00CC10EA" w:rsidRDefault="003918A3" w:rsidP="006215FA">
      <w:pPr>
        <w:pStyle w:val="ExecSumBodyText"/>
        <w:numPr>
          <w:ilvl w:val="0"/>
          <w:numId w:val="9"/>
        </w:numPr>
        <w:rPr>
          <w:i/>
          <w:iCs/>
        </w:rPr>
      </w:pPr>
      <w:r w:rsidRPr="002D1BAC">
        <w:t xml:space="preserve">Post-hoc analysis of fracture outcomes in subgroups stratified by baseline </w:t>
      </w:r>
      <w:r w:rsidR="00501188" w:rsidRPr="002D1BAC">
        <w:t xml:space="preserve">lumbar spine </w:t>
      </w:r>
      <w:r w:rsidRPr="002D1BAC">
        <w:t>BMD T-scores and number of prior fractures (vertebral or non-vertebral reported in patient history) in the alendronate arm of the ARCH trial</w:t>
      </w:r>
      <w:r w:rsidRPr="00CC10EA">
        <w:rPr>
          <w:i/>
          <w:iCs/>
        </w:rPr>
        <w:t>.</w:t>
      </w:r>
    </w:p>
    <w:p w14:paraId="5688B564" w14:textId="386E428D" w:rsidR="004D717E" w:rsidRPr="00442592" w:rsidRDefault="007437A2" w:rsidP="002E4F02">
      <w:pPr>
        <w:pStyle w:val="ExecSumBodyText"/>
      </w:pPr>
      <w:r w:rsidRPr="00442592">
        <w:t xml:space="preserve">During the evaluation, </w:t>
      </w:r>
      <w:r w:rsidR="00150E4E" w:rsidRPr="00442592">
        <w:t xml:space="preserve">other post-hoc analyses of BMD outcomes in </w:t>
      </w:r>
      <w:r w:rsidR="00B0378B" w:rsidRPr="00442592">
        <w:t>romosozumab trials (</w:t>
      </w:r>
      <w:r w:rsidR="00150E4E" w:rsidRPr="00442592">
        <w:t>ARCH, FRAME, STRUCTURE and Study 326</w:t>
      </w:r>
      <w:r w:rsidR="00B0378B" w:rsidRPr="00442592">
        <w:t>)</w:t>
      </w:r>
      <w:r w:rsidR="00150E4E" w:rsidRPr="00442592">
        <w:t xml:space="preserve"> were identified </w:t>
      </w:r>
      <w:r w:rsidR="00875506" w:rsidRPr="00442592">
        <w:t>and included as supportive evidence.</w:t>
      </w:r>
    </w:p>
    <w:p w14:paraId="1BDB09D5" w14:textId="605B7F30" w:rsidR="004E4F93" w:rsidRPr="00442592" w:rsidRDefault="00BB5D4B" w:rsidP="00C4368B">
      <w:pPr>
        <w:pStyle w:val="ExecSumBodyText"/>
      </w:pPr>
      <w:r w:rsidRPr="00442592">
        <w:t xml:space="preserve">The resubmission used results from an indirect comparison of fracture outcomes between denosumab (FREEDOM trial) and alendronate (FIT-VFA, FIT-CFA trials) using placebo as a common reference, to inform a sensitivity analysis with denosumab as an alternative comparator in the economic model. </w:t>
      </w:r>
      <w:r w:rsidR="00CC5A6F" w:rsidRPr="00442592">
        <w:t>These results were previously considered by the PBAC</w:t>
      </w:r>
      <w:r w:rsidR="00171BFF" w:rsidRPr="00442592">
        <w:t xml:space="preserve"> which considered that denosumab appears similar to alendronate with respect to comparative efficacy</w:t>
      </w:r>
      <w:r w:rsidR="00CC5A6F" w:rsidRPr="00442592">
        <w:t xml:space="preserve"> (Section 8, denosumab PSD, March 2012 PBAC meeting)</w:t>
      </w:r>
      <w:r w:rsidR="00EF0562" w:rsidRPr="00442592">
        <w:t>.</w:t>
      </w:r>
      <w:r w:rsidR="00C4368B">
        <w:t xml:space="preserve"> </w:t>
      </w:r>
      <w:r w:rsidR="00B42388" w:rsidRPr="00442592">
        <w:t xml:space="preserve">There are no available data directly comparing romosozumab and denosumab. </w:t>
      </w:r>
    </w:p>
    <w:p w14:paraId="2B59ABAC" w14:textId="163DD304" w:rsidR="00862502" w:rsidRPr="00442592" w:rsidRDefault="00A73134" w:rsidP="002E4F02">
      <w:pPr>
        <w:pStyle w:val="ExecSumBodyText"/>
      </w:pPr>
      <w:r w:rsidRPr="008B7BDF">
        <w:rPr>
          <w:snapToGrid/>
        </w:rPr>
        <w:t>Details of the</w:t>
      </w:r>
      <w:r w:rsidR="008B7BDF" w:rsidRPr="008B7BDF">
        <w:rPr>
          <w:snapToGrid/>
        </w:rPr>
        <w:t xml:space="preserve"> trials </w:t>
      </w:r>
      <w:r w:rsidR="00EA2FBF">
        <w:rPr>
          <w:snapToGrid/>
        </w:rPr>
        <w:t xml:space="preserve">included in the </w:t>
      </w:r>
      <w:r w:rsidR="00EA2FBF" w:rsidRPr="00442592">
        <w:rPr>
          <w:snapToGrid/>
        </w:rPr>
        <w:t xml:space="preserve">resubmission </w:t>
      </w:r>
      <w:r w:rsidR="00303477" w:rsidRPr="00442592">
        <w:rPr>
          <w:snapToGrid/>
        </w:rPr>
        <w:t xml:space="preserve">and during the evaluation </w:t>
      </w:r>
      <w:r w:rsidR="008B7BDF" w:rsidRPr="00442592">
        <w:rPr>
          <w:snapToGrid/>
        </w:rPr>
        <w:t>are presented in the table below.</w:t>
      </w:r>
    </w:p>
    <w:p w14:paraId="66292128" w14:textId="7F0EC828" w:rsidR="009B1CAA" w:rsidRDefault="009B1CAA" w:rsidP="009B1CAA">
      <w:pPr>
        <w:pStyle w:val="TableFigureCaption"/>
      </w:pPr>
      <w:r>
        <w:t xml:space="preserve">Table </w:t>
      </w:r>
      <w:fldSimple w:instr=" SEQ Table \* ARABIC ">
        <w:r w:rsidR="00016A98">
          <w:rPr>
            <w:noProof/>
          </w:rPr>
          <w:t>4</w:t>
        </w:r>
      </w:fldSimple>
      <w:r>
        <w:t xml:space="preserve">: </w:t>
      </w:r>
      <w:r w:rsidR="00303477">
        <w:t>Included t</w:t>
      </w:r>
      <w:r>
        <w:t xml:space="preserve">rials and associated reports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1E0" w:firstRow="1" w:lastRow="1" w:firstColumn="1" w:lastColumn="1" w:noHBand="0" w:noVBand="0"/>
      </w:tblPr>
      <w:tblGrid>
        <w:gridCol w:w="1102"/>
        <w:gridCol w:w="5711"/>
        <w:gridCol w:w="2204"/>
      </w:tblGrid>
      <w:tr w:rsidR="009B1CAA" w:rsidRPr="00B41614" w14:paraId="7591844E" w14:textId="77777777" w:rsidTr="009B1CAA">
        <w:trPr>
          <w:tblHeader/>
        </w:trPr>
        <w:tc>
          <w:tcPr>
            <w:tcW w:w="611" w:type="pct"/>
            <w:tcBorders>
              <w:bottom w:val="single" w:sz="4" w:space="0" w:color="auto"/>
            </w:tcBorders>
            <w:vAlign w:val="center"/>
          </w:tcPr>
          <w:p w14:paraId="07D62173" w14:textId="77777777" w:rsidR="009B1CAA" w:rsidRPr="00B41614" w:rsidRDefault="009B1CAA" w:rsidP="001F73B8">
            <w:pPr>
              <w:pStyle w:val="Tabletext0"/>
              <w:keepNext/>
              <w:rPr>
                <w:b/>
              </w:rPr>
            </w:pPr>
            <w:r w:rsidRPr="00B41614">
              <w:rPr>
                <w:b/>
              </w:rPr>
              <w:t>Trial ID</w:t>
            </w:r>
          </w:p>
        </w:tc>
        <w:tc>
          <w:tcPr>
            <w:tcW w:w="3167" w:type="pct"/>
            <w:tcBorders>
              <w:bottom w:val="single" w:sz="4" w:space="0" w:color="auto"/>
            </w:tcBorders>
            <w:vAlign w:val="center"/>
          </w:tcPr>
          <w:p w14:paraId="3CCDDC38" w14:textId="77777777" w:rsidR="009B1CAA" w:rsidRPr="00B41614" w:rsidRDefault="009B1CAA" w:rsidP="001F73B8">
            <w:pPr>
              <w:pStyle w:val="Tabletext0"/>
              <w:keepNext/>
              <w:jc w:val="center"/>
              <w:rPr>
                <w:b/>
              </w:rPr>
            </w:pPr>
            <w:r w:rsidRPr="00B41614">
              <w:rPr>
                <w:b/>
              </w:rPr>
              <w:t>Protocol title/ Publication title</w:t>
            </w:r>
          </w:p>
        </w:tc>
        <w:tc>
          <w:tcPr>
            <w:tcW w:w="1222" w:type="pct"/>
            <w:tcBorders>
              <w:bottom w:val="single" w:sz="4" w:space="0" w:color="auto"/>
            </w:tcBorders>
            <w:vAlign w:val="center"/>
          </w:tcPr>
          <w:p w14:paraId="408626F6" w14:textId="77777777" w:rsidR="009B1CAA" w:rsidRPr="00B41614" w:rsidRDefault="009B1CAA" w:rsidP="001F73B8">
            <w:pPr>
              <w:pStyle w:val="Tabletext0"/>
              <w:keepNext/>
              <w:jc w:val="center"/>
              <w:rPr>
                <w:b/>
              </w:rPr>
            </w:pPr>
            <w:r w:rsidRPr="00B41614">
              <w:rPr>
                <w:b/>
              </w:rPr>
              <w:t>Publication citation</w:t>
            </w:r>
          </w:p>
        </w:tc>
      </w:tr>
      <w:tr w:rsidR="009B1CAA" w:rsidRPr="00CB38A8" w14:paraId="6EDD1D51" w14:textId="77777777" w:rsidTr="009B1CAA">
        <w:tc>
          <w:tcPr>
            <w:tcW w:w="611" w:type="pct"/>
            <w:vMerge w:val="restart"/>
            <w:tcBorders>
              <w:top w:val="single" w:sz="4" w:space="0" w:color="auto"/>
              <w:left w:val="single" w:sz="4" w:space="0" w:color="auto"/>
              <w:right w:val="single" w:sz="4" w:space="0" w:color="auto"/>
            </w:tcBorders>
            <w:vAlign w:val="center"/>
          </w:tcPr>
          <w:p w14:paraId="6A8D957A" w14:textId="77777777" w:rsidR="009B1CAA" w:rsidRPr="00D45D75" w:rsidRDefault="009B1CAA" w:rsidP="001F73B8">
            <w:pPr>
              <w:pStyle w:val="Tabletext0"/>
              <w:keepNext/>
            </w:pPr>
            <w:r>
              <w:t>ARCH</w:t>
            </w:r>
          </w:p>
        </w:tc>
        <w:tc>
          <w:tcPr>
            <w:tcW w:w="3167" w:type="pct"/>
            <w:tcBorders>
              <w:top w:val="single" w:sz="4" w:space="0" w:color="auto"/>
              <w:left w:val="single" w:sz="4" w:space="0" w:color="auto"/>
              <w:bottom w:val="nil"/>
              <w:right w:val="single" w:sz="4" w:space="0" w:color="auto"/>
            </w:tcBorders>
          </w:tcPr>
          <w:p w14:paraId="54AC4DF3" w14:textId="77777777" w:rsidR="009B1CAA" w:rsidRDefault="009B1CAA" w:rsidP="001F73B8">
            <w:pPr>
              <w:pStyle w:val="Tabletext0"/>
              <w:keepNext/>
              <w:rPr>
                <w:szCs w:val="18"/>
              </w:rPr>
            </w:pPr>
            <w:r>
              <w:rPr>
                <w:szCs w:val="18"/>
              </w:rPr>
              <w:t xml:space="preserve">Amgen clinical study report (2017). </w:t>
            </w:r>
            <w:r w:rsidRPr="006E6D44">
              <w:rPr>
                <w:szCs w:val="18"/>
              </w:rPr>
              <w:t>A Multicenter, International, Randomized, Double-blind, Alendronate-controlled Study to Determine the Efficacy and Safety of Romosozumab in the Treatment of Postmenopausal Women With Osteoporosis</w:t>
            </w:r>
          </w:p>
        </w:tc>
        <w:tc>
          <w:tcPr>
            <w:tcW w:w="1222" w:type="pct"/>
            <w:tcBorders>
              <w:top w:val="single" w:sz="4" w:space="0" w:color="auto"/>
              <w:left w:val="single" w:sz="4" w:space="0" w:color="auto"/>
              <w:bottom w:val="nil"/>
              <w:right w:val="single" w:sz="4" w:space="0" w:color="auto"/>
            </w:tcBorders>
          </w:tcPr>
          <w:p w14:paraId="71373AF1" w14:textId="77777777" w:rsidR="009B1CAA" w:rsidRDefault="009B1CAA" w:rsidP="001F73B8">
            <w:pPr>
              <w:pStyle w:val="Tabletext0"/>
              <w:keepNext/>
            </w:pPr>
            <w:r>
              <w:t>Internal study report</w:t>
            </w:r>
          </w:p>
        </w:tc>
      </w:tr>
      <w:tr w:rsidR="009B1CAA" w:rsidRPr="00CB38A8" w14:paraId="24C2B796" w14:textId="77777777" w:rsidTr="009B1CAA">
        <w:tc>
          <w:tcPr>
            <w:tcW w:w="611" w:type="pct"/>
            <w:vMerge/>
            <w:tcBorders>
              <w:left w:val="single" w:sz="4" w:space="0" w:color="auto"/>
              <w:right w:val="single" w:sz="4" w:space="0" w:color="auto"/>
            </w:tcBorders>
            <w:vAlign w:val="center"/>
          </w:tcPr>
          <w:p w14:paraId="33BAB0AD" w14:textId="77777777" w:rsidR="009B1CAA" w:rsidRDefault="009B1CAA" w:rsidP="001F73B8">
            <w:pPr>
              <w:pStyle w:val="Tabletext0"/>
              <w:keepNext/>
            </w:pPr>
          </w:p>
        </w:tc>
        <w:tc>
          <w:tcPr>
            <w:tcW w:w="3167" w:type="pct"/>
            <w:tcBorders>
              <w:top w:val="nil"/>
              <w:left w:val="single" w:sz="4" w:space="0" w:color="auto"/>
              <w:bottom w:val="single" w:sz="4" w:space="0" w:color="auto"/>
              <w:right w:val="single" w:sz="4" w:space="0" w:color="auto"/>
            </w:tcBorders>
          </w:tcPr>
          <w:p w14:paraId="1C18A741" w14:textId="77777777" w:rsidR="009B1CAA" w:rsidRDefault="009B1CAA" w:rsidP="001F73B8">
            <w:pPr>
              <w:pStyle w:val="Tabletext0"/>
              <w:keepNext/>
              <w:rPr>
                <w:szCs w:val="18"/>
              </w:rPr>
            </w:pPr>
            <w:r w:rsidRPr="006E6D44">
              <w:rPr>
                <w:szCs w:val="18"/>
              </w:rPr>
              <w:t>Saag K et al</w:t>
            </w:r>
            <w:r>
              <w:rPr>
                <w:szCs w:val="18"/>
              </w:rPr>
              <w:t xml:space="preserve"> (2017)</w:t>
            </w:r>
            <w:r w:rsidRPr="006E6D44">
              <w:rPr>
                <w:szCs w:val="18"/>
              </w:rPr>
              <w:t xml:space="preserve">. Romosozumab or Alendronate for Fracture Prevention in Women with Osteoporosis. </w:t>
            </w:r>
          </w:p>
        </w:tc>
        <w:tc>
          <w:tcPr>
            <w:tcW w:w="1222" w:type="pct"/>
            <w:tcBorders>
              <w:top w:val="nil"/>
              <w:left w:val="single" w:sz="4" w:space="0" w:color="auto"/>
              <w:bottom w:val="single" w:sz="4" w:space="0" w:color="auto"/>
              <w:right w:val="single" w:sz="4" w:space="0" w:color="auto"/>
            </w:tcBorders>
          </w:tcPr>
          <w:p w14:paraId="78D52A3F" w14:textId="77777777" w:rsidR="009B1CAA" w:rsidRDefault="009B1CAA" w:rsidP="001F73B8">
            <w:pPr>
              <w:pStyle w:val="Tabletext0"/>
              <w:keepNext/>
            </w:pPr>
            <w:r w:rsidRPr="006E6D44">
              <w:rPr>
                <w:szCs w:val="18"/>
              </w:rPr>
              <w:t>N</w:t>
            </w:r>
            <w:r>
              <w:rPr>
                <w:szCs w:val="18"/>
              </w:rPr>
              <w:t>ew</w:t>
            </w:r>
            <w:r w:rsidRPr="006E6D44">
              <w:rPr>
                <w:szCs w:val="18"/>
              </w:rPr>
              <w:t xml:space="preserve"> Engl</w:t>
            </w:r>
            <w:r>
              <w:rPr>
                <w:szCs w:val="18"/>
              </w:rPr>
              <w:t>and</w:t>
            </w:r>
            <w:r w:rsidRPr="006E6D44">
              <w:rPr>
                <w:szCs w:val="18"/>
              </w:rPr>
              <w:t xml:space="preserve"> J</w:t>
            </w:r>
            <w:r>
              <w:rPr>
                <w:szCs w:val="18"/>
              </w:rPr>
              <w:t>ournal of</w:t>
            </w:r>
            <w:r w:rsidRPr="006E6D44">
              <w:rPr>
                <w:szCs w:val="18"/>
              </w:rPr>
              <w:t xml:space="preserve"> Med</w:t>
            </w:r>
            <w:r>
              <w:rPr>
                <w:szCs w:val="18"/>
              </w:rPr>
              <w:t xml:space="preserve">icine </w:t>
            </w:r>
            <w:r w:rsidRPr="006E6D44">
              <w:rPr>
                <w:szCs w:val="18"/>
              </w:rPr>
              <w:t>377:</w:t>
            </w:r>
            <w:r>
              <w:rPr>
                <w:szCs w:val="18"/>
              </w:rPr>
              <w:t xml:space="preserve"> 1417-1427</w:t>
            </w:r>
          </w:p>
        </w:tc>
      </w:tr>
      <w:tr w:rsidR="009B1CAA" w:rsidRPr="00CB38A8" w14:paraId="2360540F" w14:textId="77777777" w:rsidTr="009B1CAA">
        <w:tc>
          <w:tcPr>
            <w:tcW w:w="611" w:type="pct"/>
            <w:vMerge w:val="restart"/>
            <w:tcBorders>
              <w:left w:val="single" w:sz="4" w:space="0" w:color="auto"/>
              <w:right w:val="single" w:sz="4" w:space="0" w:color="auto"/>
            </w:tcBorders>
            <w:vAlign w:val="center"/>
          </w:tcPr>
          <w:p w14:paraId="3A32F4E2" w14:textId="77777777" w:rsidR="009B1CAA" w:rsidRDefault="009B1CAA" w:rsidP="001F73B8">
            <w:pPr>
              <w:pStyle w:val="Tabletext0"/>
              <w:keepNext/>
            </w:pPr>
            <w:r>
              <w:t>FRAME</w:t>
            </w:r>
          </w:p>
        </w:tc>
        <w:tc>
          <w:tcPr>
            <w:tcW w:w="3167" w:type="pct"/>
            <w:tcBorders>
              <w:top w:val="single" w:sz="4" w:space="0" w:color="auto"/>
              <w:left w:val="single" w:sz="4" w:space="0" w:color="auto"/>
              <w:bottom w:val="nil"/>
              <w:right w:val="single" w:sz="4" w:space="0" w:color="auto"/>
            </w:tcBorders>
          </w:tcPr>
          <w:p w14:paraId="4FE94769" w14:textId="77777777" w:rsidR="009B1CAA" w:rsidRPr="00EB0A14" w:rsidRDefault="009B1CAA" w:rsidP="001F73B8">
            <w:pPr>
              <w:pStyle w:val="Tabletext0"/>
              <w:keepNext/>
              <w:rPr>
                <w:szCs w:val="18"/>
              </w:rPr>
            </w:pPr>
            <w:r>
              <w:rPr>
                <w:szCs w:val="18"/>
              </w:rPr>
              <w:t xml:space="preserve">Amgen clinical study report (2017). </w:t>
            </w:r>
            <w:r w:rsidRPr="00EB0A14">
              <w:rPr>
                <w:szCs w:val="18"/>
              </w:rPr>
              <w:t>A Multicenter, International, Randomized, Double-blind, Placebo-controlled, Parallel-group Study to Assess the Efficacy and Safety of Romosozumab Treatment in Postmenopausal Women With Osteoporosis</w:t>
            </w:r>
          </w:p>
        </w:tc>
        <w:tc>
          <w:tcPr>
            <w:tcW w:w="1222" w:type="pct"/>
            <w:tcBorders>
              <w:top w:val="single" w:sz="4" w:space="0" w:color="auto"/>
              <w:left w:val="single" w:sz="4" w:space="0" w:color="auto"/>
              <w:bottom w:val="nil"/>
              <w:right w:val="single" w:sz="4" w:space="0" w:color="auto"/>
            </w:tcBorders>
          </w:tcPr>
          <w:p w14:paraId="436561A8" w14:textId="77777777" w:rsidR="009B1CAA" w:rsidRPr="00EB0A14" w:rsidRDefault="009B1CAA" w:rsidP="001F73B8">
            <w:pPr>
              <w:pStyle w:val="Tabletext0"/>
              <w:keepNext/>
            </w:pPr>
            <w:r>
              <w:t>Internal study report</w:t>
            </w:r>
          </w:p>
        </w:tc>
      </w:tr>
      <w:tr w:rsidR="009B1CAA" w:rsidRPr="00CB38A8" w14:paraId="28502876" w14:textId="77777777" w:rsidTr="009B1CAA">
        <w:tc>
          <w:tcPr>
            <w:tcW w:w="611" w:type="pct"/>
            <w:vMerge/>
            <w:tcBorders>
              <w:left w:val="single" w:sz="4" w:space="0" w:color="auto"/>
              <w:right w:val="single" w:sz="4" w:space="0" w:color="auto"/>
            </w:tcBorders>
            <w:vAlign w:val="center"/>
          </w:tcPr>
          <w:p w14:paraId="418577C0" w14:textId="77777777" w:rsidR="009B1CAA" w:rsidRDefault="009B1CAA" w:rsidP="001F73B8">
            <w:pPr>
              <w:pStyle w:val="Tabletext0"/>
              <w:keepNext/>
            </w:pPr>
          </w:p>
        </w:tc>
        <w:tc>
          <w:tcPr>
            <w:tcW w:w="3167" w:type="pct"/>
            <w:tcBorders>
              <w:top w:val="nil"/>
              <w:left w:val="single" w:sz="4" w:space="0" w:color="auto"/>
              <w:bottom w:val="nil"/>
              <w:right w:val="single" w:sz="4" w:space="0" w:color="auto"/>
            </w:tcBorders>
          </w:tcPr>
          <w:p w14:paraId="384FD259" w14:textId="77777777" w:rsidR="009B1CAA" w:rsidRDefault="009B1CAA" w:rsidP="001F73B8">
            <w:pPr>
              <w:pStyle w:val="Tabletext0"/>
              <w:keepNext/>
              <w:rPr>
                <w:szCs w:val="18"/>
              </w:rPr>
            </w:pPr>
            <w:r w:rsidRPr="00EB0A14">
              <w:rPr>
                <w:szCs w:val="18"/>
              </w:rPr>
              <w:t>Cosman F et al</w:t>
            </w:r>
            <w:r>
              <w:rPr>
                <w:szCs w:val="18"/>
              </w:rPr>
              <w:t xml:space="preserve"> (2016)</w:t>
            </w:r>
            <w:r w:rsidRPr="00EB0A14">
              <w:rPr>
                <w:szCs w:val="18"/>
              </w:rPr>
              <w:t xml:space="preserve">. Romosozumab Treatment in Postmenopausal Women with Osteoporosis. </w:t>
            </w:r>
          </w:p>
        </w:tc>
        <w:tc>
          <w:tcPr>
            <w:tcW w:w="1222" w:type="pct"/>
            <w:tcBorders>
              <w:top w:val="nil"/>
              <w:left w:val="single" w:sz="4" w:space="0" w:color="auto"/>
              <w:bottom w:val="nil"/>
              <w:right w:val="single" w:sz="4" w:space="0" w:color="auto"/>
            </w:tcBorders>
          </w:tcPr>
          <w:p w14:paraId="694572C0" w14:textId="77777777" w:rsidR="009B1CAA" w:rsidRDefault="009B1CAA" w:rsidP="001F73B8">
            <w:pPr>
              <w:pStyle w:val="Tabletext0"/>
              <w:keepNext/>
            </w:pPr>
            <w:r w:rsidRPr="00EB0A14">
              <w:rPr>
                <w:szCs w:val="18"/>
              </w:rPr>
              <w:t>N</w:t>
            </w:r>
            <w:r>
              <w:rPr>
                <w:szCs w:val="18"/>
              </w:rPr>
              <w:t>ew</w:t>
            </w:r>
            <w:r w:rsidRPr="00EB0A14">
              <w:rPr>
                <w:szCs w:val="18"/>
              </w:rPr>
              <w:t xml:space="preserve"> Engl</w:t>
            </w:r>
            <w:r>
              <w:rPr>
                <w:szCs w:val="18"/>
              </w:rPr>
              <w:t>and</w:t>
            </w:r>
            <w:r w:rsidRPr="00EB0A14">
              <w:rPr>
                <w:szCs w:val="18"/>
              </w:rPr>
              <w:t xml:space="preserve"> J</w:t>
            </w:r>
            <w:r>
              <w:rPr>
                <w:szCs w:val="18"/>
              </w:rPr>
              <w:t>ournal of</w:t>
            </w:r>
            <w:r w:rsidRPr="00EB0A14">
              <w:rPr>
                <w:szCs w:val="18"/>
              </w:rPr>
              <w:t xml:space="preserve"> Med</w:t>
            </w:r>
            <w:r>
              <w:rPr>
                <w:szCs w:val="18"/>
              </w:rPr>
              <w:t xml:space="preserve">icine </w:t>
            </w:r>
            <w:r w:rsidRPr="00EB0A14">
              <w:rPr>
                <w:szCs w:val="18"/>
              </w:rPr>
              <w:t>375:</w:t>
            </w:r>
            <w:r>
              <w:rPr>
                <w:szCs w:val="18"/>
              </w:rPr>
              <w:t xml:space="preserve"> </w:t>
            </w:r>
            <w:r w:rsidRPr="00EB0A14">
              <w:rPr>
                <w:szCs w:val="18"/>
              </w:rPr>
              <w:t>1532-</w:t>
            </w:r>
            <w:r>
              <w:rPr>
                <w:szCs w:val="18"/>
              </w:rPr>
              <w:t>1543</w:t>
            </w:r>
          </w:p>
        </w:tc>
      </w:tr>
      <w:tr w:rsidR="009B1CAA" w:rsidRPr="00CB38A8" w14:paraId="56B56753" w14:textId="77777777" w:rsidTr="009B1CAA">
        <w:tc>
          <w:tcPr>
            <w:tcW w:w="611" w:type="pct"/>
            <w:vMerge/>
            <w:tcBorders>
              <w:left w:val="single" w:sz="4" w:space="0" w:color="auto"/>
              <w:right w:val="single" w:sz="4" w:space="0" w:color="auto"/>
            </w:tcBorders>
            <w:vAlign w:val="center"/>
          </w:tcPr>
          <w:p w14:paraId="262D023F" w14:textId="77777777" w:rsidR="009B1CAA" w:rsidRDefault="009B1CAA" w:rsidP="001F73B8">
            <w:pPr>
              <w:pStyle w:val="Tabletext0"/>
              <w:keepNext/>
            </w:pPr>
          </w:p>
        </w:tc>
        <w:tc>
          <w:tcPr>
            <w:tcW w:w="3167" w:type="pct"/>
            <w:tcBorders>
              <w:top w:val="nil"/>
              <w:left w:val="single" w:sz="4" w:space="0" w:color="auto"/>
              <w:bottom w:val="single" w:sz="4" w:space="0" w:color="auto"/>
              <w:right w:val="single" w:sz="4" w:space="0" w:color="auto"/>
            </w:tcBorders>
          </w:tcPr>
          <w:p w14:paraId="27BBFA63" w14:textId="77777777" w:rsidR="009B1CAA" w:rsidRPr="00EB0A14" w:rsidRDefault="009B1CAA" w:rsidP="001F73B8">
            <w:pPr>
              <w:pStyle w:val="Tabletext0"/>
              <w:keepNext/>
              <w:rPr>
                <w:szCs w:val="18"/>
              </w:rPr>
            </w:pPr>
            <w:r w:rsidRPr="00EB0A14">
              <w:rPr>
                <w:szCs w:val="18"/>
              </w:rPr>
              <w:t>Cosman F et al</w:t>
            </w:r>
            <w:r>
              <w:rPr>
                <w:szCs w:val="18"/>
              </w:rPr>
              <w:t xml:space="preserve"> (2018)</w:t>
            </w:r>
            <w:r w:rsidRPr="00EB0A14">
              <w:rPr>
                <w:szCs w:val="18"/>
              </w:rPr>
              <w:t>.</w:t>
            </w:r>
            <w:r>
              <w:rPr>
                <w:szCs w:val="18"/>
              </w:rPr>
              <w:t xml:space="preserve"> </w:t>
            </w:r>
            <w:r w:rsidRPr="00EB0A14">
              <w:rPr>
                <w:szCs w:val="18"/>
              </w:rPr>
              <w:t>FRAME Study: The Foundation Effect of Building Bone With 1 Year of Romosozumab</w:t>
            </w:r>
          </w:p>
          <w:p w14:paraId="71817716" w14:textId="77777777" w:rsidR="009B1CAA" w:rsidRPr="00EB0A14" w:rsidRDefault="009B1CAA" w:rsidP="001F73B8">
            <w:pPr>
              <w:pStyle w:val="Tabletext0"/>
              <w:keepNext/>
              <w:rPr>
                <w:szCs w:val="18"/>
              </w:rPr>
            </w:pPr>
            <w:r w:rsidRPr="00EB0A14">
              <w:rPr>
                <w:szCs w:val="18"/>
              </w:rPr>
              <w:t>Leads to Continued Lower Fracture Risk After Transition to Denosumab</w:t>
            </w:r>
          </w:p>
        </w:tc>
        <w:tc>
          <w:tcPr>
            <w:tcW w:w="1222" w:type="pct"/>
            <w:tcBorders>
              <w:top w:val="nil"/>
              <w:left w:val="single" w:sz="4" w:space="0" w:color="auto"/>
              <w:bottom w:val="single" w:sz="4" w:space="0" w:color="auto"/>
              <w:right w:val="single" w:sz="4" w:space="0" w:color="auto"/>
            </w:tcBorders>
          </w:tcPr>
          <w:p w14:paraId="0EC28001" w14:textId="77777777" w:rsidR="009B1CAA" w:rsidRPr="00EB0A14" w:rsidRDefault="009B1CAA" w:rsidP="001F73B8">
            <w:pPr>
              <w:pStyle w:val="Tabletext0"/>
              <w:keepNext/>
              <w:rPr>
                <w:szCs w:val="18"/>
              </w:rPr>
            </w:pPr>
            <w:r w:rsidRPr="00EB0A14">
              <w:rPr>
                <w:szCs w:val="18"/>
              </w:rPr>
              <w:t>Journal of Bone and Mineral Research</w:t>
            </w:r>
            <w:r>
              <w:rPr>
                <w:szCs w:val="18"/>
              </w:rPr>
              <w:t xml:space="preserve"> </w:t>
            </w:r>
            <w:r w:rsidRPr="00EB0A14">
              <w:rPr>
                <w:szCs w:val="18"/>
              </w:rPr>
              <w:t>DOI 10.1002/jbmr.3427</w:t>
            </w:r>
          </w:p>
        </w:tc>
      </w:tr>
      <w:tr w:rsidR="009B1CAA" w:rsidRPr="00CB38A8" w14:paraId="58FF96A5" w14:textId="77777777" w:rsidTr="009B1CAA">
        <w:tc>
          <w:tcPr>
            <w:tcW w:w="611" w:type="pct"/>
            <w:vMerge w:val="restart"/>
            <w:tcBorders>
              <w:left w:val="single" w:sz="4" w:space="0" w:color="auto"/>
              <w:right w:val="single" w:sz="4" w:space="0" w:color="auto"/>
            </w:tcBorders>
            <w:vAlign w:val="center"/>
          </w:tcPr>
          <w:p w14:paraId="0849C781" w14:textId="77777777" w:rsidR="009B1CAA" w:rsidRDefault="009B1CAA" w:rsidP="001F73B8">
            <w:pPr>
              <w:pStyle w:val="Tabletext0"/>
              <w:keepNext/>
            </w:pPr>
            <w:r>
              <w:t>STRUCTURE</w:t>
            </w:r>
          </w:p>
        </w:tc>
        <w:tc>
          <w:tcPr>
            <w:tcW w:w="3167" w:type="pct"/>
            <w:tcBorders>
              <w:top w:val="single" w:sz="4" w:space="0" w:color="auto"/>
              <w:left w:val="single" w:sz="4" w:space="0" w:color="auto"/>
              <w:bottom w:val="nil"/>
              <w:right w:val="single" w:sz="4" w:space="0" w:color="auto"/>
            </w:tcBorders>
          </w:tcPr>
          <w:p w14:paraId="11774601" w14:textId="77777777" w:rsidR="009B1CAA" w:rsidRPr="00EB0A14" w:rsidRDefault="009B1CAA" w:rsidP="001F73B8">
            <w:pPr>
              <w:pStyle w:val="Tabletext0"/>
              <w:keepNext/>
              <w:rPr>
                <w:szCs w:val="18"/>
              </w:rPr>
            </w:pPr>
            <w:r>
              <w:rPr>
                <w:szCs w:val="18"/>
              </w:rPr>
              <w:t xml:space="preserve">Amgen clinical study report (2015). </w:t>
            </w:r>
            <w:r w:rsidRPr="007A649A">
              <w:rPr>
                <w:szCs w:val="18"/>
              </w:rPr>
              <w:t>An Open-label, Randomized, Teriparatide-controlled Study to Evaluate the Effect of Treatment With Romosozumab in Postmenopausal Women With Osteoporosis Previously Treated With Bisphosphonate Therapy</w:t>
            </w:r>
          </w:p>
        </w:tc>
        <w:tc>
          <w:tcPr>
            <w:tcW w:w="1222" w:type="pct"/>
            <w:tcBorders>
              <w:top w:val="single" w:sz="4" w:space="0" w:color="auto"/>
              <w:left w:val="single" w:sz="4" w:space="0" w:color="auto"/>
              <w:bottom w:val="nil"/>
              <w:right w:val="single" w:sz="4" w:space="0" w:color="auto"/>
            </w:tcBorders>
          </w:tcPr>
          <w:p w14:paraId="27C5594D" w14:textId="77777777" w:rsidR="009B1CAA" w:rsidRPr="00EB0A14" w:rsidRDefault="009B1CAA" w:rsidP="001F73B8">
            <w:pPr>
              <w:pStyle w:val="Tabletext0"/>
              <w:keepNext/>
              <w:rPr>
                <w:szCs w:val="18"/>
              </w:rPr>
            </w:pPr>
            <w:r>
              <w:t>Internal study report</w:t>
            </w:r>
          </w:p>
        </w:tc>
      </w:tr>
      <w:tr w:rsidR="009B1CAA" w:rsidRPr="00CB38A8" w14:paraId="5FF6403F" w14:textId="77777777" w:rsidTr="009B1CAA">
        <w:tc>
          <w:tcPr>
            <w:tcW w:w="611" w:type="pct"/>
            <w:vMerge/>
            <w:tcBorders>
              <w:left w:val="single" w:sz="4" w:space="0" w:color="auto"/>
              <w:right w:val="single" w:sz="4" w:space="0" w:color="auto"/>
            </w:tcBorders>
            <w:vAlign w:val="center"/>
          </w:tcPr>
          <w:p w14:paraId="60431035" w14:textId="77777777" w:rsidR="009B1CAA" w:rsidRDefault="009B1CAA" w:rsidP="001F73B8">
            <w:pPr>
              <w:pStyle w:val="Tabletext0"/>
              <w:keepNext/>
            </w:pPr>
          </w:p>
        </w:tc>
        <w:tc>
          <w:tcPr>
            <w:tcW w:w="3167" w:type="pct"/>
            <w:tcBorders>
              <w:top w:val="nil"/>
              <w:left w:val="single" w:sz="4" w:space="0" w:color="auto"/>
              <w:bottom w:val="single" w:sz="4" w:space="0" w:color="auto"/>
              <w:right w:val="single" w:sz="4" w:space="0" w:color="auto"/>
            </w:tcBorders>
          </w:tcPr>
          <w:p w14:paraId="07D19A0C" w14:textId="77777777" w:rsidR="009B1CAA" w:rsidRDefault="009B1CAA" w:rsidP="001F73B8">
            <w:pPr>
              <w:pStyle w:val="Tabletext0"/>
              <w:keepNext/>
              <w:rPr>
                <w:szCs w:val="18"/>
              </w:rPr>
            </w:pPr>
            <w:r w:rsidRPr="007A649A">
              <w:rPr>
                <w:szCs w:val="18"/>
              </w:rPr>
              <w:t>Langdahl B et al</w:t>
            </w:r>
            <w:r>
              <w:rPr>
                <w:szCs w:val="18"/>
              </w:rPr>
              <w:t xml:space="preserve"> (2017)</w:t>
            </w:r>
            <w:r w:rsidRPr="007A649A">
              <w:rPr>
                <w:szCs w:val="18"/>
              </w:rPr>
              <w:t xml:space="preserve">. Romosozumab (sclerostin monoclonal antibody) versus teriparatide in postmenopausal women with osteoporosis transitioning from oral bisphosphonate therapy: a randomised, open-label, phase 3 trial.  </w:t>
            </w:r>
          </w:p>
        </w:tc>
        <w:tc>
          <w:tcPr>
            <w:tcW w:w="1222" w:type="pct"/>
            <w:tcBorders>
              <w:top w:val="nil"/>
              <w:left w:val="single" w:sz="4" w:space="0" w:color="auto"/>
              <w:bottom w:val="single" w:sz="4" w:space="0" w:color="auto"/>
              <w:right w:val="single" w:sz="4" w:space="0" w:color="auto"/>
            </w:tcBorders>
          </w:tcPr>
          <w:p w14:paraId="0F0F7B34" w14:textId="77777777" w:rsidR="009B1CAA" w:rsidRDefault="009B1CAA" w:rsidP="001F73B8">
            <w:pPr>
              <w:pStyle w:val="Tabletext0"/>
              <w:keepNext/>
            </w:pPr>
            <w:r>
              <w:rPr>
                <w:szCs w:val="18"/>
              </w:rPr>
              <w:t xml:space="preserve">Lancet </w:t>
            </w:r>
            <w:r w:rsidRPr="007A649A">
              <w:rPr>
                <w:szCs w:val="18"/>
              </w:rPr>
              <w:t>390: 1585–</w:t>
            </w:r>
            <w:r>
              <w:rPr>
                <w:szCs w:val="18"/>
              </w:rPr>
              <w:t>1594</w:t>
            </w:r>
          </w:p>
        </w:tc>
      </w:tr>
    </w:tbl>
    <w:p w14:paraId="51D8173A" w14:textId="59FB6676" w:rsidR="008E0D3C" w:rsidRPr="00262BDA" w:rsidRDefault="00B01EC5" w:rsidP="00EC5836">
      <w:pPr>
        <w:pStyle w:val="TableFigureFooter"/>
        <w:rPr>
          <w:sz w:val="20"/>
        </w:rPr>
      </w:pPr>
      <w:r w:rsidRPr="00B01EC5">
        <w:t>Source: Table 2.2.1, p 31 and Appendix 3 of the resubmission</w:t>
      </w:r>
    </w:p>
    <w:p w14:paraId="3201BF73" w14:textId="64DC84FA" w:rsidR="003F5C1F" w:rsidRPr="003F5C1F" w:rsidRDefault="008F120A" w:rsidP="003F5C1F">
      <w:pPr>
        <w:pStyle w:val="ExecSumBodyText"/>
        <w:rPr>
          <w:color w:val="0066FF"/>
        </w:rPr>
      </w:pPr>
      <w:r w:rsidRPr="00262BDA">
        <w:t xml:space="preserve">The key features of the </w:t>
      </w:r>
      <w:r w:rsidR="003F5C1F">
        <w:t>included trials are summarised in the table below.</w:t>
      </w:r>
    </w:p>
    <w:p w14:paraId="099133CF" w14:textId="01B6FE7C" w:rsidR="000D468D" w:rsidRPr="000D468D" w:rsidRDefault="000D468D" w:rsidP="000D468D">
      <w:pPr>
        <w:pStyle w:val="TableFigureCaption"/>
      </w:pPr>
      <w:r w:rsidRPr="000D468D">
        <w:t xml:space="preserve">Table </w:t>
      </w:r>
      <w:fldSimple w:instr=" SEQ Table \* ARABIC ">
        <w:r w:rsidR="00016A98">
          <w:rPr>
            <w:noProof/>
          </w:rPr>
          <w:t>5</w:t>
        </w:r>
      </w:fldSimple>
      <w:r w:rsidRPr="000D468D">
        <w:t>:</w:t>
      </w:r>
      <w:r w:rsidRPr="000D468D">
        <w:rPr>
          <w:rStyle w:val="CommentReference"/>
          <w:b/>
          <w:szCs w:val="24"/>
        </w:rPr>
        <w:t xml:space="preserve"> Key features of the included evidence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1125"/>
        <w:gridCol w:w="647"/>
        <w:gridCol w:w="1625"/>
        <w:gridCol w:w="783"/>
        <w:gridCol w:w="2058"/>
        <w:gridCol w:w="967"/>
        <w:gridCol w:w="1812"/>
      </w:tblGrid>
      <w:tr w:rsidR="00312146" w:rsidRPr="00B41614" w14:paraId="3D325922" w14:textId="77777777" w:rsidTr="002914DB">
        <w:tc>
          <w:tcPr>
            <w:tcW w:w="624" w:type="pct"/>
            <w:shd w:val="clear" w:color="auto" w:fill="auto"/>
            <w:vAlign w:val="center"/>
          </w:tcPr>
          <w:p w14:paraId="578B9988" w14:textId="77777777" w:rsidR="00312146" w:rsidRPr="00B41614" w:rsidRDefault="00312146" w:rsidP="00E925FC">
            <w:pPr>
              <w:pStyle w:val="Tabletext0"/>
              <w:keepNext/>
              <w:keepLines/>
              <w:rPr>
                <w:b/>
                <w:lang w:val="en-US"/>
              </w:rPr>
            </w:pPr>
            <w:r w:rsidRPr="00B41614">
              <w:rPr>
                <w:b/>
                <w:lang w:val="en-US"/>
              </w:rPr>
              <w:t>Trial</w:t>
            </w:r>
          </w:p>
        </w:tc>
        <w:tc>
          <w:tcPr>
            <w:tcW w:w="359" w:type="pct"/>
            <w:shd w:val="clear" w:color="auto" w:fill="auto"/>
            <w:vAlign w:val="center"/>
          </w:tcPr>
          <w:p w14:paraId="218DD56B" w14:textId="77777777" w:rsidR="00312146" w:rsidRPr="00B41614" w:rsidRDefault="00312146" w:rsidP="00E925FC">
            <w:pPr>
              <w:pStyle w:val="Tabletext0"/>
              <w:keepNext/>
              <w:keepLines/>
              <w:jc w:val="center"/>
              <w:rPr>
                <w:b/>
                <w:lang w:val="en-US"/>
              </w:rPr>
            </w:pPr>
            <w:r w:rsidRPr="00B41614">
              <w:rPr>
                <w:b/>
                <w:lang w:val="en-US"/>
              </w:rPr>
              <w:t>N</w:t>
            </w:r>
          </w:p>
        </w:tc>
        <w:tc>
          <w:tcPr>
            <w:tcW w:w="901" w:type="pct"/>
            <w:shd w:val="clear" w:color="auto" w:fill="auto"/>
            <w:vAlign w:val="center"/>
          </w:tcPr>
          <w:p w14:paraId="594129A2" w14:textId="77777777" w:rsidR="00312146" w:rsidRPr="00B41614" w:rsidRDefault="00312146" w:rsidP="00E925FC">
            <w:pPr>
              <w:pStyle w:val="Tabletext0"/>
              <w:keepNext/>
              <w:keepLines/>
              <w:jc w:val="center"/>
              <w:rPr>
                <w:b/>
                <w:lang w:val="en-US"/>
              </w:rPr>
            </w:pPr>
            <w:r w:rsidRPr="00B41614">
              <w:rPr>
                <w:b/>
                <w:lang w:val="en-US"/>
              </w:rPr>
              <w:t>Design/ duration</w:t>
            </w:r>
          </w:p>
        </w:tc>
        <w:tc>
          <w:tcPr>
            <w:tcW w:w="434" w:type="pct"/>
            <w:shd w:val="clear" w:color="auto" w:fill="auto"/>
            <w:vAlign w:val="center"/>
          </w:tcPr>
          <w:p w14:paraId="33E71BCC" w14:textId="77777777" w:rsidR="00312146" w:rsidRPr="00B41614" w:rsidRDefault="00312146" w:rsidP="00E925FC">
            <w:pPr>
              <w:pStyle w:val="Tabletext0"/>
              <w:keepNext/>
              <w:keepLines/>
              <w:jc w:val="center"/>
              <w:rPr>
                <w:b/>
                <w:lang w:val="en-US"/>
              </w:rPr>
            </w:pPr>
            <w:r w:rsidRPr="00B41614">
              <w:rPr>
                <w:b/>
                <w:lang w:val="en-US"/>
              </w:rPr>
              <w:t>Risk of bias</w:t>
            </w:r>
          </w:p>
        </w:tc>
        <w:tc>
          <w:tcPr>
            <w:tcW w:w="1141" w:type="pct"/>
            <w:shd w:val="clear" w:color="auto" w:fill="auto"/>
            <w:vAlign w:val="center"/>
          </w:tcPr>
          <w:p w14:paraId="442222D2" w14:textId="77777777" w:rsidR="00312146" w:rsidRPr="00B41614" w:rsidRDefault="00312146" w:rsidP="00E925FC">
            <w:pPr>
              <w:pStyle w:val="Tabletext0"/>
              <w:keepNext/>
              <w:keepLines/>
              <w:jc w:val="center"/>
              <w:rPr>
                <w:b/>
                <w:lang w:val="en-US"/>
              </w:rPr>
            </w:pPr>
            <w:r w:rsidRPr="00B41614">
              <w:rPr>
                <w:b/>
                <w:lang w:val="en-US"/>
              </w:rPr>
              <w:t>Patient population</w:t>
            </w:r>
          </w:p>
        </w:tc>
        <w:tc>
          <w:tcPr>
            <w:tcW w:w="536" w:type="pct"/>
            <w:shd w:val="clear" w:color="auto" w:fill="auto"/>
            <w:vAlign w:val="center"/>
          </w:tcPr>
          <w:p w14:paraId="6C9EB797" w14:textId="77777777" w:rsidR="00312146" w:rsidRPr="00B41614" w:rsidRDefault="00312146" w:rsidP="00E925FC">
            <w:pPr>
              <w:pStyle w:val="Tabletext0"/>
              <w:keepNext/>
              <w:keepLines/>
              <w:jc w:val="center"/>
              <w:rPr>
                <w:b/>
                <w:lang w:val="en-US"/>
              </w:rPr>
            </w:pPr>
            <w:r w:rsidRPr="00B41614">
              <w:rPr>
                <w:b/>
                <w:lang w:val="en-US"/>
              </w:rPr>
              <w:t>Outco</w:t>
            </w:r>
            <w:r>
              <w:rPr>
                <w:b/>
                <w:lang w:val="en-US"/>
              </w:rPr>
              <w:t>me</w:t>
            </w:r>
          </w:p>
        </w:tc>
        <w:tc>
          <w:tcPr>
            <w:tcW w:w="1005" w:type="pct"/>
            <w:vAlign w:val="center"/>
          </w:tcPr>
          <w:p w14:paraId="1FF60BE0" w14:textId="77777777" w:rsidR="00312146" w:rsidRPr="00446783" w:rsidRDefault="00312146" w:rsidP="00E925FC">
            <w:pPr>
              <w:pStyle w:val="Tabletext0"/>
              <w:keepNext/>
              <w:keepLines/>
              <w:jc w:val="center"/>
              <w:rPr>
                <w:b/>
                <w:lang w:val="en-US"/>
              </w:rPr>
            </w:pPr>
            <w:r w:rsidRPr="00446783">
              <w:rPr>
                <w:b/>
                <w:lang w:val="en-US"/>
              </w:rPr>
              <w:t>Use in modelled evaluation</w:t>
            </w:r>
          </w:p>
        </w:tc>
      </w:tr>
      <w:tr w:rsidR="00312146" w:rsidRPr="00E2771E" w14:paraId="74D0632F" w14:textId="77777777" w:rsidTr="003406B4">
        <w:tc>
          <w:tcPr>
            <w:tcW w:w="5000" w:type="pct"/>
            <w:gridSpan w:val="7"/>
            <w:shd w:val="clear" w:color="auto" w:fill="auto"/>
            <w:vAlign w:val="center"/>
          </w:tcPr>
          <w:p w14:paraId="1691DCCD" w14:textId="51176107" w:rsidR="00312146" w:rsidRPr="005C36E6" w:rsidRDefault="00312146" w:rsidP="00E925FC">
            <w:pPr>
              <w:pStyle w:val="Tabletext0"/>
              <w:keepNext/>
              <w:keepLines/>
              <w:rPr>
                <w:b/>
                <w:lang w:val="en-US"/>
              </w:rPr>
            </w:pPr>
            <w:r w:rsidRPr="005C36E6">
              <w:rPr>
                <w:b/>
                <w:lang w:val="en-US"/>
              </w:rPr>
              <w:t>Romosozumab</w:t>
            </w:r>
            <w:r>
              <w:rPr>
                <w:b/>
                <w:lang w:val="en-US"/>
              </w:rPr>
              <w:t xml:space="preserve"> followed by alendronate</w:t>
            </w:r>
            <w:r w:rsidRPr="005C36E6">
              <w:rPr>
                <w:b/>
                <w:lang w:val="en-US"/>
              </w:rPr>
              <w:t xml:space="preserve"> vs alendronate</w:t>
            </w:r>
            <w:r>
              <w:rPr>
                <w:b/>
                <w:lang w:val="en-US"/>
              </w:rPr>
              <w:t xml:space="preserve"> followed by alendronate</w:t>
            </w:r>
          </w:p>
        </w:tc>
      </w:tr>
      <w:tr w:rsidR="00312146" w:rsidRPr="00E2771E" w14:paraId="162BB0C5" w14:textId="77777777" w:rsidTr="002914DB">
        <w:tc>
          <w:tcPr>
            <w:tcW w:w="624" w:type="pct"/>
            <w:shd w:val="clear" w:color="auto" w:fill="auto"/>
            <w:vAlign w:val="center"/>
          </w:tcPr>
          <w:p w14:paraId="797A038C" w14:textId="77777777" w:rsidR="00312146" w:rsidRPr="00E2771E" w:rsidRDefault="00312146" w:rsidP="00E925FC">
            <w:pPr>
              <w:pStyle w:val="Tabletext0"/>
              <w:keepNext/>
              <w:keepLines/>
              <w:rPr>
                <w:lang w:val="en-US"/>
              </w:rPr>
            </w:pPr>
            <w:r>
              <w:rPr>
                <w:lang w:val="en-US"/>
              </w:rPr>
              <w:t>ARCH</w:t>
            </w:r>
          </w:p>
        </w:tc>
        <w:tc>
          <w:tcPr>
            <w:tcW w:w="359" w:type="pct"/>
            <w:shd w:val="clear" w:color="auto" w:fill="auto"/>
            <w:vAlign w:val="center"/>
          </w:tcPr>
          <w:p w14:paraId="58E70D44" w14:textId="77777777" w:rsidR="00312146" w:rsidRPr="00E2771E" w:rsidRDefault="00312146" w:rsidP="00E925FC">
            <w:pPr>
              <w:pStyle w:val="Tabletext0"/>
              <w:keepNext/>
              <w:keepLines/>
              <w:jc w:val="center"/>
              <w:rPr>
                <w:lang w:val="en-US"/>
              </w:rPr>
            </w:pPr>
            <w:r>
              <w:rPr>
                <w:lang w:val="en-US"/>
              </w:rPr>
              <w:t>4,093</w:t>
            </w:r>
          </w:p>
        </w:tc>
        <w:tc>
          <w:tcPr>
            <w:tcW w:w="901" w:type="pct"/>
            <w:shd w:val="clear" w:color="auto" w:fill="auto"/>
            <w:vAlign w:val="center"/>
          </w:tcPr>
          <w:p w14:paraId="32F4C9D6" w14:textId="77777777" w:rsidR="00312146" w:rsidRDefault="00312146" w:rsidP="00E925FC">
            <w:pPr>
              <w:pStyle w:val="Tabletext0"/>
              <w:keepNext/>
              <w:keepLines/>
              <w:jc w:val="center"/>
              <w:rPr>
                <w:lang w:val="en-US"/>
              </w:rPr>
            </w:pPr>
            <w:r>
              <w:rPr>
                <w:lang w:val="en-US"/>
              </w:rPr>
              <w:t>MC, R, AC</w:t>
            </w:r>
          </w:p>
          <w:p w14:paraId="73EFF24D" w14:textId="77777777" w:rsidR="00312146" w:rsidRDefault="00312146" w:rsidP="00E925FC">
            <w:pPr>
              <w:pStyle w:val="Tabletext0"/>
              <w:keepNext/>
              <w:keepLines/>
              <w:jc w:val="center"/>
              <w:rPr>
                <w:lang w:val="en-US"/>
              </w:rPr>
            </w:pPr>
            <w:r>
              <w:rPr>
                <w:lang w:val="en-US"/>
              </w:rPr>
              <w:t>First year: DB</w:t>
            </w:r>
          </w:p>
          <w:p w14:paraId="572F72D3" w14:textId="77777777" w:rsidR="00312146" w:rsidRDefault="00312146" w:rsidP="00E925FC">
            <w:pPr>
              <w:pStyle w:val="Tabletext0"/>
              <w:keepNext/>
              <w:keepLines/>
              <w:jc w:val="center"/>
              <w:rPr>
                <w:lang w:val="en-US"/>
              </w:rPr>
            </w:pPr>
            <w:r>
              <w:rPr>
                <w:lang w:val="en-US"/>
              </w:rPr>
              <w:t>Later years: OL</w:t>
            </w:r>
          </w:p>
          <w:p w14:paraId="5254F66C" w14:textId="77777777" w:rsidR="00312146" w:rsidRPr="00E2771E" w:rsidRDefault="00312146" w:rsidP="00E925FC">
            <w:pPr>
              <w:pStyle w:val="Tabletext0"/>
              <w:keepNext/>
              <w:keepLines/>
              <w:jc w:val="center"/>
              <w:rPr>
                <w:lang w:val="en-US"/>
              </w:rPr>
            </w:pPr>
            <w:r>
              <w:rPr>
                <w:lang w:val="en-US"/>
              </w:rPr>
              <w:t xml:space="preserve">Median 33 months </w:t>
            </w:r>
          </w:p>
        </w:tc>
        <w:tc>
          <w:tcPr>
            <w:tcW w:w="434" w:type="pct"/>
            <w:shd w:val="clear" w:color="auto" w:fill="auto"/>
            <w:vAlign w:val="center"/>
          </w:tcPr>
          <w:p w14:paraId="207E6B0C" w14:textId="77777777" w:rsidR="00312146" w:rsidRPr="00E2771E" w:rsidRDefault="00312146" w:rsidP="00E925FC">
            <w:pPr>
              <w:pStyle w:val="Tabletext0"/>
              <w:keepNext/>
              <w:keepLines/>
              <w:jc w:val="center"/>
              <w:rPr>
                <w:lang w:val="en-US"/>
              </w:rPr>
            </w:pPr>
            <w:r>
              <w:rPr>
                <w:lang w:val="en-US"/>
              </w:rPr>
              <w:t>Low</w:t>
            </w:r>
          </w:p>
        </w:tc>
        <w:tc>
          <w:tcPr>
            <w:tcW w:w="1141" w:type="pct"/>
            <w:shd w:val="clear" w:color="auto" w:fill="auto"/>
            <w:vAlign w:val="center"/>
          </w:tcPr>
          <w:p w14:paraId="2CDD6EB9" w14:textId="7DB1AD68" w:rsidR="00312146" w:rsidRPr="00E2771E" w:rsidRDefault="00312146" w:rsidP="00E925FC">
            <w:pPr>
              <w:pStyle w:val="Tabletext0"/>
              <w:keepNext/>
              <w:keepLines/>
              <w:jc w:val="center"/>
              <w:rPr>
                <w:lang w:val="en-US"/>
              </w:rPr>
            </w:pPr>
            <w:r>
              <w:rPr>
                <w:lang w:val="en-US"/>
              </w:rPr>
              <w:t>P</w:t>
            </w:r>
            <w:r w:rsidR="003F73C1">
              <w:rPr>
                <w:lang w:val="en-US"/>
              </w:rPr>
              <w:t>ostmenopausal women</w:t>
            </w:r>
            <w:r>
              <w:rPr>
                <w:lang w:val="en-US"/>
              </w:rPr>
              <w:t xml:space="preserve"> with</w:t>
            </w:r>
            <w:r w:rsidR="00F80D53">
              <w:rPr>
                <w:lang w:val="en-US"/>
              </w:rPr>
              <w:t xml:space="preserve"> osteoporosis and</w:t>
            </w:r>
            <w:r>
              <w:rPr>
                <w:lang w:val="en-US"/>
              </w:rPr>
              <w:t xml:space="preserve"> pr</w:t>
            </w:r>
            <w:r w:rsidR="00F80D53">
              <w:rPr>
                <w:lang w:val="en-US"/>
              </w:rPr>
              <w:t>ior</w:t>
            </w:r>
            <w:r>
              <w:rPr>
                <w:lang w:val="en-US"/>
              </w:rPr>
              <w:t xml:space="preserve"> fracture</w:t>
            </w:r>
          </w:p>
        </w:tc>
        <w:tc>
          <w:tcPr>
            <w:tcW w:w="536" w:type="pct"/>
            <w:shd w:val="clear" w:color="auto" w:fill="auto"/>
            <w:vAlign w:val="center"/>
          </w:tcPr>
          <w:p w14:paraId="45ED6DFF" w14:textId="77777777" w:rsidR="00312146" w:rsidRPr="00E2771E" w:rsidRDefault="00312146" w:rsidP="00E925FC">
            <w:pPr>
              <w:pStyle w:val="Tabletext0"/>
              <w:keepNext/>
              <w:keepLines/>
              <w:jc w:val="center"/>
              <w:rPr>
                <w:lang w:val="en-US"/>
              </w:rPr>
            </w:pPr>
            <w:r>
              <w:rPr>
                <w:lang w:val="en-US"/>
              </w:rPr>
              <w:t>Fractures</w:t>
            </w:r>
          </w:p>
        </w:tc>
        <w:tc>
          <w:tcPr>
            <w:tcW w:w="1005" w:type="pct"/>
            <w:vAlign w:val="center"/>
          </w:tcPr>
          <w:p w14:paraId="40A1B1B8" w14:textId="77777777" w:rsidR="00312146" w:rsidRDefault="00312146" w:rsidP="00E925FC">
            <w:pPr>
              <w:pStyle w:val="Tabletext0"/>
              <w:keepNext/>
              <w:keepLines/>
              <w:jc w:val="center"/>
              <w:rPr>
                <w:lang w:val="en-US"/>
              </w:rPr>
            </w:pPr>
            <w:r w:rsidRPr="00446783">
              <w:rPr>
                <w:lang w:val="en-US"/>
              </w:rPr>
              <w:t>Patient characteristics, fracture risk, treatment efficacy, incidence of cardiovascular events</w:t>
            </w:r>
          </w:p>
        </w:tc>
      </w:tr>
      <w:tr w:rsidR="00312146" w:rsidRPr="00E2771E" w14:paraId="3815514A" w14:textId="77777777" w:rsidTr="003406B4">
        <w:tc>
          <w:tcPr>
            <w:tcW w:w="5000" w:type="pct"/>
            <w:gridSpan w:val="7"/>
            <w:shd w:val="clear" w:color="auto" w:fill="auto"/>
            <w:vAlign w:val="center"/>
          </w:tcPr>
          <w:p w14:paraId="25292FA3" w14:textId="40993873" w:rsidR="00312146" w:rsidRPr="005C36E6" w:rsidRDefault="00312146" w:rsidP="00E925FC">
            <w:pPr>
              <w:pStyle w:val="Tabletext0"/>
              <w:keepNext/>
              <w:keepLines/>
              <w:rPr>
                <w:b/>
                <w:lang w:val="en-US"/>
              </w:rPr>
            </w:pPr>
            <w:r w:rsidRPr="005C36E6">
              <w:rPr>
                <w:b/>
                <w:lang w:val="en-US"/>
              </w:rPr>
              <w:t>Romosozumab</w:t>
            </w:r>
            <w:r>
              <w:rPr>
                <w:b/>
                <w:lang w:val="en-US"/>
              </w:rPr>
              <w:t xml:space="preserve"> followed by denosumab vs placebo followed by denosumab</w:t>
            </w:r>
          </w:p>
        </w:tc>
      </w:tr>
      <w:tr w:rsidR="00312146" w:rsidRPr="00E2771E" w14:paraId="114117B7" w14:textId="77777777" w:rsidTr="002914DB">
        <w:tc>
          <w:tcPr>
            <w:tcW w:w="624" w:type="pct"/>
            <w:shd w:val="clear" w:color="auto" w:fill="auto"/>
            <w:vAlign w:val="center"/>
          </w:tcPr>
          <w:p w14:paraId="24DC4BE4" w14:textId="77777777" w:rsidR="00312146" w:rsidRPr="00E2771E" w:rsidRDefault="00312146" w:rsidP="00E925FC">
            <w:pPr>
              <w:pStyle w:val="Tabletext0"/>
              <w:keepNext/>
              <w:keepLines/>
              <w:rPr>
                <w:lang w:val="en-US"/>
              </w:rPr>
            </w:pPr>
            <w:r>
              <w:rPr>
                <w:lang w:val="en-US"/>
              </w:rPr>
              <w:t>FRAME</w:t>
            </w:r>
          </w:p>
        </w:tc>
        <w:tc>
          <w:tcPr>
            <w:tcW w:w="359" w:type="pct"/>
            <w:shd w:val="clear" w:color="auto" w:fill="auto"/>
            <w:vAlign w:val="center"/>
          </w:tcPr>
          <w:p w14:paraId="325832A9" w14:textId="77777777" w:rsidR="00312146" w:rsidRPr="00E2771E" w:rsidRDefault="00312146" w:rsidP="00E925FC">
            <w:pPr>
              <w:pStyle w:val="Tabletext0"/>
              <w:keepNext/>
              <w:keepLines/>
              <w:jc w:val="center"/>
              <w:rPr>
                <w:lang w:val="en-US"/>
              </w:rPr>
            </w:pPr>
            <w:r>
              <w:rPr>
                <w:lang w:val="en-US"/>
              </w:rPr>
              <w:t>7,180</w:t>
            </w:r>
          </w:p>
        </w:tc>
        <w:tc>
          <w:tcPr>
            <w:tcW w:w="901" w:type="pct"/>
            <w:shd w:val="clear" w:color="auto" w:fill="auto"/>
            <w:vAlign w:val="center"/>
          </w:tcPr>
          <w:p w14:paraId="7C9C4626" w14:textId="77777777" w:rsidR="00312146" w:rsidRDefault="00312146" w:rsidP="00E925FC">
            <w:pPr>
              <w:pStyle w:val="Tabletext0"/>
              <w:keepNext/>
              <w:keepLines/>
              <w:jc w:val="center"/>
              <w:rPr>
                <w:lang w:val="en-US"/>
              </w:rPr>
            </w:pPr>
            <w:r>
              <w:rPr>
                <w:lang w:val="en-US"/>
              </w:rPr>
              <w:t>MC, R, PC</w:t>
            </w:r>
          </w:p>
          <w:p w14:paraId="123C07F5" w14:textId="77777777" w:rsidR="00312146" w:rsidRDefault="00312146" w:rsidP="00E925FC">
            <w:pPr>
              <w:pStyle w:val="Tabletext0"/>
              <w:keepNext/>
              <w:keepLines/>
              <w:jc w:val="center"/>
              <w:rPr>
                <w:lang w:val="en-US"/>
              </w:rPr>
            </w:pPr>
            <w:r>
              <w:rPr>
                <w:lang w:val="en-US"/>
              </w:rPr>
              <w:t>First year: DB</w:t>
            </w:r>
          </w:p>
          <w:p w14:paraId="240A0810" w14:textId="77777777" w:rsidR="00312146" w:rsidRDefault="00312146" w:rsidP="00E925FC">
            <w:pPr>
              <w:pStyle w:val="Tabletext0"/>
              <w:keepNext/>
              <w:keepLines/>
              <w:jc w:val="center"/>
              <w:rPr>
                <w:lang w:val="en-US"/>
              </w:rPr>
            </w:pPr>
            <w:r>
              <w:rPr>
                <w:lang w:val="en-US"/>
              </w:rPr>
              <w:t>Later years: OL</w:t>
            </w:r>
          </w:p>
          <w:p w14:paraId="2FE42149" w14:textId="77777777" w:rsidR="00312146" w:rsidRPr="00E2771E" w:rsidRDefault="00312146" w:rsidP="00E925FC">
            <w:pPr>
              <w:pStyle w:val="Tabletext0"/>
              <w:keepNext/>
              <w:keepLines/>
              <w:jc w:val="center"/>
              <w:rPr>
                <w:lang w:val="en-US"/>
              </w:rPr>
            </w:pPr>
            <w:r>
              <w:rPr>
                <w:lang w:val="en-US"/>
              </w:rPr>
              <w:t>3 years</w:t>
            </w:r>
          </w:p>
        </w:tc>
        <w:tc>
          <w:tcPr>
            <w:tcW w:w="434" w:type="pct"/>
            <w:shd w:val="clear" w:color="auto" w:fill="auto"/>
            <w:vAlign w:val="center"/>
          </w:tcPr>
          <w:p w14:paraId="5DDDAE55" w14:textId="77777777" w:rsidR="00312146" w:rsidRPr="00E2771E" w:rsidRDefault="00312146" w:rsidP="00E925FC">
            <w:pPr>
              <w:pStyle w:val="Tabletext0"/>
              <w:keepNext/>
              <w:keepLines/>
              <w:jc w:val="center"/>
              <w:rPr>
                <w:lang w:val="en-US"/>
              </w:rPr>
            </w:pPr>
            <w:r>
              <w:rPr>
                <w:lang w:val="en-US"/>
              </w:rPr>
              <w:t>Low</w:t>
            </w:r>
          </w:p>
        </w:tc>
        <w:tc>
          <w:tcPr>
            <w:tcW w:w="1141" w:type="pct"/>
            <w:shd w:val="clear" w:color="auto" w:fill="auto"/>
            <w:vAlign w:val="center"/>
          </w:tcPr>
          <w:p w14:paraId="1C75D14B" w14:textId="7BE4A84F" w:rsidR="00312146" w:rsidRPr="00E2771E" w:rsidRDefault="00F80D53" w:rsidP="00E925FC">
            <w:pPr>
              <w:pStyle w:val="Tabletext0"/>
              <w:keepNext/>
              <w:keepLines/>
              <w:jc w:val="center"/>
              <w:rPr>
                <w:lang w:val="en-US"/>
              </w:rPr>
            </w:pPr>
            <w:r>
              <w:rPr>
                <w:lang w:val="en-US"/>
              </w:rPr>
              <w:t>Postmenopausal women with osteoporosis</w:t>
            </w:r>
          </w:p>
        </w:tc>
        <w:tc>
          <w:tcPr>
            <w:tcW w:w="536" w:type="pct"/>
            <w:shd w:val="clear" w:color="auto" w:fill="auto"/>
            <w:vAlign w:val="center"/>
          </w:tcPr>
          <w:p w14:paraId="6EEAD8A0" w14:textId="77777777" w:rsidR="00312146" w:rsidRPr="00E2771E" w:rsidRDefault="00312146" w:rsidP="00E925FC">
            <w:pPr>
              <w:pStyle w:val="Tabletext0"/>
              <w:keepNext/>
              <w:keepLines/>
              <w:jc w:val="center"/>
              <w:rPr>
                <w:lang w:val="en-US"/>
              </w:rPr>
            </w:pPr>
            <w:r>
              <w:rPr>
                <w:lang w:val="en-US"/>
              </w:rPr>
              <w:t>Fractures</w:t>
            </w:r>
          </w:p>
        </w:tc>
        <w:tc>
          <w:tcPr>
            <w:tcW w:w="1005" w:type="pct"/>
            <w:vAlign w:val="center"/>
          </w:tcPr>
          <w:p w14:paraId="42855CAC" w14:textId="77777777" w:rsidR="00312146" w:rsidRDefault="00312146" w:rsidP="00E925FC">
            <w:pPr>
              <w:pStyle w:val="Tabletext0"/>
              <w:keepNext/>
              <w:keepLines/>
              <w:jc w:val="center"/>
              <w:rPr>
                <w:lang w:val="en-US"/>
              </w:rPr>
            </w:pPr>
            <w:r>
              <w:rPr>
                <w:lang w:val="en-US"/>
              </w:rPr>
              <w:t>Not used</w:t>
            </w:r>
          </w:p>
        </w:tc>
      </w:tr>
      <w:tr w:rsidR="004C0EDA" w:rsidRPr="00E2771E" w14:paraId="4BCBBB04" w14:textId="77777777" w:rsidTr="004C0EDA">
        <w:tc>
          <w:tcPr>
            <w:tcW w:w="5000" w:type="pct"/>
            <w:gridSpan w:val="7"/>
            <w:shd w:val="clear" w:color="auto" w:fill="auto"/>
            <w:vAlign w:val="center"/>
          </w:tcPr>
          <w:p w14:paraId="3A8CEF79" w14:textId="7720CE5A" w:rsidR="004C0EDA" w:rsidRPr="004C0EDA" w:rsidRDefault="003F73C1" w:rsidP="00E925FC">
            <w:pPr>
              <w:pStyle w:val="Tabletext0"/>
              <w:keepNext/>
              <w:keepLines/>
              <w:rPr>
                <w:b/>
                <w:bCs/>
                <w:lang w:val="en-US"/>
              </w:rPr>
            </w:pPr>
            <w:r>
              <w:rPr>
                <w:b/>
                <w:bCs/>
                <w:lang w:val="en-US"/>
              </w:rPr>
              <w:t>Romosozumab vs teriparatide</w:t>
            </w:r>
          </w:p>
        </w:tc>
      </w:tr>
      <w:tr w:rsidR="004C0EDA" w:rsidRPr="00E2771E" w14:paraId="26EF4543" w14:textId="77777777" w:rsidTr="002914DB">
        <w:tc>
          <w:tcPr>
            <w:tcW w:w="624" w:type="pct"/>
            <w:shd w:val="clear" w:color="auto" w:fill="auto"/>
            <w:vAlign w:val="center"/>
          </w:tcPr>
          <w:p w14:paraId="39DDCDFD" w14:textId="155E9C1D" w:rsidR="004C0EDA" w:rsidRDefault="004C0EDA" w:rsidP="00E925FC">
            <w:pPr>
              <w:pStyle w:val="Tabletext0"/>
              <w:keepNext/>
              <w:keepLines/>
              <w:rPr>
                <w:lang w:val="en-US"/>
              </w:rPr>
            </w:pPr>
            <w:r>
              <w:rPr>
                <w:lang w:val="en-US"/>
              </w:rPr>
              <w:t>STRUCTURE</w:t>
            </w:r>
          </w:p>
        </w:tc>
        <w:tc>
          <w:tcPr>
            <w:tcW w:w="359" w:type="pct"/>
            <w:shd w:val="clear" w:color="auto" w:fill="auto"/>
            <w:vAlign w:val="center"/>
          </w:tcPr>
          <w:p w14:paraId="0D3424A0" w14:textId="6997D169" w:rsidR="004C0EDA" w:rsidRDefault="004C0EDA" w:rsidP="00E925FC">
            <w:pPr>
              <w:pStyle w:val="Tabletext0"/>
              <w:keepNext/>
              <w:keepLines/>
              <w:jc w:val="center"/>
              <w:rPr>
                <w:lang w:val="en-US"/>
              </w:rPr>
            </w:pPr>
            <w:r>
              <w:rPr>
                <w:lang w:val="en-US"/>
              </w:rPr>
              <w:t>436</w:t>
            </w:r>
          </w:p>
        </w:tc>
        <w:tc>
          <w:tcPr>
            <w:tcW w:w="901" w:type="pct"/>
            <w:shd w:val="clear" w:color="auto" w:fill="auto"/>
            <w:vAlign w:val="center"/>
          </w:tcPr>
          <w:p w14:paraId="004990ED" w14:textId="77777777" w:rsidR="004C0EDA" w:rsidRPr="00E2771E" w:rsidRDefault="004C0EDA" w:rsidP="00E925FC">
            <w:pPr>
              <w:pStyle w:val="Tabletext0"/>
              <w:keepNext/>
              <w:keepLines/>
              <w:jc w:val="center"/>
              <w:rPr>
                <w:lang w:val="en-US"/>
              </w:rPr>
            </w:pPr>
            <w:r>
              <w:rPr>
                <w:lang w:val="en-US"/>
              </w:rPr>
              <w:t>MC, R, OL, AC</w:t>
            </w:r>
          </w:p>
          <w:p w14:paraId="246DCD11" w14:textId="2149772B" w:rsidR="004C0EDA" w:rsidRDefault="004C0EDA" w:rsidP="00E925FC">
            <w:pPr>
              <w:pStyle w:val="Tabletext0"/>
              <w:keepNext/>
              <w:keepLines/>
              <w:jc w:val="center"/>
              <w:rPr>
                <w:lang w:val="en-US"/>
              </w:rPr>
            </w:pPr>
            <w:r>
              <w:rPr>
                <w:lang w:val="en-US"/>
              </w:rPr>
              <w:t>12</w:t>
            </w:r>
            <w:r w:rsidRPr="00E2771E">
              <w:rPr>
                <w:lang w:val="en-US"/>
              </w:rPr>
              <w:t xml:space="preserve"> m</w:t>
            </w:r>
            <w:r>
              <w:rPr>
                <w:lang w:val="en-US"/>
              </w:rPr>
              <w:t>on</w:t>
            </w:r>
            <w:r w:rsidRPr="00E2771E">
              <w:rPr>
                <w:lang w:val="en-US"/>
              </w:rPr>
              <w:t>ths</w:t>
            </w:r>
          </w:p>
        </w:tc>
        <w:tc>
          <w:tcPr>
            <w:tcW w:w="434" w:type="pct"/>
            <w:shd w:val="clear" w:color="auto" w:fill="auto"/>
            <w:vAlign w:val="center"/>
          </w:tcPr>
          <w:p w14:paraId="2360CED5" w14:textId="1A6D6067" w:rsidR="004C0EDA" w:rsidRDefault="004C0EDA" w:rsidP="00E925FC">
            <w:pPr>
              <w:pStyle w:val="Tabletext0"/>
              <w:keepNext/>
              <w:keepLines/>
              <w:jc w:val="center"/>
              <w:rPr>
                <w:lang w:val="en-US"/>
              </w:rPr>
            </w:pPr>
            <w:r>
              <w:rPr>
                <w:lang w:val="en-US"/>
              </w:rPr>
              <w:t>Unclear</w:t>
            </w:r>
          </w:p>
        </w:tc>
        <w:tc>
          <w:tcPr>
            <w:tcW w:w="1141" w:type="pct"/>
            <w:shd w:val="clear" w:color="auto" w:fill="auto"/>
            <w:vAlign w:val="center"/>
          </w:tcPr>
          <w:p w14:paraId="53EB8A0F" w14:textId="49E7B241" w:rsidR="004C0EDA" w:rsidRDefault="008059FC" w:rsidP="00E925FC">
            <w:pPr>
              <w:pStyle w:val="Tabletext0"/>
              <w:keepNext/>
              <w:keepLines/>
              <w:jc w:val="center"/>
              <w:rPr>
                <w:lang w:val="en-US"/>
              </w:rPr>
            </w:pPr>
            <w:r>
              <w:rPr>
                <w:lang w:val="en-US"/>
              </w:rPr>
              <w:t>Postmenopausal women with osteoporosis who had received prior anti-resorptive therapy</w:t>
            </w:r>
          </w:p>
        </w:tc>
        <w:tc>
          <w:tcPr>
            <w:tcW w:w="536" w:type="pct"/>
            <w:shd w:val="clear" w:color="auto" w:fill="auto"/>
            <w:vAlign w:val="center"/>
          </w:tcPr>
          <w:p w14:paraId="0E1C42A2" w14:textId="4090043C" w:rsidR="004C0EDA" w:rsidRDefault="004C0EDA" w:rsidP="00E925FC">
            <w:pPr>
              <w:pStyle w:val="Tabletext0"/>
              <w:keepNext/>
              <w:keepLines/>
              <w:jc w:val="center"/>
              <w:rPr>
                <w:lang w:val="en-US"/>
              </w:rPr>
            </w:pPr>
            <w:r>
              <w:rPr>
                <w:lang w:val="en-US"/>
              </w:rPr>
              <w:t>BMD</w:t>
            </w:r>
          </w:p>
        </w:tc>
        <w:tc>
          <w:tcPr>
            <w:tcW w:w="1005" w:type="pct"/>
            <w:vAlign w:val="center"/>
          </w:tcPr>
          <w:p w14:paraId="6D350AE1" w14:textId="6FFF4FFB" w:rsidR="004C0EDA" w:rsidRDefault="004C0EDA" w:rsidP="00E925FC">
            <w:pPr>
              <w:pStyle w:val="Tabletext0"/>
              <w:keepNext/>
              <w:keepLines/>
              <w:jc w:val="center"/>
              <w:rPr>
                <w:lang w:val="en-US"/>
              </w:rPr>
            </w:pPr>
            <w:r>
              <w:rPr>
                <w:lang w:val="en-US"/>
              </w:rPr>
              <w:t xml:space="preserve">Not used </w:t>
            </w:r>
          </w:p>
        </w:tc>
      </w:tr>
    </w:tbl>
    <w:p w14:paraId="560080D2" w14:textId="2565F247" w:rsidR="00045017" w:rsidRPr="00262BDA" w:rsidRDefault="00045017" w:rsidP="00EC5836">
      <w:pPr>
        <w:pStyle w:val="TableFigureFooter"/>
      </w:pPr>
      <w:r w:rsidRPr="00262BDA">
        <w:t xml:space="preserve">Source: </w:t>
      </w:r>
      <w:r w:rsidR="00D60AD7">
        <w:t>Section 2.4, pp32-38 of the resubmission;</w:t>
      </w:r>
      <w:r w:rsidR="00D60AD7" w:rsidRPr="00862EB7">
        <w:t xml:space="preserve"> FRAME trial report; STRUCTURE trial report</w:t>
      </w:r>
    </w:p>
    <w:p w14:paraId="5C9DE600" w14:textId="3EFB773A" w:rsidR="00877CC6" w:rsidRPr="00402525" w:rsidRDefault="00877CC6" w:rsidP="00877CC6">
      <w:pPr>
        <w:pStyle w:val="TableFigureFooter"/>
      </w:pPr>
      <w:r w:rsidRPr="00402525">
        <w:t>Abbreviations; AC, active-controlled; DB, double blind; MC, multi-centre; OL, open label; R, randomised</w:t>
      </w:r>
    </w:p>
    <w:p w14:paraId="4A4FE085" w14:textId="1C5613CC" w:rsidR="00B60939" w:rsidRPr="00262BDA" w:rsidRDefault="00B60939" w:rsidP="00EC5836">
      <w:pPr>
        <w:pStyle w:val="3-SubsectionHeading"/>
      </w:pPr>
      <w:bookmarkStart w:id="22" w:name="_Toc22897641"/>
      <w:bookmarkStart w:id="23" w:name="_Toc103610474"/>
      <w:r w:rsidRPr="00262BDA">
        <w:t>Comparative effectiveness</w:t>
      </w:r>
      <w:bookmarkEnd w:id="22"/>
      <w:bookmarkEnd w:id="23"/>
    </w:p>
    <w:p w14:paraId="14214920" w14:textId="65324244" w:rsidR="00DA3167" w:rsidRPr="008E5ADA" w:rsidRDefault="008E5ADA" w:rsidP="00EC5836">
      <w:pPr>
        <w:pStyle w:val="ExecSumBodyText"/>
      </w:pPr>
      <w:r w:rsidRPr="008E5ADA">
        <w:rPr>
          <w:snapToGrid/>
        </w:rPr>
        <w:t>Key fracture outcomes reported with romosozumab versus alendronate (both followed by alendronate treatment) in the ARCH trial (</w:t>
      </w:r>
      <w:r w:rsidR="00DA191B">
        <w:rPr>
          <w:snapToGrid/>
        </w:rPr>
        <w:t>secondary prevention</w:t>
      </w:r>
      <w:r w:rsidR="004671D3">
        <w:rPr>
          <w:snapToGrid/>
        </w:rPr>
        <w:t xml:space="preserve"> population</w:t>
      </w:r>
      <w:r w:rsidR="00DA191B">
        <w:rPr>
          <w:snapToGrid/>
        </w:rPr>
        <w:t xml:space="preserve">; </w:t>
      </w:r>
      <w:r w:rsidRPr="008E5ADA">
        <w:rPr>
          <w:snapToGrid/>
        </w:rPr>
        <w:t>predominantly naïve to anti-resorptive therapy) are summarised in the table below.</w:t>
      </w:r>
    </w:p>
    <w:p w14:paraId="49FCA172" w14:textId="74D54190" w:rsidR="006D4E42" w:rsidRDefault="006D4E42" w:rsidP="006D4E42">
      <w:pPr>
        <w:pStyle w:val="TableFigureCaption"/>
      </w:pPr>
      <w:r>
        <w:t xml:space="preserve">Table </w:t>
      </w:r>
      <w:fldSimple w:instr=" SEQ Table \* ARABIC ">
        <w:r w:rsidR="00016A98">
          <w:rPr>
            <w:noProof/>
          </w:rPr>
          <w:t>6</w:t>
        </w:r>
      </w:fldSimple>
      <w:r>
        <w:t>:</w:t>
      </w:r>
      <w:r w:rsidRPr="006D4E42">
        <w:t xml:space="preserve"> Key fracture outcomes reported in the ARCH trial</w:t>
      </w:r>
    </w:p>
    <w:tbl>
      <w:tblPr>
        <w:tblW w:w="5000" w:type="pct"/>
        <w:tblInd w:w="-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425"/>
        <w:gridCol w:w="1495"/>
        <w:gridCol w:w="1526"/>
        <w:gridCol w:w="1777"/>
        <w:gridCol w:w="1794"/>
      </w:tblGrid>
      <w:tr w:rsidR="006D4E42" w:rsidRPr="007D6F1A" w14:paraId="4D6CEFD9" w14:textId="77777777" w:rsidTr="003406B4">
        <w:trPr>
          <w:tblHeader/>
        </w:trPr>
        <w:tc>
          <w:tcPr>
            <w:tcW w:w="2425" w:type="dxa"/>
            <w:tcBorders>
              <w:top w:val="single" w:sz="4" w:space="0" w:color="auto"/>
              <w:left w:val="single" w:sz="4" w:space="0" w:color="auto"/>
              <w:bottom w:val="single" w:sz="4" w:space="0" w:color="auto"/>
              <w:right w:val="single" w:sz="4" w:space="0" w:color="auto"/>
            </w:tcBorders>
            <w:vAlign w:val="center"/>
          </w:tcPr>
          <w:p w14:paraId="4A801962" w14:textId="77777777" w:rsidR="006D4E42" w:rsidRPr="007D6F1A" w:rsidRDefault="006D4E42" w:rsidP="003406B4">
            <w:pPr>
              <w:keepNext/>
              <w:keepLines/>
              <w:jc w:val="left"/>
              <w:rPr>
                <w:rFonts w:ascii="Arial Narrow" w:eastAsiaTheme="minorHAnsi" w:hAnsi="Arial Narrow" w:cstheme="minorBidi"/>
                <w:b/>
                <w:sz w:val="20"/>
                <w:szCs w:val="22"/>
                <w:lang w:eastAsia="en-US"/>
              </w:rPr>
            </w:pPr>
            <w:r w:rsidRPr="007D6F1A">
              <w:rPr>
                <w:rFonts w:ascii="Arial Narrow" w:eastAsiaTheme="minorHAnsi" w:hAnsi="Arial Narrow" w:cstheme="minorBidi"/>
                <w:b/>
                <w:sz w:val="20"/>
                <w:szCs w:val="22"/>
                <w:lang w:eastAsia="en-US"/>
              </w:rPr>
              <w:t xml:space="preserve">Outcome </w:t>
            </w:r>
          </w:p>
        </w:tc>
        <w:tc>
          <w:tcPr>
            <w:tcW w:w="1495" w:type="dxa"/>
            <w:tcBorders>
              <w:top w:val="single" w:sz="4" w:space="0" w:color="auto"/>
              <w:left w:val="single" w:sz="4" w:space="0" w:color="auto"/>
              <w:bottom w:val="single" w:sz="4" w:space="0" w:color="auto"/>
              <w:right w:val="single" w:sz="4" w:space="0" w:color="auto"/>
            </w:tcBorders>
            <w:vAlign w:val="center"/>
          </w:tcPr>
          <w:p w14:paraId="2F5A8FD5" w14:textId="77777777" w:rsidR="006D4E42" w:rsidRPr="007D6F1A" w:rsidRDefault="006D4E42" w:rsidP="003406B4">
            <w:pPr>
              <w:keepNext/>
              <w:keepLines/>
              <w:jc w:val="center"/>
              <w:rPr>
                <w:rFonts w:ascii="Arial Narrow" w:eastAsiaTheme="minorHAnsi" w:hAnsi="Arial Narrow" w:cstheme="minorBidi"/>
                <w:b/>
                <w:sz w:val="20"/>
                <w:szCs w:val="22"/>
                <w:lang w:eastAsia="en-US"/>
              </w:rPr>
            </w:pPr>
            <w:r w:rsidRPr="007D6F1A">
              <w:rPr>
                <w:rFonts w:ascii="Arial Narrow" w:eastAsiaTheme="minorHAnsi" w:hAnsi="Arial Narrow" w:cstheme="minorBidi"/>
                <w:b/>
                <w:sz w:val="20"/>
                <w:szCs w:val="22"/>
                <w:lang w:eastAsia="en-US"/>
              </w:rPr>
              <w:t>Romosozumab/</w:t>
            </w:r>
          </w:p>
          <w:p w14:paraId="404CAB68" w14:textId="77777777" w:rsidR="006D4E42" w:rsidRPr="007D6F1A" w:rsidRDefault="006D4E42" w:rsidP="003406B4">
            <w:pPr>
              <w:keepNext/>
              <w:keepLines/>
              <w:jc w:val="center"/>
              <w:rPr>
                <w:rFonts w:ascii="Arial Narrow" w:eastAsiaTheme="minorHAnsi" w:hAnsi="Arial Narrow" w:cstheme="minorBidi"/>
                <w:b/>
                <w:sz w:val="20"/>
                <w:szCs w:val="22"/>
                <w:lang w:eastAsia="en-US"/>
              </w:rPr>
            </w:pPr>
            <w:r w:rsidRPr="007D6F1A">
              <w:rPr>
                <w:rFonts w:ascii="Arial Narrow" w:eastAsiaTheme="minorHAnsi" w:hAnsi="Arial Narrow" w:cstheme="minorBidi"/>
                <w:b/>
                <w:sz w:val="20"/>
                <w:szCs w:val="22"/>
                <w:lang w:eastAsia="en-US"/>
              </w:rPr>
              <w:t>alendronate</w:t>
            </w:r>
          </w:p>
        </w:tc>
        <w:tc>
          <w:tcPr>
            <w:tcW w:w="1526" w:type="dxa"/>
            <w:tcBorders>
              <w:top w:val="single" w:sz="4" w:space="0" w:color="auto"/>
              <w:left w:val="single" w:sz="4" w:space="0" w:color="auto"/>
              <w:bottom w:val="single" w:sz="4" w:space="0" w:color="auto"/>
              <w:right w:val="single" w:sz="4" w:space="0" w:color="auto"/>
            </w:tcBorders>
            <w:vAlign w:val="center"/>
          </w:tcPr>
          <w:p w14:paraId="58588421" w14:textId="77777777" w:rsidR="006D4E42" w:rsidRPr="007D6F1A" w:rsidRDefault="006D4E42" w:rsidP="003406B4">
            <w:pPr>
              <w:keepNext/>
              <w:keepLines/>
              <w:jc w:val="center"/>
              <w:rPr>
                <w:rFonts w:ascii="Arial Narrow" w:eastAsiaTheme="minorHAnsi" w:hAnsi="Arial Narrow" w:cstheme="minorBidi"/>
                <w:b/>
                <w:sz w:val="20"/>
                <w:szCs w:val="22"/>
                <w:lang w:eastAsia="en-US"/>
              </w:rPr>
            </w:pPr>
            <w:r w:rsidRPr="007D6F1A">
              <w:rPr>
                <w:rFonts w:ascii="Arial Narrow" w:eastAsiaTheme="minorHAnsi" w:hAnsi="Arial Narrow" w:cstheme="minorBidi"/>
                <w:b/>
                <w:sz w:val="20"/>
                <w:szCs w:val="22"/>
                <w:lang w:eastAsia="en-US"/>
              </w:rPr>
              <w:t>Alendronate/</w:t>
            </w:r>
          </w:p>
          <w:p w14:paraId="56D1CD8A" w14:textId="77777777" w:rsidR="006D4E42" w:rsidRPr="007D6F1A" w:rsidRDefault="006D4E42" w:rsidP="003406B4">
            <w:pPr>
              <w:keepNext/>
              <w:keepLines/>
              <w:jc w:val="center"/>
              <w:rPr>
                <w:rFonts w:ascii="Arial Narrow" w:eastAsiaTheme="minorHAnsi" w:hAnsi="Arial Narrow" w:cstheme="minorBidi"/>
                <w:b/>
                <w:sz w:val="20"/>
                <w:szCs w:val="22"/>
                <w:lang w:eastAsia="en-US"/>
              </w:rPr>
            </w:pPr>
            <w:r w:rsidRPr="007D6F1A">
              <w:rPr>
                <w:rFonts w:ascii="Arial Narrow" w:eastAsiaTheme="minorHAnsi" w:hAnsi="Arial Narrow" w:cstheme="minorBidi"/>
                <w:b/>
                <w:sz w:val="20"/>
                <w:szCs w:val="22"/>
                <w:lang w:eastAsia="en-US"/>
              </w:rPr>
              <w:t>alendronate</w:t>
            </w:r>
          </w:p>
        </w:tc>
        <w:tc>
          <w:tcPr>
            <w:tcW w:w="1777" w:type="dxa"/>
            <w:tcBorders>
              <w:top w:val="single" w:sz="4" w:space="0" w:color="auto"/>
              <w:left w:val="single" w:sz="4" w:space="0" w:color="auto"/>
              <w:bottom w:val="single" w:sz="4" w:space="0" w:color="auto"/>
              <w:right w:val="single" w:sz="4" w:space="0" w:color="auto"/>
            </w:tcBorders>
            <w:vAlign w:val="center"/>
          </w:tcPr>
          <w:p w14:paraId="49C70205" w14:textId="77777777" w:rsidR="006D4E42" w:rsidRPr="007D6F1A" w:rsidRDefault="006D4E42" w:rsidP="003406B4">
            <w:pPr>
              <w:keepNext/>
              <w:keepLines/>
              <w:jc w:val="center"/>
              <w:rPr>
                <w:rFonts w:ascii="Arial Narrow" w:eastAsiaTheme="minorHAnsi" w:hAnsi="Arial Narrow" w:cstheme="minorBidi"/>
                <w:b/>
                <w:sz w:val="20"/>
                <w:szCs w:val="22"/>
                <w:lang w:eastAsia="en-US"/>
              </w:rPr>
            </w:pPr>
            <w:r w:rsidRPr="007D6F1A">
              <w:rPr>
                <w:rFonts w:ascii="Arial Narrow" w:eastAsiaTheme="minorHAnsi" w:hAnsi="Arial Narrow" w:cstheme="minorBidi"/>
                <w:b/>
                <w:sz w:val="20"/>
                <w:szCs w:val="22"/>
                <w:lang w:eastAsia="en-US"/>
              </w:rPr>
              <w:t>Relative difference (95% CI)</w:t>
            </w:r>
          </w:p>
        </w:tc>
        <w:tc>
          <w:tcPr>
            <w:tcW w:w="1794" w:type="dxa"/>
            <w:tcBorders>
              <w:top w:val="single" w:sz="4" w:space="0" w:color="auto"/>
              <w:left w:val="single" w:sz="4" w:space="0" w:color="auto"/>
              <w:bottom w:val="single" w:sz="4" w:space="0" w:color="auto"/>
              <w:right w:val="single" w:sz="4" w:space="0" w:color="auto"/>
            </w:tcBorders>
            <w:vAlign w:val="center"/>
          </w:tcPr>
          <w:p w14:paraId="72A56051" w14:textId="77777777" w:rsidR="006D4E42" w:rsidRPr="007D6F1A" w:rsidRDefault="006D4E42" w:rsidP="003406B4">
            <w:pPr>
              <w:keepNext/>
              <w:keepLines/>
              <w:jc w:val="center"/>
              <w:rPr>
                <w:rFonts w:ascii="Arial Narrow" w:eastAsiaTheme="minorHAnsi" w:hAnsi="Arial Narrow" w:cstheme="minorBidi"/>
                <w:b/>
                <w:sz w:val="20"/>
                <w:szCs w:val="22"/>
                <w:lang w:eastAsia="en-US"/>
              </w:rPr>
            </w:pPr>
            <w:r w:rsidRPr="007D6F1A">
              <w:rPr>
                <w:rFonts w:ascii="Arial Narrow" w:eastAsiaTheme="minorHAnsi" w:hAnsi="Arial Narrow" w:cstheme="minorBidi"/>
                <w:b/>
                <w:sz w:val="20"/>
                <w:szCs w:val="22"/>
                <w:lang w:eastAsia="en-US"/>
              </w:rPr>
              <w:t xml:space="preserve">Multiplicity adjusted </w:t>
            </w:r>
            <w:r w:rsidRPr="007D6F1A">
              <w:rPr>
                <w:rFonts w:ascii="Arial Narrow" w:eastAsiaTheme="minorHAnsi" w:hAnsi="Arial Narrow" w:cstheme="minorBidi"/>
                <w:b/>
                <w:sz w:val="20"/>
                <w:szCs w:val="22"/>
                <w:lang w:eastAsia="en-US"/>
              </w:rPr>
              <w:br/>
              <w:t>p-values</w:t>
            </w:r>
          </w:p>
        </w:tc>
      </w:tr>
      <w:tr w:rsidR="006D4E42" w:rsidRPr="007D6F1A" w14:paraId="3D9EF005" w14:textId="77777777" w:rsidTr="003406B4">
        <w:trPr>
          <w:trHeight w:val="70"/>
        </w:trPr>
        <w:tc>
          <w:tcPr>
            <w:tcW w:w="9017" w:type="dxa"/>
            <w:gridSpan w:val="5"/>
            <w:tcBorders>
              <w:top w:val="single" w:sz="4" w:space="0" w:color="auto"/>
              <w:left w:val="single" w:sz="4" w:space="0" w:color="auto"/>
              <w:bottom w:val="single" w:sz="4" w:space="0" w:color="auto"/>
              <w:right w:val="single" w:sz="4" w:space="0" w:color="auto"/>
            </w:tcBorders>
            <w:vAlign w:val="center"/>
          </w:tcPr>
          <w:p w14:paraId="673A2B60" w14:textId="77777777" w:rsidR="006D4E42" w:rsidRPr="007D6F1A" w:rsidRDefault="006D4E42" w:rsidP="003406B4">
            <w:pPr>
              <w:keepNext/>
              <w:keepLines/>
              <w:jc w:val="left"/>
              <w:rPr>
                <w:rFonts w:ascii="Arial Narrow" w:eastAsiaTheme="minorHAnsi" w:hAnsi="Arial Narrow" w:cstheme="minorBidi"/>
                <w:b/>
                <w:sz w:val="20"/>
                <w:szCs w:val="22"/>
                <w:lang w:eastAsia="en-US"/>
              </w:rPr>
            </w:pPr>
            <w:r w:rsidRPr="007D6F1A">
              <w:rPr>
                <w:rFonts w:ascii="Arial Narrow" w:eastAsiaTheme="minorHAnsi" w:hAnsi="Arial Narrow" w:cstheme="minorBidi"/>
                <w:b/>
                <w:sz w:val="20"/>
                <w:szCs w:val="22"/>
                <w:lang w:eastAsia="en-US"/>
              </w:rPr>
              <w:t>New vertebral fracture (includes radiographic and clinical fractures), n/N (%)</w:t>
            </w:r>
          </w:p>
        </w:tc>
      </w:tr>
      <w:tr w:rsidR="006D4E42" w:rsidRPr="007D6F1A" w14:paraId="07E596FA" w14:textId="77777777" w:rsidTr="003406B4">
        <w:trPr>
          <w:trHeight w:val="70"/>
        </w:trPr>
        <w:tc>
          <w:tcPr>
            <w:tcW w:w="2425" w:type="dxa"/>
            <w:tcBorders>
              <w:top w:val="single" w:sz="4" w:space="0" w:color="auto"/>
              <w:left w:val="single" w:sz="4" w:space="0" w:color="auto"/>
              <w:bottom w:val="single" w:sz="4" w:space="0" w:color="auto"/>
              <w:right w:val="single" w:sz="4" w:space="0" w:color="auto"/>
            </w:tcBorders>
            <w:vAlign w:val="center"/>
          </w:tcPr>
          <w:p w14:paraId="156ACA1C" w14:textId="77777777" w:rsidR="006D4E42" w:rsidRPr="007D6F1A" w:rsidRDefault="006D4E42" w:rsidP="003406B4">
            <w:pPr>
              <w:keepNext/>
              <w:keepLines/>
              <w:jc w:val="left"/>
              <w:rPr>
                <w:rFonts w:ascii="Arial Narrow" w:eastAsiaTheme="minorHAnsi" w:hAnsi="Arial Narrow" w:cstheme="minorBidi"/>
                <w:sz w:val="20"/>
                <w:szCs w:val="22"/>
                <w:lang w:eastAsia="en-US"/>
              </w:rPr>
            </w:pPr>
            <w:r w:rsidRPr="007D6F1A">
              <w:rPr>
                <w:rFonts w:ascii="Arial Narrow" w:eastAsiaTheme="minorHAnsi" w:hAnsi="Arial Narrow" w:cstheme="minorBidi"/>
                <w:sz w:val="20"/>
                <w:szCs w:val="22"/>
                <w:lang w:eastAsia="en-US"/>
              </w:rPr>
              <w:t>Cumulative incidence to 12 months</w:t>
            </w:r>
          </w:p>
        </w:tc>
        <w:tc>
          <w:tcPr>
            <w:tcW w:w="1495" w:type="dxa"/>
            <w:tcBorders>
              <w:top w:val="single" w:sz="4" w:space="0" w:color="auto"/>
              <w:left w:val="single" w:sz="4" w:space="0" w:color="auto"/>
              <w:bottom w:val="single" w:sz="4" w:space="0" w:color="auto"/>
              <w:right w:val="single" w:sz="4" w:space="0" w:color="auto"/>
            </w:tcBorders>
            <w:vAlign w:val="center"/>
          </w:tcPr>
          <w:p w14:paraId="3CD842ED" w14:textId="77777777" w:rsidR="006D4E42" w:rsidRPr="007D6F1A" w:rsidRDefault="006D4E42" w:rsidP="003406B4">
            <w:pPr>
              <w:keepNext/>
              <w:keepLines/>
              <w:jc w:val="center"/>
              <w:rPr>
                <w:rFonts w:ascii="Arial Narrow" w:eastAsiaTheme="minorHAnsi" w:hAnsi="Arial Narrow" w:cstheme="minorBidi"/>
                <w:sz w:val="20"/>
                <w:szCs w:val="22"/>
                <w:lang w:eastAsia="en-US"/>
              </w:rPr>
            </w:pPr>
            <w:r w:rsidRPr="007D6F1A">
              <w:rPr>
                <w:rFonts w:ascii="Arial Narrow" w:eastAsiaTheme="minorHAnsi" w:hAnsi="Arial Narrow" w:cstheme="minorBidi"/>
                <w:sz w:val="20"/>
                <w:szCs w:val="22"/>
                <w:lang w:eastAsia="en-US"/>
              </w:rPr>
              <w:t>55/1696 (3.2)</w:t>
            </w:r>
          </w:p>
        </w:tc>
        <w:tc>
          <w:tcPr>
            <w:tcW w:w="1526" w:type="dxa"/>
            <w:tcBorders>
              <w:top w:val="single" w:sz="4" w:space="0" w:color="auto"/>
              <w:left w:val="single" w:sz="4" w:space="0" w:color="auto"/>
              <w:bottom w:val="single" w:sz="4" w:space="0" w:color="auto"/>
              <w:right w:val="single" w:sz="4" w:space="0" w:color="auto"/>
            </w:tcBorders>
            <w:vAlign w:val="center"/>
          </w:tcPr>
          <w:p w14:paraId="4F8C6520" w14:textId="77777777" w:rsidR="006D4E42" w:rsidRPr="007D6F1A" w:rsidRDefault="006D4E42" w:rsidP="003406B4">
            <w:pPr>
              <w:keepNext/>
              <w:keepLines/>
              <w:jc w:val="center"/>
              <w:rPr>
                <w:rFonts w:ascii="Arial Narrow" w:eastAsiaTheme="minorHAnsi" w:hAnsi="Arial Narrow" w:cstheme="minorBidi"/>
                <w:sz w:val="20"/>
                <w:szCs w:val="22"/>
                <w:lang w:eastAsia="en-US"/>
              </w:rPr>
            </w:pPr>
            <w:r w:rsidRPr="007D6F1A">
              <w:rPr>
                <w:rFonts w:ascii="Arial Narrow" w:eastAsiaTheme="minorHAnsi" w:hAnsi="Arial Narrow" w:cstheme="minorBidi"/>
                <w:sz w:val="20"/>
                <w:szCs w:val="22"/>
                <w:lang w:eastAsia="en-US"/>
              </w:rPr>
              <w:t>85/1703 (5.0)</w:t>
            </w:r>
          </w:p>
        </w:tc>
        <w:tc>
          <w:tcPr>
            <w:tcW w:w="1777" w:type="dxa"/>
            <w:tcBorders>
              <w:top w:val="single" w:sz="4" w:space="0" w:color="auto"/>
              <w:left w:val="single" w:sz="4" w:space="0" w:color="auto"/>
              <w:bottom w:val="single" w:sz="4" w:space="0" w:color="auto"/>
              <w:right w:val="single" w:sz="4" w:space="0" w:color="auto"/>
            </w:tcBorders>
            <w:vAlign w:val="center"/>
          </w:tcPr>
          <w:p w14:paraId="58104D19" w14:textId="77777777" w:rsidR="006D4E42" w:rsidRPr="007D6F1A" w:rsidRDefault="006D4E42" w:rsidP="003406B4">
            <w:pPr>
              <w:keepNext/>
              <w:keepLines/>
              <w:jc w:val="center"/>
              <w:rPr>
                <w:rFonts w:ascii="Arial Narrow" w:eastAsiaTheme="minorHAnsi" w:hAnsi="Arial Narrow" w:cstheme="minorBidi"/>
                <w:sz w:val="20"/>
                <w:szCs w:val="22"/>
                <w:lang w:eastAsia="en-US"/>
              </w:rPr>
            </w:pPr>
            <w:r w:rsidRPr="007D6F1A">
              <w:rPr>
                <w:rFonts w:ascii="Arial Narrow" w:eastAsiaTheme="minorHAnsi" w:hAnsi="Arial Narrow" w:cstheme="minorBidi"/>
                <w:sz w:val="20"/>
                <w:szCs w:val="22"/>
                <w:lang w:eastAsia="en-US"/>
              </w:rPr>
              <w:t>RR 0.64 (0.46, 0.89)</w:t>
            </w:r>
          </w:p>
        </w:tc>
        <w:tc>
          <w:tcPr>
            <w:tcW w:w="1794" w:type="dxa"/>
            <w:tcBorders>
              <w:top w:val="single" w:sz="4" w:space="0" w:color="auto"/>
              <w:left w:val="single" w:sz="4" w:space="0" w:color="auto"/>
              <w:bottom w:val="single" w:sz="4" w:space="0" w:color="auto"/>
              <w:right w:val="single" w:sz="4" w:space="0" w:color="auto"/>
            </w:tcBorders>
            <w:vAlign w:val="center"/>
          </w:tcPr>
          <w:p w14:paraId="046A9512" w14:textId="77777777" w:rsidR="006D4E42" w:rsidRPr="007D6F1A" w:rsidRDefault="006D4E42" w:rsidP="003406B4">
            <w:pPr>
              <w:keepNext/>
              <w:keepLines/>
              <w:jc w:val="center"/>
              <w:rPr>
                <w:rFonts w:ascii="Arial Narrow" w:eastAsiaTheme="minorHAnsi" w:hAnsi="Arial Narrow" w:cstheme="minorBidi"/>
                <w:sz w:val="20"/>
                <w:szCs w:val="22"/>
                <w:lang w:eastAsia="en-US"/>
              </w:rPr>
            </w:pPr>
            <w:r w:rsidRPr="007D6F1A">
              <w:rPr>
                <w:rFonts w:ascii="Arial Narrow" w:eastAsiaTheme="minorHAnsi" w:hAnsi="Arial Narrow" w:cstheme="minorBidi"/>
                <w:sz w:val="20"/>
                <w:szCs w:val="22"/>
                <w:lang w:eastAsia="en-US"/>
              </w:rPr>
              <w:t>-</w:t>
            </w:r>
          </w:p>
        </w:tc>
      </w:tr>
      <w:tr w:rsidR="006D4E42" w:rsidRPr="007D6F1A" w14:paraId="2C485889" w14:textId="77777777" w:rsidTr="003406B4">
        <w:trPr>
          <w:trHeight w:val="70"/>
        </w:trPr>
        <w:tc>
          <w:tcPr>
            <w:tcW w:w="2425" w:type="dxa"/>
            <w:tcBorders>
              <w:top w:val="single" w:sz="4" w:space="0" w:color="auto"/>
              <w:left w:val="single" w:sz="4" w:space="0" w:color="auto"/>
              <w:bottom w:val="single" w:sz="4" w:space="0" w:color="auto"/>
              <w:right w:val="single" w:sz="4" w:space="0" w:color="auto"/>
            </w:tcBorders>
            <w:vAlign w:val="center"/>
          </w:tcPr>
          <w:p w14:paraId="0DDDBA95" w14:textId="77777777" w:rsidR="006D4E42" w:rsidRPr="007D6F1A" w:rsidRDefault="006D4E42" w:rsidP="003406B4">
            <w:pPr>
              <w:keepNext/>
              <w:keepLines/>
              <w:jc w:val="left"/>
              <w:rPr>
                <w:rFonts w:ascii="Arial Narrow" w:eastAsiaTheme="minorHAnsi" w:hAnsi="Arial Narrow" w:cstheme="minorBidi"/>
                <w:sz w:val="20"/>
                <w:szCs w:val="22"/>
                <w:lang w:eastAsia="en-US"/>
              </w:rPr>
            </w:pPr>
            <w:r w:rsidRPr="007D6F1A">
              <w:rPr>
                <w:rFonts w:ascii="Arial Narrow" w:eastAsiaTheme="minorHAnsi" w:hAnsi="Arial Narrow" w:cstheme="minorBidi"/>
                <w:sz w:val="20"/>
                <w:szCs w:val="22"/>
                <w:lang w:eastAsia="en-US"/>
              </w:rPr>
              <w:t>Cumulative incidence to 24 months (co-primary outcome)</w:t>
            </w:r>
          </w:p>
        </w:tc>
        <w:tc>
          <w:tcPr>
            <w:tcW w:w="1495" w:type="dxa"/>
            <w:tcBorders>
              <w:top w:val="single" w:sz="4" w:space="0" w:color="auto"/>
              <w:left w:val="single" w:sz="4" w:space="0" w:color="auto"/>
              <w:bottom w:val="single" w:sz="4" w:space="0" w:color="auto"/>
              <w:right w:val="single" w:sz="4" w:space="0" w:color="auto"/>
            </w:tcBorders>
            <w:vAlign w:val="center"/>
          </w:tcPr>
          <w:p w14:paraId="0E4B9DBB" w14:textId="77777777" w:rsidR="006D4E42" w:rsidRPr="007D6F1A" w:rsidRDefault="006D4E42" w:rsidP="003406B4">
            <w:pPr>
              <w:keepNext/>
              <w:keepLines/>
              <w:jc w:val="center"/>
              <w:rPr>
                <w:rFonts w:ascii="Arial Narrow" w:eastAsiaTheme="minorHAnsi" w:hAnsi="Arial Narrow" w:cstheme="minorBidi"/>
                <w:sz w:val="20"/>
                <w:szCs w:val="22"/>
                <w:lang w:eastAsia="en-US"/>
              </w:rPr>
            </w:pPr>
            <w:r w:rsidRPr="007D6F1A">
              <w:rPr>
                <w:rFonts w:ascii="Arial Narrow" w:eastAsiaTheme="minorHAnsi" w:hAnsi="Arial Narrow" w:cstheme="minorBidi"/>
                <w:sz w:val="20"/>
                <w:szCs w:val="22"/>
                <w:lang w:eastAsia="en-US"/>
              </w:rPr>
              <w:t>74/1825 (4.1)</w:t>
            </w:r>
          </w:p>
        </w:tc>
        <w:tc>
          <w:tcPr>
            <w:tcW w:w="1526" w:type="dxa"/>
            <w:tcBorders>
              <w:top w:val="single" w:sz="4" w:space="0" w:color="auto"/>
              <w:left w:val="single" w:sz="4" w:space="0" w:color="auto"/>
              <w:bottom w:val="single" w:sz="4" w:space="0" w:color="auto"/>
              <w:right w:val="single" w:sz="4" w:space="0" w:color="auto"/>
            </w:tcBorders>
            <w:vAlign w:val="center"/>
          </w:tcPr>
          <w:p w14:paraId="05EEB9DF" w14:textId="77777777" w:rsidR="006D4E42" w:rsidRPr="007D6F1A" w:rsidRDefault="006D4E42" w:rsidP="003406B4">
            <w:pPr>
              <w:keepNext/>
              <w:keepLines/>
              <w:jc w:val="center"/>
              <w:rPr>
                <w:rFonts w:ascii="Arial Narrow" w:eastAsiaTheme="minorHAnsi" w:hAnsi="Arial Narrow" w:cstheme="minorBidi"/>
                <w:sz w:val="20"/>
                <w:szCs w:val="22"/>
                <w:lang w:eastAsia="en-US"/>
              </w:rPr>
            </w:pPr>
            <w:r w:rsidRPr="007D6F1A">
              <w:rPr>
                <w:rFonts w:ascii="Arial Narrow" w:eastAsiaTheme="minorHAnsi" w:hAnsi="Arial Narrow" w:cstheme="minorBidi"/>
                <w:sz w:val="20"/>
                <w:szCs w:val="22"/>
                <w:lang w:eastAsia="en-US"/>
              </w:rPr>
              <w:t>147/1834 (8.0)</w:t>
            </w:r>
          </w:p>
        </w:tc>
        <w:tc>
          <w:tcPr>
            <w:tcW w:w="1777" w:type="dxa"/>
            <w:tcBorders>
              <w:top w:val="single" w:sz="4" w:space="0" w:color="auto"/>
              <w:left w:val="single" w:sz="4" w:space="0" w:color="auto"/>
              <w:bottom w:val="single" w:sz="4" w:space="0" w:color="auto"/>
              <w:right w:val="single" w:sz="4" w:space="0" w:color="auto"/>
            </w:tcBorders>
            <w:vAlign w:val="center"/>
          </w:tcPr>
          <w:p w14:paraId="325D5690" w14:textId="77777777" w:rsidR="006D4E42" w:rsidRPr="007D6F1A" w:rsidRDefault="006D4E42" w:rsidP="003406B4">
            <w:pPr>
              <w:keepNext/>
              <w:keepLines/>
              <w:jc w:val="center"/>
              <w:rPr>
                <w:rFonts w:ascii="Arial Narrow" w:eastAsiaTheme="minorHAnsi" w:hAnsi="Arial Narrow" w:cstheme="minorBidi"/>
                <w:b/>
                <w:sz w:val="20"/>
                <w:szCs w:val="22"/>
                <w:lang w:eastAsia="en-US"/>
              </w:rPr>
            </w:pPr>
            <w:r w:rsidRPr="007D6F1A">
              <w:rPr>
                <w:rFonts w:ascii="Arial Narrow" w:eastAsiaTheme="minorHAnsi" w:hAnsi="Arial Narrow" w:cstheme="minorBidi"/>
                <w:b/>
                <w:sz w:val="20"/>
                <w:szCs w:val="22"/>
                <w:lang w:eastAsia="en-US"/>
              </w:rPr>
              <w:t>RR 0.50 (0.38, 0.66)</w:t>
            </w:r>
          </w:p>
        </w:tc>
        <w:tc>
          <w:tcPr>
            <w:tcW w:w="1794" w:type="dxa"/>
            <w:tcBorders>
              <w:top w:val="single" w:sz="4" w:space="0" w:color="auto"/>
              <w:left w:val="single" w:sz="4" w:space="0" w:color="auto"/>
              <w:bottom w:val="single" w:sz="4" w:space="0" w:color="auto"/>
              <w:right w:val="single" w:sz="4" w:space="0" w:color="auto"/>
            </w:tcBorders>
            <w:vAlign w:val="center"/>
          </w:tcPr>
          <w:p w14:paraId="41CE8EC8" w14:textId="77777777" w:rsidR="006D4E42" w:rsidRPr="007D6F1A" w:rsidRDefault="006D4E42" w:rsidP="003406B4">
            <w:pPr>
              <w:keepNext/>
              <w:keepLines/>
              <w:jc w:val="center"/>
              <w:rPr>
                <w:rFonts w:ascii="Arial Narrow" w:eastAsiaTheme="minorHAnsi" w:hAnsi="Arial Narrow" w:cstheme="minorBidi"/>
                <w:sz w:val="20"/>
                <w:szCs w:val="22"/>
                <w:lang w:eastAsia="en-US"/>
              </w:rPr>
            </w:pPr>
            <w:r w:rsidRPr="007D6F1A">
              <w:rPr>
                <w:rFonts w:ascii="Arial Narrow" w:eastAsiaTheme="minorHAnsi" w:hAnsi="Arial Narrow" w:cstheme="minorBidi"/>
                <w:sz w:val="20"/>
                <w:szCs w:val="22"/>
                <w:lang w:eastAsia="en-US"/>
              </w:rPr>
              <w:t>p &lt; 0.001</w:t>
            </w:r>
          </w:p>
        </w:tc>
      </w:tr>
      <w:tr w:rsidR="006D4E42" w:rsidRPr="007D6F1A" w14:paraId="40FF40E1" w14:textId="77777777" w:rsidTr="003406B4">
        <w:trPr>
          <w:trHeight w:val="70"/>
        </w:trPr>
        <w:tc>
          <w:tcPr>
            <w:tcW w:w="9017" w:type="dxa"/>
            <w:gridSpan w:val="5"/>
            <w:tcBorders>
              <w:top w:val="single" w:sz="4" w:space="0" w:color="auto"/>
              <w:left w:val="single" w:sz="4" w:space="0" w:color="auto"/>
              <w:bottom w:val="single" w:sz="4" w:space="0" w:color="auto"/>
              <w:right w:val="single" w:sz="4" w:space="0" w:color="auto"/>
            </w:tcBorders>
            <w:vAlign w:val="center"/>
          </w:tcPr>
          <w:p w14:paraId="6E795D5A" w14:textId="77777777" w:rsidR="006D4E42" w:rsidRPr="007D6F1A" w:rsidRDefault="006D4E42" w:rsidP="003406B4">
            <w:pPr>
              <w:keepNext/>
              <w:keepLines/>
              <w:jc w:val="left"/>
              <w:rPr>
                <w:rFonts w:ascii="Arial Narrow" w:eastAsiaTheme="minorHAnsi" w:hAnsi="Arial Narrow" w:cstheme="minorBidi"/>
                <w:b/>
                <w:sz w:val="20"/>
                <w:szCs w:val="22"/>
                <w:lang w:eastAsia="en-US"/>
              </w:rPr>
            </w:pPr>
            <w:r w:rsidRPr="007D6F1A">
              <w:rPr>
                <w:rFonts w:ascii="Arial Narrow" w:eastAsiaTheme="minorHAnsi" w:hAnsi="Arial Narrow" w:cstheme="minorBidi"/>
                <w:b/>
                <w:sz w:val="20"/>
                <w:szCs w:val="22"/>
                <w:lang w:eastAsia="en-US"/>
              </w:rPr>
              <w:t>Non-vertebral fracture (includes all non-vertebral fractures except skull, face, hand, fingers, toes, pathologic fractures and severe trauma fractures), n/N (%)</w:t>
            </w:r>
          </w:p>
        </w:tc>
      </w:tr>
      <w:tr w:rsidR="006D4E42" w:rsidRPr="007D6F1A" w14:paraId="4F9B715B" w14:textId="77777777" w:rsidTr="003406B4">
        <w:trPr>
          <w:trHeight w:val="70"/>
        </w:trPr>
        <w:tc>
          <w:tcPr>
            <w:tcW w:w="2425" w:type="dxa"/>
            <w:tcBorders>
              <w:top w:val="single" w:sz="4" w:space="0" w:color="auto"/>
              <w:left w:val="single" w:sz="4" w:space="0" w:color="auto"/>
              <w:bottom w:val="single" w:sz="4" w:space="0" w:color="auto"/>
              <w:right w:val="single" w:sz="4" w:space="0" w:color="auto"/>
            </w:tcBorders>
            <w:vAlign w:val="center"/>
          </w:tcPr>
          <w:p w14:paraId="1B68C2E5" w14:textId="77777777" w:rsidR="006D4E42" w:rsidRPr="007D6F1A" w:rsidRDefault="006D4E42" w:rsidP="003406B4">
            <w:pPr>
              <w:keepNext/>
              <w:keepLines/>
              <w:jc w:val="left"/>
              <w:rPr>
                <w:rFonts w:ascii="Arial Narrow" w:eastAsiaTheme="minorHAnsi" w:hAnsi="Arial Narrow" w:cstheme="minorBidi"/>
                <w:sz w:val="20"/>
                <w:szCs w:val="22"/>
                <w:lang w:eastAsia="en-US"/>
              </w:rPr>
            </w:pPr>
            <w:r w:rsidRPr="007D6F1A">
              <w:rPr>
                <w:rFonts w:ascii="Arial Narrow" w:eastAsiaTheme="minorHAnsi" w:hAnsi="Arial Narrow" w:cstheme="minorBidi"/>
                <w:sz w:val="20"/>
                <w:szCs w:val="22"/>
                <w:lang w:eastAsia="en-US"/>
              </w:rPr>
              <w:t>Cumulative incidence to 12 months</w:t>
            </w:r>
          </w:p>
        </w:tc>
        <w:tc>
          <w:tcPr>
            <w:tcW w:w="1495" w:type="dxa"/>
            <w:tcBorders>
              <w:top w:val="single" w:sz="4" w:space="0" w:color="auto"/>
              <w:left w:val="single" w:sz="4" w:space="0" w:color="auto"/>
              <w:bottom w:val="single" w:sz="4" w:space="0" w:color="auto"/>
              <w:right w:val="single" w:sz="4" w:space="0" w:color="auto"/>
            </w:tcBorders>
            <w:vAlign w:val="center"/>
          </w:tcPr>
          <w:p w14:paraId="1D0985CA" w14:textId="77777777" w:rsidR="006D4E42" w:rsidRPr="007D6F1A" w:rsidRDefault="006D4E42" w:rsidP="003406B4">
            <w:pPr>
              <w:keepNext/>
              <w:keepLines/>
              <w:jc w:val="center"/>
              <w:rPr>
                <w:rFonts w:ascii="Arial Narrow" w:eastAsiaTheme="minorHAnsi" w:hAnsi="Arial Narrow" w:cstheme="minorBidi"/>
                <w:sz w:val="20"/>
                <w:szCs w:val="22"/>
                <w:lang w:eastAsia="en-US"/>
              </w:rPr>
            </w:pPr>
            <w:r w:rsidRPr="007D6F1A">
              <w:rPr>
                <w:rFonts w:ascii="Arial Narrow" w:eastAsiaTheme="minorHAnsi" w:hAnsi="Arial Narrow" w:cstheme="minorBidi"/>
                <w:sz w:val="20"/>
                <w:szCs w:val="22"/>
                <w:lang w:eastAsia="en-US"/>
              </w:rPr>
              <w:t>70/2046 (3.4)</w:t>
            </w:r>
          </w:p>
        </w:tc>
        <w:tc>
          <w:tcPr>
            <w:tcW w:w="1526" w:type="dxa"/>
            <w:tcBorders>
              <w:top w:val="single" w:sz="4" w:space="0" w:color="auto"/>
              <w:left w:val="single" w:sz="4" w:space="0" w:color="auto"/>
              <w:bottom w:val="single" w:sz="4" w:space="0" w:color="auto"/>
              <w:right w:val="single" w:sz="4" w:space="0" w:color="auto"/>
            </w:tcBorders>
            <w:vAlign w:val="center"/>
          </w:tcPr>
          <w:p w14:paraId="115E4B83" w14:textId="77777777" w:rsidR="006D4E42" w:rsidRPr="007D6F1A" w:rsidRDefault="006D4E42" w:rsidP="003406B4">
            <w:pPr>
              <w:keepNext/>
              <w:keepLines/>
              <w:jc w:val="center"/>
              <w:rPr>
                <w:rFonts w:ascii="Arial Narrow" w:eastAsiaTheme="minorHAnsi" w:hAnsi="Arial Narrow" w:cstheme="minorBidi"/>
                <w:sz w:val="20"/>
                <w:szCs w:val="22"/>
                <w:lang w:eastAsia="en-US"/>
              </w:rPr>
            </w:pPr>
            <w:r w:rsidRPr="007D6F1A">
              <w:rPr>
                <w:rFonts w:ascii="Arial Narrow" w:eastAsiaTheme="minorHAnsi" w:hAnsi="Arial Narrow" w:cstheme="minorBidi"/>
                <w:sz w:val="20"/>
                <w:szCs w:val="22"/>
                <w:lang w:eastAsia="en-US"/>
              </w:rPr>
              <w:t>95/2047 (4.6)</w:t>
            </w:r>
          </w:p>
        </w:tc>
        <w:tc>
          <w:tcPr>
            <w:tcW w:w="1777" w:type="dxa"/>
            <w:tcBorders>
              <w:top w:val="single" w:sz="4" w:space="0" w:color="auto"/>
              <w:left w:val="single" w:sz="4" w:space="0" w:color="auto"/>
              <w:bottom w:val="single" w:sz="4" w:space="0" w:color="auto"/>
              <w:right w:val="single" w:sz="4" w:space="0" w:color="auto"/>
            </w:tcBorders>
            <w:vAlign w:val="center"/>
          </w:tcPr>
          <w:p w14:paraId="69838BBF" w14:textId="77777777" w:rsidR="006D4E42" w:rsidRPr="007D6F1A" w:rsidRDefault="006D4E42" w:rsidP="003406B4">
            <w:pPr>
              <w:keepNext/>
              <w:keepLines/>
              <w:jc w:val="center"/>
              <w:rPr>
                <w:rFonts w:ascii="Arial Narrow" w:eastAsiaTheme="minorHAnsi" w:hAnsi="Arial Narrow" w:cstheme="minorBidi"/>
                <w:sz w:val="20"/>
                <w:szCs w:val="22"/>
                <w:lang w:eastAsia="en-US"/>
              </w:rPr>
            </w:pPr>
            <w:r w:rsidRPr="007D6F1A">
              <w:rPr>
                <w:rFonts w:ascii="Arial Narrow" w:eastAsiaTheme="minorHAnsi" w:hAnsi="Arial Narrow" w:cstheme="minorBidi"/>
                <w:sz w:val="20"/>
                <w:szCs w:val="22"/>
                <w:lang w:eastAsia="en-US"/>
              </w:rPr>
              <w:t>HR 0.74 (0.54, 1.01)</w:t>
            </w:r>
          </w:p>
        </w:tc>
        <w:tc>
          <w:tcPr>
            <w:tcW w:w="1794" w:type="dxa"/>
            <w:tcBorders>
              <w:top w:val="single" w:sz="4" w:space="0" w:color="auto"/>
              <w:left w:val="single" w:sz="4" w:space="0" w:color="auto"/>
              <w:bottom w:val="single" w:sz="4" w:space="0" w:color="auto"/>
              <w:right w:val="single" w:sz="4" w:space="0" w:color="auto"/>
            </w:tcBorders>
            <w:vAlign w:val="center"/>
          </w:tcPr>
          <w:p w14:paraId="76951033" w14:textId="77777777" w:rsidR="006D4E42" w:rsidRPr="007D6F1A" w:rsidRDefault="006D4E42" w:rsidP="003406B4">
            <w:pPr>
              <w:keepNext/>
              <w:keepLines/>
              <w:jc w:val="center"/>
              <w:rPr>
                <w:rFonts w:ascii="Arial Narrow" w:eastAsiaTheme="minorHAnsi" w:hAnsi="Arial Narrow" w:cstheme="minorBidi"/>
                <w:sz w:val="20"/>
                <w:szCs w:val="22"/>
                <w:lang w:eastAsia="en-US"/>
              </w:rPr>
            </w:pPr>
            <w:r w:rsidRPr="007D6F1A">
              <w:rPr>
                <w:rFonts w:ascii="Arial Narrow" w:eastAsiaTheme="minorHAnsi" w:hAnsi="Arial Narrow" w:cstheme="minorBidi"/>
                <w:sz w:val="20"/>
                <w:szCs w:val="22"/>
                <w:lang w:eastAsia="en-US"/>
              </w:rPr>
              <w:t>-</w:t>
            </w:r>
          </w:p>
        </w:tc>
      </w:tr>
      <w:tr w:rsidR="006D4E42" w:rsidRPr="007D6F1A" w14:paraId="466D8743" w14:textId="77777777" w:rsidTr="003406B4">
        <w:trPr>
          <w:trHeight w:val="70"/>
        </w:trPr>
        <w:tc>
          <w:tcPr>
            <w:tcW w:w="2425" w:type="dxa"/>
            <w:tcBorders>
              <w:top w:val="single" w:sz="4" w:space="0" w:color="auto"/>
              <w:left w:val="single" w:sz="4" w:space="0" w:color="auto"/>
              <w:bottom w:val="single" w:sz="4" w:space="0" w:color="auto"/>
              <w:right w:val="single" w:sz="4" w:space="0" w:color="auto"/>
            </w:tcBorders>
            <w:vAlign w:val="center"/>
          </w:tcPr>
          <w:p w14:paraId="1958A194" w14:textId="77777777" w:rsidR="006D4E42" w:rsidRPr="007D6F1A" w:rsidRDefault="006D4E42" w:rsidP="003406B4">
            <w:pPr>
              <w:keepNext/>
              <w:keepLines/>
              <w:jc w:val="left"/>
              <w:rPr>
                <w:rFonts w:ascii="Arial Narrow" w:eastAsiaTheme="minorHAnsi" w:hAnsi="Arial Narrow" w:cstheme="minorBidi"/>
                <w:sz w:val="20"/>
                <w:szCs w:val="22"/>
                <w:lang w:eastAsia="en-US"/>
              </w:rPr>
            </w:pPr>
            <w:r w:rsidRPr="007D6F1A">
              <w:rPr>
                <w:rFonts w:ascii="Arial Narrow" w:eastAsiaTheme="minorHAnsi" w:hAnsi="Arial Narrow" w:cstheme="minorBidi"/>
                <w:sz w:val="20"/>
                <w:szCs w:val="22"/>
                <w:lang w:eastAsia="en-US"/>
              </w:rPr>
              <w:t>Cumulative incidence to 24 months</w:t>
            </w:r>
          </w:p>
        </w:tc>
        <w:tc>
          <w:tcPr>
            <w:tcW w:w="1495" w:type="dxa"/>
            <w:tcBorders>
              <w:top w:val="single" w:sz="4" w:space="0" w:color="auto"/>
              <w:left w:val="single" w:sz="4" w:space="0" w:color="auto"/>
              <w:bottom w:val="single" w:sz="4" w:space="0" w:color="auto"/>
              <w:right w:val="single" w:sz="4" w:space="0" w:color="auto"/>
            </w:tcBorders>
            <w:vAlign w:val="center"/>
          </w:tcPr>
          <w:p w14:paraId="783B655B" w14:textId="77777777" w:rsidR="006D4E42" w:rsidRPr="007D6F1A" w:rsidRDefault="006D4E42" w:rsidP="003406B4">
            <w:pPr>
              <w:keepNext/>
              <w:keepLines/>
              <w:jc w:val="center"/>
              <w:rPr>
                <w:rFonts w:ascii="Arial Narrow" w:eastAsiaTheme="minorHAnsi" w:hAnsi="Arial Narrow" w:cstheme="minorBidi"/>
                <w:sz w:val="20"/>
                <w:szCs w:val="22"/>
                <w:lang w:eastAsia="en-US"/>
              </w:rPr>
            </w:pPr>
            <w:r w:rsidRPr="007D6F1A">
              <w:rPr>
                <w:rFonts w:ascii="Arial Narrow" w:eastAsiaTheme="minorHAnsi" w:hAnsi="Arial Narrow" w:cstheme="minorBidi"/>
                <w:sz w:val="20"/>
                <w:szCs w:val="22"/>
                <w:lang w:eastAsia="en-US"/>
              </w:rPr>
              <w:t>129/2046 (6.3)</w:t>
            </w:r>
          </w:p>
        </w:tc>
        <w:tc>
          <w:tcPr>
            <w:tcW w:w="1526" w:type="dxa"/>
            <w:tcBorders>
              <w:top w:val="single" w:sz="4" w:space="0" w:color="auto"/>
              <w:left w:val="single" w:sz="4" w:space="0" w:color="auto"/>
              <w:bottom w:val="single" w:sz="4" w:space="0" w:color="auto"/>
              <w:right w:val="single" w:sz="4" w:space="0" w:color="auto"/>
            </w:tcBorders>
            <w:vAlign w:val="center"/>
          </w:tcPr>
          <w:p w14:paraId="19AC55E9" w14:textId="77777777" w:rsidR="006D4E42" w:rsidRPr="007D6F1A" w:rsidRDefault="006D4E42" w:rsidP="003406B4">
            <w:pPr>
              <w:keepNext/>
              <w:keepLines/>
              <w:jc w:val="center"/>
              <w:rPr>
                <w:rFonts w:ascii="Arial Narrow" w:eastAsiaTheme="minorHAnsi" w:hAnsi="Arial Narrow" w:cstheme="minorBidi"/>
                <w:sz w:val="20"/>
                <w:szCs w:val="22"/>
                <w:lang w:eastAsia="en-US"/>
              </w:rPr>
            </w:pPr>
            <w:r w:rsidRPr="007D6F1A">
              <w:rPr>
                <w:rFonts w:ascii="Arial Narrow" w:eastAsiaTheme="minorHAnsi" w:hAnsi="Arial Narrow" w:cstheme="minorBidi"/>
                <w:sz w:val="20"/>
                <w:szCs w:val="22"/>
                <w:lang w:eastAsia="en-US"/>
              </w:rPr>
              <w:t>159/2047 (7.8)</w:t>
            </w:r>
          </w:p>
        </w:tc>
        <w:tc>
          <w:tcPr>
            <w:tcW w:w="1777" w:type="dxa"/>
            <w:tcBorders>
              <w:top w:val="single" w:sz="4" w:space="0" w:color="auto"/>
              <w:left w:val="single" w:sz="4" w:space="0" w:color="auto"/>
              <w:bottom w:val="single" w:sz="4" w:space="0" w:color="auto"/>
              <w:right w:val="single" w:sz="4" w:space="0" w:color="auto"/>
            </w:tcBorders>
            <w:vAlign w:val="center"/>
          </w:tcPr>
          <w:p w14:paraId="03689D3F" w14:textId="77777777" w:rsidR="006D4E42" w:rsidRPr="007D6F1A" w:rsidRDefault="006D4E42" w:rsidP="003406B4">
            <w:pPr>
              <w:keepNext/>
              <w:keepLines/>
              <w:jc w:val="center"/>
              <w:rPr>
                <w:rFonts w:ascii="Arial Narrow" w:eastAsiaTheme="minorHAnsi" w:hAnsi="Arial Narrow" w:cstheme="minorBidi"/>
                <w:sz w:val="20"/>
                <w:szCs w:val="22"/>
                <w:lang w:eastAsia="en-US"/>
              </w:rPr>
            </w:pPr>
            <w:r w:rsidRPr="007D6F1A">
              <w:rPr>
                <w:rFonts w:ascii="Arial Narrow" w:eastAsiaTheme="minorHAnsi" w:hAnsi="Arial Narrow" w:cstheme="minorBidi"/>
                <w:sz w:val="20"/>
                <w:szCs w:val="22"/>
                <w:lang w:eastAsia="en-US"/>
              </w:rPr>
              <w:t>HR 0.81 (0.64, 1.02)</w:t>
            </w:r>
          </w:p>
        </w:tc>
        <w:tc>
          <w:tcPr>
            <w:tcW w:w="1794" w:type="dxa"/>
            <w:tcBorders>
              <w:top w:val="single" w:sz="4" w:space="0" w:color="auto"/>
              <w:left w:val="single" w:sz="4" w:space="0" w:color="auto"/>
              <w:bottom w:val="single" w:sz="4" w:space="0" w:color="auto"/>
              <w:right w:val="single" w:sz="4" w:space="0" w:color="auto"/>
            </w:tcBorders>
            <w:vAlign w:val="center"/>
          </w:tcPr>
          <w:p w14:paraId="5F6525F1" w14:textId="77777777" w:rsidR="006D4E42" w:rsidRPr="007D6F1A" w:rsidRDefault="006D4E42" w:rsidP="003406B4">
            <w:pPr>
              <w:keepNext/>
              <w:keepLines/>
              <w:jc w:val="center"/>
              <w:rPr>
                <w:rFonts w:ascii="Arial Narrow" w:eastAsiaTheme="minorHAnsi" w:hAnsi="Arial Narrow" w:cstheme="minorBidi"/>
                <w:sz w:val="20"/>
                <w:szCs w:val="22"/>
                <w:lang w:eastAsia="en-US"/>
              </w:rPr>
            </w:pPr>
            <w:r w:rsidRPr="007D6F1A">
              <w:rPr>
                <w:rFonts w:ascii="Arial Narrow" w:eastAsiaTheme="minorHAnsi" w:hAnsi="Arial Narrow" w:cstheme="minorBidi"/>
                <w:sz w:val="20"/>
                <w:szCs w:val="22"/>
                <w:lang w:eastAsia="en-US"/>
              </w:rPr>
              <w:t>-</w:t>
            </w:r>
          </w:p>
        </w:tc>
      </w:tr>
      <w:tr w:rsidR="006D4E42" w:rsidRPr="007D6F1A" w14:paraId="75F909EC" w14:textId="77777777" w:rsidTr="003406B4">
        <w:trPr>
          <w:trHeight w:val="70"/>
        </w:trPr>
        <w:tc>
          <w:tcPr>
            <w:tcW w:w="2425" w:type="dxa"/>
            <w:tcBorders>
              <w:top w:val="single" w:sz="4" w:space="0" w:color="auto"/>
              <w:left w:val="single" w:sz="4" w:space="0" w:color="auto"/>
              <w:bottom w:val="single" w:sz="4" w:space="0" w:color="auto"/>
              <w:right w:val="single" w:sz="4" w:space="0" w:color="auto"/>
            </w:tcBorders>
            <w:vAlign w:val="center"/>
          </w:tcPr>
          <w:p w14:paraId="72EAE0B7" w14:textId="77777777" w:rsidR="006D4E42" w:rsidRPr="007D6F1A" w:rsidRDefault="006D4E42" w:rsidP="003406B4">
            <w:pPr>
              <w:keepNext/>
              <w:keepLines/>
              <w:jc w:val="left"/>
              <w:rPr>
                <w:rFonts w:ascii="Arial Narrow" w:eastAsiaTheme="minorHAnsi" w:hAnsi="Arial Narrow" w:cstheme="minorBidi"/>
                <w:sz w:val="20"/>
                <w:szCs w:val="22"/>
                <w:lang w:eastAsia="en-US"/>
              </w:rPr>
            </w:pPr>
            <w:r w:rsidRPr="007D6F1A">
              <w:rPr>
                <w:rFonts w:ascii="Arial Narrow" w:eastAsiaTheme="minorHAnsi" w:hAnsi="Arial Narrow" w:cstheme="minorBidi"/>
                <w:sz w:val="20"/>
                <w:szCs w:val="22"/>
                <w:lang w:eastAsia="en-US"/>
              </w:rPr>
              <w:t>Cumulative incidence to primary analysis (median 33 months)</w:t>
            </w:r>
          </w:p>
        </w:tc>
        <w:tc>
          <w:tcPr>
            <w:tcW w:w="1495" w:type="dxa"/>
            <w:tcBorders>
              <w:top w:val="single" w:sz="4" w:space="0" w:color="auto"/>
              <w:left w:val="single" w:sz="4" w:space="0" w:color="auto"/>
              <w:bottom w:val="single" w:sz="4" w:space="0" w:color="auto"/>
              <w:right w:val="single" w:sz="4" w:space="0" w:color="auto"/>
            </w:tcBorders>
            <w:vAlign w:val="center"/>
          </w:tcPr>
          <w:p w14:paraId="37BBC258" w14:textId="77777777" w:rsidR="006D4E42" w:rsidRPr="007D6F1A" w:rsidRDefault="006D4E42" w:rsidP="003406B4">
            <w:pPr>
              <w:keepNext/>
              <w:keepLines/>
              <w:jc w:val="center"/>
              <w:rPr>
                <w:rFonts w:ascii="Arial Narrow" w:eastAsiaTheme="minorHAnsi" w:hAnsi="Arial Narrow" w:cstheme="minorBidi"/>
                <w:sz w:val="20"/>
                <w:szCs w:val="22"/>
                <w:lang w:eastAsia="en-US"/>
              </w:rPr>
            </w:pPr>
            <w:r w:rsidRPr="007D6F1A">
              <w:rPr>
                <w:rFonts w:ascii="Arial Narrow" w:eastAsiaTheme="minorHAnsi" w:hAnsi="Arial Narrow" w:cstheme="minorBidi"/>
                <w:sz w:val="20"/>
                <w:szCs w:val="22"/>
                <w:lang w:eastAsia="en-US"/>
              </w:rPr>
              <w:t>178/2046 (8.7)</w:t>
            </w:r>
          </w:p>
        </w:tc>
        <w:tc>
          <w:tcPr>
            <w:tcW w:w="1526" w:type="dxa"/>
            <w:tcBorders>
              <w:top w:val="single" w:sz="4" w:space="0" w:color="auto"/>
              <w:left w:val="single" w:sz="4" w:space="0" w:color="auto"/>
              <w:bottom w:val="single" w:sz="4" w:space="0" w:color="auto"/>
              <w:right w:val="single" w:sz="4" w:space="0" w:color="auto"/>
            </w:tcBorders>
            <w:vAlign w:val="center"/>
          </w:tcPr>
          <w:p w14:paraId="391B792B" w14:textId="77777777" w:rsidR="006D4E42" w:rsidRPr="007D6F1A" w:rsidRDefault="006D4E42" w:rsidP="003406B4">
            <w:pPr>
              <w:keepNext/>
              <w:keepLines/>
              <w:jc w:val="center"/>
              <w:rPr>
                <w:rFonts w:ascii="Arial Narrow" w:eastAsiaTheme="minorHAnsi" w:hAnsi="Arial Narrow" w:cstheme="minorBidi"/>
                <w:sz w:val="20"/>
                <w:szCs w:val="22"/>
                <w:lang w:eastAsia="en-US"/>
              </w:rPr>
            </w:pPr>
            <w:r w:rsidRPr="007D6F1A">
              <w:rPr>
                <w:rFonts w:ascii="Arial Narrow" w:eastAsiaTheme="minorHAnsi" w:hAnsi="Arial Narrow" w:cstheme="minorBidi"/>
                <w:sz w:val="20"/>
                <w:szCs w:val="22"/>
                <w:lang w:eastAsia="en-US"/>
              </w:rPr>
              <w:t>217/2047 (10.6)</w:t>
            </w:r>
          </w:p>
        </w:tc>
        <w:tc>
          <w:tcPr>
            <w:tcW w:w="1777" w:type="dxa"/>
            <w:tcBorders>
              <w:top w:val="single" w:sz="4" w:space="0" w:color="auto"/>
              <w:left w:val="single" w:sz="4" w:space="0" w:color="auto"/>
              <w:bottom w:val="single" w:sz="4" w:space="0" w:color="auto"/>
              <w:right w:val="single" w:sz="4" w:space="0" w:color="auto"/>
            </w:tcBorders>
            <w:vAlign w:val="center"/>
          </w:tcPr>
          <w:p w14:paraId="6E04403C" w14:textId="77777777" w:rsidR="006D4E42" w:rsidRPr="007D6F1A" w:rsidRDefault="006D4E42" w:rsidP="003406B4">
            <w:pPr>
              <w:keepNext/>
              <w:keepLines/>
              <w:jc w:val="center"/>
              <w:rPr>
                <w:rFonts w:ascii="Arial Narrow" w:eastAsiaTheme="minorHAnsi" w:hAnsi="Arial Narrow" w:cstheme="minorBidi"/>
                <w:b/>
                <w:sz w:val="20"/>
                <w:szCs w:val="22"/>
                <w:lang w:eastAsia="en-US"/>
              </w:rPr>
            </w:pPr>
            <w:r w:rsidRPr="007D6F1A">
              <w:rPr>
                <w:rFonts w:ascii="Arial Narrow" w:eastAsiaTheme="minorHAnsi" w:hAnsi="Arial Narrow" w:cstheme="minorBidi"/>
                <w:b/>
                <w:sz w:val="20"/>
                <w:szCs w:val="22"/>
                <w:lang w:eastAsia="en-US"/>
              </w:rPr>
              <w:t>HR 0.81 (0.66, 0.99)</w:t>
            </w:r>
          </w:p>
        </w:tc>
        <w:tc>
          <w:tcPr>
            <w:tcW w:w="1794" w:type="dxa"/>
            <w:tcBorders>
              <w:top w:val="single" w:sz="4" w:space="0" w:color="auto"/>
              <w:left w:val="single" w:sz="4" w:space="0" w:color="auto"/>
              <w:bottom w:val="single" w:sz="4" w:space="0" w:color="auto"/>
              <w:right w:val="single" w:sz="4" w:space="0" w:color="auto"/>
            </w:tcBorders>
            <w:vAlign w:val="center"/>
          </w:tcPr>
          <w:p w14:paraId="342120EE" w14:textId="77777777" w:rsidR="006D4E42" w:rsidRPr="007D6F1A" w:rsidRDefault="006D4E42" w:rsidP="003406B4">
            <w:pPr>
              <w:keepNext/>
              <w:keepLines/>
              <w:jc w:val="center"/>
              <w:rPr>
                <w:rFonts w:ascii="Arial Narrow" w:eastAsiaTheme="minorHAnsi" w:hAnsi="Arial Narrow" w:cstheme="minorBidi"/>
                <w:sz w:val="20"/>
                <w:szCs w:val="22"/>
                <w:lang w:eastAsia="en-US"/>
              </w:rPr>
            </w:pPr>
            <w:r w:rsidRPr="007D6F1A">
              <w:rPr>
                <w:rFonts w:ascii="Arial Narrow" w:eastAsiaTheme="minorHAnsi" w:hAnsi="Arial Narrow" w:cstheme="minorBidi"/>
                <w:sz w:val="20"/>
                <w:szCs w:val="22"/>
                <w:lang w:eastAsia="en-US"/>
              </w:rPr>
              <w:t>p = 0.040</w:t>
            </w:r>
          </w:p>
        </w:tc>
      </w:tr>
      <w:tr w:rsidR="006D4E42" w:rsidRPr="007D6F1A" w14:paraId="5BE04CF7" w14:textId="77777777" w:rsidTr="003406B4">
        <w:trPr>
          <w:trHeight w:val="70"/>
        </w:trPr>
        <w:tc>
          <w:tcPr>
            <w:tcW w:w="9017" w:type="dxa"/>
            <w:gridSpan w:val="5"/>
            <w:tcBorders>
              <w:top w:val="single" w:sz="4" w:space="0" w:color="auto"/>
              <w:left w:val="single" w:sz="4" w:space="0" w:color="auto"/>
              <w:bottom w:val="single" w:sz="4" w:space="0" w:color="auto"/>
              <w:right w:val="single" w:sz="4" w:space="0" w:color="auto"/>
            </w:tcBorders>
            <w:vAlign w:val="center"/>
          </w:tcPr>
          <w:p w14:paraId="6DFE9D2A" w14:textId="77777777" w:rsidR="006D4E42" w:rsidRPr="007D6F1A" w:rsidRDefault="006D4E42" w:rsidP="003406B4">
            <w:pPr>
              <w:keepNext/>
              <w:keepLines/>
              <w:jc w:val="left"/>
              <w:rPr>
                <w:rFonts w:ascii="Arial Narrow" w:eastAsiaTheme="minorHAnsi" w:hAnsi="Arial Narrow" w:cstheme="minorBidi"/>
                <w:b/>
                <w:sz w:val="20"/>
                <w:szCs w:val="22"/>
                <w:lang w:eastAsia="en-US"/>
              </w:rPr>
            </w:pPr>
            <w:r w:rsidRPr="007D6F1A">
              <w:rPr>
                <w:rFonts w:ascii="Arial Narrow" w:eastAsiaTheme="minorHAnsi" w:hAnsi="Arial Narrow" w:cstheme="minorBidi"/>
                <w:b/>
                <w:sz w:val="20"/>
                <w:szCs w:val="22"/>
                <w:lang w:eastAsia="en-US"/>
              </w:rPr>
              <w:t>Clinical fracture (includes non-vertebral fractures and clinical vertebral fractures), n/N (%)</w:t>
            </w:r>
          </w:p>
        </w:tc>
      </w:tr>
      <w:tr w:rsidR="006D4E42" w:rsidRPr="007D6F1A" w14:paraId="06F45B3C" w14:textId="77777777" w:rsidTr="003406B4">
        <w:trPr>
          <w:trHeight w:val="70"/>
        </w:trPr>
        <w:tc>
          <w:tcPr>
            <w:tcW w:w="2425" w:type="dxa"/>
            <w:tcBorders>
              <w:top w:val="single" w:sz="4" w:space="0" w:color="auto"/>
              <w:left w:val="single" w:sz="4" w:space="0" w:color="auto"/>
              <w:bottom w:val="single" w:sz="4" w:space="0" w:color="auto"/>
              <w:right w:val="single" w:sz="4" w:space="0" w:color="auto"/>
            </w:tcBorders>
            <w:vAlign w:val="center"/>
          </w:tcPr>
          <w:p w14:paraId="46F5918C" w14:textId="77777777" w:rsidR="006D4E42" w:rsidRPr="007D6F1A" w:rsidRDefault="006D4E42" w:rsidP="003406B4">
            <w:pPr>
              <w:keepNext/>
              <w:keepLines/>
              <w:jc w:val="left"/>
              <w:rPr>
                <w:rFonts w:ascii="Arial Narrow" w:eastAsiaTheme="minorHAnsi" w:hAnsi="Arial Narrow" w:cstheme="minorBidi"/>
                <w:sz w:val="20"/>
                <w:szCs w:val="22"/>
                <w:lang w:eastAsia="en-US"/>
              </w:rPr>
            </w:pPr>
            <w:r w:rsidRPr="007D6F1A">
              <w:rPr>
                <w:rFonts w:ascii="Arial Narrow" w:eastAsiaTheme="minorHAnsi" w:hAnsi="Arial Narrow" w:cstheme="minorBidi"/>
                <w:sz w:val="20"/>
                <w:szCs w:val="22"/>
                <w:lang w:eastAsia="en-US"/>
              </w:rPr>
              <w:t xml:space="preserve">Cumulative incidence to 12 months </w:t>
            </w:r>
          </w:p>
        </w:tc>
        <w:tc>
          <w:tcPr>
            <w:tcW w:w="1495" w:type="dxa"/>
            <w:tcBorders>
              <w:top w:val="single" w:sz="4" w:space="0" w:color="auto"/>
              <w:left w:val="single" w:sz="4" w:space="0" w:color="auto"/>
              <w:bottom w:val="single" w:sz="4" w:space="0" w:color="auto"/>
              <w:right w:val="single" w:sz="4" w:space="0" w:color="auto"/>
            </w:tcBorders>
            <w:vAlign w:val="center"/>
          </w:tcPr>
          <w:p w14:paraId="55DD7E53" w14:textId="77777777" w:rsidR="006D4E42" w:rsidRPr="007D6F1A" w:rsidRDefault="006D4E42" w:rsidP="003406B4">
            <w:pPr>
              <w:keepNext/>
              <w:keepLines/>
              <w:jc w:val="center"/>
              <w:rPr>
                <w:rFonts w:ascii="Arial Narrow" w:eastAsiaTheme="minorHAnsi" w:hAnsi="Arial Narrow" w:cstheme="minorBidi"/>
                <w:sz w:val="20"/>
                <w:szCs w:val="22"/>
                <w:lang w:eastAsia="en-US"/>
              </w:rPr>
            </w:pPr>
            <w:r w:rsidRPr="007D6F1A">
              <w:rPr>
                <w:rFonts w:ascii="Arial Narrow" w:eastAsiaTheme="minorHAnsi" w:hAnsi="Arial Narrow" w:cstheme="minorBidi"/>
                <w:sz w:val="20"/>
                <w:szCs w:val="22"/>
                <w:lang w:eastAsia="en-US"/>
              </w:rPr>
              <w:t>79/2046 (3.9)</w:t>
            </w:r>
          </w:p>
        </w:tc>
        <w:tc>
          <w:tcPr>
            <w:tcW w:w="1526" w:type="dxa"/>
            <w:tcBorders>
              <w:top w:val="single" w:sz="4" w:space="0" w:color="auto"/>
              <w:left w:val="single" w:sz="4" w:space="0" w:color="auto"/>
              <w:bottom w:val="single" w:sz="4" w:space="0" w:color="auto"/>
              <w:right w:val="single" w:sz="4" w:space="0" w:color="auto"/>
            </w:tcBorders>
            <w:vAlign w:val="center"/>
          </w:tcPr>
          <w:p w14:paraId="2D442785" w14:textId="77777777" w:rsidR="006D4E42" w:rsidRPr="007D6F1A" w:rsidRDefault="006D4E42" w:rsidP="003406B4">
            <w:pPr>
              <w:keepNext/>
              <w:keepLines/>
              <w:jc w:val="center"/>
              <w:rPr>
                <w:rFonts w:ascii="Arial Narrow" w:eastAsiaTheme="minorHAnsi" w:hAnsi="Arial Narrow" w:cstheme="minorBidi"/>
                <w:sz w:val="20"/>
                <w:szCs w:val="22"/>
                <w:lang w:eastAsia="en-US"/>
              </w:rPr>
            </w:pPr>
            <w:r w:rsidRPr="007D6F1A">
              <w:rPr>
                <w:rFonts w:ascii="Arial Narrow" w:eastAsiaTheme="minorHAnsi" w:hAnsi="Arial Narrow" w:cstheme="minorBidi"/>
                <w:sz w:val="20"/>
                <w:szCs w:val="22"/>
                <w:lang w:eastAsia="en-US"/>
              </w:rPr>
              <w:t>110/2047 (5.4)</w:t>
            </w:r>
          </w:p>
        </w:tc>
        <w:tc>
          <w:tcPr>
            <w:tcW w:w="1777" w:type="dxa"/>
            <w:tcBorders>
              <w:top w:val="single" w:sz="4" w:space="0" w:color="auto"/>
              <w:left w:val="single" w:sz="4" w:space="0" w:color="auto"/>
              <w:bottom w:val="single" w:sz="4" w:space="0" w:color="auto"/>
              <w:right w:val="single" w:sz="4" w:space="0" w:color="auto"/>
            </w:tcBorders>
            <w:vAlign w:val="center"/>
          </w:tcPr>
          <w:p w14:paraId="2AACEC57" w14:textId="77777777" w:rsidR="006D4E42" w:rsidRPr="007D6F1A" w:rsidRDefault="006D4E42" w:rsidP="003406B4">
            <w:pPr>
              <w:keepNext/>
              <w:keepLines/>
              <w:jc w:val="center"/>
              <w:rPr>
                <w:rFonts w:ascii="Arial Narrow" w:eastAsiaTheme="minorHAnsi" w:hAnsi="Arial Narrow" w:cstheme="minorBidi"/>
                <w:sz w:val="20"/>
                <w:szCs w:val="22"/>
                <w:lang w:eastAsia="en-US"/>
              </w:rPr>
            </w:pPr>
            <w:r w:rsidRPr="007D6F1A">
              <w:rPr>
                <w:rFonts w:ascii="Arial Narrow" w:eastAsiaTheme="minorHAnsi" w:hAnsi="Arial Narrow" w:cstheme="minorBidi"/>
                <w:sz w:val="20"/>
                <w:szCs w:val="22"/>
                <w:lang w:eastAsia="en-US"/>
              </w:rPr>
              <w:t>HR 0.72 (0.54, 0.96)</w:t>
            </w:r>
          </w:p>
        </w:tc>
        <w:tc>
          <w:tcPr>
            <w:tcW w:w="1794" w:type="dxa"/>
            <w:tcBorders>
              <w:top w:val="single" w:sz="4" w:space="0" w:color="auto"/>
              <w:left w:val="single" w:sz="4" w:space="0" w:color="auto"/>
              <w:bottom w:val="single" w:sz="4" w:space="0" w:color="auto"/>
              <w:right w:val="single" w:sz="4" w:space="0" w:color="auto"/>
            </w:tcBorders>
            <w:vAlign w:val="center"/>
          </w:tcPr>
          <w:p w14:paraId="46F382F9" w14:textId="77777777" w:rsidR="006D4E42" w:rsidRPr="007D6F1A" w:rsidRDefault="006D4E42" w:rsidP="003406B4">
            <w:pPr>
              <w:keepNext/>
              <w:keepLines/>
              <w:jc w:val="center"/>
              <w:rPr>
                <w:rFonts w:ascii="Arial Narrow" w:eastAsiaTheme="minorHAnsi" w:hAnsi="Arial Narrow" w:cstheme="minorBidi"/>
                <w:sz w:val="20"/>
                <w:szCs w:val="22"/>
                <w:lang w:eastAsia="en-US"/>
              </w:rPr>
            </w:pPr>
            <w:r w:rsidRPr="007D6F1A">
              <w:rPr>
                <w:rFonts w:ascii="Arial Narrow" w:eastAsiaTheme="minorHAnsi" w:hAnsi="Arial Narrow" w:cstheme="minorBidi"/>
                <w:sz w:val="20"/>
                <w:szCs w:val="22"/>
                <w:lang w:eastAsia="en-US"/>
              </w:rPr>
              <w:t>-</w:t>
            </w:r>
          </w:p>
        </w:tc>
      </w:tr>
      <w:tr w:rsidR="006D4E42" w:rsidRPr="007D6F1A" w14:paraId="58222ADE" w14:textId="77777777" w:rsidTr="003406B4">
        <w:trPr>
          <w:trHeight w:val="70"/>
        </w:trPr>
        <w:tc>
          <w:tcPr>
            <w:tcW w:w="2425" w:type="dxa"/>
            <w:tcBorders>
              <w:top w:val="single" w:sz="4" w:space="0" w:color="auto"/>
              <w:left w:val="single" w:sz="4" w:space="0" w:color="auto"/>
              <w:bottom w:val="single" w:sz="4" w:space="0" w:color="auto"/>
              <w:right w:val="single" w:sz="4" w:space="0" w:color="auto"/>
            </w:tcBorders>
            <w:vAlign w:val="center"/>
          </w:tcPr>
          <w:p w14:paraId="675CB8ED" w14:textId="77777777" w:rsidR="006D4E42" w:rsidRPr="007D6F1A" w:rsidRDefault="006D4E42" w:rsidP="003406B4">
            <w:pPr>
              <w:keepNext/>
              <w:keepLines/>
              <w:jc w:val="left"/>
              <w:rPr>
                <w:rFonts w:ascii="Arial Narrow" w:eastAsiaTheme="minorHAnsi" w:hAnsi="Arial Narrow" w:cstheme="minorBidi"/>
                <w:sz w:val="20"/>
                <w:szCs w:val="22"/>
                <w:lang w:eastAsia="en-US"/>
              </w:rPr>
            </w:pPr>
            <w:r w:rsidRPr="007D6F1A">
              <w:rPr>
                <w:rFonts w:ascii="Arial Narrow" w:eastAsiaTheme="minorHAnsi" w:hAnsi="Arial Narrow" w:cstheme="minorBidi"/>
                <w:sz w:val="20"/>
                <w:szCs w:val="22"/>
                <w:lang w:eastAsia="en-US"/>
              </w:rPr>
              <w:t>Cumulative incidence to 24 months</w:t>
            </w:r>
          </w:p>
        </w:tc>
        <w:tc>
          <w:tcPr>
            <w:tcW w:w="1495" w:type="dxa"/>
            <w:tcBorders>
              <w:top w:val="single" w:sz="4" w:space="0" w:color="auto"/>
              <w:left w:val="single" w:sz="4" w:space="0" w:color="auto"/>
              <w:bottom w:val="single" w:sz="4" w:space="0" w:color="auto"/>
              <w:right w:val="single" w:sz="4" w:space="0" w:color="auto"/>
            </w:tcBorders>
            <w:vAlign w:val="center"/>
          </w:tcPr>
          <w:p w14:paraId="6B2F5BC6" w14:textId="77777777" w:rsidR="006D4E42" w:rsidRPr="007D6F1A" w:rsidRDefault="006D4E42" w:rsidP="003406B4">
            <w:pPr>
              <w:keepNext/>
              <w:keepLines/>
              <w:jc w:val="center"/>
              <w:rPr>
                <w:rFonts w:ascii="Arial Narrow" w:eastAsiaTheme="minorHAnsi" w:hAnsi="Arial Narrow" w:cstheme="minorBidi"/>
                <w:sz w:val="20"/>
                <w:szCs w:val="22"/>
                <w:lang w:eastAsia="en-US"/>
              </w:rPr>
            </w:pPr>
            <w:r w:rsidRPr="007D6F1A">
              <w:rPr>
                <w:rFonts w:ascii="Arial Narrow" w:eastAsiaTheme="minorHAnsi" w:hAnsi="Arial Narrow" w:cstheme="minorBidi"/>
                <w:sz w:val="20"/>
                <w:szCs w:val="22"/>
                <w:lang w:eastAsia="en-US"/>
              </w:rPr>
              <w:t>146/2046 (7.1)</w:t>
            </w:r>
          </w:p>
        </w:tc>
        <w:tc>
          <w:tcPr>
            <w:tcW w:w="1526" w:type="dxa"/>
            <w:tcBorders>
              <w:top w:val="single" w:sz="4" w:space="0" w:color="auto"/>
              <w:left w:val="single" w:sz="4" w:space="0" w:color="auto"/>
              <w:bottom w:val="single" w:sz="4" w:space="0" w:color="auto"/>
              <w:right w:val="single" w:sz="4" w:space="0" w:color="auto"/>
            </w:tcBorders>
            <w:vAlign w:val="center"/>
          </w:tcPr>
          <w:p w14:paraId="12E0A88E" w14:textId="77777777" w:rsidR="006D4E42" w:rsidRPr="007D6F1A" w:rsidRDefault="006D4E42" w:rsidP="003406B4">
            <w:pPr>
              <w:keepNext/>
              <w:keepLines/>
              <w:jc w:val="center"/>
              <w:rPr>
                <w:rFonts w:ascii="Arial Narrow" w:eastAsiaTheme="minorHAnsi" w:hAnsi="Arial Narrow" w:cstheme="minorBidi"/>
                <w:sz w:val="20"/>
                <w:szCs w:val="22"/>
                <w:lang w:eastAsia="en-US"/>
              </w:rPr>
            </w:pPr>
            <w:r w:rsidRPr="007D6F1A">
              <w:rPr>
                <w:rFonts w:ascii="Arial Narrow" w:eastAsiaTheme="minorHAnsi" w:hAnsi="Arial Narrow" w:cstheme="minorBidi"/>
                <w:sz w:val="20"/>
                <w:szCs w:val="22"/>
                <w:lang w:eastAsia="en-US"/>
              </w:rPr>
              <w:t>197/2047 (9.6)</w:t>
            </w:r>
          </w:p>
        </w:tc>
        <w:tc>
          <w:tcPr>
            <w:tcW w:w="1777" w:type="dxa"/>
            <w:tcBorders>
              <w:top w:val="single" w:sz="4" w:space="0" w:color="auto"/>
              <w:left w:val="single" w:sz="4" w:space="0" w:color="auto"/>
              <w:bottom w:val="single" w:sz="4" w:space="0" w:color="auto"/>
              <w:right w:val="single" w:sz="4" w:space="0" w:color="auto"/>
            </w:tcBorders>
            <w:vAlign w:val="center"/>
          </w:tcPr>
          <w:p w14:paraId="4FAEF92C" w14:textId="77777777" w:rsidR="006D4E42" w:rsidRPr="007D6F1A" w:rsidRDefault="006D4E42" w:rsidP="003406B4">
            <w:pPr>
              <w:keepNext/>
              <w:keepLines/>
              <w:jc w:val="center"/>
              <w:rPr>
                <w:rFonts w:ascii="Arial Narrow" w:eastAsiaTheme="minorHAnsi" w:hAnsi="Arial Narrow" w:cstheme="minorBidi"/>
                <w:sz w:val="20"/>
                <w:szCs w:val="22"/>
                <w:lang w:eastAsia="en-US"/>
              </w:rPr>
            </w:pPr>
            <w:r w:rsidRPr="007D6F1A">
              <w:rPr>
                <w:rFonts w:ascii="Arial Narrow" w:eastAsiaTheme="minorHAnsi" w:hAnsi="Arial Narrow" w:cstheme="minorBidi"/>
                <w:sz w:val="20"/>
                <w:szCs w:val="22"/>
                <w:lang w:eastAsia="en-US"/>
              </w:rPr>
              <w:t>HR 0.74 (0.59, 0.91)</w:t>
            </w:r>
          </w:p>
        </w:tc>
        <w:tc>
          <w:tcPr>
            <w:tcW w:w="1794" w:type="dxa"/>
            <w:tcBorders>
              <w:top w:val="single" w:sz="4" w:space="0" w:color="auto"/>
              <w:left w:val="single" w:sz="4" w:space="0" w:color="auto"/>
              <w:bottom w:val="single" w:sz="4" w:space="0" w:color="auto"/>
              <w:right w:val="single" w:sz="4" w:space="0" w:color="auto"/>
            </w:tcBorders>
            <w:vAlign w:val="center"/>
          </w:tcPr>
          <w:p w14:paraId="0699DF8F" w14:textId="77777777" w:rsidR="006D4E42" w:rsidRPr="007D6F1A" w:rsidRDefault="006D4E42" w:rsidP="003406B4">
            <w:pPr>
              <w:keepNext/>
              <w:keepLines/>
              <w:jc w:val="center"/>
              <w:rPr>
                <w:rFonts w:ascii="Arial Narrow" w:eastAsiaTheme="minorHAnsi" w:hAnsi="Arial Narrow" w:cstheme="minorBidi"/>
                <w:sz w:val="20"/>
                <w:szCs w:val="22"/>
                <w:lang w:eastAsia="en-US"/>
              </w:rPr>
            </w:pPr>
            <w:r w:rsidRPr="007D6F1A">
              <w:rPr>
                <w:rFonts w:ascii="Arial Narrow" w:eastAsiaTheme="minorHAnsi" w:hAnsi="Arial Narrow" w:cstheme="minorBidi"/>
                <w:sz w:val="20"/>
                <w:szCs w:val="22"/>
                <w:lang w:eastAsia="en-US"/>
              </w:rPr>
              <w:t>-</w:t>
            </w:r>
          </w:p>
        </w:tc>
      </w:tr>
      <w:tr w:rsidR="006D4E42" w:rsidRPr="007D6F1A" w14:paraId="265D940C" w14:textId="77777777" w:rsidTr="003406B4">
        <w:trPr>
          <w:trHeight w:val="70"/>
        </w:trPr>
        <w:tc>
          <w:tcPr>
            <w:tcW w:w="2425" w:type="dxa"/>
            <w:tcBorders>
              <w:top w:val="single" w:sz="4" w:space="0" w:color="auto"/>
              <w:left w:val="single" w:sz="4" w:space="0" w:color="auto"/>
              <w:bottom w:val="single" w:sz="4" w:space="0" w:color="auto"/>
              <w:right w:val="single" w:sz="4" w:space="0" w:color="auto"/>
            </w:tcBorders>
            <w:shd w:val="clear" w:color="auto" w:fill="FFC000"/>
            <w:vAlign w:val="center"/>
          </w:tcPr>
          <w:p w14:paraId="31D37026" w14:textId="77777777" w:rsidR="006D4E42" w:rsidRPr="007D6F1A" w:rsidRDefault="006D4E42" w:rsidP="003406B4">
            <w:pPr>
              <w:keepNext/>
              <w:keepLines/>
              <w:jc w:val="left"/>
              <w:rPr>
                <w:rFonts w:ascii="Arial Narrow" w:eastAsiaTheme="minorHAnsi" w:hAnsi="Arial Narrow" w:cstheme="minorBidi"/>
                <w:sz w:val="20"/>
                <w:szCs w:val="22"/>
                <w:lang w:eastAsia="en-US"/>
              </w:rPr>
            </w:pPr>
            <w:r w:rsidRPr="007D6F1A">
              <w:rPr>
                <w:rFonts w:ascii="Arial Narrow" w:eastAsiaTheme="minorHAnsi" w:hAnsi="Arial Narrow" w:cstheme="minorBidi"/>
                <w:sz w:val="20"/>
                <w:szCs w:val="22"/>
                <w:lang w:eastAsia="en-US"/>
              </w:rPr>
              <w:t xml:space="preserve">Cumulative incidence to primary analysis </w:t>
            </w:r>
            <w:r w:rsidRPr="007D6F1A">
              <w:rPr>
                <w:rFonts w:ascii="Arial Narrow" w:eastAsiaTheme="minorHAnsi" w:hAnsi="Arial Narrow" w:cstheme="minorBidi"/>
                <w:sz w:val="20"/>
                <w:szCs w:val="22"/>
                <w:lang w:eastAsia="en-US"/>
              </w:rPr>
              <w:br/>
              <w:t>(co-primary outcome) (median 33 months)</w:t>
            </w:r>
          </w:p>
        </w:tc>
        <w:tc>
          <w:tcPr>
            <w:tcW w:w="1495" w:type="dxa"/>
            <w:tcBorders>
              <w:top w:val="single" w:sz="4" w:space="0" w:color="auto"/>
              <w:left w:val="single" w:sz="4" w:space="0" w:color="auto"/>
              <w:bottom w:val="single" w:sz="4" w:space="0" w:color="auto"/>
              <w:right w:val="single" w:sz="4" w:space="0" w:color="auto"/>
            </w:tcBorders>
            <w:shd w:val="clear" w:color="auto" w:fill="FFC000"/>
            <w:vAlign w:val="center"/>
          </w:tcPr>
          <w:p w14:paraId="1782320E" w14:textId="77777777" w:rsidR="006D4E42" w:rsidRPr="007D6F1A" w:rsidRDefault="006D4E42" w:rsidP="003406B4">
            <w:pPr>
              <w:keepNext/>
              <w:keepLines/>
              <w:jc w:val="center"/>
              <w:rPr>
                <w:rFonts w:ascii="Arial Narrow" w:eastAsiaTheme="minorHAnsi" w:hAnsi="Arial Narrow" w:cstheme="minorBidi"/>
                <w:sz w:val="20"/>
                <w:szCs w:val="22"/>
                <w:lang w:eastAsia="en-US"/>
              </w:rPr>
            </w:pPr>
            <w:r w:rsidRPr="007D6F1A">
              <w:rPr>
                <w:rFonts w:ascii="Arial Narrow" w:eastAsiaTheme="minorHAnsi" w:hAnsi="Arial Narrow" w:cstheme="minorBidi"/>
                <w:sz w:val="20"/>
                <w:szCs w:val="22"/>
                <w:lang w:eastAsia="en-US"/>
              </w:rPr>
              <w:t>198/2046 (9.7)</w:t>
            </w:r>
          </w:p>
        </w:tc>
        <w:tc>
          <w:tcPr>
            <w:tcW w:w="1526" w:type="dxa"/>
            <w:tcBorders>
              <w:top w:val="single" w:sz="4" w:space="0" w:color="auto"/>
              <w:left w:val="single" w:sz="4" w:space="0" w:color="auto"/>
              <w:bottom w:val="single" w:sz="4" w:space="0" w:color="auto"/>
              <w:right w:val="single" w:sz="4" w:space="0" w:color="auto"/>
            </w:tcBorders>
            <w:shd w:val="clear" w:color="auto" w:fill="FFC000"/>
            <w:vAlign w:val="center"/>
          </w:tcPr>
          <w:p w14:paraId="78C70B2A" w14:textId="77777777" w:rsidR="006D4E42" w:rsidRPr="007D6F1A" w:rsidRDefault="006D4E42" w:rsidP="003406B4">
            <w:pPr>
              <w:keepNext/>
              <w:keepLines/>
              <w:jc w:val="center"/>
              <w:rPr>
                <w:rFonts w:ascii="Arial Narrow" w:eastAsiaTheme="minorHAnsi" w:hAnsi="Arial Narrow" w:cstheme="minorBidi"/>
                <w:sz w:val="20"/>
                <w:szCs w:val="22"/>
                <w:lang w:eastAsia="en-US"/>
              </w:rPr>
            </w:pPr>
            <w:r w:rsidRPr="007D6F1A">
              <w:rPr>
                <w:rFonts w:ascii="Arial Narrow" w:eastAsiaTheme="minorHAnsi" w:hAnsi="Arial Narrow" w:cstheme="minorBidi"/>
                <w:sz w:val="20"/>
                <w:szCs w:val="22"/>
                <w:lang w:eastAsia="en-US"/>
              </w:rPr>
              <w:t>266/2047 (13.0)</w:t>
            </w:r>
          </w:p>
        </w:tc>
        <w:tc>
          <w:tcPr>
            <w:tcW w:w="1777" w:type="dxa"/>
            <w:tcBorders>
              <w:top w:val="single" w:sz="4" w:space="0" w:color="auto"/>
              <w:left w:val="single" w:sz="4" w:space="0" w:color="auto"/>
              <w:bottom w:val="single" w:sz="4" w:space="0" w:color="auto"/>
              <w:right w:val="single" w:sz="4" w:space="0" w:color="auto"/>
            </w:tcBorders>
            <w:shd w:val="clear" w:color="auto" w:fill="FFC000"/>
            <w:vAlign w:val="center"/>
          </w:tcPr>
          <w:p w14:paraId="0704406C" w14:textId="77777777" w:rsidR="006D4E42" w:rsidRPr="007D6F1A" w:rsidRDefault="006D4E42" w:rsidP="003406B4">
            <w:pPr>
              <w:keepNext/>
              <w:keepLines/>
              <w:jc w:val="center"/>
              <w:rPr>
                <w:rFonts w:ascii="Arial Narrow" w:eastAsiaTheme="minorHAnsi" w:hAnsi="Arial Narrow" w:cstheme="minorBidi"/>
                <w:sz w:val="20"/>
                <w:szCs w:val="22"/>
                <w:lang w:eastAsia="en-US"/>
              </w:rPr>
            </w:pPr>
            <w:r w:rsidRPr="007D6F1A">
              <w:rPr>
                <w:rFonts w:ascii="Arial Narrow" w:eastAsiaTheme="minorHAnsi" w:hAnsi="Arial Narrow" w:cstheme="minorBidi"/>
                <w:b/>
                <w:sz w:val="20"/>
                <w:szCs w:val="22"/>
                <w:lang w:eastAsia="en-US"/>
              </w:rPr>
              <w:t>HR 0.73 (0.61, 0.88)</w:t>
            </w:r>
          </w:p>
        </w:tc>
        <w:tc>
          <w:tcPr>
            <w:tcW w:w="1794" w:type="dxa"/>
            <w:tcBorders>
              <w:top w:val="single" w:sz="4" w:space="0" w:color="auto"/>
              <w:left w:val="single" w:sz="4" w:space="0" w:color="auto"/>
              <w:bottom w:val="single" w:sz="4" w:space="0" w:color="auto"/>
              <w:right w:val="single" w:sz="4" w:space="0" w:color="auto"/>
            </w:tcBorders>
            <w:shd w:val="clear" w:color="auto" w:fill="FFC000"/>
            <w:vAlign w:val="center"/>
          </w:tcPr>
          <w:p w14:paraId="492833F2" w14:textId="77777777" w:rsidR="006D4E42" w:rsidRPr="007D6F1A" w:rsidRDefault="006D4E42" w:rsidP="003406B4">
            <w:pPr>
              <w:keepNext/>
              <w:keepLines/>
              <w:jc w:val="center"/>
              <w:rPr>
                <w:rFonts w:ascii="Arial Narrow" w:eastAsiaTheme="minorHAnsi" w:hAnsi="Arial Narrow" w:cstheme="minorBidi"/>
                <w:sz w:val="20"/>
                <w:szCs w:val="22"/>
                <w:lang w:eastAsia="en-US"/>
              </w:rPr>
            </w:pPr>
            <w:r w:rsidRPr="007D6F1A">
              <w:rPr>
                <w:rFonts w:ascii="Arial Narrow" w:eastAsiaTheme="minorHAnsi" w:hAnsi="Arial Narrow" w:cstheme="minorBidi"/>
                <w:sz w:val="20"/>
                <w:szCs w:val="22"/>
                <w:lang w:eastAsia="en-US"/>
              </w:rPr>
              <w:t>p &lt; 0.001</w:t>
            </w:r>
          </w:p>
        </w:tc>
      </w:tr>
      <w:tr w:rsidR="006D4E42" w:rsidRPr="007D6F1A" w14:paraId="39A627CB" w14:textId="77777777" w:rsidTr="003406B4">
        <w:trPr>
          <w:trHeight w:val="70"/>
        </w:trPr>
        <w:tc>
          <w:tcPr>
            <w:tcW w:w="9017" w:type="dxa"/>
            <w:gridSpan w:val="5"/>
            <w:tcBorders>
              <w:top w:val="double" w:sz="4" w:space="0" w:color="auto"/>
              <w:left w:val="single" w:sz="4" w:space="0" w:color="auto"/>
              <w:bottom w:val="single" w:sz="4" w:space="0" w:color="auto"/>
              <w:right w:val="single" w:sz="4" w:space="0" w:color="auto"/>
            </w:tcBorders>
            <w:vAlign w:val="center"/>
          </w:tcPr>
          <w:p w14:paraId="6F054E9F" w14:textId="77777777" w:rsidR="006D4E42" w:rsidRPr="007D6F1A" w:rsidRDefault="006D4E42" w:rsidP="003406B4">
            <w:pPr>
              <w:keepNext/>
              <w:keepLines/>
              <w:jc w:val="left"/>
              <w:rPr>
                <w:rFonts w:ascii="Arial Narrow" w:eastAsiaTheme="minorHAnsi" w:hAnsi="Arial Narrow" w:cstheme="minorBidi"/>
                <w:b/>
                <w:sz w:val="20"/>
                <w:szCs w:val="22"/>
                <w:lang w:eastAsia="en-US"/>
              </w:rPr>
            </w:pPr>
            <w:r w:rsidRPr="007D6F1A">
              <w:rPr>
                <w:rFonts w:ascii="Arial Narrow" w:eastAsiaTheme="minorHAnsi" w:hAnsi="Arial Narrow" w:cstheme="minorBidi"/>
                <w:b/>
                <w:sz w:val="20"/>
                <w:szCs w:val="22"/>
                <w:lang w:eastAsia="en-US"/>
              </w:rPr>
              <w:t>Clinical vertebral fracture, n/N (%)</w:t>
            </w:r>
          </w:p>
        </w:tc>
      </w:tr>
      <w:tr w:rsidR="006D4E42" w:rsidRPr="007D6F1A" w14:paraId="0FEB92B4" w14:textId="77777777" w:rsidTr="003406B4">
        <w:trPr>
          <w:trHeight w:val="70"/>
        </w:trPr>
        <w:tc>
          <w:tcPr>
            <w:tcW w:w="2425" w:type="dxa"/>
            <w:tcBorders>
              <w:top w:val="single" w:sz="4" w:space="0" w:color="auto"/>
              <w:left w:val="single" w:sz="4" w:space="0" w:color="auto"/>
              <w:bottom w:val="single" w:sz="4" w:space="0" w:color="auto"/>
              <w:right w:val="single" w:sz="4" w:space="0" w:color="auto"/>
            </w:tcBorders>
            <w:vAlign w:val="center"/>
          </w:tcPr>
          <w:p w14:paraId="36515E4E" w14:textId="77777777" w:rsidR="006D4E42" w:rsidRPr="007D6F1A" w:rsidRDefault="006D4E42" w:rsidP="003406B4">
            <w:pPr>
              <w:keepNext/>
              <w:keepLines/>
              <w:jc w:val="left"/>
              <w:rPr>
                <w:rFonts w:ascii="Arial Narrow" w:eastAsiaTheme="minorHAnsi" w:hAnsi="Arial Narrow" w:cstheme="minorBidi"/>
                <w:sz w:val="20"/>
                <w:szCs w:val="22"/>
                <w:lang w:eastAsia="en-US"/>
              </w:rPr>
            </w:pPr>
            <w:r w:rsidRPr="007D6F1A">
              <w:rPr>
                <w:rFonts w:ascii="Arial Narrow" w:eastAsiaTheme="minorHAnsi" w:hAnsi="Arial Narrow" w:cstheme="minorBidi"/>
                <w:sz w:val="20"/>
                <w:szCs w:val="22"/>
                <w:lang w:eastAsia="en-US"/>
              </w:rPr>
              <w:t xml:space="preserve">Cumulative incidence to 12 months </w:t>
            </w:r>
          </w:p>
        </w:tc>
        <w:tc>
          <w:tcPr>
            <w:tcW w:w="1495" w:type="dxa"/>
            <w:tcBorders>
              <w:top w:val="single" w:sz="4" w:space="0" w:color="auto"/>
              <w:left w:val="single" w:sz="4" w:space="0" w:color="auto"/>
              <w:bottom w:val="single" w:sz="4" w:space="0" w:color="auto"/>
              <w:right w:val="single" w:sz="4" w:space="0" w:color="auto"/>
            </w:tcBorders>
            <w:vAlign w:val="center"/>
          </w:tcPr>
          <w:p w14:paraId="6A9B9BB8" w14:textId="77777777" w:rsidR="006D4E42" w:rsidRPr="007D6F1A" w:rsidRDefault="006D4E42" w:rsidP="003406B4">
            <w:pPr>
              <w:keepNext/>
              <w:keepLines/>
              <w:jc w:val="center"/>
              <w:rPr>
                <w:rFonts w:ascii="Arial Narrow" w:eastAsiaTheme="minorHAnsi" w:hAnsi="Arial Narrow" w:cstheme="minorBidi"/>
                <w:sz w:val="20"/>
                <w:szCs w:val="22"/>
                <w:lang w:eastAsia="en-US"/>
              </w:rPr>
            </w:pPr>
            <w:r w:rsidRPr="007D6F1A">
              <w:rPr>
                <w:rFonts w:ascii="Arial Narrow" w:eastAsiaTheme="minorHAnsi" w:hAnsi="Arial Narrow" w:cstheme="minorBidi"/>
                <w:sz w:val="20"/>
                <w:szCs w:val="22"/>
                <w:lang w:eastAsia="en-US"/>
              </w:rPr>
              <w:t>10/2046 (0.5)</w:t>
            </w:r>
          </w:p>
        </w:tc>
        <w:tc>
          <w:tcPr>
            <w:tcW w:w="1526" w:type="dxa"/>
            <w:tcBorders>
              <w:top w:val="single" w:sz="4" w:space="0" w:color="auto"/>
              <w:left w:val="single" w:sz="4" w:space="0" w:color="auto"/>
              <w:bottom w:val="single" w:sz="4" w:space="0" w:color="auto"/>
              <w:right w:val="single" w:sz="4" w:space="0" w:color="auto"/>
            </w:tcBorders>
            <w:vAlign w:val="center"/>
          </w:tcPr>
          <w:p w14:paraId="6EB1C353" w14:textId="77777777" w:rsidR="006D4E42" w:rsidRPr="007D6F1A" w:rsidRDefault="006D4E42" w:rsidP="003406B4">
            <w:pPr>
              <w:keepNext/>
              <w:keepLines/>
              <w:jc w:val="center"/>
              <w:rPr>
                <w:rFonts w:ascii="Arial Narrow" w:eastAsiaTheme="minorHAnsi" w:hAnsi="Arial Narrow" w:cstheme="minorBidi"/>
                <w:sz w:val="20"/>
                <w:szCs w:val="22"/>
                <w:lang w:eastAsia="en-US"/>
              </w:rPr>
            </w:pPr>
            <w:r w:rsidRPr="007D6F1A">
              <w:rPr>
                <w:rFonts w:ascii="Arial Narrow" w:eastAsiaTheme="minorHAnsi" w:hAnsi="Arial Narrow" w:cstheme="minorBidi"/>
                <w:sz w:val="20"/>
                <w:szCs w:val="22"/>
                <w:lang w:eastAsia="en-US"/>
              </w:rPr>
              <w:t>18/2047 (0.9)</w:t>
            </w:r>
          </w:p>
        </w:tc>
        <w:tc>
          <w:tcPr>
            <w:tcW w:w="1777" w:type="dxa"/>
            <w:tcBorders>
              <w:top w:val="single" w:sz="4" w:space="0" w:color="auto"/>
              <w:left w:val="single" w:sz="4" w:space="0" w:color="auto"/>
              <w:bottom w:val="single" w:sz="4" w:space="0" w:color="auto"/>
              <w:right w:val="single" w:sz="4" w:space="0" w:color="auto"/>
            </w:tcBorders>
            <w:vAlign w:val="center"/>
          </w:tcPr>
          <w:p w14:paraId="349F2D0E" w14:textId="77777777" w:rsidR="006D4E42" w:rsidRPr="007D6F1A" w:rsidRDefault="006D4E42" w:rsidP="003406B4">
            <w:pPr>
              <w:keepNext/>
              <w:keepLines/>
              <w:jc w:val="center"/>
              <w:rPr>
                <w:rFonts w:ascii="Arial Narrow" w:eastAsiaTheme="minorHAnsi" w:hAnsi="Arial Narrow" w:cstheme="minorBidi"/>
                <w:sz w:val="20"/>
                <w:szCs w:val="22"/>
                <w:lang w:eastAsia="en-US"/>
              </w:rPr>
            </w:pPr>
            <w:r w:rsidRPr="007D6F1A">
              <w:rPr>
                <w:rFonts w:ascii="Arial Narrow" w:eastAsiaTheme="minorHAnsi" w:hAnsi="Arial Narrow" w:cstheme="minorBidi"/>
                <w:sz w:val="20"/>
                <w:szCs w:val="22"/>
                <w:lang w:eastAsia="en-US"/>
              </w:rPr>
              <w:t>RR 0.56 (0.26, 1.22)</w:t>
            </w:r>
          </w:p>
        </w:tc>
        <w:tc>
          <w:tcPr>
            <w:tcW w:w="1794" w:type="dxa"/>
            <w:tcBorders>
              <w:top w:val="single" w:sz="4" w:space="0" w:color="auto"/>
              <w:left w:val="single" w:sz="4" w:space="0" w:color="auto"/>
              <w:bottom w:val="single" w:sz="4" w:space="0" w:color="auto"/>
              <w:right w:val="single" w:sz="4" w:space="0" w:color="auto"/>
            </w:tcBorders>
            <w:vAlign w:val="center"/>
          </w:tcPr>
          <w:p w14:paraId="59904D1F" w14:textId="77777777" w:rsidR="006D4E42" w:rsidRPr="007D6F1A" w:rsidRDefault="006D4E42" w:rsidP="003406B4">
            <w:pPr>
              <w:keepNext/>
              <w:keepLines/>
              <w:jc w:val="center"/>
              <w:rPr>
                <w:rFonts w:ascii="Arial Narrow" w:eastAsiaTheme="minorHAnsi" w:hAnsi="Arial Narrow" w:cstheme="minorBidi"/>
                <w:sz w:val="20"/>
                <w:szCs w:val="22"/>
                <w:lang w:eastAsia="en-US"/>
              </w:rPr>
            </w:pPr>
            <w:r w:rsidRPr="007D6F1A">
              <w:rPr>
                <w:rFonts w:ascii="Arial Narrow" w:eastAsiaTheme="minorHAnsi" w:hAnsi="Arial Narrow" w:cstheme="minorBidi"/>
                <w:sz w:val="20"/>
                <w:szCs w:val="22"/>
                <w:lang w:eastAsia="en-US"/>
              </w:rPr>
              <w:t>-</w:t>
            </w:r>
          </w:p>
        </w:tc>
      </w:tr>
      <w:tr w:rsidR="006D4E42" w:rsidRPr="007D6F1A" w14:paraId="56AF599E" w14:textId="77777777" w:rsidTr="003406B4">
        <w:trPr>
          <w:trHeight w:val="70"/>
        </w:trPr>
        <w:tc>
          <w:tcPr>
            <w:tcW w:w="2425" w:type="dxa"/>
            <w:tcBorders>
              <w:top w:val="single" w:sz="4" w:space="0" w:color="auto"/>
              <w:left w:val="single" w:sz="4" w:space="0" w:color="auto"/>
              <w:bottom w:val="single" w:sz="4" w:space="0" w:color="auto"/>
              <w:right w:val="single" w:sz="4" w:space="0" w:color="auto"/>
            </w:tcBorders>
            <w:shd w:val="clear" w:color="auto" w:fill="FFC000"/>
            <w:vAlign w:val="center"/>
          </w:tcPr>
          <w:p w14:paraId="5B67C135" w14:textId="77777777" w:rsidR="006D4E42" w:rsidRPr="007D6F1A" w:rsidRDefault="006D4E42" w:rsidP="003406B4">
            <w:pPr>
              <w:keepNext/>
              <w:keepLines/>
              <w:jc w:val="left"/>
              <w:rPr>
                <w:rFonts w:ascii="Arial Narrow" w:eastAsiaTheme="minorHAnsi" w:hAnsi="Arial Narrow" w:cstheme="minorBidi"/>
                <w:sz w:val="20"/>
                <w:szCs w:val="22"/>
                <w:lang w:eastAsia="en-US"/>
              </w:rPr>
            </w:pPr>
            <w:r w:rsidRPr="007D6F1A">
              <w:rPr>
                <w:rFonts w:ascii="Arial Narrow" w:eastAsiaTheme="minorHAnsi" w:hAnsi="Arial Narrow" w:cstheme="minorBidi"/>
                <w:sz w:val="20"/>
                <w:szCs w:val="22"/>
                <w:lang w:eastAsia="en-US"/>
              </w:rPr>
              <w:t>Cumulative incidence to 24 months</w:t>
            </w:r>
          </w:p>
        </w:tc>
        <w:tc>
          <w:tcPr>
            <w:tcW w:w="1495" w:type="dxa"/>
            <w:tcBorders>
              <w:top w:val="single" w:sz="4" w:space="0" w:color="auto"/>
              <w:left w:val="single" w:sz="4" w:space="0" w:color="auto"/>
              <w:bottom w:val="single" w:sz="4" w:space="0" w:color="auto"/>
              <w:right w:val="single" w:sz="4" w:space="0" w:color="auto"/>
            </w:tcBorders>
            <w:shd w:val="clear" w:color="auto" w:fill="FFC000"/>
            <w:vAlign w:val="center"/>
          </w:tcPr>
          <w:p w14:paraId="366BE279" w14:textId="77777777" w:rsidR="006D4E42" w:rsidRPr="007D6F1A" w:rsidRDefault="006D4E42" w:rsidP="003406B4">
            <w:pPr>
              <w:keepNext/>
              <w:keepLines/>
              <w:jc w:val="center"/>
              <w:rPr>
                <w:rFonts w:ascii="Arial Narrow" w:eastAsiaTheme="minorHAnsi" w:hAnsi="Arial Narrow" w:cstheme="minorBidi"/>
                <w:sz w:val="20"/>
                <w:szCs w:val="22"/>
                <w:lang w:eastAsia="en-US"/>
              </w:rPr>
            </w:pPr>
            <w:r w:rsidRPr="007D6F1A">
              <w:rPr>
                <w:rFonts w:ascii="Arial Narrow" w:eastAsiaTheme="minorHAnsi" w:hAnsi="Arial Narrow" w:cstheme="minorBidi"/>
                <w:sz w:val="20"/>
                <w:szCs w:val="22"/>
                <w:lang w:eastAsia="en-US"/>
              </w:rPr>
              <w:t>18/2046 (0.9)</w:t>
            </w:r>
          </w:p>
        </w:tc>
        <w:tc>
          <w:tcPr>
            <w:tcW w:w="1526" w:type="dxa"/>
            <w:tcBorders>
              <w:top w:val="single" w:sz="4" w:space="0" w:color="auto"/>
              <w:left w:val="single" w:sz="4" w:space="0" w:color="auto"/>
              <w:bottom w:val="single" w:sz="4" w:space="0" w:color="auto"/>
              <w:right w:val="single" w:sz="4" w:space="0" w:color="auto"/>
            </w:tcBorders>
            <w:shd w:val="clear" w:color="auto" w:fill="FFC000"/>
            <w:vAlign w:val="center"/>
          </w:tcPr>
          <w:p w14:paraId="63DC1C17" w14:textId="77777777" w:rsidR="006D4E42" w:rsidRPr="007D6F1A" w:rsidRDefault="006D4E42" w:rsidP="003406B4">
            <w:pPr>
              <w:keepNext/>
              <w:keepLines/>
              <w:jc w:val="center"/>
              <w:rPr>
                <w:rFonts w:ascii="Arial Narrow" w:eastAsiaTheme="minorHAnsi" w:hAnsi="Arial Narrow" w:cstheme="minorBidi"/>
                <w:sz w:val="20"/>
                <w:szCs w:val="22"/>
                <w:lang w:eastAsia="en-US"/>
              </w:rPr>
            </w:pPr>
            <w:r w:rsidRPr="007D6F1A">
              <w:rPr>
                <w:rFonts w:ascii="Arial Narrow" w:eastAsiaTheme="minorHAnsi" w:hAnsi="Arial Narrow" w:cstheme="minorBidi"/>
                <w:sz w:val="20"/>
                <w:szCs w:val="22"/>
                <w:lang w:eastAsia="en-US"/>
              </w:rPr>
              <w:t>44/2047 (2.1)</w:t>
            </w:r>
          </w:p>
        </w:tc>
        <w:tc>
          <w:tcPr>
            <w:tcW w:w="1777" w:type="dxa"/>
            <w:tcBorders>
              <w:top w:val="single" w:sz="4" w:space="0" w:color="auto"/>
              <w:left w:val="single" w:sz="4" w:space="0" w:color="auto"/>
              <w:bottom w:val="single" w:sz="4" w:space="0" w:color="auto"/>
              <w:right w:val="single" w:sz="4" w:space="0" w:color="auto"/>
            </w:tcBorders>
            <w:shd w:val="clear" w:color="auto" w:fill="FFC000"/>
            <w:vAlign w:val="center"/>
          </w:tcPr>
          <w:p w14:paraId="0E2E79EC" w14:textId="77777777" w:rsidR="006D4E42" w:rsidRPr="007D6F1A" w:rsidRDefault="006D4E42" w:rsidP="003406B4">
            <w:pPr>
              <w:keepNext/>
              <w:keepLines/>
              <w:jc w:val="center"/>
              <w:rPr>
                <w:rFonts w:ascii="Arial Narrow" w:eastAsiaTheme="minorHAnsi" w:hAnsi="Arial Narrow" w:cstheme="minorBidi"/>
                <w:sz w:val="20"/>
                <w:szCs w:val="22"/>
                <w:lang w:eastAsia="en-US"/>
              </w:rPr>
            </w:pPr>
            <w:r w:rsidRPr="007D6F1A">
              <w:rPr>
                <w:rFonts w:ascii="Arial Narrow" w:eastAsiaTheme="minorHAnsi" w:hAnsi="Arial Narrow" w:cstheme="minorBidi"/>
                <w:sz w:val="20"/>
                <w:szCs w:val="22"/>
                <w:lang w:eastAsia="en-US"/>
              </w:rPr>
              <w:t>RR 0.41 (0.24, 0.71)</w:t>
            </w:r>
          </w:p>
        </w:tc>
        <w:tc>
          <w:tcPr>
            <w:tcW w:w="1794" w:type="dxa"/>
            <w:tcBorders>
              <w:top w:val="single" w:sz="4" w:space="0" w:color="auto"/>
              <w:left w:val="single" w:sz="4" w:space="0" w:color="auto"/>
              <w:bottom w:val="single" w:sz="4" w:space="0" w:color="auto"/>
              <w:right w:val="single" w:sz="4" w:space="0" w:color="auto"/>
            </w:tcBorders>
            <w:shd w:val="clear" w:color="auto" w:fill="FFC000"/>
            <w:vAlign w:val="center"/>
          </w:tcPr>
          <w:p w14:paraId="280804DD" w14:textId="77777777" w:rsidR="006D4E42" w:rsidRPr="007D6F1A" w:rsidRDefault="006D4E42" w:rsidP="003406B4">
            <w:pPr>
              <w:keepNext/>
              <w:keepLines/>
              <w:jc w:val="center"/>
              <w:rPr>
                <w:rFonts w:ascii="Arial Narrow" w:eastAsiaTheme="minorHAnsi" w:hAnsi="Arial Narrow" w:cstheme="minorBidi"/>
                <w:sz w:val="20"/>
                <w:szCs w:val="22"/>
                <w:lang w:eastAsia="en-US"/>
              </w:rPr>
            </w:pPr>
            <w:r w:rsidRPr="007D6F1A">
              <w:rPr>
                <w:rFonts w:ascii="Arial Narrow" w:eastAsiaTheme="minorHAnsi" w:hAnsi="Arial Narrow" w:cstheme="minorBidi"/>
                <w:sz w:val="20"/>
                <w:szCs w:val="22"/>
                <w:lang w:eastAsia="en-US"/>
              </w:rPr>
              <w:t>-</w:t>
            </w:r>
          </w:p>
        </w:tc>
      </w:tr>
      <w:tr w:rsidR="006D4E42" w:rsidRPr="007D6F1A" w14:paraId="4E53E701" w14:textId="77777777" w:rsidTr="003406B4">
        <w:trPr>
          <w:trHeight w:val="70"/>
        </w:trPr>
        <w:tc>
          <w:tcPr>
            <w:tcW w:w="9017" w:type="dxa"/>
            <w:gridSpan w:val="5"/>
            <w:tcBorders>
              <w:top w:val="single" w:sz="4" w:space="0" w:color="auto"/>
              <w:left w:val="single" w:sz="4" w:space="0" w:color="auto"/>
              <w:bottom w:val="single" w:sz="4" w:space="0" w:color="auto"/>
              <w:right w:val="single" w:sz="4" w:space="0" w:color="auto"/>
            </w:tcBorders>
            <w:vAlign w:val="center"/>
          </w:tcPr>
          <w:p w14:paraId="200DD93E" w14:textId="77777777" w:rsidR="006D4E42" w:rsidRPr="007D6F1A" w:rsidRDefault="006D4E42" w:rsidP="003406B4">
            <w:pPr>
              <w:keepNext/>
              <w:keepLines/>
              <w:jc w:val="left"/>
              <w:rPr>
                <w:rFonts w:ascii="Arial Narrow" w:eastAsiaTheme="minorHAnsi" w:hAnsi="Arial Narrow" w:cstheme="minorBidi"/>
                <w:b/>
                <w:sz w:val="20"/>
                <w:szCs w:val="22"/>
                <w:lang w:eastAsia="en-US"/>
              </w:rPr>
            </w:pPr>
            <w:r w:rsidRPr="007D6F1A">
              <w:rPr>
                <w:rFonts w:ascii="Arial Narrow" w:eastAsiaTheme="minorHAnsi" w:hAnsi="Arial Narrow" w:cstheme="minorBidi"/>
                <w:b/>
                <w:sz w:val="20"/>
                <w:szCs w:val="22"/>
                <w:lang w:eastAsia="en-US"/>
              </w:rPr>
              <w:t>Hip fracture, n/N (%)</w:t>
            </w:r>
          </w:p>
        </w:tc>
      </w:tr>
      <w:tr w:rsidR="006D4E42" w:rsidRPr="007D6F1A" w14:paraId="6B170C7C" w14:textId="77777777" w:rsidTr="003406B4">
        <w:trPr>
          <w:trHeight w:val="70"/>
        </w:trPr>
        <w:tc>
          <w:tcPr>
            <w:tcW w:w="2425" w:type="dxa"/>
            <w:tcBorders>
              <w:top w:val="single" w:sz="4" w:space="0" w:color="auto"/>
              <w:left w:val="single" w:sz="4" w:space="0" w:color="auto"/>
              <w:bottom w:val="single" w:sz="4" w:space="0" w:color="auto"/>
              <w:right w:val="single" w:sz="4" w:space="0" w:color="auto"/>
            </w:tcBorders>
            <w:vAlign w:val="center"/>
          </w:tcPr>
          <w:p w14:paraId="03D1F625" w14:textId="77777777" w:rsidR="006D4E42" w:rsidRPr="007D6F1A" w:rsidRDefault="006D4E42" w:rsidP="003406B4">
            <w:pPr>
              <w:keepNext/>
              <w:keepLines/>
              <w:jc w:val="left"/>
              <w:rPr>
                <w:rFonts w:ascii="Arial Narrow" w:eastAsiaTheme="minorHAnsi" w:hAnsi="Arial Narrow" w:cstheme="minorBidi"/>
                <w:sz w:val="20"/>
                <w:szCs w:val="22"/>
                <w:lang w:eastAsia="en-US"/>
              </w:rPr>
            </w:pPr>
            <w:r w:rsidRPr="007D6F1A">
              <w:rPr>
                <w:rFonts w:ascii="Arial Narrow" w:eastAsiaTheme="minorHAnsi" w:hAnsi="Arial Narrow" w:cstheme="minorBidi"/>
                <w:sz w:val="20"/>
                <w:szCs w:val="22"/>
                <w:lang w:eastAsia="en-US"/>
              </w:rPr>
              <w:t xml:space="preserve">Cumulative incidence to 12 months </w:t>
            </w:r>
          </w:p>
        </w:tc>
        <w:tc>
          <w:tcPr>
            <w:tcW w:w="1495" w:type="dxa"/>
            <w:tcBorders>
              <w:top w:val="single" w:sz="4" w:space="0" w:color="auto"/>
              <w:left w:val="single" w:sz="4" w:space="0" w:color="auto"/>
              <w:bottom w:val="single" w:sz="4" w:space="0" w:color="auto"/>
              <w:right w:val="single" w:sz="4" w:space="0" w:color="auto"/>
            </w:tcBorders>
            <w:vAlign w:val="center"/>
          </w:tcPr>
          <w:p w14:paraId="28DCA8AF" w14:textId="77777777" w:rsidR="006D4E42" w:rsidRPr="007D6F1A" w:rsidRDefault="006D4E42" w:rsidP="003406B4">
            <w:pPr>
              <w:keepNext/>
              <w:keepLines/>
              <w:jc w:val="center"/>
              <w:rPr>
                <w:rFonts w:ascii="Arial Narrow" w:eastAsiaTheme="minorHAnsi" w:hAnsi="Arial Narrow" w:cstheme="minorBidi"/>
                <w:sz w:val="20"/>
                <w:szCs w:val="22"/>
                <w:lang w:eastAsia="en-US"/>
              </w:rPr>
            </w:pPr>
            <w:r w:rsidRPr="007D6F1A">
              <w:rPr>
                <w:rFonts w:ascii="Arial Narrow" w:eastAsiaTheme="minorHAnsi" w:hAnsi="Arial Narrow" w:cstheme="minorBidi"/>
                <w:sz w:val="20"/>
                <w:szCs w:val="22"/>
                <w:lang w:eastAsia="en-US"/>
              </w:rPr>
              <w:t>14/2046 (0.7)</w:t>
            </w:r>
          </w:p>
        </w:tc>
        <w:tc>
          <w:tcPr>
            <w:tcW w:w="1526" w:type="dxa"/>
            <w:tcBorders>
              <w:top w:val="single" w:sz="4" w:space="0" w:color="auto"/>
              <w:left w:val="single" w:sz="4" w:space="0" w:color="auto"/>
              <w:bottom w:val="single" w:sz="4" w:space="0" w:color="auto"/>
              <w:right w:val="single" w:sz="4" w:space="0" w:color="auto"/>
            </w:tcBorders>
            <w:vAlign w:val="center"/>
          </w:tcPr>
          <w:p w14:paraId="344000BD" w14:textId="77777777" w:rsidR="006D4E42" w:rsidRPr="007D6F1A" w:rsidRDefault="006D4E42" w:rsidP="003406B4">
            <w:pPr>
              <w:keepNext/>
              <w:keepLines/>
              <w:jc w:val="center"/>
              <w:rPr>
                <w:rFonts w:ascii="Arial Narrow" w:eastAsiaTheme="minorHAnsi" w:hAnsi="Arial Narrow" w:cstheme="minorBidi"/>
                <w:sz w:val="20"/>
                <w:szCs w:val="22"/>
                <w:lang w:eastAsia="en-US"/>
              </w:rPr>
            </w:pPr>
            <w:r w:rsidRPr="007D6F1A">
              <w:rPr>
                <w:rFonts w:ascii="Arial Narrow" w:eastAsiaTheme="minorHAnsi" w:hAnsi="Arial Narrow" w:cstheme="minorBidi"/>
                <w:sz w:val="20"/>
                <w:szCs w:val="22"/>
                <w:lang w:eastAsia="en-US"/>
              </w:rPr>
              <w:t>22/2047 (1.1)</w:t>
            </w:r>
          </w:p>
        </w:tc>
        <w:tc>
          <w:tcPr>
            <w:tcW w:w="1777" w:type="dxa"/>
            <w:tcBorders>
              <w:top w:val="single" w:sz="4" w:space="0" w:color="auto"/>
              <w:left w:val="single" w:sz="4" w:space="0" w:color="auto"/>
              <w:bottom w:val="single" w:sz="4" w:space="0" w:color="auto"/>
              <w:right w:val="single" w:sz="4" w:space="0" w:color="auto"/>
            </w:tcBorders>
            <w:vAlign w:val="center"/>
          </w:tcPr>
          <w:p w14:paraId="16693139" w14:textId="77777777" w:rsidR="006D4E42" w:rsidRPr="007D6F1A" w:rsidRDefault="006D4E42" w:rsidP="003406B4">
            <w:pPr>
              <w:keepNext/>
              <w:keepLines/>
              <w:jc w:val="center"/>
              <w:rPr>
                <w:rFonts w:ascii="Arial Narrow" w:eastAsiaTheme="minorHAnsi" w:hAnsi="Arial Narrow" w:cstheme="minorBidi"/>
                <w:sz w:val="20"/>
                <w:szCs w:val="22"/>
                <w:lang w:eastAsia="en-US"/>
              </w:rPr>
            </w:pPr>
            <w:r w:rsidRPr="007D6F1A">
              <w:rPr>
                <w:rFonts w:ascii="Arial Narrow" w:eastAsiaTheme="minorHAnsi" w:hAnsi="Arial Narrow" w:cstheme="minorBidi"/>
                <w:sz w:val="20"/>
                <w:szCs w:val="22"/>
                <w:lang w:eastAsia="en-US"/>
              </w:rPr>
              <w:t>HR 0.64 (0.33, 1.26)</w:t>
            </w:r>
          </w:p>
        </w:tc>
        <w:tc>
          <w:tcPr>
            <w:tcW w:w="1794" w:type="dxa"/>
            <w:tcBorders>
              <w:top w:val="single" w:sz="4" w:space="0" w:color="auto"/>
              <w:left w:val="single" w:sz="4" w:space="0" w:color="auto"/>
              <w:bottom w:val="single" w:sz="4" w:space="0" w:color="auto"/>
              <w:right w:val="single" w:sz="4" w:space="0" w:color="auto"/>
            </w:tcBorders>
            <w:vAlign w:val="center"/>
          </w:tcPr>
          <w:p w14:paraId="5C921406" w14:textId="77777777" w:rsidR="006D4E42" w:rsidRPr="007D6F1A" w:rsidRDefault="006D4E42" w:rsidP="003406B4">
            <w:pPr>
              <w:keepNext/>
              <w:keepLines/>
              <w:jc w:val="center"/>
              <w:rPr>
                <w:rFonts w:ascii="Arial Narrow" w:eastAsiaTheme="minorHAnsi" w:hAnsi="Arial Narrow" w:cstheme="minorBidi"/>
                <w:sz w:val="20"/>
                <w:szCs w:val="22"/>
                <w:lang w:eastAsia="en-US"/>
              </w:rPr>
            </w:pPr>
            <w:r w:rsidRPr="007D6F1A">
              <w:rPr>
                <w:rFonts w:ascii="Arial Narrow" w:eastAsiaTheme="minorHAnsi" w:hAnsi="Arial Narrow" w:cstheme="minorBidi"/>
                <w:sz w:val="20"/>
                <w:szCs w:val="22"/>
                <w:lang w:eastAsia="en-US"/>
              </w:rPr>
              <w:t>-</w:t>
            </w:r>
          </w:p>
        </w:tc>
      </w:tr>
      <w:tr w:rsidR="006D4E42" w:rsidRPr="007D6F1A" w14:paraId="450575C2" w14:textId="77777777" w:rsidTr="003406B4">
        <w:trPr>
          <w:trHeight w:val="70"/>
        </w:trPr>
        <w:tc>
          <w:tcPr>
            <w:tcW w:w="2425" w:type="dxa"/>
            <w:tcBorders>
              <w:top w:val="single" w:sz="4" w:space="0" w:color="auto"/>
              <w:left w:val="single" w:sz="4" w:space="0" w:color="auto"/>
              <w:bottom w:val="single" w:sz="4" w:space="0" w:color="auto"/>
              <w:right w:val="single" w:sz="4" w:space="0" w:color="auto"/>
            </w:tcBorders>
            <w:vAlign w:val="center"/>
          </w:tcPr>
          <w:p w14:paraId="6E46D6DF" w14:textId="77777777" w:rsidR="006D4E42" w:rsidRPr="007D6F1A" w:rsidRDefault="006D4E42" w:rsidP="003406B4">
            <w:pPr>
              <w:keepNext/>
              <w:keepLines/>
              <w:jc w:val="left"/>
              <w:rPr>
                <w:rFonts w:ascii="Arial Narrow" w:eastAsiaTheme="minorHAnsi" w:hAnsi="Arial Narrow" w:cstheme="minorBidi"/>
                <w:sz w:val="20"/>
                <w:szCs w:val="22"/>
                <w:lang w:eastAsia="en-US"/>
              </w:rPr>
            </w:pPr>
            <w:r w:rsidRPr="007D6F1A">
              <w:rPr>
                <w:rFonts w:ascii="Arial Narrow" w:eastAsiaTheme="minorHAnsi" w:hAnsi="Arial Narrow" w:cstheme="minorBidi"/>
                <w:sz w:val="20"/>
                <w:szCs w:val="22"/>
                <w:lang w:eastAsia="en-US"/>
              </w:rPr>
              <w:t>Cumulative incidence to 24 months</w:t>
            </w:r>
          </w:p>
        </w:tc>
        <w:tc>
          <w:tcPr>
            <w:tcW w:w="1495" w:type="dxa"/>
            <w:tcBorders>
              <w:top w:val="single" w:sz="4" w:space="0" w:color="auto"/>
              <w:left w:val="single" w:sz="4" w:space="0" w:color="auto"/>
              <w:bottom w:val="single" w:sz="4" w:space="0" w:color="auto"/>
              <w:right w:val="single" w:sz="4" w:space="0" w:color="auto"/>
            </w:tcBorders>
            <w:vAlign w:val="center"/>
          </w:tcPr>
          <w:p w14:paraId="2EAE2385" w14:textId="77777777" w:rsidR="006D4E42" w:rsidRPr="007D6F1A" w:rsidRDefault="006D4E42" w:rsidP="003406B4">
            <w:pPr>
              <w:keepNext/>
              <w:keepLines/>
              <w:jc w:val="center"/>
              <w:rPr>
                <w:rFonts w:ascii="Arial Narrow" w:eastAsiaTheme="minorHAnsi" w:hAnsi="Arial Narrow" w:cstheme="minorBidi"/>
                <w:sz w:val="20"/>
                <w:szCs w:val="22"/>
                <w:lang w:eastAsia="en-US"/>
              </w:rPr>
            </w:pPr>
            <w:r w:rsidRPr="007D6F1A">
              <w:rPr>
                <w:rFonts w:ascii="Arial Narrow" w:eastAsiaTheme="minorHAnsi" w:hAnsi="Arial Narrow" w:cstheme="minorBidi"/>
                <w:sz w:val="20"/>
                <w:szCs w:val="22"/>
                <w:lang w:eastAsia="en-US"/>
              </w:rPr>
              <w:t>31/2046 (1.5)</w:t>
            </w:r>
          </w:p>
        </w:tc>
        <w:tc>
          <w:tcPr>
            <w:tcW w:w="1526" w:type="dxa"/>
            <w:tcBorders>
              <w:top w:val="single" w:sz="4" w:space="0" w:color="auto"/>
              <w:left w:val="single" w:sz="4" w:space="0" w:color="auto"/>
              <w:bottom w:val="single" w:sz="4" w:space="0" w:color="auto"/>
              <w:right w:val="single" w:sz="4" w:space="0" w:color="auto"/>
            </w:tcBorders>
            <w:vAlign w:val="center"/>
          </w:tcPr>
          <w:p w14:paraId="69957E8E" w14:textId="77777777" w:rsidR="006D4E42" w:rsidRPr="007D6F1A" w:rsidRDefault="006D4E42" w:rsidP="003406B4">
            <w:pPr>
              <w:keepNext/>
              <w:keepLines/>
              <w:jc w:val="center"/>
              <w:rPr>
                <w:rFonts w:ascii="Arial Narrow" w:eastAsiaTheme="minorHAnsi" w:hAnsi="Arial Narrow" w:cstheme="minorBidi"/>
                <w:sz w:val="20"/>
                <w:szCs w:val="22"/>
                <w:lang w:eastAsia="en-US"/>
              </w:rPr>
            </w:pPr>
            <w:r w:rsidRPr="007D6F1A">
              <w:rPr>
                <w:rFonts w:ascii="Arial Narrow" w:eastAsiaTheme="minorHAnsi" w:hAnsi="Arial Narrow" w:cstheme="minorBidi"/>
                <w:sz w:val="20"/>
                <w:szCs w:val="22"/>
                <w:lang w:eastAsia="en-US"/>
              </w:rPr>
              <w:t>43/2047 (2.1)</w:t>
            </w:r>
          </w:p>
        </w:tc>
        <w:tc>
          <w:tcPr>
            <w:tcW w:w="1777" w:type="dxa"/>
            <w:tcBorders>
              <w:top w:val="single" w:sz="4" w:space="0" w:color="auto"/>
              <w:left w:val="single" w:sz="4" w:space="0" w:color="auto"/>
              <w:bottom w:val="single" w:sz="4" w:space="0" w:color="auto"/>
              <w:right w:val="single" w:sz="4" w:space="0" w:color="auto"/>
            </w:tcBorders>
            <w:vAlign w:val="center"/>
          </w:tcPr>
          <w:p w14:paraId="2724F43D" w14:textId="77777777" w:rsidR="006D4E42" w:rsidRPr="007D6F1A" w:rsidRDefault="006D4E42" w:rsidP="003406B4">
            <w:pPr>
              <w:keepNext/>
              <w:keepLines/>
              <w:jc w:val="center"/>
              <w:rPr>
                <w:rFonts w:ascii="Arial Narrow" w:eastAsiaTheme="minorHAnsi" w:hAnsi="Arial Narrow" w:cstheme="minorBidi"/>
                <w:sz w:val="20"/>
                <w:szCs w:val="22"/>
                <w:lang w:eastAsia="en-US"/>
              </w:rPr>
            </w:pPr>
            <w:r w:rsidRPr="007D6F1A">
              <w:rPr>
                <w:rFonts w:ascii="Arial Narrow" w:eastAsiaTheme="minorHAnsi" w:hAnsi="Arial Narrow" w:cstheme="minorBidi"/>
                <w:sz w:val="20"/>
                <w:szCs w:val="22"/>
                <w:lang w:eastAsia="en-US"/>
              </w:rPr>
              <w:t>HR 0.72 (0.46, 1.15)</w:t>
            </w:r>
          </w:p>
        </w:tc>
        <w:tc>
          <w:tcPr>
            <w:tcW w:w="1794" w:type="dxa"/>
            <w:tcBorders>
              <w:top w:val="single" w:sz="4" w:space="0" w:color="auto"/>
              <w:left w:val="single" w:sz="4" w:space="0" w:color="auto"/>
              <w:bottom w:val="single" w:sz="4" w:space="0" w:color="auto"/>
              <w:right w:val="single" w:sz="4" w:space="0" w:color="auto"/>
            </w:tcBorders>
            <w:vAlign w:val="center"/>
          </w:tcPr>
          <w:p w14:paraId="4FBA9C27" w14:textId="77777777" w:rsidR="006D4E42" w:rsidRPr="007D6F1A" w:rsidRDefault="006D4E42" w:rsidP="003406B4">
            <w:pPr>
              <w:keepNext/>
              <w:keepLines/>
              <w:jc w:val="center"/>
              <w:rPr>
                <w:rFonts w:ascii="Arial Narrow" w:eastAsiaTheme="minorHAnsi" w:hAnsi="Arial Narrow" w:cstheme="minorBidi"/>
                <w:sz w:val="20"/>
                <w:szCs w:val="22"/>
                <w:lang w:eastAsia="en-US"/>
              </w:rPr>
            </w:pPr>
            <w:r w:rsidRPr="007D6F1A">
              <w:rPr>
                <w:rFonts w:ascii="Arial Narrow" w:eastAsiaTheme="minorHAnsi" w:hAnsi="Arial Narrow" w:cstheme="minorBidi"/>
                <w:sz w:val="20"/>
                <w:szCs w:val="22"/>
                <w:lang w:eastAsia="en-US"/>
              </w:rPr>
              <w:t>-</w:t>
            </w:r>
          </w:p>
        </w:tc>
      </w:tr>
      <w:tr w:rsidR="006D4E42" w:rsidRPr="007D6F1A" w14:paraId="240F67D0" w14:textId="77777777" w:rsidTr="003406B4">
        <w:trPr>
          <w:trHeight w:val="70"/>
        </w:trPr>
        <w:tc>
          <w:tcPr>
            <w:tcW w:w="2425" w:type="dxa"/>
            <w:tcBorders>
              <w:top w:val="single" w:sz="4" w:space="0" w:color="auto"/>
              <w:left w:val="single" w:sz="4" w:space="0" w:color="auto"/>
              <w:bottom w:val="single" w:sz="4" w:space="0" w:color="auto"/>
              <w:right w:val="single" w:sz="4" w:space="0" w:color="auto"/>
            </w:tcBorders>
            <w:shd w:val="clear" w:color="auto" w:fill="FFC000"/>
            <w:vAlign w:val="center"/>
          </w:tcPr>
          <w:p w14:paraId="7D837B66" w14:textId="77777777" w:rsidR="006D4E42" w:rsidRPr="007D6F1A" w:rsidRDefault="006D4E42" w:rsidP="003406B4">
            <w:pPr>
              <w:keepNext/>
              <w:keepLines/>
              <w:jc w:val="left"/>
              <w:rPr>
                <w:rFonts w:ascii="Arial Narrow" w:eastAsiaTheme="minorHAnsi" w:hAnsi="Arial Narrow" w:cstheme="minorBidi"/>
                <w:sz w:val="20"/>
                <w:szCs w:val="22"/>
                <w:lang w:eastAsia="en-US"/>
              </w:rPr>
            </w:pPr>
            <w:r w:rsidRPr="007D6F1A">
              <w:rPr>
                <w:rFonts w:ascii="Arial Narrow" w:eastAsiaTheme="minorHAnsi" w:hAnsi="Arial Narrow" w:cstheme="minorBidi"/>
                <w:sz w:val="20"/>
                <w:szCs w:val="22"/>
                <w:lang w:eastAsia="en-US"/>
              </w:rPr>
              <w:t>Cumulative incidence to primary analysis (median 33 months)</w:t>
            </w:r>
          </w:p>
        </w:tc>
        <w:tc>
          <w:tcPr>
            <w:tcW w:w="1495" w:type="dxa"/>
            <w:tcBorders>
              <w:top w:val="single" w:sz="4" w:space="0" w:color="auto"/>
              <w:left w:val="single" w:sz="4" w:space="0" w:color="auto"/>
              <w:bottom w:val="single" w:sz="4" w:space="0" w:color="auto"/>
              <w:right w:val="single" w:sz="4" w:space="0" w:color="auto"/>
            </w:tcBorders>
            <w:shd w:val="clear" w:color="auto" w:fill="FFC000"/>
            <w:vAlign w:val="center"/>
          </w:tcPr>
          <w:p w14:paraId="3821F5C9" w14:textId="77777777" w:rsidR="006D4E42" w:rsidRPr="007D6F1A" w:rsidRDefault="006D4E42" w:rsidP="003406B4">
            <w:pPr>
              <w:keepNext/>
              <w:keepLines/>
              <w:jc w:val="center"/>
              <w:rPr>
                <w:rFonts w:ascii="Arial Narrow" w:eastAsiaTheme="minorHAnsi" w:hAnsi="Arial Narrow" w:cstheme="minorBidi"/>
                <w:sz w:val="20"/>
                <w:szCs w:val="22"/>
                <w:lang w:eastAsia="en-US"/>
              </w:rPr>
            </w:pPr>
            <w:r w:rsidRPr="007D6F1A">
              <w:rPr>
                <w:rFonts w:ascii="Arial Narrow" w:eastAsiaTheme="minorHAnsi" w:hAnsi="Arial Narrow" w:cstheme="minorBidi"/>
                <w:sz w:val="20"/>
                <w:szCs w:val="22"/>
                <w:lang w:eastAsia="en-US"/>
              </w:rPr>
              <w:t>41/2046 (2.0)</w:t>
            </w:r>
          </w:p>
        </w:tc>
        <w:tc>
          <w:tcPr>
            <w:tcW w:w="1526" w:type="dxa"/>
            <w:tcBorders>
              <w:top w:val="single" w:sz="4" w:space="0" w:color="auto"/>
              <w:left w:val="single" w:sz="4" w:space="0" w:color="auto"/>
              <w:bottom w:val="single" w:sz="4" w:space="0" w:color="auto"/>
              <w:right w:val="single" w:sz="4" w:space="0" w:color="auto"/>
            </w:tcBorders>
            <w:shd w:val="clear" w:color="auto" w:fill="FFC000"/>
            <w:vAlign w:val="center"/>
          </w:tcPr>
          <w:p w14:paraId="09DEF212" w14:textId="77777777" w:rsidR="006D4E42" w:rsidRPr="007D6F1A" w:rsidRDefault="006D4E42" w:rsidP="003406B4">
            <w:pPr>
              <w:keepNext/>
              <w:keepLines/>
              <w:jc w:val="center"/>
              <w:rPr>
                <w:rFonts w:ascii="Arial Narrow" w:eastAsiaTheme="minorHAnsi" w:hAnsi="Arial Narrow" w:cstheme="minorBidi"/>
                <w:sz w:val="20"/>
                <w:szCs w:val="22"/>
                <w:lang w:eastAsia="en-US"/>
              </w:rPr>
            </w:pPr>
            <w:r w:rsidRPr="007D6F1A">
              <w:rPr>
                <w:rFonts w:ascii="Arial Narrow" w:eastAsiaTheme="minorHAnsi" w:hAnsi="Arial Narrow" w:cstheme="minorBidi"/>
                <w:sz w:val="20"/>
                <w:szCs w:val="22"/>
                <w:lang w:eastAsia="en-US"/>
              </w:rPr>
              <w:t>66/2047 (3.2)</w:t>
            </w:r>
          </w:p>
        </w:tc>
        <w:tc>
          <w:tcPr>
            <w:tcW w:w="1777" w:type="dxa"/>
            <w:tcBorders>
              <w:top w:val="single" w:sz="4" w:space="0" w:color="auto"/>
              <w:left w:val="single" w:sz="4" w:space="0" w:color="auto"/>
              <w:bottom w:val="single" w:sz="4" w:space="0" w:color="auto"/>
              <w:right w:val="single" w:sz="4" w:space="0" w:color="auto"/>
            </w:tcBorders>
            <w:shd w:val="clear" w:color="auto" w:fill="FFC000"/>
            <w:vAlign w:val="center"/>
          </w:tcPr>
          <w:p w14:paraId="48F94C0B" w14:textId="77777777" w:rsidR="006D4E42" w:rsidRPr="007D6F1A" w:rsidRDefault="006D4E42" w:rsidP="003406B4">
            <w:pPr>
              <w:keepNext/>
              <w:keepLines/>
              <w:jc w:val="center"/>
              <w:rPr>
                <w:rFonts w:ascii="Arial Narrow" w:eastAsiaTheme="minorHAnsi" w:hAnsi="Arial Narrow" w:cstheme="minorBidi"/>
                <w:sz w:val="20"/>
                <w:szCs w:val="22"/>
                <w:lang w:eastAsia="en-US"/>
              </w:rPr>
            </w:pPr>
            <w:r w:rsidRPr="007D6F1A">
              <w:rPr>
                <w:rFonts w:ascii="Arial Narrow" w:eastAsiaTheme="minorHAnsi" w:hAnsi="Arial Narrow" w:cstheme="minorBidi"/>
                <w:sz w:val="20"/>
                <w:szCs w:val="22"/>
                <w:lang w:eastAsia="en-US"/>
              </w:rPr>
              <w:t>HR 0.62 (0.42, 0.92)</w:t>
            </w:r>
          </w:p>
        </w:tc>
        <w:tc>
          <w:tcPr>
            <w:tcW w:w="1794" w:type="dxa"/>
            <w:tcBorders>
              <w:top w:val="single" w:sz="4" w:space="0" w:color="auto"/>
              <w:left w:val="single" w:sz="4" w:space="0" w:color="auto"/>
              <w:bottom w:val="single" w:sz="4" w:space="0" w:color="auto"/>
              <w:right w:val="single" w:sz="4" w:space="0" w:color="auto"/>
            </w:tcBorders>
            <w:shd w:val="clear" w:color="auto" w:fill="FFC000"/>
            <w:vAlign w:val="center"/>
          </w:tcPr>
          <w:p w14:paraId="1EE721FB" w14:textId="77777777" w:rsidR="006D4E42" w:rsidRPr="007D6F1A" w:rsidRDefault="006D4E42" w:rsidP="003406B4">
            <w:pPr>
              <w:keepNext/>
              <w:keepLines/>
              <w:jc w:val="center"/>
              <w:rPr>
                <w:rFonts w:ascii="Arial Narrow" w:eastAsiaTheme="minorHAnsi" w:hAnsi="Arial Narrow" w:cstheme="minorBidi"/>
                <w:sz w:val="20"/>
                <w:szCs w:val="22"/>
                <w:lang w:eastAsia="en-US"/>
              </w:rPr>
            </w:pPr>
            <w:r w:rsidRPr="007D6F1A">
              <w:rPr>
                <w:rFonts w:ascii="Arial Narrow" w:eastAsiaTheme="minorHAnsi" w:hAnsi="Arial Narrow" w:cstheme="minorBidi"/>
                <w:sz w:val="20"/>
                <w:szCs w:val="22"/>
                <w:lang w:eastAsia="en-US"/>
              </w:rPr>
              <w:t>-</w:t>
            </w:r>
          </w:p>
        </w:tc>
      </w:tr>
    </w:tbl>
    <w:p w14:paraId="7E0E50EE" w14:textId="77777777" w:rsidR="006D4E42" w:rsidRPr="007D6F1A" w:rsidRDefault="006D4E42" w:rsidP="006D4E42">
      <w:pPr>
        <w:pStyle w:val="TableFigureFooter"/>
        <w:rPr>
          <w:lang w:eastAsia="en-US"/>
        </w:rPr>
      </w:pPr>
      <w:r w:rsidRPr="007D6F1A">
        <w:rPr>
          <w:lang w:eastAsia="en-US"/>
        </w:rPr>
        <w:t xml:space="preserve">Source: </w:t>
      </w:r>
      <w:r>
        <w:rPr>
          <w:lang w:eastAsia="en-US"/>
        </w:rPr>
        <w:t>Section 2.5.1, pp39-40 of the resubmission</w:t>
      </w:r>
    </w:p>
    <w:p w14:paraId="0643A769" w14:textId="77777777" w:rsidR="006D4E42" w:rsidRPr="007D6F1A" w:rsidRDefault="006D4E42" w:rsidP="006D4E42">
      <w:pPr>
        <w:pStyle w:val="TableFigureFooter"/>
        <w:rPr>
          <w:color w:val="3366FF"/>
          <w:lang w:eastAsia="en-US"/>
        </w:rPr>
      </w:pPr>
      <w:r w:rsidRPr="007D6F1A">
        <w:rPr>
          <w:lang w:eastAsia="en-US"/>
        </w:rPr>
        <w:t>Abbreviations: HR, hazard ratio; NR, not reported; RR, risk ratio</w:t>
      </w:r>
    </w:p>
    <w:p w14:paraId="6C7A1ED0" w14:textId="5E4D182F" w:rsidR="006D4E42" w:rsidRDefault="006D4E42" w:rsidP="006D4E42">
      <w:pPr>
        <w:pStyle w:val="TableFigureFooter"/>
        <w:rPr>
          <w:lang w:eastAsia="en-US"/>
        </w:rPr>
      </w:pPr>
      <w:r w:rsidRPr="007D6F1A">
        <w:rPr>
          <w:lang w:eastAsia="en-US"/>
        </w:rPr>
        <w:t>Bolding indicates results that remained statistically significant after adjustments for multiplicity testing. Exploratory outcomes (e.g. clinical vertebral fractures and hip fractures) were not adjusted for multiplicity. Short term (12 month) fracture outcomes were not adjusted for multiplicity.</w:t>
      </w:r>
    </w:p>
    <w:p w14:paraId="4EA5A3F5" w14:textId="68FAA492" w:rsidR="00DF2C8A" w:rsidRPr="00C4368B" w:rsidRDefault="00DF2C8A" w:rsidP="006D4E42">
      <w:pPr>
        <w:pStyle w:val="TableFigureFooter"/>
        <w:rPr>
          <w:lang w:eastAsia="en-US"/>
        </w:rPr>
      </w:pPr>
      <w:r w:rsidRPr="00C4368B">
        <w:rPr>
          <w:lang w:eastAsia="en-US"/>
        </w:rPr>
        <w:t>Results highlighted in orange were used in the economic analysis</w:t>
      </w:r>
    </w:p>
    <w:p w14:paraId="3D5F2D0D" w14:textId="5229A430" w:rsidR="00EA5693" w:rsidRDefault="00E95003" w:rsidP="00F761EA">
      <w:pPr>
        <w:pStyle w:val="ExecSumBodyText"/>
        <w:rPr>
          <w:snapToGrid/>
        </w:rPr>
      </w:pPr>
      <w:bookmarkStart w:id="24" w:name="_Ref110427741"/>
      <w:r w:rsidRPr="00E95003">
        <w:rPr>
          <w:snapToGrid/>
        </w:rPr>
        <w:t>Treatment with romosozumab followed by alendronate was associated with statistically significant decreases in vertebral (including clinical vertebral) fractures, clinical fractures and non-vertebral fractures (including hip) over a median of 33 months compared to alendronate alone.</w:t>
      </w:r>
      <w:bookmarkEnd w:id="24"/>
    </w:p>
    <w:p w14:paraId="290AED1D" w14:textId="73CE71D3" w:rsidR="00FE3FD5" w:rsidRPr="00442592" w:rsidRDefault="006006E5" w:rsidP="003728A5">
      <w:pPr>
        <w:pStyle w:val="ExecSumBodyText"/>
        <w:rPr>
          <w:snapToGrid/>
        </w:rPr>
      </w:pPr>
      <w:r>
        <w:rPr>
          <w:snapToGrid/>
        </w:rPr>
        <w:t xml:space="preserve">The resubmission </w:t>
      </w:r>
      <w:r w:rsidRPr="006006E5">
        <w:rPr>
          <w:snapToGrid/>
        </w:rPr>
        <w:t>presented a post-hoc analysis of the ARCH trial to determine the proportion of patients with a BMD T-score of ≤</w:t>
      </w:r>
      <w:r w:rsidR="00FD7591">
        <w:rPr>
          <w:snapToGrid/>
        </w:rPr>
        <w:t> </w:t>
      </w:r>
      <w:r w:rsidRPr="006006E5">
        <w:rPr>
          <w:snapToGrid/>
        </w:rPr>
        <w:t xml:space="preserve">-2.5 and a history of multiple clinical fractures or at least one hip/clinical vertebral fracture (see table below). </w:t>
      </w:r>
      <w:r w:rsidRPr="00442592">
        <w:rPr>
          <w:snapToGrid/>
        </w:rPr>
        <w:t>These data have not previously been considered by the PBAC.</w:t>
      </w:r>
    </w:p>
    <w:p w14:paraId="557516FE" w14:textId="399BFAD4" w:rsidR="0071445C" w:rsidRDefault="0071445C" w:rsidP="0071445C">
      <w:pPr>
        <w:pStyle w:val="TableFigureCaption"/>
      </w:pPr>
      <w:r>
        <w:t xml:space="preserve">Table </w:t>
      </w:r>
      <w:fldSimple w:instr=" SEQ Table \* ARABIC ">
        <w:r w:rsidR="00016A98">
          <w:rPr>
            <w:noProof/>
          </w:rPr>
          <w:t>7</w:t>
        </w:r>
      </w:fldSimple>
      <w:r>
        <w:t>:</w:t>
      </w:r>
      <w:r w:rsidRPr="0071445C">
        <w:t xml:space="preserve"> Post-hoc analysis of baseline fracture history in patients with BMD T-score ≤-2.5 in the ARCH trial</w:t>
      </w:r>
    </w:p>
    <w:tbl>
      <w:tblPr>
        <w:tblStyle w:val="TableGrid"/>
        <w:tblW w:w="0" w:type="auto"/>
        <w:tblLook w:val="04A0" w:firstRow="1" w:lastRow="0" w:firstColumn="1" w:lastColumn="0" w:noHBand="0" w:noVBand="1"/>
      </w:tblPr>
      <w:tblGrid>
        <w:gridCol w:w="4490"/>
        <w:gridCol w:w="2367"/>
        <w:gridCol w:w="2160"/>
      </w:tblGrid>
      <w:tr w:rsidR="0071445C" w14:paraId="413A2275" w14:textId="77777777" w:rsidTr="003406B4">
        <w:tc>
          <w:tcPr>
            <w:tcW w:w="4490" w:type="dxa"/>
            <w:vAlign w:val="center"/>
          </w:tcPr>
          <w:p w14:paraId="04F759C0" w14:textId="77777777" w:rsidR="0071445C" w:rsidRDefault="0071445C" w:rsidP="003406B4">
            <w:pPr>
              <w:pStyle w:val="TableHeading"/>
            </w:pPr>
            <w:r>
              <w:t>Subgroup definition</w:t>
            </w:r>
          </w:p>
        </w:tc>
        <w:tc>
          <w:tcPr>
            <w:tcW w:w="2367" w:type="dxa"/>
            <w:vAlign w:val="center"/>
          </w:tcPr>
          <w:p w14:paraId="203ACC48" w14:textId="77777777" w:rsidR="0071445C" w:rsidRDefault="0071445C" w:rsidP="003406B4">
            <w:pPr>
              <w:pStyle w:val="TableHeading"/>
              <w:jc w:val="center"/>
            </w:pPr>
            <w:r>
              <w:t>Romosozumab/alendronate</w:t>
            </w:r>
          </w:p>
          <w:p w14:paraId="0ABB9C1C" w14:textId="77777777" w:rsidR="0071445C" w:rsidRDefault="0071445C" w:rsidP="003406B4">
            <w:pPr>
              <w:pStyle w:val="TableHeading"/>
              <w:jc w:val="center"/>
            </w:pPr>
            <w:r>
              <w:t>(N = 2,046)</w:t>
            </w:r>
          </w:p>
        </w:tc>
        <w:tc>
          <w:tcPr>
            <w:tcW w:w="2160" w:type="dxa"/>
            <w:vAlign w:val="center"/>
          </w:tcPr>
          <w:p w14:paraId="5A608941" w14:textId="77777777" w:rsidR="0071445C" w:rsidRDefault="0071445C" w:rsidP="003406B4">
            <w:pPr>
              <w:pStyle w:val="TableHeading"/>
              <w:jc w:val="center"/>
            </w:pPr>
            <w:r>
              <w:t>Alendronate/alendronate</w:t>
            </w:r>
          </w:p>
          <w:p w14:paraId="447E6D76" w14:textId="77777777" w:rsidR="0071445C" w:rsidRDefault="0071445C" w:rsidP="003406B4">
            <w:pPr>
              <w:pStyle w:val="TableHeading"/>
              <w:jc w:val="center"/>
            </w:pPr>
            <w:r>
              <w:t>(N = 2,047)</w:t>
            </w:r>
          </w:p>
        </w:tc>
      </w:tr>
      <w:tr w:rsidR="0071445C" w14:paraId="0FC4F01B" w14:textId="77777777" w:rsidTr="003406B4">
        <w:tc>
          <w:tcPr>
            <w:tcW w:w="4490" w:type="dxa"/>
          </w:tcPr>
          <w:p w14:paraId="6E48AD21" w14:textId="77777777" w:rsidR="0071445C" w:rsidRDefault="0071445C" w:rsidP="003406B4">
            <w:pPr>
              <w:pStyle w:val="TableText"/>
            </w:pPr>
            <w:r>
              <w:t>Patients with baseline BMD T-score ≤-2.5 at lumbar spine, total hip or femoral neck</w:t>
            </w:r>
          </w:p>
        </w:tc>
        <w:tc>
          <w:tcPr>
            <w:tcW w:w="2367" w:type="dxa"/>
            <w:vAlign w:val="center"/>
          </w:tcPr>
          <w:p w14:paraId="7526C7E4" w14:textId="77777777" w:rsidR="0071445C" w:rsidRDefault="0071445C" w:rsidP="003406B4">
            <w:pPr>
              <w:pStyle w:val="TableText"/>
              <w:jc w:val="center"/>
            </w:pPr>
            <w:r>
              <w:t>1,951</w:t>
            </w:r>
          </w:p>
        </w:tc>
        <w:tc>
          <w:tcPr>
            <w:tcW w:w="2160" w:type="dxa"/>
            <w:vAlign w:val="center"/>
          </w:tcPr>
          <w:p w14:paraId="6BCF6E3C" w14:textId="77777777" w:rsidR="0071445C" w:rsidRDefault="0071445C" w:rsidP="003406B4">
            <w:pPr>
              <w:pStyle w:val="TableText"/>
              <w:jc w:val="center"/>
            </w:pPr>
            <w:r>
              <w:t>1,946</w:t>
            </w:r>
          </w:p>
        </w:tc>
      </w:tr>
      <w:tr w:rsidR="0071445C" w14:paraId="43BD193D" w14:textId="77777777" w:rsidTr="003406B4">
        <w:tc>
          <w:tcPr>
            <w:tcW w:w="4490" w:type="dxa"/>
          </w:tcPr>
          <w:p w14:paraId="113BFC7A" w14:textId="77777777" w:rsidR="0071445C" w:rsidRDefault="0071445C" w:rsidP="003406B4">
            <w:pPr>
              <w:pStyle w:val="TableText"/>
            </w:pPr>
            <w:r>
              <w:t>Patients with baseline BMD T-score ≤-2.5 at lumbar spine, total hip or femoral neck, AND</w:t>
            </w:r>
          </w:p>
          <w:p w14:paraId="45517E6E" w14:textId="77777777" w:rsidR="0071445C" w:rsidRDefault="0071445C" w:rsidP="003406B4">
            <w:pPr>
              <w:pStyle w:val="TableText"/>
            </w:pPr>
            <w:r>
              <w:t xml:space="preserve">History of multiple clinical fractures (any) OR at least one hip fracture OR at least one clinical vertebral fracture </w:t>
            </w:r>
            <w:r>
              <w:rPr>
                <w:vertAlign w:val="superscript"/>
              </w:rPr>
              <w:t>a</w:t>
            </w:r>
          </w:p>
        </w:tc>
        <w:tc>
          <w:tcPr>
            <w:tcW w:w="2367" w:type="dxa"/>
            <w:vAlign w:val="center"/>
          </w:tcPr>
          <w:p w14:paraId="626C1EF2" w14:textId="77777777" w:rsidR="0071445C" w:rsidRDefault="0071445C" w:rsidP="003406B4">
            <w:pPr>
              <w:pStyle w:val="TableText"/>
              <w:jc w:val="center"/>
            </w:pPr>
            <w:r>
              <w:t>1,127</w:t>
            </w:r>
          </w:p>
        </w:tc>
        <w:tc>
          <w:tcPr>
            <w:tcW w:w="2160" w:type="dxa"/>
            <w:vAlign w:val="center"/>
          </w:tcPr>
          <w:p w14:paraId="68EC13B6" w14:textId="77777777" w:rsidR="0071445C" w:rsidRDefault="0071445C" w:rsidP="003406B4">
            <w:pPr>
              <w:pStyle w:val="TableText"/>
              <w:jc w:val="center"/>
            </w:pPr>
            <w:r>
              <w:t>1,139</w:t>
            </w:r>
          </w:p>
        </w:tc>
      </w:tr>
    </w:tbl>
    <w:p w14:paraId="487E171F" w14:textId="77777777" w:rsidR="0071445C" w:rsidRDefault="0071445C" w:rsidP="0071445C">
      <w:pPr>
        <w:pStyle w:val="TableFigureFooter"/>
      </w:pPr>
      <w:r>
        <w:t>Source: Table 4.2-3, p114 of the resubmission</w:t>
      </w:r>
    </w:p>
    <w:p w14:paraId="2849D190" w14:textId="77777777" w:rsidR="0071445C" w:rsidRPr="00ED7BE0" w:rsidRDefault="0071445C" w:rsidP="0071445C">
      <w:pPr>
        <w:pStyle w:val="TableFigureFooter"/>
      </w:pPr>
      <w:r>
        <w:rPr>
          <w:vertAlign w:val="superscript"/>
        </w:rPr>
        <w:t>a</w:t>
      </w:r>
      <w:r>
        <w:t xml:space="preserve"> As reported in subject medical history</w:t>
      </w:r>
    </w:p>
    <w:p w14:paraId="253ABB18" w14:textId="51F198AC" w:rsidR="0071445C" w:rsidRPr="008513E0" w:rsidRDefault="0071445C" w:rsidP="00EC5836">
      <w:pPr>
        <w:pStyle w:val="ExecSumBodyText"/>
        <w:rPr>
          <w:i/>
          <w:iCs/>
        </w:rPr>
      </w:pPr>
      <w:bookmarkStart w:id="25" w:name="_Ref106108947"/>
      <w:r w:rsidRPr="0071445C">
        <w:t>Based on this analysis, 95% the trial population had a baseline BMD T-score ≤</w:t>
      </w:r>
      <w:r w:rsidR="00FD7591">
        <w:t> </w:t>
      </w:r>
      <w:r w:rsidRPr="0071445C">
        <w:t>-2.5. The subgroup meeting both BMD threshold and fracture criteria represented 55% of the trial population.</w:t>
      </w:r>
      <w:r w:rsidRPr="0071445C">
        <w:rPr>
          <w:i/>
          <w:iCs/>
        </w:rPr>
        <w:t xml:space="preserve"> </w:t>
      </w:r>
      <w:r w:rsidRPr="00442592">
        <w:t>It was unclear what proportion would meet the proposed eligibility criteria for first line romosozumab treatment as baseline fracture history in this subgroup was not specific in terms of timing. No patient characteristics or fracture outcomes for these subgroups were presented in the resubmission.</w:t>
      </w:r>
      <w:r w:rsidR="008513E0">
        <w:t xml:space="preserve"> </w:t>
      </w:r>
      <w:r w:rsidR="008513E0" w:rsidRPr="005E2E4D">
        <w:t>The ESC considered that underlying fracture risk in the ARCH trial may not be representative of the proposed PBS first line population given trial enrolment was not specific to patients with recent fractures only</w:t>
      </w:r>
      <w:r w:rsidR="001C7FFA" w:rsidRPr="005E2E4D">
        <w:t xml:space="preserve">, </w:t>
      </w:r>
      <w:r w:rsidR="00761667" w:rsidRPr="005E2E4D">
        <w:t>with only a little over half</w:t>
      </w:r>
      <w:r w:rsidR="001C7FFA" w:rsidRPr="005E2E4D">
        <w:t xml:space="preserve"> of the trial population</w:t>
      </w:r>
      <w:r w:rsidR="00761667" w:rsidRPr="005E2E4D">
        <w:t xml:space="preserve"> meeting the proposed PBS criteria for fracture without consideration of the timing of fractures</w:t>
      </w:r>
      <w:r w:rsidR="008513E0" w:rsidRPr="005E2E4D">
        <w:t>.</w:t>
      </w:r>
      <w:bookmarkEnd w:id="25"/>
      <w:r w:rsidR="008513E0" w:rsidRPr="008513E0">
        <w:rPr>
          <w:i/>
          <w:iCs/>
        </w:rPr>
        <w:t xml:space="preserve">  </w:t>
      </w:r>
    </w:p>
    <w:p w14:paraId="1CE2A513" w14:textId="517326AF" w:rsidR="0071445C" w:rsidRPr="00442592" w:rsidRDefault="00C95DBE" w:rsidP="00C86C96">
      <w:pPr>
        <w:pStyle w:val="ExecSumBodyText"/>
      </w:pPr>
      <w:r>
        <w:t>The resubmission also provided</w:t>
      </w:r>
      <w:r w:rsidRPr="00C95DBE">
        <w:t xml:space="preserve"> a post-hoc analysis of selected fracture outcomes in subgroups stratified by baseline</w:t>
      </w:r>
      <w:r w:rsidR="00214600">
        <w:t xml:space="preserve"> lumbar spine</w:t>
      </w:r>
      <w:r w:rsidRPr="00C95DBE">
        <w:t xml:space="preserve"> BMD T-scores and number of prior fractures (vertebral or non-vertebral reported in patient history) in the alendronate arm of the ARCH trial</w:t>
      </w:r>
      <w:r>
        <w:t xml:space="preserve">. </w:t>
      </w:r>
      <w:r w:rsidR="00C86C96" w:rsidRPr="00442592">
        <w:t xml:space="preserve">These </w:t>
      </w:r>
      <w:r w:rsidR="00AF45F7" w:rsidRPr="00442592">
        <w:t>data</w:t>
      </w:r>
      <w:r w:rsidR="00C86C96" w:rsidRPr="00442592">
        <w:t xml:space="preserve"> have not previously been considered by the PBAC.</w:t>
      </w:r>
      <w:r w:rsidR="00C86C96">
        <w:rPr>
          <w:i/>
          <w:iCs/>
        </w:rPr>
        <w:t xml:space="preserve"> </w:t>
      </w:r>
      <w:r w:rsidR="000A01F2" w:rsidRPr="00214600">
        <w:t>Results indicate that patients with multiple fractures (vertebral or non-vertebral regardless of symptoms or recency) are at higher risk of subsequent fracture compared to treated patients with a single fracture. This pattern was observed for new vertebral and non-vertebral fractures.</w:t>
      </w:r>
      <w:r w:rsidR="00C86C96">
        <w:t xml:space="preserve"> </w:t>
      </w:r>
      <w:r w:rsidR="00C86C96" w:rsidRPr="00214600">
        <w:t>There was no clear pattern in terms of differences in fracture risk between subgroups based on BMD T-score thresholds. Results were limited by relatively smaller sample sizes in patients with BMD T-scores of ≤</w:t>
      </w:r>
      <w:r w:rsidR="00FD7591">
        <w:t> </w:t>
      </w:r>
      <w:r w:rsidR="00C86C96" w:rsidRPr="00214600">
        <w:t>-2.5 to &gt;</w:t>
      </w:r>
      <w:r w:rsidR="00FD7591">
        <w:t> </w:t>
      </w:r>
      <w:r w:rsidR="00C86C96" w:rsidRPr="00214600">
        <w:t>-3</w:t>
      </w:r>
      <w:r w:rsidR="00C86C96" w:rsidRPr="00442592">
        <w:t xml:space="preserve">. </w:t>
      </w:r>
      <w:r w:rsidR="005A6C4D" w:rsidRPr="00442592">
        <w:t xml:space="preserve">The interpretation of these results was limited </w:t>
      </w:r>
      <w:r w:rsidR="006E6BAE" w:rsidRPr="00442592">
        <w:t>by the</w:t>
      </w:r>
      <w:r w:rsidR="005A6C4D" w:rsidRPr="00442592">
        <w:t xml:space="preserve"> lack of </w:t>
      </w:r>
      <w:r w:rsidR="002A1A31" w:rsidRPr="00442592">
        <w:t xml:space="preserve">patient characteristics </w:t>
      </w:r>
      <w:r w:rsidR="005A6C4D" w:rsidRPr="00442592">
        <w:t>and lack of</w:t>
      </w:r>
      <w:r w:rsidR="008314F7" w:rsidRPr="00442592">
        <w:t xml:space="preserve"> </w:t>
      </w:r>
      <w:r w:rsidR="00214600" w:rsidRPr="00442592">
        <w:t>outcomes for the romosozumab/alendronate arm.</w:t>
      </w:r>
    </w:p>
    <w:p w14:paraId="7D4052B5" w14:textId="77777777" w:rsidR="00C95DBE" w:rsidRPr="00442592" w:rsidRDefault="00C95DBE" w:rsidP="00C95DBE">
      <w:pPr>
        <w:pStyle w:val="ExecSumBodyText"/>
        <w:rPr>
          <w:snapToGrid/>
        </w:rPr>
      </w:pPr>
      <w:r w:rsidRPr="00442592">
        <w:rPr>
          <w:snapToGrid/>
        </w:rPr>
        <w:t>In the FRAME placebo-controlled trial (mixed primary and secondary prevention population; predominantly treatment-naive), treatment with romosozumab followed by denosumab was associated with statistically significant decreases in vertebral (includes clinical vertebral) fractures over three years compared to placebo followed by denosumab. Romosozumab was also associated with a reduction in clinical fractures compared to placebo in the first year of treatment but the residual effect while using denosumab in later years was uncertain. There were no statistically significant differences in non-vertebral fractures between treatment arms.</w:t>
      </w:r>
    </w:p>
    <w:p w14:paraId="27B1F3B3" w14:textId="77777777" w:rsidR="00C95DBE" w:rsidRPr="00442592" w:rsidRDefault="00C95DBE" w:rsidP="00C95DBE">
      <w:pPr>
        <w:pStyle w:val="ExecSumBodyText"/>
        <w:rPr>
          <w:snapToGrid/>
        </w:rPr>
      </w:pPr>
      <w:r w:rsidRPr="00442592">
        <w:rPr>
          <w:snapToGrid/>
        </w:rPr>
        <w:t xml:space="preserve">Fracture outcomes and quality of life measures were not assessed in the STRUCTURE trial (secondary prevention in patients previously treated with anti-resorptive therapy). Treatment with romosozumab was associated with a statistically significant increase in total hip, femoral neck and lumbar spine BMD over one year compared to teriparatide. </w:t>
      </w:r>
    </w:p>
    <w:p w14:paraId="61E0C602" w14:textId="3016E7F9" w:rsidR="00247925" w:rsidRPr="00442592" w:rsidDel="00EA5693" w:rsidRDefault="00A00642" w:rsidP="00EC5836">
      <w:pPr>
        <w:pStyle w:val="ExecSumBodyText"/>
      </w:pPr>
      <w:r w:rsidRPr="00442592" w:rsidDel="00EA5693">
        <w:t>There are no data on fracture outcomes with romosozumab compared to alendronate in patients previous</w:t>
      </w:r>
      <w:r w:rsidR="00944CB9" w:rsidRPr="00442592" w:rsidDel="00EA5693">
        <w:t>ly treated with</w:t>
      </w:r>
      <w:r w:rsidRPr="00442592" w:rsidDel="00EA5693">
        <w:t xml:space="preserve"> anti-resorptive</w:t>
      </w:r>
      <w:r w:rsidR="00944CB9" w:rsidRPr="00442592" w:rsidDel="00EA5693">
        <w:t>s</w:t>
      </w:r>
      <w:r w:rsidRPr="00442592" w:rsidDel="00EA5693">
        <w:t>.</w:t>
      </w:r>
    </w:p>
    <w:p w14:paraId="5A719262" w14:textId="78FBFECD" w:rsidR="00F47D3B" w:rsidRPr="00442592" w:rsidRDefault="00F47D3B" w:rsidP="00F47D3B">
      <w:pPr>
        <w:pStyle w:val="ExecSumBodyText"/>
        <w:rPr>
          <w:snapToGrid/>
        </w:rPr>
      </w:pPr>
      <w:r w:rsidRPr="00442592">
        <w:rPr>
          <w:snapToGrid/>
        </w:rPr>
        <w:t>The changes to BMD observed with both romosozumab and teriparatide in patients previously treated with bisphosphonate therapy (STRUCTURE) were smaller than those reported in patients who were predominantly naïve to bisphosphonate treatment (FRAME and ARCH).</w:t>
      </w:r>
    </w:p>
    <w:p w14:paraId="676AC449" w14:textId="27AD57BD" w:rsidR="003728A5" w:rsidRPr="00442592" w:rsidRDefault="00110AD0" w:rsidP="00EC5836">
      <w:pPr>
        <w:pStyle w:val="ExecSumBodyText"/>
      </w:pPr>
      <w:bookmarkStart w:id="26" w:name="_Ref102142083"/>
      <w:r w:rsidRPr="00442592">
        <w:t>Multiple post-hoc analyses of BMD outcomes in trials of romosozumab (ARCH, FRAME, STRUCTURE and Study 326) were identified during the evaluation. These data have not previously been considered by the PBAC.</w:t>
      </w:r>
      <w:r w:rsidR="00CB24ED" w:rsidRPr="00442592">
        <w:t xml:space="preserve"> The results suggest that the use of romosozumab after anti-resorptive therapy provides smaller BMD gains (measured as relative effects) compared to the use of romosozumab before anti-resorptive therapy</w:t>
      </w:r>
      <w:r w:rsidR="00944CB9" w:rsidRPr="00442592">
        <w:t>.</w:t>
      </w:r>
      <w:bookmarkEnd w:id="26"/>
    </w:p>
    <w:p w14:paraId="462F0972" w14:textId="1FE737F6" w:rsidR="00C92CB0" w:rsidRPr="00442592" w:rsidRDefault="00820C6F" w:rsidP="001F0BE8">
      <w:pPr>
        <w:pStyle w:val="ExecSumBodyText"/>
      </w:pPr>
      <w:r w:rsidRPr="00442592">
        <w:t>An overview of the FRAME (romosozumab/denosumab versus placebo/denosumab) and FREEDOM (denosumab versus placebo) trials</w:t>
      </w:r>
      <w:r w:rsidR="002925EB" w:rsidRPr="00442592">
        <w:t xml:space="preserve"> suggest that both romosozumab/denosumab and denosumab are associated with reductions in the incidence of fracture compared to placebo/denosumab and placebo, respectively.</w:t>
      </w:r>
      <w:r w:rsidR="001F0BE8" w:rsidRPr="00442592">
        <w:t xml:space="preserve"> </w:t>
      </w:r>
      <w:r w:rsidR="00C92CB0" w:rsidRPr="00442592">
        <w:t>Relative treatment benefits for comparable fracture outcomes appeared similar, however, comparisons between trials were limited by differences in underlying fracture risk and treatments received in the comparator arm (patients in the placebo arm of the FRAME trial received denosumab after 12 months of placebo). Overall, the comparative efficacy of romosozumab versus denosumab remains uncertain.</w:t>
      </w:r>
    </w:p>
    <w:p w14:paraId="3600194D" w14:textId="1A0BE9BE" w:rsidR="00F55734" w:rsidRPr="00442592" w:rsidRDefault="00F55734" w:rsidP="00F55734">
      <w:pPr>
        <w:pStyle w:val="ExecSumBodyText"/>
        <w:rPr>
          <w:snapToGrid/>
        </w:rPr>
      </w:pPr>
      <w:r w:rsidRPr="00442592">
        <w:rPr>
          <w:snapToGrid/>
        </w:rPr>
        <w:t>There were no consistent differences in quality of life outcomes associated with romosozumab treatment in the clinical trials.</w:t>
      </w:r>
    </w:p>
    <w:p w14:paraId="1D63D42F" w14:textId="1E4D4869" w:rsidR="00CC10CC" w:rsidRPr="00442592" w:rsidRDefault="00501145" w:rsidP="00867155">
      <w:pPr>
        <w:pStyle w:val="ExecSumBodyText"/>
        <w:rPr>
          <w:snapToGrid/>
        </w:rPr>
      </w:pPr>
      <w:bookmarkStart w:id="27" w:name="_Ref106113170"/>
      <w:r w:rsidRPr="00442592">
        <w:rPr>
          <w:snapToGrid/>
        </w:rPr>
        <w:t xml:space="preserve">The PBAC </w:t>
      </w:r>
      <w:r w:rsidR="00372699" w:rsidRPr="00442592">
        <w:rPr>
          <w:snapToGrid/>
        </w:rPr>
        <w:t xml:space="preserve">previously </w:t>
      </w:r>
      <w:r w:rsidRPr="00442592">
        <w:rPr>
          <w:snapToGrid/>
        </w:rPr>
        <w:t>considered the long-term comparative efficacy of romosozumab versus alendronate was uncertain and that maintenance of treatment effect after discontinuation of romosozumab would likely depend on persistence with anti-resorptive therapy (para 7.10, romosozumab PSD, November 2018 PBAC meeting). In July 2019, the PBAC considered that the limited available data from Study 326 suggest that treatment effects associated with romosozumab are rapidly lost after discontinuation of subsequent anti-resorptive therapy</w:t>
      </w:r>
      <w:r w:rsidR="009274D7" w:rsidRPr="00442592">
        <w:rPr>
          <w:snapToGrid/>
        </w:rPr>
        <w:t xml:space="preserve"> (paragraph 7.5, romosozumab, PSD, July 2019 PBAC meeting). The PBAC reiterated these concerns at the March 2020 PBAC meeting and recommended that </w:t>
      </w:r>
      <w:r w:rsidR="00CC10CC" w:rsidRPr="00442592">
        <w:rPr>
          <w:snapToGrid/>
        </w:rPr>
        <w:t xml:space="preserve">the </w:t>
      </w:r>
      <w:r w:rsidR="00CC10CC" w:rsidRPr="00442592">
        <w:t xml:space="preserve">utilisation of anti-resorptive therapy following cessation of romosozumab should be reviewed </w:t>
      </w:r>
      <w:r w:rsidR="00867155" w:rsidRPr="00442592">
        <w:t xml:space="preserve">after an appropriate period post listing </w:t>
      </w:r>
      <w:r w:rsidR="009274D7" w:rsidRPr="00442592">
        <w:rPr>
          <w:snapToGrid/>
        </w:rPr>
        <w:t>(para 7.14, romosozumab PSD, March 2020 PBAC meeting).</w:t>
      </w:r>
      <w:r w:rsidR="0000638E" w:rsidRPr="00442592">
        <w:rPr>
          <w:snapToGrid/>
        </w:rPr>
        <w:t xml:space="preserve"> No data were presented </w:t>
      </w:r>
      <w:r w:rsidR="005E382E" w:rsidRPr="00442592">
        <w:rPr>
          <w:snapToGrid/>
        </w:rPr>
        <w:t xml:space="preserve">in the resubmission </w:t>
      </w:r>
      <w:r w:rsidR="0000638E" w:rsidRPr="00442592">
        <w:rPr>
          <w:snapToGrid/>
        </w:rPr>
        <w:t xml:space="preserve">to address these concerns. </w:t>
      </w:r>
      <w:r w:rsidR="00867155" w:rsidRPr="00442592">
        <w:rPr>
          <w:szCs w:val="20"/>
        </w:rPr>
        <w:t xml:space="preserve">The length of time post listing was inadequate at the time of evaluation </w:t>
      </w:r>
      <w:r w:rsidR="00372699" w:rsidRPr="00442592">
        <w:rPr>
          <w:szCs w:val="20"/>
        </w:rPr>
        <w:t xml:space="preserve">for this review </w:t>
      </w:r>
      <w:r w:rsidR="00867155" w:rsidRPr="00442592">
        <w:rPr>
          <w:szCs w:val="20"/>
        </w:rPr>
        <w:t>given romosozumab has a recommended 12-month treatment course and it was only listed on 1 April 2021.</w:t>
      </w:r>
      <w:bookmarkEnd w:id="27"/>
    </w:p>
    <w:p w14:paraId="2618BB44" w14:textId="1B1E02DB" w:rsidR="009274D7" w:rsidRDefault="008659ED" w:rsidP="009274D7">
      <w:pPr>
        <w:pStyle w:val="ExecSumBodyText"/>
        <w:rPr>
          <w:snapToGrid/>
        </w:rPr>
      </w:pPr>
      <w:bookmarkStart w:id="28" w:name="_Ref106184241"/>
      <w:r w:rsidRPr="00442592">
        <w:rPr>
          <w:snapToGrid/>
        </w:rPr>
        <w:t xml:space="preserve">At the October 2020 meeting, the DUSC reviewed the utilisation of denosumab based on a 10% PBS sample analysis of prescriptions supplied from January 2014 to June 2019. </w:t>
      </w:r>
      <w:r w:rsidR="007B4B01" w:rsidRPr="00442592">
        <w:rPr>
          <w:snapToGrid/>
        </w:rPr>
        <w:t xml:space="preserve">The report indicated approximately 50% of patients remain on denosumab at 4 years after treatment initiation (including treatment breaks; longer follow-up sensitivity analysis). </w:t>
      </w:r>
      <w:r w:rsidR="009F0DB8" w:rsidRPr="00442592">
        <w:rPr>
          <w:snapToGrid/>
        </w:rPr>
        <w:t xml:space="preserve">This estimate was lower than assumed </w:t>
      </w:r>
      <w:r w:rsidR="00C07500" w:rsidRPr="00442592">
        <w:rPr>
          <w:snapToGrid/>
        </w:rPr>
        <w:t>at Year 4 in</w:t>
      </w:r>
      <w:r w:rsidR="009F0DB8" w:rsidRPr="00442592">
        <w:rPr>
          <w:snapToGrid/>
        </w:rPr>
        <w:t xml:space="preserve"> the economic model of the resubmission </w:t>
      </w:r>
      <w:r w:rsidR="00C07500" w:rsidRPr="00442592">
        <w:rPr>
          <w:snapToGrid/>
        </w:rPr>
        <w:t>(</w:t>
      </w:r>
      <w:r w:rsidR="00C07500" w:rsidRPr="00442592">
        <w:t>81.5% without mortality and 75.8% with assumed mortality)</w:t>
      </w:r>
      <w:r w:rsidR="00C07500" w:rsidRPr="00442592">
        <w:rPr>
          <w:snapToGrid/>
        </w:rPr>
        <w:t xml:space="preserve"> </w:t>
      </w:r>
      <w:r w:rsidR="009F0DB8" w:rsidRPr="00442592">
        <w:rPr>
          <w:snapToGrid/>
        </w:rPr>
        <w:t>based on 95% annual persistence</w:t>
      </w:r>
      <w:r w:rsidR="00C07500" w:rsidRPr="00442592">
        <w:rPr>
          <w:snapToGrid/>
        </w:rPr>
        <w:t>.</w:t>
      </w:r>
      <w:bookmarkEnd w:id="28"/>
      <w:r w:rsidR="00C07500" w:rsidRPr="00442592">
        <w:rPr>
          <w:snapToGrid/>
        </w:rPr>
        <w:t xml:space="preserve"> </w:t>
      </w:r>
      <w:r w:rsidR="009F0DB8" w:rsidRPr="00442592">
        <w:rPr>
          <w:snapToGrid/>
        </w:rPr>
        <w:t xml:space="preserve"> </w:t>
      </w:r>
    </w:p>
    <w:p w14:paraId="696038F7" w14:textId="6C2D74C3" w:rsidR="00A53E0C" w:rsidRPr="005E2E4D" w:rsidRDefault="00F91CBD" w:rsidP="009B0299">
      <w:pPr>
        <w:pStyle w:val="ExecSumBodyText"/>
        <w:rPr>
          <w:snapToGrid/>
        </w:rPr>
      </w:pPr>
      <w:bookmarkStart w:id="29" w:name="_Ref106096252"/>
      <w:r w:rsidRPr="005E2E4D">
        <w:rPr>
          <w:snapToGrid/>
        </w:rPr>
        <w:t>In May 2022, the DUSC Secretariat conducted an analysis of the utilisation of anti-resorptive therapy after stopping teriparatide. The analysis captured patients who filled a teriparatide script between 1 April 2017 and 31 March 2018 (N = 1,454). The results indicated that 46%</w:t>
      </w:r>
      <w:r w:rsidR="009B0299" w:rsidRPr="005E2E4D">
        <w:rPr>
          <w:snapToGrid/>
        </w:rPr>
        <w:t xml:space="preserve"> (664/1,454)</w:t>
      </w:r>
      <w:r w:rsidRPr="005E2E4D">
        <w:rPr>
          <w:snapToGrid/>
        </w:rPr>
        <w:t xml:space="preserve"> of patients successfully transitioned to anti-resorptive therapy, defined as having at least 2 anti-resorptive scripts, the first of which was supplied within 2 months after stopping teriparatide. T</w:t>
      </w:r>
      <w:r w:rsidR="009B0299" w:rsidRPr="005E2E4D">
        <w:rPr>
          <w:snapToGrid/>
        </w:rPr>
        <w:t>he ESC noted that t</w:t>
      </w:r>
      <w:r w:rsidRPr="005E2E4D">
        <w:rPr>
          <w:snapToGrid/>
        </w:rPr>
        <w:t xml:space="preserve">his </w:t>
      </w:r>
      <w:r w:rsidR="009B0299" w:rsidRPr="005E2E4D">
        <w:rPr>
          <w:snapToGrid/>
        </w:rPr>
        <w:t>wa</w:t>
      </w:r>
      <w:r w:rsidRPr="005E2E4D">
        <w:rPr>
          <w:snapToGrid/>
        </w:rPr>
        <w:t xml:space="preserve">s lower than estimated in the analysis presented in the July 2019 romosozumab submission that suggested approximately 70% of patients continued with anti-resorptive therapy based on patients having at least one anti-resorptive script within 6 months after stopping teriparatide. </w:t>
      </w:r>
      <w:r w:rsidR="009B0299" w:rsidRPr="005E2E4D">
        <w:rPr>
          <w:snapToGrid/>
        </w:rPr>
        <w:t xml:space="preserve">The ESC noted the results also indicated relatively poor </w:t>
      </w:r>
      <w:r w:rsidR="00681C39" w:rsidRPr="005E2E4D">
        <w:rPr>
          <w:snapToGrid/>
        </w:rPr>
        <w:t>long-term</w:t>
      </w:r>
      <w:r w:rsidR="009B0299" w:rsidRPr="005E2E4D">
        <w:rPr>
          <w:snapToGrid/>
        </w:rPr>
        <w:t xml:space="preserve"> persistence to anti-resorptive therapy, with 49% </w:t>
      </w:r>
      <w:r w:rsidR="00F22120" w:rsidRPr="005E2E4D">
        <w:rPr>
          <w:snapToGrid/>
        </w:rPr>
        <w:t xml:space="preserve">(716/1,454) </w:t>
      </w:r>
      <w:r w:rsidR="009B0299" w:rsidRPr="005E2E4D">
        <w:rPr>
          <w:snapToGrid/>
        </w:rPr>
        <w:t xml:space="preserve">of patients remaining persistent at 1 year, declining to 25% </w:t>
      </w:r>
      <w:r w:rsidR="00F22120" w:rsidRPr="005E2E4D">
        <w:rPr>
          <w:snapToGrid/>
        </w:rPr>
        <w:t xml:space="preserve">(361/1,454) </w:t>
      </w:r>
      <w:r w:rsidR="009B0299" w:rsidRPr="005E2E4D">
        <w:rPr>
          <w:snapToGrid/>
        </w:rPr>
        <w:t>at 3 years after cessation of teriparatide.</w:t>
      </w:r>
      <w:r w:rsidR="00F22120" w:rsidRPr="005E2E4D">
        <w:rPr>
          <w:rStyle w:val="FootnoteReference"/>
          <w:snapToGrid/>
        </w:rPr>
        <w:footnoteReference w:id="3"/>
      </w:r>
      <w:bookmarkEnd w:id="29"/>
      <w:r w:rsidR="009B0299" w:rsidRPr="005E2E4D">
        <w:rPr>
          <w:snapToGrid/>
        </w:rPr>
        <w:t xml:space="preserve"> </w:t>
      </w:r>
    </w:p>
    <w:p w14:paraId="4E25E53A" w14:textId="0EF3E99B" w:rsidR="002A3E27" w:rsidRPr="005E2E4D" w:rsidRDefault="002A3E27" w:rsidP="002A3E27">
      <w:pPr>
        <w:pStyle w:val="ExecSumBodyText"/>
      </w:pPr>
      <w:bookmarkStart w:id="30" w:name="_Ref106184947"/>
      <w:r w:rsidRPr="005E2E4D">
        <w:rPr>
          <w:snapToGrid/>
        </w:rPr>
        <w:t xml:space="preserve">The PSCR argued that </w:t>
      </w:r>
      <w:r w:rsidRPr="005E2E4D">
        <w:t xml:space="preserve">the ARCH trial data shows maintenance of treatment effect for at least 2 years following discontinuation of romosozumab with the continued separation of the Kaplan-Meier curves (see </w:t>
      </w:r>
      <w:r w:rsidRPr="005E2E4D">
        <w:fldChar w:fldCharType="begin"/>
      </w:r>
      <w:r w:rsidRPr="005E2E4D">
        <w:instrText xml:space="preserve"> REF _Ref106112592 \h  \* MERGEFORMAT </w:instrText>
      </w:r>
      <w:r w:rsidRPr="005E2E4D">
        <w:fldChar w:fldCharType="separate"/>
      </w:r>
      <w:r w:rsidR="00227950" w:rsidRPr="00227950">
        <w:t>Figure 1</w:t>
      </w:r>
      <w:r w:rsidRPr="005E2E4D">
        <w:fldChar w:fldCharType="end"/>
      </w:r>
      <w:r w:rsidRPr="005E2E4D">
        <w:t xml:space="preserve">) and stated that this ‘residual’ treatment effect does not appear to be declining. As utilisation data indicate persistence with anti-resorptive therapy is lower than observed in clinical trials (see paragraphs </w:t>
      </w:r>
      <w:r w:rsidRPr="005E2E4D">
        <w:fldChar w:fldCharType="begin"/>
      </w:r>
      <w:r w:rsidRPr="005E2E4D">
        <w:instrText xml:space="preserve"> REF _Ref106184241 \r \h </w:instrText>
      </w:r>
      <w:r w:rsidR="005E2E4D">
        <w:instrText xml:space="preserve"> \* MERGEFORMAT </w:instrText>
      </w:r>
      <w:r w:rsidRPr="005E2E4D">
        <w:fldChar w:fldCharType="separate"/>
      </w:r>
      <w:r w:rsidR="00F57113">
        <w:t>6.27</w:t>
      </w:r>
      <w:r w:rsidRPr="005E2E4D">
        <w:fldChar w:fldCharType="end"/>
      </w:r>
      <w:r w:rsidRPr="005E2E4D">
        <w:t xml:space="preserve"> and </w:t>
      </w:r>
      <w:r w:rsidRPr="005E2E4D">
        <w:fldChar w:fldCharType="begin"/>
      </w:r>
      <w:r w:rsidRPr="005E2E4D">
        <w:instrText xml:space="preserve"> REF _Ref106096252 \r \h  \* MERGEFORMAT </w:instrText>
      </w:r>
      <w:r w:rsidRPr="005E2E4D">
        <w:fldChar w:fldCharType="separate"/>
      </w:r>
      <w:r w:rsidR="00F57113">
        <w:t>6.28</w:t>
      </w:r>
      <w:r w:rsidRPr="005E2E4D">
        <w:fldChar w:fldCharType="end"/>
      </w:r>
      <w:r w:rsidRPr="005E2E4D">
        <w:t>), the ESC considered that convergence by 4 years would be more likely in clinical practice.</w:t>
      </w:r>
      <w:bookmarkEnd w:id="30"/>
    </w:p>
    <w:p w14:paraId="1ED7CF9E" w14:textId="3F91A117" w:rsidR="002A3E27" w:rsidRPr="005E2E4D" w:rsidRDefault="002A3E27" w:rsidP="00CB163D">
      <w:pPr>
        <w:pStyle w:val="Caption"/>
        <w:keepNext/>
        <w:keepLines/>
        <w:rPr>
          <w:rFonts w:ascii="Arial Narrow" w:eastAsiaTheme="majorEastAsia" w:hAnsi="Arial Narrow" w:cstheme="majorBidi"/>
          <w:b/>
          <w:bCs/>
          <w:i w:val="0"/>
          <w:iCs w:val="0"/>
          <w:color w:val="auto"/>
          <w:sz w:val="20"/>
          <w:szCs w:val="24"/>
        </w:rPr>
      </w:pPr>
      <w:bookmarkStart w:id="31" w:name="_Ref106112592"/>
      <w:r w:rsidRPr="005E2E4D">
        <w:rPr>
          <w:rFonts w:ascii="Arial Narrow" w:eastAsiaTheme="majorEastAsia" w:hAnsi="Arial Narrow" w:cstheme="majorBidi"/>
          <w:b/>
          <w:bCs/>
          <w:i w:val="0"/>
          <w:iCs w:val="0"/>
          <w:color w:val="auto"/>
          <w:sz w:val="20"/>
          <w:szCs w:val="24"/>
        </w:rPr>
        <w:t xml:space="preserve">Figure </w:t>
      </w:r>
      <w:r w:rsidRPr="005E2E4D">
        <w:rPr>
          <w:rFonts w:ascii="Arial Narrow" w:eastAsiaTheme="majorEastAsia" w:hAnsi="Arial Narrow" w:cstheme="majorBidi"/>
          <w:b/>
          <w:bCs/>
          <w:i w:val="0"/>
          <w:iCs w:val="0"/>
          <w:color w:val="auto"/>
          <w:sz w:val="20"/>
          <w:szCs w:val="24"/>
        </w:rPr>
        <w:fldChar w:fldCharType="begin"/>
      </w:r>
      <w:r w:rsidRPr="005E2E4D">
        <w:rPr>
          <w:rFonts w:ascii="Arial Narrow" w:eastAsiaTheme="majorEastAsia" w:hAnsi="Arial Narrow" w:cstheme="majorBidi"/>
          <w:b/>
          <w:bCs/>
          <w:i w:val="0"/>
          <w:iCs w:val="0"/>
          <w:color w:val="auto"/>
          <w:sz w:val="20"/>
          <w:szCs w:val="24"/>
        </w:rPr>
        <w:instrText xml:space="preserve"> SEQ Figure \* ARABIC </w:instrText>
      </w:r>
      <w:r w:rsidRPr="005E2E4D">
        <w:rPr>
          <w:rFonts w:ascii="Arial Narrow" w:eastAsiaTheme="majorEastAsia" w:hAnsi="Arial Narrow" w:cstheme="majorBidi"/>
          <w:b/>
          <w:bCs/>
          <w:i w:val="0"/>
          <w:iCs w:val="0"/>
          <w:color w:val="auto"/>
          <w:sz w:val="20"/>
          <w:szCs w:val="24"/>
        </w:rPr>
        <w:fldChar w:fldCharType="separate"/>
      </w:r>
      <w:r w:rsidR="00972AAC" w:rsidRPr="005E2E4D">
        <w:rPr>
          <w:rFonts w:ascii="Arial Narrow" w:eastAsiaTheme="majorEastAsia" w:hAnsi="Arial Narrow" w:cstheme="majorBidi"/>
          <w:b/>
          <w:bCs/>
          <w:i w:val="0"/>
          <w:iCs w:val="0"/>
          <w:noProof/>
          <w:color w:val="auto"/>
          <w:sz w:val="20"/>
          <w:szCs w:val="24"/>
        </w:rPr>
        <w:t>1</w:t>
      </w:r>
      <w:r w:rsidRPr="005E2E4D">
        <w:rPr>
          <w:rFonts w:ascii="Arial Narrow" w:eastAsiaTheme="majorEastAsia" w:hAnsi="Arial Narrow" w:cstheme="majorBidi"/>
          <w:b/>
          <w:bCs/>
          <w:i w:val="0"/>
          <w:iCs w:val="0"/>
          <w:color w:val="auto"/>
          <w:sz w:val="20"/>
          <w:szCs w:val="24"/>
        </w:rPr>
        <w:fldChar w:fldCharType="end"/>
      </w:r>
      <w:bookmarkEnd w:id="31"/>
      <w:r w:rsidRPr="005E2E4D">
        <w:rPr>
          <w:rFonts w:ascii="Arial Narrow" w:eastAsiaTheme="majorEastAsia" w:hAnsi="Arial Narrow" w:cstheme="majorBidi"/>
          <w:b/>
          <w:bCs/>
          <w:i w:val="0"/>
          <w:iCs w:val="0"/>
          <w:color w:val="auto"/>
          <w:sz w:val="20"/>
          <w:szCs w:val="24"/>
        </w:rPr>
        <w:t xml:space="preserve"> Time to first clinical fracture – ARCH full analysis set</w:t>
      </w:r>
    </w:p>
    <w:p w14:paraId="5844A94D" w14:textId="77777777" w:rsidR="002A3E27" w:rsidRPr="005E2E4D" w:rsidRDefault="002A3E27" w:rsidP="00CB163D">
      <w:pPr>
        <w:keepNext/>
        <w:keepLines/>
      </w:pPr>
      <w:r w:rsidRPr="005E2E4D">
        <w:rPr>
          <w:noProof/>
        </w:rPr>
        <w:drawing>
          <wp:inline distT="0" distB="0" distL="0" distR="0" wp14:anchorId="33ECB8F8" wp14:editId="787E5216">
            <wp:extent cx="5731510" cy="2041525"/>
            <wp:effectExtent l="0" t="0" r="2540" b="0"/>
            <wp:docPr id="2" name="Picture 2" descr="Figure 1 Time to first clinical fracture – ARCH full analysis se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Figure 1 Time to first clinical fracture – ARCH full analysis set"/>
                    <pic:cNvPicPr/>
                  </pic:nvPicPr>
                  <pic:blipFill>
                    <a:blip r:embed="rId12"/>
                    <a:stretch>
                      <a:fillRect/>
                    </a:stretch>
                  </pic:blipFill>
                  <pic:spPr>
                    <a:xfrm>
                      <a:off x="0" y="0"/>
                      <a:ext cx="5731510" cy="2041525"/>
                    </a:xfrm>
                    <a:prstGeom prst="rect">
                      <a:avLst/>
                    </a:prstGeom>
                  </pic:spPr>
                </pic:pic>
              </a:graphicData>
            </a:graphic>
          </wp:inline>
        </w:drawing>
      </w:r>
    </w:p>
    <w:p w14:paraId="5D1FE50F" w14:textId="77777777" w:rsidR="002A3E27" w:rsidRPr="005E2E4D" w:rsidRDefault="002A3E27" w:rsidP="00CB163D">
      <w:pPr>
        <w:keepNext/>
        <w:keepLines/>
        <w:rPr>
          <w:rFonts w:ascii="Arial Narrow" w:hAnsi="Arial Narrow"/>
          <w:snapToGrid w:val="0"/>
          <w:sz w:val="18"/>
          <w:szCs w:val="22"/>
        </w:rPr>
      </w:pPr>
      <w:r w:rsidRPr="005E2E4D">
        <w:rPr>
          <w:rFonts w:ascii="Arial Narrow" w:hAnsi="Arial Narrow"/>
          <w:snapToGrid w:val="0"/>
          <w:sz w:val="18"/>
          <w:szCs w:val="22"/>
        </w:rPr>
        <w:t>Source: Figure 1, p1, PSCR</w:t>
      </w:r>
    </w:p>
    <w:p w14:paraId="2BA3547B" w14:textId="77777777" w:rsidR="002A3E27" w:rsidRPr="00FF6860" w:rsidRDefault="002A3E27" w:rsidP="002A3E27"/>
    <w:p w14:paraId="33CF2C8B" w14:textId="1CA6568F" w:rsidR="003865F5" w:rsidRPr="00645CDF" w:rsidRDefault="00B60939" w:rsidP="00645CDF">
      <w:pPr>
        <w:pStyle w:val="3-SubsectionHeading"/>
      </w:pPr>
      <w:bookmarkStart w:id="32" w:name="_Toc22897642"/>
      <w:bookmarkStart w:id="33" w:name="_Toc103610475"/>
      <w:r w:rsidRPr="00262BDA">
        <w:t>Comparative harms</w:t>
      </w:r>
      <w:bookmarkEnd w:id="32"/>
      <w:bookmarkEnd w:id="33"/>
    </w:p>
    <w:p w14:paraId="0001AD6F" w14:textId="6F6E5278" w:rsidR="00645CDF" w:rsidRPr="00442592" w:rsidRDefault="00645CDF" w:rsidP="003865F5">
      <w:pPr>
        <w:pStyle w:val="ExecSumBodyText"/>
      </w:pPr>
      <w:r w:rsidRPr="00442592">
        <w:t>Adverse event data from the</w:t>
      </w:r>
      <w:r w:rsidR="00AC1D2E" w:rsidRPr="00442592">
        <w:t xml:space="preserve"> included</w:t>
      </w:r>
      <w:r w:rsidRPr="00442592">
        <w:t xml:space="preserve"> </w:t>
      </w:r>
      <w:r w:rsidR="00AC1D2E" w:rsidRPr="00442592">
        <w:t xml:space="preserve">romosozumab </w:t>
      </w:r>
      <w:r w:rsidRPr="00442592">
        <w:t>trials have previously been considered by the PBAC.</w:t>
      </w:r>
    </w:p>
    <w:p w14:paraId="28CB902C" w14:textId="00E01ECE" w:rsidR="003865F5" w:rsidRPr="00645CDF" w:rsidRDefault="003865F5" w:rsidP="003865F5">
      <w:pPr>
        <w:pStyle w:val="ExecSumBodyText"/>
      </w:pPr>
      <w:r w:rsidRPr="00645CDF">
        <w:t>There was no clear pattern in the overall incidence of adverse events between romosozumab and comparators (teriparatide, alendronate and placebo) during the initial 12-month treatment period. The incidence of adverse events over the full trial period (including primary treatment and subsequent anti-resorptive therapy) was generally similar between treatment arms.</w:t>
      </w:r>
    </w:p>
    <w:p w14:paraId="05B877AD" w14:textId="76630209" w:rsidR="00F61A87" w:rsidRDefault="00F61A87" w:rsidP="00F61A87">
      <w:pPr>
        <w:pStyle w:val="ExecSumBodyText"/>
      </w:pPr>
      <w:r w:rsidRPr="00F61A87">
        <w:t>The most frequently reported adverse events in the romosozumab trials were musculoskeletal disorders (osteoarthritis, arthralgia, back pain, musculoskeletal pain, pain in the extremity), infections (nasopharyngitis, upper respiratory tract infection), injury (falls), vascular disorders (hypertension), nervous system disorders (headache) and metabolism disorders (hypercalcaemia; higher incidence with teriparatide). Individual serious adverse events and adverse events leading to discontinuation were generally low in all treatment arms.</w:t>
      </w:r>
    </w:p>
    <w:p w14:paraId="4F520070" w14:textId="0C539123" w:rsidR="001B3D39" w:rsidRDefault="003528AF" w:rsidP="00F61A87">
      <w:pPr>
        <w:pStyle w:val="ExecSumBodyText"/>
      </w:pPr>
      <w:r w:rsidRPr="003528AF">
        <w:t>In regard to adverse events of special interest, treatment with romosozumab was associated with an increased risk of injection site reactions and serious cardiovascular events (primarily cardiac ischaemic and cerebrovascular events).</w:t>
      </w:r>
      <w:r w:rsidR="001462EB">
        <w:t xml:space="preserve"> Table </w:t>
      </w:r>
      <w:r w:rsidR="0006397F">
        <w:t>8</w:t>
      </w:r>
      <w:r w:rsidR="001462EB">
        <w:t xml:space="preserve"> </w:t>
      </w:r>
      <w:r w:rsidR="005404D7">
        <w:t>shows a summary of serious cardiovascular events reported in the ARCH trial.</w:t>
      </w:r>
    </w:p>
    <w:p w14:paraId="05AFD7E7" w14:textId="4E618D8A" w:rsidR="00C944FC" w:rsidRDefault="00C944FC" w:rsidP="00C944FC">
      <w:pPr>
        <w:pStyle w:val="TableHeading"/>
      </w:pPr>
      <w:r>
        <w:t xml:space="preserve">Table </w:t>
      </w:r>
      <w:fldSimple w:instr=" SEQ Table \* ARABIC ">
        <w:r w:rsidR="00016A98">
          <w:rPr>
            <w:noProof/>
          </w:rPr>
          <w:t>8</w:t>
        </w:r>
      </w:fldSimple>
      <w:r>
        <w:t xml:space="preserve">: </w:t>
      </w:r>
      <w:r w:rsidRPr="00C944FC">
        <w:t>Summary of serious cardiovascular events reported in the ARCH trial</w:t>
      </w:r>
    </w:p>
    <w:tbl>
      <w:tblPr>
        <w:tblStyle w:val="TableGridbeth1"/>
        <w:tblW w:w="9015" w:type="dxa"/>
        <w:tblInd w:w="9" w:type="dxa"/>
        <w:tblLook w:val="04A0" w:firstRow="1" w:lastRow="0" w:firstColumn="1" w:lastColumn="0" w:noHBand="0" w:noVBand="1"/>
      </w:tblPr>
      <w:tblGrid>
        <w:gridCol w:w="3580"/>
        <w:gridCol w:w="2717"/>
        <w:gridCol w:w="2718"/>
      </w:tblGrid>
      <w:tr w:rsidR="00C944FC" w:rsidRPr="00F71E28" w14:paraId="43D8BF83" w14:textId="77777777" w:rsidTr="0018343F">
        <w:trPr>
          <w:tblHeader/>
        </w:trPr>
        <w:tc>
          <w:tcPr>
            <w:tcW w:w="3580" w:type="dxa"/>
            <w:vMerge w:val="restart"/>
            <w:vAlign w:val="center"/>
          </w:tcPr>
          <w:p w14:paraId="2837580F" w14:textId="77777777" w:rsidR="00C944FC" w:rsidRPr="00F71E28" w:rsidRDefault="00C944FC" w:rsidP="0006397F">
            <w:pPr>
              <w:keepNext/>
              <w:rPr>
                <w:rFonts w:ascii="Arial Narrow" w:hAnsi="Arial Narrow"/>
                <w:sz w:val="20"/>
              </w:rPr>
            </w:pPr>
          </w:p>
        </w:tc>
        <w:tc>
          <w:tcPr>
            <w:tcW w:w="5435" w:type="dxa"/>
            <w:gridSpan w:val="2"/>
            <w:vAlign w:val="center"/>
          </w:tcPr>
          <w:p w14:paraId="6E3A0B84" w14:textId="77777777" w:rsidR="00C944FC" w:rsidRPr="00F71E28" w:rsidRDefault="00C944FC" w:rsidP="0006397F">
            <w:pPr>
              <w:keepNext/>
              <w:jc w:val="center"/>
              <w:rPr>
                <w:rFonts w:ascii="Arial Narrow" w:hAnsi="Arial Narrow"/>
                <w:b/>
                <w:sz w:val="20"/>
              </w:rPr>
            </w:pPr>
            <w:r>
              <w:rPr>
                <w:rFonts w:ascii="Arial Narrow" w:hAnsi="Arial Narrow"/>
                <w:b/>
                <w:sz w:val="20"/>
              </w:rPr>
              <w:t>Patients with events, n</w:t>
            </w:r>
            <w:r w:rsidRPr="00F71E28">
              <w:rPr>
                <w:rFonts w:ascii="Arial Narrow" w:hAnsi="Arial Narrow"/>
                <w:b/>
                <w:sz w:val="20"/>
              </w:rPr>
              <w:t xml:space="preserve"> (%)</w:t>
            </w:r>
          </w:p>
        </w:tc>
      </w:tr>
      <w:tr w:rsidR="00C944FC" w:rsidRPr="00F71E28" w14:paraId="03B8AE4F" w14:textId="77777777" w:rsidTr="0018343F">
        <w:trPr>
          <w:tblHeader/>
        </w:trPr>
        <w:tc>
          <w:tcPr>
            <w:tcW w:w="3580" w:type="dxa"/>
            <w:vMerge/>
            <w:vAlign w:val="center"/>
          </w:tcPr>
          <w:p w14:paraId="6D37E878" w14:textId="77777777" w:rsidR="00C944FC" w:rsidRPr="00F71E28" w:rsidRDefault="00C944FC" w:rsidP="0006397F">
            <w:pPr>
              <w:keepNext/>
              <w:rPr>
                <w:rFonts w:ascii="Arial Narrow" w:hAnsi="Arial Narrow"/>
                <w:sz w:val="20"/>
              </w:rPr>
            </w:pPr>
          </w:p>
        </w:tc>
        <w:tc>
          <w:tcPr>
            <w:tcW w:w="2717" w:type="dxa"/>
            <w:vAlign w:val="center"/>
          </w:tcPr>
          <w:p w14:paraId="14DE224E" w14:textId="77777777" w:rsidR="00C944FC" w:rsidRPr="00F71E28" w:rsidRDefault="00C944FC" w:rsidP="0006397F">
            <w:pPr>
              <w:keepNext/>
              <w:jc w:val="center"/>
              <w:rPr>
                <w:rFonts w:ascii="Arial Narrow" w:hAnsi="Arial Narrow"/>
                <w:b/>
                <w:sz w:val="20"/>
              </w:rPr>
            </w:pPr>
            <w:r>
              <w:rPr>
                <w:rFonts w:ascii="Arial Narrow" w:hAnsi="Arial Narrow"/>
                <w:b/>
                <w:sz w:val="20"/>
              </w:rPr>
              <w:t>Romosozumab/alendronate</w:t>
            </w:r>
          </w:p>
          <w:p w14:paraId="28D6D497" w14:textId="77777777" w:rsidR="00C944FC" w:rsidRPr="00F71E28" w:rsidRDefault="00C944FC" w:rsidP="0006397F">
            <w:pPr>
              <w:keepNext/>
              <w:jc w:val="center"/>
              <w:rPr>
                <w:rFonts w:ascii="Arial Narrow" w:hAnsi="Arial Narrow"/>
                <w:b/>
                <w:sz w:val="20"/>
              </w:rPr>
            </w:pPr>
            <w:r>
              <w:rPr>
                <w:rFonts w:ascii="Arial Narrow" w:hAnsi="Arial Narrow"/>
                <w:b/>
                <w:sz w:val="20"/>
              </w:rPr>
              <w:t>N=2040</w:t>
            </w:r>
          </w:p>
        </w:tc>
        <w:tc>
          <w:tcPr>
            <w:tcW w:w="2718" w:type="dxa"/>
            <w:vAlign w:val="center"/>
          </w:tcPr>
          <w:p w14:paraId="54A67EEB" w14:textId="77777777" w:rsidR="00C944FC" w:rsidRPr="00F71E28" w:rsidRDefault="00C944FC" w:rsidP="0006397F">
            <w:pPr>
              <w:keepNext/>
              <w:jc w:val="center"/>
              <w:rPr>
                <w:rFonts w:ascii="Arial Narrow" w:hAnsi="Arial Narrow"/>
                <w:b/>
                <w:sz w:val="20"/>
              </w:rPr>
            </w:pPr>
            <w:r>
              <w:rPr>
                <w:rFonts w:ascii="Arial Narrow" w:hAnsi="Arial Narrow"/>
                <w:b/>
                <w:sz w:val="20"/>
              </w:rPr>
              <w:t>Alendronate/alendronate</w:t>
            </w:r>
          </w:p>
          <w:p w14:paraId="125FE3F3" w14:textId="77777777" w:rsidR="00C944FC" w:rsidRPr="00F71E28" w:rsidRDefault="00C944FC" w:rsidP="0006397F">
            <w:pPr>
              <w:keepNext/>
              <w:jc w:val="center"/>
              <w:rPr>
                <w:rFonts w:ascii="Arial Narrow" w:hAnsi="Arial Narrow"/>
                <w:b/>
                <w:sz w:val="20"/>
              </w:rPr>
            </w:pPr>
            <w:r>
              <w:rPr>
                <w:rFonts w:ascii="Arial Narrow" w:hAnsi="Arial Narrow"/>
                <w:b/>
                <w:sz w:val="20"/>
              </w:rPr>
              <w:t>N=2014</w:t>
            </w:r>
          </w:p>
        </w:tc>
      </w:tr>
      <w:tr w:rsidR="00C944FC" w:rsidRPr="00F71E28" w14:paraId="2C5DE220" w14:textId="77777777" w:rsidTr="0018343F">
        <w:tc>
          <w:tcPr>
            <w:tcW w:w="9015" w:type="dxa"/>
            <w:gridSpan w:val="3"/>
            <w:vAlign w:val="center"/>
          </w:tcPr>
          <w:p w14:paraId="5F03B5AF" w14:textId="77777777" w:rsidR="00C944FC" w:rsidRDefault="00C944FC" w:rsidP="0006397F">
            <w:pPr>
              <w:keepNext/>
              <w:jc w:val="left"/>
              <w:rPr>
                <w:rFonts w:ascii="Arial Narrow" w:hAnsi="Arial Narrow"/>
                <w:sz w:val="20"/>
              </w:rPr>
            </w:pPr>
            <w:r>
              <w:rPr>
                <w:rFonts w:ascii="Arial Narrow" w:hAnsi="Arial Narrow"/>
                <w:b/>
                <w:sz w:val="20"/>
              </w:rPr>
              <w:t>Initial treatment period (12 months)</w:t>
            </w:r>
          </w:p>
        </w:tc>
      </w:tr>
      <w:tr w:rsidR="00C944FC" w:rsidRPr="00F71E28" w14:paraId="089F53C4" w14:textId="77777777" w:rsidTr="0018343F">
        <w:tc>
          <w:tcPr>
            <w:tcW w:w="3580" w:type="dxa"/>
            <w:vAlign w:val="center"/>
          </w:tcPr>
          <w:p w14:paraId="28B8C084" w14:textId="77777777" w:rsidR="00C944FC" w:rsidRPr="00F71E28" w:rsidRDefault="00C944FC" w:rsidP="0006397F">
            <w:pPr>
              <w:keepNext/>
              <w:rPr>
                <w:rFonts w:ascii="Arial Narrow" w:hAnsi="Arial Narrow"/>
                <w:sz w:val="20"/>
              </w:rPr>
            </w:pPr>
            <w:r>
              <w:rPr>
                <w:rFonts w:ascii="Arial Narrow" w:hAnsi="Arial Narrow"/>
                <w:sz w:val="20"/>
              </w:rPr>
              <w:t>Any cardiovascular event</w:t>
            </w:r>
          </w:p>
        </w:tc>
        <w:tc>
          <w:tcPr>
            <w:tcW w:w="2717" w:type="dxa"/>
            <w:vAlign w:val="center"/>
          </w:tcPr>
          <w:p w14:paraId="52BE4817" w14:textId="77777777" w:rsidR="00C944FC" w:rsidRPr="00F71E28" w:rsidRDefault="00C944FC" w:rsidP="0006397F">
            <w:pPr>
              <w:keepNext/>
              <w:jc w:val="center"/>
              <w:rPr>
                <w:rFonts w:ascii="Arial Narrow" w:hAnsi="Arial Narrow"/>
                <w:sz w:val="20"/>
              </w:rPr>
            </w:pPr>
            <w:r>
              <w:rPr>
                <w:rFonts w:ascii="Arial Narrow" w:hAnsi="Arial Narrow"/>
                <w:sz w:val="20"/>
              </w:rPr>
              <w:t>50 (2.5)</w:t>
            </w:r>
          </w:p>
        </w:tc>
        <w:tc>
          <w:tcPr>
            <w:tcW w:w="2718" w:type="dxa"/>
            <w:vAlign w:val="center"/>
          </w:tcPr>
          <w:p w14:paraId="68E086C6" w14:textId="77777777" w:rsidR="00C944FC" w:rsidRPr="00F71E28" w:rsidRDefault="00C944FC" w:rsidP="0006397F">
            <w:pPr>
              <w:keepNext/>
              <w:jc w:val="center"/>
              <w:rPr>
                <w:rFonts w:ascii="Arial Narrow" w:hAnsi="Arial Narrow"/>
                <w:sz w:val="20"/>
              </w:rPr>
            </w:pPr>
            <w:r>
              <w:rPr>
                <w:rFonts w:ascii="Arial Narrow" w:hAnsi="Arial Narrow"/>
                <w:sz w:val="20"/>
              </w:rPr>
              <w:t>38 (1.9)</w:t>
            </w:r>
          </w:p>
        </w:tc>
      </w:tr>
      <w:tr w:rsidR="00C944FC" w14:paraId="19891018" w14:textId="77777777" w:rsidTr="0018343F">
        <w:tc>
          <w:tcPr>
            <w:tcW w:w="3580" w:type="dxa"/>
            <w:vAlign w:val="center"/>
          </w:tcPr>
          <w:p w14:paraId="635D4704" w14:textId="77777777" w:rsidR="00C944FC" w:rsidRDefault="00C944FC" w:rsidP="0006397F">
            <w:pPr>
              <w:keepNext/>
              <w:contextualSpacing/>
              <w:rPr>
                <w:rFonts w:ascii="Arial Narrow" w:hAnsi="Arial Narrow"/>
                <w:sz w:val="20"/>
              </w:rPr>
            </w:pPr>
            <w:r>
              <w:rPr>
                <w:rFonts w:ascii="Arial Narrow" w:hAnsi="Arial Narrow"/>
                <w:sz w:val="20"/>
              </w:rPr>
              <w:t>Cardiac ischaemic event</w:t>
            </w:r>
          </w:p>
        </w:tc>
        <w:tc>
          <w:tcPr>
            <w:tcW w:w="2717" w:type="dxa"/>
            <w:vAlign w:val="center"/>
          </w:tcPr>
          <w:p w14:paraId="0C7A42DE" w14:textId="77777777" w:rsidR="00C944FC" w:rsidRDefault="00C944FC" w:rsidP="0006397F">
            <w:pPr>
              <w:keepNext/>
              <w:jc w:val="center"/>
              <w:rPr>
                <w:rFonts w:ascii="Arial Narrow" w:hAnsi="Arial Narrow"/>
                <w:sz w:val="20"/>
              </w:rPr>
            </w:pPr>
            <w:r>
              <w:rPr>
                <w:rFonts w:ascii="Arial Narrow" w:hAnsi="Arial Narrow"/>
                <w:sz w:val="20"/>
              </w:rPr>
              <w:t>16 (0.8)</w:t>
            </w:r>
          </w:p>
        </w:tc>
        <w:tc>
          <w:tcPr>
            <w:tcW w:w="2718" w:type="dxa"/>
            <w:vAlign w:val="center"/>
          </w:tcPr>
          <w:p w14:paraId="4963ED07" w14:textId="77777777" w:rsidR="00C944FC" w:rsidRDefault="00C944FC" w:rsidP="0006397F">
            <w:pPr>
              <w:keepNext/>
              <w:jc w:val="center"/>
              <w:rPr>
                <w:rFonts w:ascii="Arial Narrow" w:hAnsi="Arial Narrow"/>
                <w:sz w:val="20"/>
              </w:rPr>
            </w:pPr>
            <w:r>
              <w:rPr>
                <w:rFonts w:ascii="Arial Narrow" w:hAnsi="Arial Narrow"/>
                <w:sz w:val="20"/>
              </w:rPr>
              <w:t>6 (0.3)</w:t>
            </w:r>
          </w:p>
        </w:tc>
      </w:tr>
      <w:tr w:rsidR="00C944FC" w:rsidRPr="00F71E28" w14:paraId="2B48D6FE" w14:textId="77777777" w:rsidTr="0018343F">
        <w:tc>
          <w:tcPr>
            <w:tcW w:w="3580" w:type="dxa"/>
            <w:vAlign w:val="center"/>
          </w:tcPr>
          <w:p w14:paraId="3A3B276F" w14:textId="77777777" w:rsidR="00C944FC" w:rsidRDefault="00C944FC" w:rsidP="0006397F">
            <w:pPr>
              <w:keepNext/>
              <w:rPr>
                <w:rFonts w:ascii="Arial Narrow" w:hAnsi="Arial Narrow"/>
                <w:sz w:val="20"/>
              </w:rPr>
            </w:pPr>
            <w:r>
              <w:rPr>
                <w:rFonts w:ascii="Arial Narrow" w:hAnsi="Arial Narrow"/>
                <w:sz w:val="20"/>
              </w:rPr>
              <w:t>Heart failure</w:t>
            </w:r>
          </w:p>
        </w:tc>
        <w:tc>
          <w:tcPr>
            <w:tcW w:w="2717" w:type="dxa"/>
            <w:vAlign w:val="center"/>
          </w:tcPr>
          <w:p w14:paraId="0A64A871" w14:textId="77777777" w:rsidR="00C944FC" w:rsidRDefault="00C944FC" w:rsidP="0006397F">
            <w:pPr>
              <w:keepNext/>
              <w:jc w:val="center"/>
              <w:rPr>
                <w:rFonts w:ascii="Arial Narrow" w:hAnsi="Arial Narrow"/>
                <w:sz w:val="20"/>
              </w:rPr>
            </w:pPr>
            <w:r>
              <w:rPr>
                <w:rFonts w:ascii="Arial Narrow" w:hAnsi="Arial Narrow"/>
                <w:sz w:val="20"/>
              </w:rPr>
              <w:t>4 (0.2)</w:t>
            </w:r>
          </w:p>
        </w:tc>
        <w:tc>
          <w:tcPr>
            <w:tcW w:w="2718" w:type="dxa"/>
            <w:vAlign w:val="center"/>
          </w:tcPr>
          <w:p w14:paraId="529EA5BB" w14:textId="77777777" w:rsidR="00C944FC" w:rsidRDefault="00C944FC" w:rsidP="0006397F">
            <w:pPr>
              <w:keepNext/>
              <w:jc w:val="center"/>
              <w:rPr>
                <w:rFonts w:ascii="Arial Narrow" w:hAnsi="Arial Narrow"/>
                <w:sz w:val="20"/>
              </w:rPr>
            </w:pPr>
            <w:r>
              <w:rPr>
                <w:rFonts w:ascii="Arial Narrow" w:hAnsi="Arial Narrow"/>
                <w:sz w:val="20"/>
              </w:rPr>
              <w:t>8 (0.4)</w:t>
            </w:r>
          </w:p>
        </w:tc>
      </w:tr>
      <w:tr w:rsidR="00C944FC" w:rsidRPr="00F71E28" w14:paraId="74AC3E0C" w14:textId="77777777" w:rsidTr="0018343F">
        <w:tc>
          <w:tcPr>
            <w:tcW w:w="3580" w:type="dxa"/>
            <w:vAlign w:val="center"/>
          </w:tcPr>
          <w:p w14:paraId="246CA2DF" w14:textId="77777777" w:rsidR="00C944FC" w:rsidRDefault="00C944FC" w:rsidP="0006397F">
            <w:pPr>
              <w:keepNext/>
              <w:rPr>
                <w:rFonts w:ascii="Arial Narrow" w:hAnsi="Arial Narrow"/>
                <w:sz w:val="20"/>
              </w:rPr>
            </w:pPr>
            <w:r>
              <w:rPr>
                <w:rFonts w:ascii="Arial Narrow" w:hAnsi="Arial Narrow"/>
                <w:sz w:val="20"/>
              </w:rPr>
              <w:t>Non-coronary revascularisation</w:t>
            </w:r>
          </w:p>
        </w:tc>
        <w:tc>
          <w:tcPr>
            <w:tcW w:w="2717" w:type="dxa"/>
            <w:vAlign w:val="center"/>
          </w:tcPr>
          <w:p w14:paraId="76B0FB42" w14:textId="77777777" w:rsidR="00C944FC" w:rsidRDefault="00C944FC" w:rsidP="0006397F">
            <w:pPr>
              <w:keepNext/>
              <w:jc w:val="center"/>
              <w:rPr>
                <w:rFonts w:ascii="Arial Narrow" w:hAnsi="Arial Narrow"/>
                <w:sz w:val="20"/>
              </w:rPr>
            </w:pPr>
            <w:r>
              <w:rPr>
                <w:rFonts w:ascii="Arial Narrow" w:hAnsi="Arial Narrow"/>
                <w:sz w:val="20"/>
              </w:rPr>
              <w:t>3 (0.1)</w:t>
            </w:r>
          </w:p>
        </w:tc>
        <w:tc>
          <w:tcPr>
            <w:tcW w:w="2718" w:type="dxa"/>
            <w:vAlign w:val="center"/>
          </w:tcPr>
          <w:p w14:paraId="7EA4004B" w14:textId="77777777" w:rsidR="00C944FC" w:rsidRDefault="00C944FC" w:rsidP="0006397F">
            <w:pPr>
              <w:keepNext/>
              <w:jc w:val="center"/>
              <w:rPr>
                <w:rFonts w:ascii="Arial Narrow" w:hAnsi="Arial Narrow"/>
                <w:sz w:val="20"/>
              </w:rPr>
            </w:pPr>
            <w:r>
              <w:rPr>
                <w:rFonts w:ascii="Arial Narrow" w:hAnsi="Arial Narrow"/>
                <w:sz w:val="20"/>
              </w:rPr>
              <w:t>5 (0.2)</w:t>
            </w:r>
          </w:p>
        </w:tc>
      </w:tr>
      <w:tr w:rsidR="00C944FC" w:rsidRPr="00F71E28" w14:paraId="042533A2" w14:textId="77777777" w:rsidTr="0018343F">
        <w:tc>
          <w:tcPr>
            <w:tcW w:w="3580" w:type="dxa"/>
            <w:vAlign w:val="center"/>
          </w:tcPr>
          <w:p w14:paraId="0ED5357E" w14:textId="77777777" w:rsidR="00C944FC" w:rsidRDefault="00C944FC" w:rsidP="0006397F">
            <w:pPr>
              <w:keepNext/>
              <w:rPr>
                <w:rFonts w:ascii="Arial Narrow" w:hAnsi="Arial Narrow"/>
                <w:sz w:val="20"/>
              </w:rPr>
            </w:pPr>
            <w:r>
              <w:rPr>
                <w:rFonts w:ascii="Arial Narrow" w:hAnsi="Arial Narrow"/>
                <w:sz w:val="20"/>
              </w:rPr>
              <w:t>Cerebrovascular event</w:t>
            </w:r>
          </w:p>
        </w:tc>
        <w:tc>
          <w:tcPr>
            <w:tcW w:w="2717" w:type="dxa"/>
            <w:vAlign w:val="center"/>
          </w:tcPr>
          <w:p w14:paraId="2471E23D" w14:textId="77777777" w:rsidR="00C944FC" w:rsidRDefault="00C944FC" w:rsidP="0006397F">
            <w:pPr>
              <w:keepNext/>
              <w:jc w:val="center"/>
              <w:rPr>
                <w:rFonts w:ascii="Arial Narrow" w:hAnsi="Arial Narrow"/>
                <w:sz w:val="20"/>
              </w:rPr>
            </w:pPr>
            <w:r>
              <w:rPr>
                <w:rFonts w:ascii="Arial Narrow" w:hAnsi="Arial Narrow"/>
                <w:sz w:val="20"/>
              </w:rPr>
              <w:t>16 (0.8)</w:t>
            </w:r>
          </w:p>
        </w:tc>
        <w:tc>
          <w:tcPr>
            <w:tcW w:w="2718" w:type="dxa"/>
            <w:vAlign w:val="center"/>
          </w:tcPr>
          <w:p w14:paraId="4001123B" w14:textId="77777777" w:rsidR="00C944FC" w:rsidRDefault="00C944FC" w:rsidP="0006397F">
            <w:pPr>
              <w:keepNext/>
              <w:jc w:val="center"/>
              <w:rPr>
                <w:rFonts w:ascii="Arial Narrow" w:hAnsi="Arial Narrow"/>
                <w:sz w:val="20"/>
              </w:rPr>
            </w:pPr>
            <w:r>
              <w:rPr>
                <w:rFonts w:ascii="Arial Narrow" w:hAnsi="Arial Narrow"/>
                <w:sz w:val="20"/>
              </w:rPr>
              <w:t>7 (0.3)</w:t>
            </w:r>
          </w:p>
        </w:tc>
      </w:tr>
      <w:tr w:rsidR="00C944FC" w:rsidRPr="00F71E28" w14:paraId="753D0D35" w14:textId="77777777" w:rsidTr="0018343F">
        <w:tc>
          <w:tcPr>
            <w:tcW w:w="3580" w:type="dxa"/>
            <w:vAlign w:val="center"/>
          </w:tcPr>
          <w:p w14:paraId="223A8B4B" w14:textId="77777777" w:rsidR="00C944FC" w:rsidRDefault="00C944FC" w:rsidP="0006397F">
            <w:pPr>
              <w:keepNext/>
              <w:rPr>
                <w:rFonts w:ascii="Arial Narrow" w:hAnsi="Arial Narrow"/>
                <w:sz w:val="20"/>
              </w:rPr>
            </w:pPr>
            <w:r>
              <w:rPr>
                <w:rFonts w:ascii="Arial Narrow" w:hAnsi="Arial Narrow"/>
                <w:sz w:val="20"/>
              </w:rPr>
              <w:t>Peripheral vascular ischaemic event not requiring revascularisation</w:t>
            </w:r>
          </w:p>
        </w:tc>
        <w:tc>
          <w:tcPr>
            <w:tcW w:w="2717" w:type="dxa"/>
            <w:vAlign w:val="center"/>
          </w:tcPr>
          <w:p w14:paraId="3AFE93FD" w14:textId="77777777" w:rsidR="00C944FC" w:rsidRDefault="00C944FC" w:rsidP="0006397F">
            <w:pPr>
              <w:keepNext/>
              <w:jc w:val="center"/>
              <w:rPr>
                <w:rFonts w:ascii="Arial Narrow" w:hAnsi="Arial Narrow"/>
                <w:sz w:val="20"/>
              </w:rPr>
            </w:pPr>
            <w:r>
              <w:rPr>
                <w:rFonts w:ascii="Arial Narrow" w:hAnsi="Arial Narrow"/>
                <w:sz w:val="20"/>
              </w:rPr>
              <w:t>0 (0.0)</w:t>
            </w:r>
          </w:p>
        </w:tc>
        <w:tc>
          <w:tcPr>
            <w:tcW w:w="2718" w:type="dxa"/>
            <w:vAlign w:val="center"/>
          </w:tcPr>
          <w:p w14:paraId="53801F49" w14:textId="77777777" w:rsidR="00C944FC" w:rsidRDefault="00C944FC" w:rsidP="0006397F">
            <w:pPr>
              <w:keepNext/>
              <w:jc w:val="center"/>
              <w:rPr>
                <w:rFonts w:ascii="Arial Narrow" w:hAnsi="Arial Narrow"/>
                <w:sz w:val="20"/>
              </w:rPr>
            </w:pPr>
            <w:r>
              <w:rPr>
                <w:rFonts w:ascii="Arial Narrow" w:hAnsi="Arial Narrow"/>
                <w:sz w:val="20"/>
              </w:rPr>
              <w:t>2 (&lt;0.1)</w:t>
            </w:r>
          </w:p>
        </w:tc>
      </w:tr>
      <w:tr w:rsidR="00C944FC" w:rsidRPr="00F71E28" w14:paraId="53CA8C11" w14:textId="77777777" w:rsidTr="0018343F">
        <w:tc>
          <w:tcPr>
            <w:tcW w:w="3580" w:type="dxa"/>
            <w:vAlign w:val="center"/>
          </w:tcPr>
          <w:p w14:paraId="4230945A" w14:textId="77777777" w:rsidR="00C944FC" w:rsidRDefault="00C944FC" w:rsidP="0006397F">
            <w:pPr>
              <w:keepNext/>
              <w:rPr>
                <w:rFonts w:ascii="Arial Narrow" w:hAnsi="Arial Narrow"/>
                <w:sz w:val="20"/>
              </w:rPr>
            </w:pPr>
            <w:r>
              <w:rPr>
                <w:rFonts w:ascii="Arial Narrow" w:hAnsi="Arial Narrow"/>
                <w:sz w:val="20"/>
              </w:rPr>
              <w:t>Cardiovascular death</w:t>
            </w:r>
          </w:p>
        </w:tc>
        <w:tc>
          <w:tcPr>
            <w:tcW w:w="2717" w:type="dxa"/>
            <w:vAlign w:val="center"/>
          </w:tcPr>
          <w:p w14:paraId="5CB82253" w14:textId="77777777" w:rsidR="00C944FC" w:rsidRDefault="00C944FC" w:rsidP="0006397F">
            <w:pPr>
              <w:keepNext/>
              <w:jc w:val="center"/>
              <w:rPr>
                <w:rFonts w:ascii="Arial Narrow" w:hAnsi="Arial Narrow"/>
                <w:sz w:val="20"/>
              </w:rPr>
            </w:pPr>
            <w:r>
              <w:rPr>
                <w:rFonts w:ascii="Arial Narrow" w:hAnsi="Arial Narrow"/>
                <w:sz w:val="20"/>
              </w:rPr>
              <w:t>17 (0.8)</w:t>
            </w:r>
          </w:p>
        </w:tc>
        <w:tc>
          <w:tcPr>
            <w:tcW w:w="2718" w:type="dxa"/>
            <w:vAlign w:val="center"/>
          </w:tcPr>
          <w:p w14:paraId="1F09BDFE" w14:textId="77777777" w:rsidR="00C944FC" w:rsidRDefault="00C944FC" w:rsidP="0006397F">
            <w:pPr>
              <w:keepNext/>
              <w:jc w:val="center"/>
              <w:rPr>
                <w:rFonts w:ascii="Arial Narrow" w:hAnsi="Arial Narrow"/>
                <w:sz w:val="20"/>
              </w:rPr>
            </w:pPr>
            <w:r>
              <w:rPr>
                <w:rFonts w:ascii="Arial Narrow" w:hAnsi="Arial Narrow"/>
                <w:sz w:val="20"/>
              </w:rPr>
              <w:t>12 (0.6)</w:t>
            </w:r>
          </w:p>
        </w:tc>
      </w:tr>
      <w:tr w:rsidR="00C944FC" w:rsidRPr="00F71E28" w14:paraId="044695ED" w14:textId="77777777" w:rsidTr="0018343F">
        <w:tc>
          <w:tcPr>
            <w:tcW w:w="9015" w:type="dxa"/>
            <w:gridSpan w:val="3"/>
            <w:vAlign w:val="center"/>
          </w:tcPr>
          <w:p w14:paraId="1C6C5D5E" w14:textId="77777777" w:rsidR="00C944FC" w:rsidRDefault="00C944FC" w:rsidP="0006397F">
            <w:pPr>
              <w:keepNext/>
              <w:jc w:val="left"/>
              <w:rPr>
                <w:rFonts w:ascii="Arial Narrow" w:hAnsi="Arial Narrow"/>
                <w:sz w:val="20"/>
              </w:rPr>
            </w:pPr>
            <w:r>
              <w:rPr>
                <w:rFonts w:ascii="Arial Narrow" w:hAnsi="Arial Narrow"/>
                <w:b/>
                <w:sz w:val="20"/>
              </w:rPr>
              <w:t>Full trial period (median 33 months)</w:t>
            </w:r>
          </w:p>
        </w:tc>
      </w:tr>
      <w:tr w:rsidR="00C944FC" w:rsidRPr="00F71E28" w14:paraId="4A95678F" w14:textId="77777777" w:rsidTr="0018343F">
        <w:tc>
          <w:tcPr>
            <w:tcW w:w="3580" w:type="dxa"/>
            <w:vAlign w:val="center"/>
          </w:tcPr>
          <w:p w14:paraId="22F2501C" w14:textId="77777777" w:rsidR="00C944FC" w:rsidRDefault="00C944FC" w:rsidP="0006397F">
            <w:pPr>
              <w:keepNext/>
              <w:rPr>
                <w:rFonts w:ascii="Arial Narrow" w:hAnsi="Arial Narrow"/>
                <w:sz w:val="20"/>
              </w:rPr>
            </w:pPr>
            <w:r>
              <w:rPr>
                <w:rFonts w:ascii="Arial Narrow" w:hAnsi="Arial Narrow"/>
                <w:sz w:val="20"/>
              </w:rPr>
              <w:t>Any cardiovascular event</w:t>
            </w:r>
          </w:p>
        </w:tc>
        <w:tc>
          <w:tcPr>
            <w:tcW w:w="2717" w:type="dxa"/>
            <w:vAlign w:val="center"/>
          </w:tcPr>
          <w:p w14:paraId="44F7FFB0" w14:textId="77777777" w:rsidR="00C944FC" w:rsidRDefault="00C944FC" w:rsidP="0006397F">
            <w:pPr>
              <w:keepNext/>
              <w:jc w:val="center"/>
              <w:rPr>
                <w:rFonts w:ascii="Arial Narrow" w:hAnsi="Arial Narrow"/>
                <w:sz w:val="20"/>
              </w:rPr>
            </w:pPr>
            <w:r>
              <w:rPr>
                <w:rFonts w:ascii="Arial Narrow" w:hAnsi="Arial Narrow"/>
                <w:sz w:val="20"/>
              </w:rPr>
              <w:t>133 (6.5)</w:t>
            </w:r>
          </w:p>
        </w:tc>
        <w:tc>
          <w:tcPr>
            <w:tcW w:w="2718" w:type="dxa"/>
            <w:vAlign w:val="center"/>
          </w:tcPr>
          <w:p w14:paraId="7918E1A5" w14:textId="77777777" w:rsidR="00C944FC" w:rsidRDefault="00C944FC" w:rsidP="0006397F">
            <w:pPr>
              <w:keepNext/>
              <w:jc w:val="center"/>
              <w:rPr>
                <w:rFonts w:ascii="Arial Narrow" w:hAnsi="Arial Narrow"/>
                <w:sz w:val="20"/>
              </w:rPr>
            </w:pPr>
            <w:r>
              <w:rPr>
                <w:rFonts w:ascii="Arial Narrow" w:hAnsi="Arial Narrow"/>
                <w:sz w:val="20"/>
              </w:rPr>
              <w:t>122 (6.1)</w:t>
            </w:r>
          </w:p>
        </w:tc>
      </w:tr>
      <w:tr w:rsidR="00C944FC" w:rsidRPr="00F71E28" w14:paraId="3707CA5B" w14:textId="77777777" w:rsidTr="0018343F">
        <w:tc>
          <w:tcPr>
            <w:tcW w:w="3580" w:type="dxa"/>
            <w:vAlign w:val="center"/>
          </w:tcPr>
          <w:p w14:paraId="60B2B316" w14:textId="77777777" w:rsidR="00C944FC" w:rsidRDefault="00C944FC" w:rsidP="0006397F">
            <w:pPr>
              <w:keepNext/>
              <w:rPr>
                <w:rFonts w:ascii="Arial Narrow" w:hAnsi="Arial Narrow"/>
                <w:sz w:val="20"/>
              </w:rPr>
            </w:pPr>
            <w:r>
              <w:rPr>
                <w:rFonts w:ascii="Arial Narrow" w:hAnsi="Arial Narrow"/>
                <w:sz w:val="20"/>
              </w:rPr>
              <w:t>Cardiac ischaemic event</w:t>
            </w:r>
          </w:p>
        </w:tc>
        <w:tc>
          <w:tcPr>
            <w:tcW w:w="2717" w:type="dxa"/>
            <w:vAlign w:val="center"/>
          </w:tcPr>
          <w:p w14:paraId="428D408A" w14:textId="77777777" w:rsidR="00C944FC" w:rsidRDefault="00C944FC" w:rsidP="0006397F">
            <w:pPr>
              <w:keepNext/>
              <w:jc w:val="center"/>
              <w:rPr>
                <w:rFonts w:ascii="Arial Narrow" w:hAnsi="Arial Narrow"/>
                <w:sz w:val="20"/>
              </w:rPr>
            </w:pPr>
            <w:r>
              <w:rPr>
                <w:rFonts w:ascii="Arial Narrow" w:hAnsi="Arial Narrow"/>
                <w:sz w:val="20"/>
              </w:rPr>
              <w:t>30 (1.5)</w:t>
            </w:r>
          </w:p>
        </w:tc>
        <w:tc>
          <w:tcPr>
            <w:tcW w:w="2718" w:type="dxa"/>
            <w:vAlign w:val="center"/>
          </w:tcPr>
          <w:p w14:paraId="3FF1B70A" w14:textId="77777777" w:rsidR="00C944FC" w:rsidRDefault="00C944FC" w:rsidP="0006397F">
            <w:pPr>
              <w:keepNext/>
              <w:jc w:val="center"/>
              <w:rPr>
                <w:rFonts w:ascii="Arial Narrow" w:hAnsi="Arial Narrow"/>
                <w:sz w:val="20"/>
              </w:rPr>
            </w:pPr>
            <w:r>
              <w:rPr>
                <w:rFonts w:ascii="Arial Narrow" w:hAnsi="Arial Narrow"/>
                <w:sz w:val="20"/>
              </w:rPr>
              <w:t>20 (1.0)</w:t>
            </w:r>
          </w:p>
        </w:tc>
      </w:tr>
      <w:tr w:rsidR="00C944FC" w:rsidRPr="00F71E28" w14:paraId="5903E1AB" w14:textId="77777777" w:rsidTr="0018343F">
        <w:tc>
          <w:tcPr>
            <w:tcW w:w="3580" w:type="dxa"/>
            <w:vAlign w:val="center"/>
          </w:tcPr>
          <w:p w14:paraId="40EAE917" w14:textId="77777777" w:rsidR="00C944FC" w:rsidRDefault="00C944FC" w:rsidP="0006397F">
            <w:pPr>
              <w:keepNext/>
              <w:rPr>
                <w:rFonts w:ascii="Arial Narrow" w:hAnsi="Arial Narrow"/>
                <w:sz w:val="20"/>
              </w:rPr>
            </w:pPr>
            <w:r>
              <w:rPr>
                <w:rFonts w:ascii="Arial Narrow" w:hAnsi="Arial Narrow"/>
                <w:sz w:val="20"/>
              </w:rPr>
              <w:t>Heart failure</w:t>
            </w:r>
          </w:p>
        </w:tc>
        <w:tc>
          <w:tcPr>
            <w:tcW w:w="2717" w:type="dxa"/>
            <w:vAlign w:val="center"/>
          </w:tcPr>
          <w:p w14:paraId="0EFCDDA4" w14:textId="77777777" w:rsidR="00C944FC" w:rsidRDefault="00C944FC" w:rsidP="0006397F">
            <w:pPr>
              <w:keepNext/>
              <w:jc w:val="center"/>
              <w:rPr>
                <w:rFonts w:ascii="Arial Narrow" w:hAnsi="Arial Narrow"/>
                <w:sz w:val="20"/>
              </w:rPr>
            </w:pPr>
            <w:r>
              <w:rPr>
                <w:rFonts w:ascii="Arial Narrow" w:hAnsi="Arial Narrow"/>
                <w:sz w:val="20"/>
              </w:rPr>
              <w:t>12 (0.6)</w:t>
            </w:r>
          </w:p>
        </w:tc>
        <w:tc>
          <w:tcPr>
            <w:tcW w:w="2718" w:type="dxa"/>
            <w:vAlign w:val="center"/>
          </w:tcPr>
          <w:p w14:paraId="15CF9E98" w14:textId="77777777" w:rsidR="00C944FC" w:rsidRDefault="00C944FC" w:rsidP="0006397F">
            <w:pPr>
              <w:keepNext/>
              <w:jc w:val="center"/>
              <w:rPr>
                <w:rFonts w:ascii="Arial Narrow" w:hAnsi="Arial Narrow"/>
                <w:sz w:val="20"/>
              </w:rPr>
            </w:pPr>
            <w:r>
              <w:rPr>
                <w:rFonts w:ascii="Arial Narrow" w:hAnsi="Arial Narrow"/>
                <w:sz w:val="20"/>
              </w:rPr>
              <w:t>23 (1.1)</w:t>
            </w:r>
          </w:p>
        </w:tc>
      </w:tr>
      <w:tr w:rsidR="00C944FC" w:rsidRPr="00F71E28" w14:paraId="51514DD0" w14:textId="77777777" w:rsidTr="0018343F">
        <w:tc>
          <w:tcPr>
            <w:tcW w:w="3580" w:type="dxa"/>
            <w:vAlign w:val="center"/>
          </w:tcPr>
          <w:p w14:paraId="04F53CA9" w14:textId="77777777" w:rsidR="00C944FC" w:rsidRDefault="00C944FC" w:rsidP="0006397F">
            <w:pPr>
              <w:keepNext/>
              <w:rPr>
                <w:rFonts w:ascii="Arial Narrow" w:hAnsi="Arial Narrow"/>
                <w:sz w:val="20"/>
              </w:rPr>
            </w:pPr>
            <w:r>
              <w:rPr>
                <w:rFonts w:ascii="Arial Narrow" w:hAnsi="Arial Narrow"/>
                <w:sz w:val="20"/>
              </w:rPr>
              <w:t>Non-coronary revascularisation</w:t>
            </w:r>
          </w:p>
        </w:tc>
        <w:tc>
          <w:tcPr>
            <w:tcW w:w="2717" w:type="dxa"/>
            <w:vAlign w:val="center"/>
          </w:tcPr>
          <w:p w14:paraId="4F24C336" w14:textId="77777777" w:rsidR="00C944FC" w:rsidRDefault="00C944FC" w:rsidP="0006397F">
            <w:pPr>
              <w:keepNext/>
              <w:jc w:val="center"/>
              <w:rPr>
                <w:rFonts w:ascii="Arial Narrow" w:hAnsi="Arial Narrow"/>
                <w:sz w:val="20"/>
              </w:rPr>
            </w:pPr>
            <w:r>
              <w:rPr>
                <w:rFonts w:ascii="Arial Narrow" w:hAnsi="Arial Narrow"/>
                <w:sz w:val="20"/>
              </w:rPr>
              <w:t>6 (0.3)</w:t>
            </w:r>
          </w:p>
        </w:tc>
        <w:tc>
          <w:tcPr>
            <w:tcW w:w="2718" w:type="dxa"/>
            <w:vAlign w:val="center"/>
          </w:tcPr>
          <w:p w14:paraId="5061C1B6" w14:textId="77777777" w:rsidR="00C944FC" w:rsidRDefault="00C944FC" w:rsidP="0006397F">
            <w:pPr>
              <w:keepNext/>
              <w:jc w:val="center"/>
              <w:rPr>
                <w:rFonts w:ascii="Arial Narrow" w:hAnsi="Arial Narrow"/>
                <w:sz w:val="20"/>
              </w:rPr>
            </w:pPr>
            <w:r>
              <w:rPr>
                <w:rFonts w:ascii="Arial Narrow" w:hAnsi="Arial Narrow"/>
                <w:sz w:val="20"/>
              </w:rPr>
              <w:t>10 (0.5)</w:t>
            </w:r>
          </w:p>
        </w:tc>
      </w:tr>
      <w:tr w:rsidR="00C944FC" w:rsidRPr="00F71E28" w14:paraId="17AAEFBF" w14:textId="77777777" w:rsidTr="0018343F">
        <w:tc>
          <w:tcPr>
            <w:tcW w:w="3580" w:type="dxa"/>
            <w:vAlign w:val="center"/>
          </w:tcPr>
          <w:p w14:paraId="37231794" w14:textId="77777777" w:rsidR="00C944FC" w:rsidRDefault="00C944FC" w:rsidP="0006397F">
            <w:pPr>
              <w:keepNext/>
              <w:rPr>
                <w:rFonts w:ascii="Arial Narrow" w:hAnsi="Arial Narrow"/>
                <w:sz w:val="20"/>
              </w:rPr>
            </w:pPr>
            <w:r>
              <w:rPr>
                <w:rFonts w:ascii="Arial Narrow" w:hAnsi="Arial Narrow"/>
                <w:sz w:val="20"/>
              </w:rPr>
              <w:t>Cerebrovascular event</w:t>
            </w:r>
          </w:p>
        </w:tc>
        <w:tc>
          <w:tcPr>
            <w:tcW w:w="2717" w:type="dxa"/>
            <w:vAlign w:val="center"/>
          </w:tcPr>
          <w:p w14:paraId="584C5BA3" w14:textId="77777777" w:rsidR="00C944FC" w:rsidRDefault="00C944FC" w:rsidP="0006397F">
            <w:pPr>
              <w:keepNext/>
              <w:jc w:val="center"/>
              <w:rPr>
                <w:rFonts w:ascii="Arial Narrow" w:hAnsi="Arial Narrow"/>
                <w:sz w:val="20"/>
              </w:rPr>
            </w:pPr>
            <w:r>
              <w:rPr>
                <w:rFonts w:ascii="Arial Narrow" w:hAnsi="Arial Narrow"/>
                <w:sz w:val="20"/>
              </w:rPr>
              <w:t>45 (2.2)</w:t>
            </w:r>
          </w:p>
        </w:tc>
        <w:tc>
          <w:tcPr>
            <w:tcW w:w="2718" w:type="dxa"/>
            <w:vAlign w:val="center"/>
          </w:tcPr>
          <w:p w14:paraId="04645203" w14:textId="77777777" w:rsidR="00C944FC" w:rsidRDefault="00C944FC" w:rsidP="0006397F">
            <w:pPr>
              <w:keepNext/>
              <w:jc w:val="center"/>
              <w:rPr>
                <w:rFonts w:ascii="Arial Narrow" w:hAnsi="Arial Narrow"/>
                <w:sz w:val="20"/>
              </w:rPr>
            </w:pPr>
            <w:r>
              <w:rPr>
                <w:rFonts w:ascii="Arial Narrow" w:hAnsi="Arial Narrow"/>
                <w:sz w:val="20"/>
              </w:rPr>
              <w:t>27 (1.3)</w:t>
            </w:r>
          </w:p>
        </w:tc>
      </w:tr>
      <w:tr w:rsidR="00C944FC" w:rsidRPr="00F71E28" w14:paraId="6363CB04" w14:textId="77777777" w:rsidTr="0018343F">
        <w:tc>
          <w:tcPr>
            <w:tcW w:w="3580" w:type="dxa"/>
            <w:vAlign w:val="center"/>
          </w:tcPr>
          <w:p w14:paraId="13BC1DC6" w14:textId="77777777" w:rsidR="00C944FC" w:rsidRDefault="00C944FC" w:rsidP="0006397F">
            <w:pPr>
              <w:keepNext/>
              <w:rPr>
                <w:rFonts w:ascii="Arial Narrow" w:hAnsi="Arial Narrow"/>
                <w:sz w:val="20"/>
              </w:rPr>
            </w:pPr>
            <w:r>
              <w:rPr>
                <w:rFonts w:ascii="Arial Narrow" w:hAnsi="Arial Narrow"/>
                <w:sz w:val="20"/>
              </w:rPr>
              <w:t>Peripheral vascular ischaemic event not requiring revascularisation</w:t>
            </w:r>
          </w:p>
        </w:tc>
        <w:tc>
          <w:tcPr>
            <w:tcW w:w="2717" w:type="dxa"/>
            <w:vAlign w:val="center"/>
          </w:tcPr>
          <w:p w14:paraId="32CEEEED" w14:textId="77777777" w:rsidR="00C944FC" w:rsidRDefault="00C944FC" w:rsidP="0006397F">
            <w:pPr>
              <w:keepNext/>
              <w:jc w:val="center"/>
              <w:rPr>
                <w:rFonts w:ascii="Arial Narrow" w:hAnsi="Arial Narrow"/>
                <w:sz w:val="20"/>
              </w:rPr>
            </w:pPr>
            <w:r>
              <w:rPr>
                <w:rFonts w:ascii="Arial Narrow" w:hAnsi="Arial Narrow"/>
                <w:sz w:val="20"/>
              </w:rPr>
              <w:t>2 (&lt;0.1)</w:t>
            </w:r>
          </w:p>
        </w:tc>
        <w:tc>
          <w:tcPr>
            <w:tcW w:w="2718" w:type="dxa"/>
            <w:vAlign w:val="center"/>
          </w:tcPr>
          <w:p w14:paraId="47B0C434" w14:textId="77777777" w:rsidR="00C944FC" w:rsidRDefault="00C944FC" w:rsidP="0006397F">
            <w:pPr>
              <w:keepNext/>
              <w:jc w:val="center"/>
              <w:rPr>
                <w:rFonts w:ascii="Arial Narrow" w:hAnsi="Arial Narrow"/>
                <w:sz w:val="20"/>
              </w:rPr>
            </w:pPr>
            <w:r>
              <w:rPr>
                <w:rFonts w:ascii="Arial Narrow" w:hAnsi="Arial Narrow"/>
                <w:sz w:val="20"/>
              </w:rPr>
              <w:t>5 (0.2)</w:t>
            </w:r>
          </w:p>
        </w:tc>
      </w:tr>
      <w:tr w:rsidR="00C944FC" w:rsidRPr="00F71E28" w14:paraId="30F187D7" w14:textId="77777777" w:rsidTr="0018343F">
        <w:tc>
          <w:tcPr>
            <w:tcW w:w="3580" w:type="dxa"/>
            <w:vAlign w:val="center"/>
          </w:tcPr>
          <w:p w14:paraId="06704747" w14:textId="77777777" w:rsidR="00C944FC" w:rsidRDefault="00C944FC" w:rsidP="0006397F">
            <w:pPr>
              <w:keepNext/>
              <w:rPr>
                <w:rFonts w:ascii="Arial Narrow" w:hAnsi="Arial Narrow"/>
                <w:sz w:val="20"/>
              </w:rPr>
            </w:pPr>
            <w:r>
              <w:rPr>
                <w:rFonts w:ascii="Arial Narrow" w:hAnsi="Arial Narrow"/>
                <w:sz w:val="20"/>
              </w:rPr>
              <w:t>Cardiovascular death</w:t>
            </w:r>
          </w:p>
        </w:tc>
        <w:tc>
          <w:tcPr>
            <w:tcW w:w="2717" w:type="dxa"/>
            <w:vAlign w:val="center"/>
          </w:tcPr>
          <w:p w14:paraId="1C6B14B6" w14:textId="77777777" w:rsidR="00C944FC" w:rsidRDefault="00C944FC" w:rsidP="0006397F">
            <w:pPr>
              <w:keepNext/>
              <w:jc w:val="center"/>
              <w:rPr>
                <w:rFonts w:ascii="Arial Narrow" w:hAnsi="Arial Narrow"/>
                <w:sz w:val="20"/>
              </w:rPr>
            </w:pPr>
            <w:r>
              <w:rPr>
                <w:rFonts w:ascii="Arial Narrow" w:hAnsi="Arial Narrow"/>
                <w:sz w:val="20"/>
              </w:rPr>
              <w:t>58 (2.8)</w:t>
            </w:r>
          </w:p>
        </w:tc>
        <w:tc>
          <w:tcPr>
            <w:tcW w:w="2718" w:type="dxa"/>
            <w:vAlign w:val="center"/>
          </w:tcPr>
          <w:p w14:paraId="53063A25" w14:textId="77777777" w:rsidR="00C944FC" w:rsidRDefault="00C944FC" w:rsidP="0006397F">
            <w:pPr>
              <w:keepNext/>
              <w:jc w:val="center"/>
              <w:rPr>
                <w:rFonts w:ascii="Arial Narrow" w:hAnsi="Arial Narrow"/>
                <w:sz w:val="20"/>
              </w:rPr>
            </w:pPr>
            <w:r>
              <w:rPr>
                <w:rFonts w:ascii="Arial Narrow" w:hAnsi="Arial Narrow"/>
                <w:sz w:val="20"/>
              </w:rPr>
              <w:t>55 (2.7)</w:t>
            </w:r>
          </w:p>
        </w:tc>
      </w:tr>
    </w:tbl>
    <w:p w14:paraId="3CF51A3F" w14:textId="742D8EE6" w:rsidR="00C944FC" w:rsidRDefault="00C944FC" w:rsidP="00C944FC">
      <w:pPr>
        <w:pStyle w:val="TableFooter"/>
        <w:widowControl/>
      </w:pPr>
      <w:r>
        <w:t xml:space="preserve">Source: </w:t>
      </w:r>
      <w:r w:rsidR="006375BC">
        <w:rPr>
          <w:szCs w:val="18"/>
        </w:rPr>
        <w:t>Table 12-12, p193 of the ARCH trial report</w:t>
      </w:r>
    </w:p>
    <w:p w14:paraId="4EF1F907" w14:textId="66BDB105" w:rsidR="00F2564B" w:rsidRPr="00442592" w:rsidRDefault="00F2564B" w:rsidP="00F2564B">
      <w:pPr>
        <w:pStyle w:val="ExecSumBodyText"/>
      </w:pPr>
      <w:r w:rsidRPr="0089254E">
        <w:t xml:space="preserve">The resubmission also provided an overall summary from a sponsor-conducted report on the cardiovascular safety of romosozumab. The report aimed to further investigate the imbalance in serious cardiovascular events observed in the ARCH and BRIDGE clinical trials but not in the FRAME trial. </w:t>
      </w:r>
      <w:r w:rsidRPr="00442592">
        <w:t xml:space="preserve">This </w:t>
      </w:r>
      <w:r w:rsidR="00372699" w:rsidRPr="00442592">
        <w:t xml:space="preserve">report had been </w:t>
      </w:r>
      <w:r w:rsidRPr="00442592">
        <w:t xml:space="preserve">considered by the PBAC in </w:t>
      </w:r>
      <w:r w:rsidR="0089254E" w:rsidRPr="00442592">
        <w:t>previous submissions.</w:t>
      </w:r>
      <w:r w:rsidRPr="00442592">
        <w:t xml:space="preserve"> </w:t>
      </w:r>
    </w:p>
    <w:p w14:paraId="310A802E" w14:textId="52C972F3" w:rsidR="00645CDF" w:rsidRPr="008F630F" w:rsidRDefault="008F630F" w:rsidP="003865F5">
      <w:pPr>
        <w:pStyle w:val="ExecSumBodyText"/>
      </w:pPr>
      <w:r w:rsidRPr="008F630F">
        <w:t xml:space="preserve">The report noted that a blinded re-adjudication of cardiovascular events was consistent with the original analysis reported in the ARCH, BRIDGE and FRAME trials. The report presented extensive re-analysis of cardiovascular event data (including meta-analyses, subgroup analyses and use of different composite outcomes) which did not identify a population at consistently increased risk with romosozumab treatment. However, the report did note that the incidence of cardiovascular events in the alendronate arm of the ARCH trial was unexpectedly low in the first year and that the relative difference between treatments reduced over time. </w:t>
      </w:r>
      <w:r w:rsidR="00340763">
        <w:t>T</w:t>
      </w:r>
      <w:r w:rsidRPr="008F630F">
        <w:t>he report also explored plausible biological mechanisms for the increase in cardiovascular events but stated that no specific mechanism could be identified based on genetic studies, pre-clinical models or epidemiological data. The report concluded that a causal relationship between romosozumab and serious cardiovascular events could not be confirmed or refuted based on the available data.</w:t>
      </w:r>
    </w:p>
    <w:p w14:paraId="2DAF16D1" w14:textId="163CECBA" w:rsidR="00B60939" w:rsidRPr="00441396" w:rsidRDefault="008F630F" w:rsidP="00D86231">
      <w:pPr>
        <w:pStyle w:val="ExecSumBodyText"/>
      </w:pPr>
      <w:r w:rsidRPr="008F630F">
        <w:t xml:space="preserve">The resubmission also provided five Periodic Safety Update Reports (PSURs) published from 2019 with the most recent report capturing the 8 January 2021 to 7 July 2021 period. </w:t>
      </w:r>
      <w:r w:rsidRPr="00442592">
        <w:t xml:space="preserve">These data </w:t>
      </w:r>
      <w:r w:rsidR="00372699" w:rsidRPr="00442592">
        <w:t xml:space="preserve">had </w:t>
      </w:r>
      <w:r w:rsidRPr="00442592">
        <w:t>not previously been considered by the PBAC.</w:t>
      </w:r>
    </w:p>
    <w:p w14:paraId="60008598" w14:textId="3780216D" w:rsidR="00441396" w:rsidRDefault="00441396" w:rsidP="00D86231">
      <w:pPr>
        <w:pStyle w:val="ExecSumBodyText"/>
      </w:pPr>
      <w:r w:rsidRPr="00441396">
        <w:t>Important identified risks were hypersensitivity, hypocalcaemia and immunogenicity (i.e. development of antibodies to romosozumab). Important potential risks were osteonecrosis of the jaw, atypical femoral fracture, serious cardiovascular events of myocardial infarction and stroke, hyperostosis, foetal risk and serious infections. Missing information included osteoporosis rebound effects and safety in patients with renal impairment. No new safety signals were identified during the most recent reporting interval.</w:t>
      </w:r>
    </w:p>
    <w:p w14:paraId="498F26AB" w14:textId="0B704136" w:rsidR="00441396" w:rsidRPr="008F630F" w:rsidRDefault="00441396" w:rsidP="00D86231">
      <w:pPr>
        <w:pStyle w:val="ExecSumBodyText"/>
      </w:pPr>
      <w:r w:rsidRPr="00441396">
        <w:t>For each PSUR, the sponsor conducts a review of published literature for cardiovascular safety information pertaining to romosozumab.</w:t>
      </w:r>
      <w:r>
        <w:t xml:space="preserve"> </w:t>
      </w:r>
      <w:r w:rsidRPr="00441396">
        <w:t>Overall, the resubmission claimed the cardiovascular safety review did not provide any new safety information. The resubmission stated that the risk-benefit profile of romosozumab remains positive and the current label language adequately informs both patients and physicians of the potential risks associated with romosozumab use and provides risk minimisation measures for patient management.</w:t>
      </w:r>
    </w:p>
    <w:p w14:paraId="04908C7F" w14:textId="415B9B7D" w:rsidR="007F1017" w:rsidRPr="00262BDA" w:rsidRDefault="007F1017" w:rsidP="00D86231">
      <w:pPr>
        <w:pStyle w:val="3-SubsectionHeading"/>
      </w:pPr>
      <w:bookmarkStart w:id="34" w:name="_Toc22897643"/>
      <w:bookmarkStart w:id="35" w:name="_Toc103610476"/>
      <w:r w:rsidRPr="00262BDA">
        <w:t>Benefits/harms</w:t>
      </w:r>
      <w:bookmarkEnd w:id="34"/>
      <w:bookmarkEnd w:id="35"/>
    </w:p>
    <w:p w14:paraId="0EFC6905" w14:textId="77777777" w:rsidR="00632865" w:rsidRDefault="00632865" w:rsidP="00632865">
      <w:pPr>
        <w:pStyle w:val="ExecSumBodyText"/>
        <w:spacing w:after="0"/>
      </w:pPr>
      <w:r>
        <w:t>On the basis of direct evidence presented in the resubmission (ARCH trial), for every 1000 patients treated with romosozumab in comparison to alendronate over one year (primary treatment):</w:t>
      </w:r>
    </w:p>
    <w:p w14:paraId="61882971" w14:textId="77777777" w:rsidR="00632865" w:rsidRDefault="00632865" w:rsidP="006215FA">
      <w:pPr>
        <w:pStyle w:val="ExecSumBodyText"/>
        <w:numPr>
          <w:ilvl w:val="0"/>
          <w:numId w:val="10"/>
        </w:numPr>
        <w:spacing w:after="0"/>
      </w:pPr>
      <w:r>
        <w:t>Approximately 15 fewer patients would have a clinical fracture;</w:t>
      </w:r>
    </w:p>
    <w:p w14:paraId="41E336DE" w14:textId="6409A83D" w:rsidR="00632865" w:rsidRDefault="00632865" w:rsidP="006215FA">
      <w:pPr>
        <w:pStyle w:val="ExecSumBodyText"/>
        <w:numPr>
          <w:ilvl w:val="0"/>
          <w:numId w:val="10"/>
        </w:numPr>
      </w:pPr>
      <w:r>
        <w:t>Approximately 6 additional patients would have a serious cardiovascular event.</w:t>
      </w:r>
    </w:p>
    <w:p w14:paraId="3501E92C" w14:textId="09666672" w:rsidR="00194D3B" w:rsidRDefault="00194D3B" w:rsidP="002A4DD7">
      <w:pPr>
        <w:pStyle w:val="ExecSumBodyText"/>
        <w:spacing w:after="0"/>
      </w:pPr>
      <w:r>
        <w:t xml:space="preserve">On the basis of direct evidence presented in the </w:t>
      </w:r>
      <w:r w:rsidR="001F39E4">
        <w:t>re</w:t>
      </w:r>
      <w:r>
        <w:t>submission (ARCH trial), for every 1000 patients treated with romosozumab followed by alendronate in comparison to alendronate alone over a median of 33 months (primary and subsequent treatment):</w:t>
      </w:r>
    </w:p>
    <w:p w14:paraId="2EA2EDE5" w14:textId="7E343C80" w:rsidR="00194D3B" w:rsidRDefault="00194D3B" w:rsidP="006215FA">
      <w:pPr>
        <w:pStyle w:val="ExecSumBodyText"/>
        <w:numPr>
          <w:ilvl w:val="0"/>
          <w:numId w:val="11"/>
        </w:numPr>
        <w:spacing w:after="0"/>
      </w:pPr>
      <w:r>
        <w:t>Approximately 33 fewer patients would have a clinical fracture;</w:t>
      </w:r>
    </w:p>
    <w:p w14:paraId="33696279" w14:textId="3EF4EAD6" w:rsidR="002E1071" w:rsidRPr="00262BDA" w:rsidRDefault="00194D3B" w:rsidP="006215FA">
      <w:pPr>
        <w:pStyle w:val="ExecSumBodyText"/>
        <w:numPr>
          <w:ilvl w:val="0"/>
          <w:numId w:val="11"/>
        </w:numPr>
      </w:pPr>
      <w:r>
        <w:t>Approximately 4 additional patients would have a serious cardiovascular event.</w:t>
      </w:r>
    </w:p>
    <w:p w14:paraId="7A1772B6" w14:textId="23BB3145" w:rsidR="00B60939" w:rsidRPr="00262BDA" w:rsidRDefault="00B60939" w:rsidP="00E9094A">
      <w:pPr>
        <w:pStyle w:val="3-SubsectionHeading"/>
      </w:pPr>
      <w:bookmarkStart w:id="36" w:name="_Toc22897644"/>
      <w:bookmarkStart w:id="37" w:name="_Toc103610477"/>
      <w:r w:rsidRPr="00262BDA">
        <w:t>Clinical claim</w:t>
      </w:r>
      <w:bookmarkEnd w:id="36"/>
      <w:bookmarkEnd w:id="37"/>
    </w:p>
    <w:p w14:paraId="48A437EC" w14:textId="18CE745D" w:rsidR="00DC0800" w:rsidRPr="00442592" w:rsidRDefault="00DC0800" w:rsidP="00E9094A">
      <w:pPr>
        <w:pStyle w:val="ExecSumBodyText"/>
      </w:pPr>
      <w:r w:rsidRPr="00442592">
        <w:t xml:space="preserve">There were no </w:t>
      </w:r>
      <w:r w:rsidR="00F9306D" w:rsidRPr="00442592">
        <w:t xml:space="preserve">major </w:t>
      </w:r>
      <w:r w:rsidRPr="00442592">
        <w:t>changes to the clinical evidence provided in the resubmission compared to previous submissions (November 2018, July 2019 and March 2020).</w:t>
      </w:r>
    </w:p>
    <w:p w14:paraId="7F613CD1" w14:textId="72222DF5" w:rsidR="005F7588" w:rsidRPr="00DC0800" w:rsidRDefault="00DC0800" w:rsidP="00DC0800">
      <w:pPr>
        <w:pStyle w:val="ExecSumBodyText"/>
        <w:rPr>
          <w:rFonts w:eastAsia="Calibri"/>
          <w:i/>
        </w:rPr>
      </w:pPr>
      <w:r w:rsidRPr="00DC0800">
        <w:rPr>
          <w:rFonts w:eastAsia="Calibri"/>
        </w:rPr>
        <w:t>The resubmission described romosozumab as superior in terms of efficacy and inferior in terms of safety compared to alendronate due to the potential for increased risk of cardiovascular events with romosozumab.</w:t>
      </w:r>
    </w:p>
    <w:p w14:paraId="244A0F29" w14:textId="5ADFE85C" w:rsidR="00DC0800" w:rsidRPr="00442592" w:rsidRDefault="00DC0800" w:rsidP="00DC0800">
      <w:pPr>
        <w:pStyle w:val="ExecSumBodyText"/>
        <w:rPr>
          <w:rFonts w:eastAsia="Calibri"/>
          <w:iCs/>
        </w:rPr>
      </w:pPr>
      <w:r w:rsidRPr="00442592">
        <w:rPr>
          <w:rFonts w:eastAsia="Calibri"/>
          <w:iCs/>
        </w:rPr>
        <w:t>The PBAC previously considered that fracture outcomes data from the ARCH trial supported a claim of superior efficacy of romosozumab followed by alendronate compared to alendronate alone. However, in contrast to the proposed population (restricted second line setting), the ARCH trial only provided evidence for romosozumab use in patients who were predominantly naïve to anti-resorptive therapy (para 7.8, romosozumab PSD, March 2020 PBAC meeting).</w:t>
      </w:r>
      <w:r w:rsidR="002000A4">
        <w:rPr>
          <w:rFonts w:eastAsia="Calibri"/>
          <w:iCs/>
        </w:rPr>
        <w:t xml:space="preserve"> </w:t>
      </w:r>
    </w:p>
    <w:p w14:paraId="0B02C18D" w14:textId="7C7AEF84" w:rsidR="00DC0800" w:rsidRPr="0028085E" w:rsidRDefault="00244C7B" w:rsidP="00DC0800">
      <w:pPr>
        <w:pStyle w:val="ExecSumBodyText"/>
        <w:rPr>
          <w:rFonts w:eastAsia="Calibri"/>
          <w:iCs/>
        </w:rPr>
      </w:pPr>
      <w:r w:rsidRPr="0028085E">
        <w:rPr>
          <w:rFonts w:eastAsia="Calibri"/>
          <w:iCs/>
        </w:rPr>
        <w:t>The PBAC previously considered that serious events of myocardial infarction and stroke remained an important potential risk with romosozumab and considered the claim of inferior comparative safety was reasonable (para 7.9, romosozumab PSD, March 2020 PBAC meeting).</w:t>
      </w:r>
    </w:p>
    <w:p w14:paraId="13439D08" w14:textId="069E6B6A" w:rsidR="00FC13C5" w:rsidRPr="0028085E" w:rsidRDefault="00FC13C5" w:rsidP="00170AD8">
      <w:pPr>
        <w:pStyle w:val="ExecSumBodyText"/>
        <w:spacing w:after="0"/>
        <w:rPr>
          <w:rFonts w:eastAsia="Calibri"/>
          <w:iCs/>
        </w:rPr>
      </w:pPr>
      <w:r w:rsidRPr="0028085E">
        <w:rPr>
          <w:rFonts w:eastAsia="Calibri"/>
          <w:iCs/>
        </w:rPr>
        <w:t>The following evidence gaps were previously noted by the PBAC and were not addressed in the resubmission:</w:t>
      </w:r>
    </w:p>
    <w:p w14:paraId="2157E924" w14:textId="154BB0E4" w:rsidR="00B2377B" w:rsidRPr="005E2E4D" w:rsidRDefault="001F39E4" w:rsidP="006215FA">
      <w:pPr>
        <w:pStyle w:val="ListParagraph"/>
        <w:numPr>
          <w:ilvl w:val="0"/>
          <w:numId w:val="12"/>
        </w:numPr>
        <w:rPr>
          <w:rFonts w:asciiTheme="minorHAnsi" w:eastAsia="Calibri" w:hAnsiTheme="minorHAnsi"/>
          <w:iCs/>
          <w:snapToGrid w:val="0"/>
        </w:rPr>
      </w:pPr>
      <w:r w:rsidRPr="0028085E">
        <w:rPr>
          <w:rFonts w:asciiTheme="minorHAnsi" w:eastAsia="Calibri" w:hAnsiTheme="minorHAnsi"/>
          <w:iCs/>
          <w:snapToGrid w:val="0"/>
        </w:rPr>
        <w:t>The l</w:t>
      </w:r>
      <w:r w:rsidR="00B2377B" w:rsidRPr="0028085E">
        <w:rPr>
          <w:rFonts w:asciiTheme="minorHAnsi" w:eastAsia="Calibri" w:hAnsiTheme="minorHAnsi"/>
          <w:iCs/>
          <w:snapToGrid w:val="0"/>
        </w:rPr>
        <w:t xml:space="preserve">ack of comparative evidence against denosumab as the therapy most likely to be replaced (para 7.9, romosozumab PSD, November 2018 PBAC meeting; para 7.4, romosozumab PSD, March 2020 PBAC meeting). </w:t>
      </w:r>
      <w:r w:rsidR="004147A3" w:rsidRPr="005E2E4D">
        <w:rPr>
          <w:rFonts w:asciiTheme="minorHAnsi" w:eastAsia="Calibri" w:hAnsiTheme="minorHAnsi"/>
          <w:iCs/>
          <w:snapToGrid w:val="0"/>
        </w:rPr>
        <w:t xml:space="preserve">The PSCR noted that a comparison with denosumab was included in the resubmission as a sensitivity analysis in the economic evaluation. </w:t>
      </w:r>
    </w:p>
    <w:p w14:paraId="068B8060" w14:textId="7953265F" w:rsidR="00FC13C5" w:rsidRPr="0028085E" w:rsidRDefault="001F39E4" w:rsidP="006215FA">
      <w:pPr>
        <w:pStyle w:val="ListParagraph"/>
        <w:numPr>
          <w:ilvl w:val="0"/>
          <w:numId w:val="12"/>
        </w:numPr>
        <w:spacing w:after="120"/>
        <w:rPr>
          <w:rFonts w:asciiTheme="minorHAnsi" w:eastAsia="Calibri" w:hAnsiTheme="minorHAnsi"/>
          <w:iCs/>
          <w:snapToGrid w:val="0"/>
        </w:rPr>
      </w:pPr>
      <w:r w:rsidRPr="0028085E">
        <w:rPr>
          <w:rFonts w:asciiTheme="minorHAnsi" w:eastAsia="Calibri" w:hAnsiTheme="minorHAnsi"/>
          <w:iCs/>
          <w:snapToGrid w:val="0"/>
        </w:rPr>
        <w:t>The l</w:t>
      </w:r>
      <w:r w:rsidR="00B2377B" w:rsidRPr="0028085E">
        <w:rPr>
          <w:rFonts w:asciiTheme="minorHAnsi" w:eastAsia="Calibri" w:hAnsiTheme="minorHAnsi"/>
          <w:iCs/>
          <w:snapToGrid w:val="0"/>
        </w:rPr>
        <w:t>ack of long-term comparative efficacy data for romosozumab and that maintenance of treatment effect after discontinuation of romosozumab would likely depend on persistence with anti-resorptive therapy. The PBAC considered that the utilisation of anti-resorptive therapy following cessation of romosozumab should be reviewed after an appropriate period post listing to investigate the success of transitioning patients to anti-resorptives (para 7.6, romosozumab PSD, March 2020 PBAC meeting).</w:t>
      </w:r>
      <w:r w:rsidR="004147A3">
        <w:rPr>
          <w:rFonts w:asciiTheme="minorHAnsi" w:eastAsia="Calibri" w:hAnsiTheme="minorHAnsi"/>
          <w:iCs/>
          <w:snapToGrid w:val="0"/>
        </w:rPr>
        <w:t xml:space="preserve"> </w:t>
      </w:r>
      <w:r w:rsidR="001017E2" w:rsidRPr="005E2E4D">
        <w:rPr>
          <w:rFonts w:asciiTheme="minorHAnsi" w:eastAsia="Calibri" w:hAnsiTheme="minorHAnsi"/>
          <w:iCs/>
          <w:snapToGrid w:val="0"/>
        </w:rPr>
        <w:t xml:space="preserve">The ESC noted that in the May 2022 </w:t>
      </w:r>
      <w:r w:rsidR="001017E2" w:rsidRPr="005E2E4D">
        <w:rPr>
          <w:iCs/>
        </w:rPr>
        <w:t xml:space="preserve">DUSC Secretariat analysis only </w:t>
      </w:r>
      <w:r w:rsidR="001017E2" w:rsidRPr="005E2E4D">
        <w:rPr>
          <w:iCs/>
          <w:snapToGrid w:val="0"/>
        </w:rPr>
        <w:t>46%</w:t>
      </w:r>
      <w:r w:rsidR="001017E2" w:rsidRPr="005E2E4D">
        <w:rPr>
          <w:iCs/>
        </w:rPr>
        <w:t xml:space="preserve"> (664/1,454)</w:t>
      </w:r>
      <w:r w:rsidR="001017E2" w:rsidRPr="005E2E4D">
        <w:rPr>
          <w:iCs/>
          <w:snapToGrid w:val="0"/>
        </w:rPr>
        <w:t xml:space="preserve"> of patients successfully transitioned to anti-resorptive therapy after stopping teriparatide (see paragraph </w:t>
      </w:r>
      <w:r w:rsidR="001017E2" w:rsidRPr="005E2E4D">
        <w:rPr>
          <w:iCs/>
          <w:snapToGrid w:val="0"/>
        </w:rPr>
        <w:fldChar w:fldCharType="begin"/>
      </w:r>
      <w:r w:rsidR="001017E2" w:rsidRPr="005E2E4D">
        <w:rPr>
          <w:iCs/>
          <w:snapToGrid w:val="0"/>
        </w:rPr>
        <w:instrText xml:space="preserve"> REF _Ref106096252 \r \h </w:instrText>
      </w:r>
      <w:r w:rsidR="005E2E4D">
        <w:rPr>
          <w:iCs/>
          <w:snapToGrid w:val="0"/>
        </w:rPr>
        <w:instrText xml:space="preserve"> \* MERGEFORMAT </w:instrText>
      </w:r>
      <w:r w:rsidR="001017E2" w:rsidRPr="005E2E4D">
        <w:rPr>
          <w:iCs/>
          <w:snapToGrid w:val="0"/>
        </w:rPr>
      </w:r>
      <w:r w:rsidR="001017E2" w:rsidRPr="005E2E4D">
        <w:rPr>
          <w:iCs/>
          <w:snapToGrid w:val="0"/>
        </w:rPr>
        <w:fldChar w:fldCharType="separate"/>
      </w:r>
      <w:r w:rsidR="00F57113">
        <w:rPr>
          <w:iCs/>
          <w:snapToGrid w:val="0"/>
        </w:rPr>
        <w:t>6.28</w:t>
      </w:r>
      <w:r w:rsidR="001017E2" w:rsidRPr="005E2E4D">
        <w:rPr>
          <w:iCs/>
          <w:snapToGrid w:val="0"/>
        </w:rPr>
        <w:fldChar w:fldCharType="end"/>
      </w:r>
      <w:r w:rsidR="001017E2" w:rsidRPr="005E2E4D">
        <w:rPr>
          <w:iCs/>
          <w:snapToGrid w:val="0"/>
        </w:rPr>
        <w:t>).</w:t>
      </w:r>
      <w:r w:rsidR="001017E2">
        <w:rPr>
          <w:i/>
          <w:iCs/>
          <w:snapToGrid w:val="0"/>
        </w:rPr>
        <w:t xml:space="preserve"> </w:t>
      </w:r>
    </w:p>
    <w:p w14:paraId="2A65A479" w14:textId="5C5BB662" w:rsidR="00AA48AE" w:rsidRPr="005E2E4D" w:rsidRDefault="00AA48AE" w:rsidP="00AA48AE">
      <w:pPr>
        <w:pStyle w:val="ExecSumBodyText"/>
        <w:rPr>
          <w:rFonts w:eastAsia="Calibri"/>
          <w:iCs/>
        </w:rPr>
      </w:pPr>
      <w:bookmarkStart w:id="38" w:name="_Ref110429744"/>
      <w:r w:rsidRPr="0028085E">
        <w:rPr>
          <w:rFonts w:eastAsia="Calibri"/>
          <w:iCs/>
        </w:rPr>
        <w:t>The magnitude of benefit associated with romosozumab versus alendronate in the proposed first</w:t>
      </w:r>
      <w:r w:rsidR="00F713DF">
        <w:rPr>
          <w:rFonts w:eastAsia="Calibri"/>
          <w:iCs/>
        </w:rPr>
        <w:t xml:space="preserve"> </w:t>
      </w:r>
      <w:r w:rsidRPr="0028085E">
        <w:rPr>
          <w:rFonts w:eastAsia="Calibri"/>
          <w:iCs/>
        </w:rPr>
        <w:t xml:space="preserve">line setting was uncertain. There were concerns with the applicability of risk profiles of patients in the ARCH trial to the PBS population due to potential differences in disease severity characterised by number of fractures, BMD T-scores, fracture location, fracture severity and fracture timing. There are likely to be differences in the magnitude of benefit associated with romosozumab between patients with single versus multiple prior fractures. </w:t>
      </w:r>
      <w:r w:rsidR="007E4CDD" w:rsidRPr="005E2E4D">
        <w:rPr>
          <w:rFonts w:eastAsia="Calibri"/>
          <w:iCs/>
        </w:rPr>
        <w:t>The PSCR acknowledged that differences in fracture risk across patient groups would lead to differences in the absolute magnitude of benefit associated with romosozumab versus alendronate</w:t>
      </w:r>
      <w:r w:rsidR="009822B8" w:rsidRPr="005E2E4D">
        <w:rPr>
          <w:rFonts w:eastAsia="Calibri"/>
          <w:iCs/>
        </w:rPr>
        <w:t xml:space="preserve">. However, the PSCR claimed that the proposed PBS population is likely to be at higher risk than the ARCH trial population </w:t>
      </w:r>
      <w:r w:rsidR="00890225" w:rsidRPr="005E2E4D">
        <w:rPr>
          <w:rFonts w:eastAsia="Calibri"/>
          <w:iCs/>
        </w:rPr>
        <w:t xml:space="preserve">which </w:t>
      </w:r>
      <w:r w:rsidR="009822B8" w:rsidRPr="005E2E4D">
        <w:rPr>
          <w:rFonts w:eastAsia="Calibri"/>
          <w:iCs/>
        </w:rPr>
        <w:t>it argued will translate to greater absolute benefit with romosozumab.</w:t>
      </w:r>
      <w:r w:rsidR="008A5849" w:rsidRPr="005E2E4D">
        <w:rPr>
          <w:rFonts w:eastAsia="Calibri"/>
          <w:iCs/>
        </w:rPr>
        <w:t xml:space="preserve"> The ESC considered there may be a role for romosozumab in the first</w:t>
      </w:r>
      <w:r w:rsidR="00F713DF" w:rsidRPr="005E2E4D">
        <w:rPr>
          <w:rFonts w:eastAsia="Calibri"/>
          <w:iCs/>
        </w:rPr>
        <w:t xml:space="preserve"> </w:t>
      </w:r>
      <w:r w:rsidR="008A5849" w:rsidRPr="005E2E4D">
        <w:rPr>
          <w:rFonts w:eastAsia="Calibri"/>
          <w:iCs/>
        </w:rPr>
        <w:t>line setting</w:t>
      </w:r>
      <w:r w:rsidR="00F713DF" w:rsidRPr="005E2E4D">
        <w:rPr>
          <w:rFonts w:eastAsia="Calibri"/>
          <w:iCs/>
        </w:rPr>
        <w:t>.</w:t>
      </w:r>
      <w:r w:rsidR="008A5849" w:rsidRPr="005E2E4D">
        <w:rPr>
          <w:rFonts w:eastAsia="Calibri"/>
          <w:iCs/>
        </w:rPr>
        <w:t xml:space="preserve"> </w:t>
      </w:r>
      <w:r w:rsidR="00F713DF" w:rsidRPr="005E2E4D">
        <w:rPr>
          <w:rFonts w:eastAsia="Calibri"/>
          <w:iCs/>
        </w:rPr>
        <w:t>H</w:t>
      </w:r>
      <w:r w:rsidR="008A5849" w:rsidRPr="005E2E4D">
        <w:rPr>
          <w:rFonts w:eastAsia="Calibri"/>
          <w:iCs/>
        </w:rPr>
        <w:t xml:space="preserve">owever, </w:t>
      </w:r>
      <w:r w:rsidR="00F713DF" w:rsidRPr="005E2E4D">
        <w:rPr>
          <w:rFonts w:eastAsia="Calibri"/>
          <w:iCs/>
        </w:rPr>
        <w:t xml:space="preserve">as it was difficult to reconcile the proposed clinical criteria for first line therapy with the inclusion criteria of the ARCH trial the ESC considered this may not be for the </w:t>
      </w:r>
      <w:r w:rsidR="001017E2" w:rsidRPr="005E2E4D">
        <w:rPr>
          <w:rFonts w:eastAsia="Calibri"/>
          <w:iCs/>
        </w:rPr>
        <w:t xml:space="preserve">PBS </w:t>
      </w:r>
      <w:r w:rsidR="00F713DF" w:rsidRPr="005E2E4D">
        <w:rPr>
          <w:rFonts w:eastAsia="Calibri"/>
          <w:iCs/>
        </w:rPr>
        <w:t>population nominated in the resubmission</w:t>
      </w:r>
      <w:r w:rsidR="008513E0" w:rsidRPr="005E2E4D">
        <w:rPr>
          <w:rFonts w:eastAsia="Calibri"/>
          <w:iCs/>
        </w:rPr>
        <w:t xml:space="preserve"> (see paragraph </w:t>
      </w:r>
      <w:r w:rsidR="008513E0" w:rsidRPr="005E2E4D">
        <w:rPr>
          <w:rFonts w:eastAsia="Calibri"/>
          <w:iCs/>
        </w:rPr>
        <w:fldChar w:fldCharType="begin"/>
      </w:r>
      <w:r w:rsidR="008513E0" w:rsidRPr="005E2E4D">
        <w:rPr>
          <w:rFonts w:eastAsia="Calibri"/>
          <w:iCs/>
        </w:rPr>
        <w:instrText xml:space="preserve"> REF _Ref106108947 \r \h </w:instrText>
      </w:r>
      <w:r w:rsidR="005E2E4D">
        <w:rPr>
          <w:rFonts w:eastAsia="Calibri"/>
          <w:iCs/>
        </w:rPr>
        <w:instrText xml:space="preserve"> \* MERGEFORMAT </w:instrText>
      </w:r>
      <w:r w:rsidR="008513E0" w:rsidRPr="005E2E4D">
        <w:rPr>
          <w:rFonts w:eastAsia="Calibri"/>
          <w:iCs/>
        </w:rPr>
      </w:r>
      <w:r w:rsidR="008513E0" w:rsidRPr="005E2E4D">
        <w:rPr>
          <w:rFonts w:eastAsia="Calibri"/>
          <w:iCs/>
        </w:rPr>
        <w:fldChar w:fldCharType="separate"/>
      </w:r>
      <w:r w:rsidR="00F57113">
        <w:rPr>
          <w:rFonts w:eastAsia="Calibri"/>
          <w:iCs/>
        </w:rPr>
        <w:t>6.17</w:t>
      </w:r>
      <w:r w:rsidR="008513E0" w:rsidRPr="005E2E4D">
        <w:rPr>
          <w:rFonts w:eastAsia="Calibri"/>
          <w:iCs/>
        </w:rPr>
        <w:fldChar w:fldCharType="end"/>
      </w:r>
      <w:r w:rsidR="008513E0" w:rsidRPr="005E2E4D">
        <w:rPr>
          <w:rFonts w:eastAsia="Calibri"/>
          <w:iCs/>
        </w:rPr>
        <w:t>).</w:t>
      </w:r>
      <w:bookmarkEnd w:id="38"/>
    </w:p>
    <w:p w14:paraId="77BC1C81" w14:textId="29F65EC1" w:rsidR="00FC13C5" w:rsidRDefault="00AA48AE" w:rsidP="00AA48AE">
      <w:pPr>
        <w:pStyle w:val="ExecSumBodyText"/>
        <w:rPr>
          <w:rFonts w:eastAsia="Calibri"/>
          <w:iCs/>
        </w:rPr>
      </w:pPr>
      <w:r w:rsidRPr="0028085E">
        <w:rPr>
          <w:rFonts w:eastAsia="Calibri"/>
          <w:iCs/>
        </w:rPr>
        <w:t xml:space="preserve">It was unclear whether the clinical evidence adequately supports the clinical claim of superior efficacy in the additional second line subpopulations. There are no fracture outcomes data in this population and limited BMD outcomes data based on post-hoc analyses of romosozumab trials. The results suggest that the use of romosozumab after anti-resorptive therapy provides smaller BMD gains (measured as relative effects) compared to the use of romosozumab before anti-resorptive therapy. </w:t>
      </w:r>
      <w:r w:rsidR="002000A4" w:rsidRPr="005E2E4D">
        <w:rPr>
          <w:rFonts w:eastAsia="Calibri"/>
          <w:iCs/>
        </w:rPr>
        <w:t>The ESC considered that there were no robust data presented in the resubmission to support expansion of the second line listing.</w:t>
      </w:r>
    </w:p>
    <w:p w14:paraId="7CA06A90" w14:textId="580CFB6E" w:rsidR="006215FA" w:rsidRPr="00CE42B4" w:rsidRDefault="006215FA" w:rsidP="006215FA">
      <w:pPr>
        <w:pStyle w:val="ExecSumBodyText"/>
      </w:pPr>
      <w:bookmarkStart w:id="39" w:name="_Hlk110495243"/>
      <w:bookmarkStart w:id="40" w:name="_Hlk76376200"/>
      <w:r w:rsidRPr="00CE42B4">
        <w:rPr>
          <w:iCs/>
        </w:rPr>
        <w:t>The</w:t>
      </w:r>
      <w:r w:rsidRPr="00CE42B4">
        <w:t xml:space="preserve"> PBAC considered the claim of superior comparative effectiveness was reasonable</w:t>
      </w:r>
      <w:r w:rsidR="004D5E8D">
        <w:t xml:space="preserve"> for the first line setting</w:t>
      </w:r>
      <w:r w:rsidR="009275D1">
        <w:t xml:space="preserve"> in treatment naïve patients</w:t>
      </w:r>
      <w:r w:rsidR="0037332C">
        <w:t xml:space="preserve">, however the magnitude of the effect </w:t>
      </w:r>
      <w:r w:rsidR="0032528A">
        <w:rPr>
          <w:rFonts w:eastAsia="Calibri"/>
        </w:rPr>
        <w:t>was uncertain due to poor transition to and persistence with anti-resorptive therapy post romosozumab.</w:t>
      </w:r>
      <w:r w:rsidR="004D5E8D">
        <w:rPr>
          <w:rFonts w:eastAsia="Calibri"/>
        </w:rPr>
        <w:t xml:space="preserve"> </w:t>
      </w:r>
      <w:r w:rsidR="00287BEB">
        <w:rPr>
          <w:rFonts w:eastAsia="Calibri"/>
        </w:rPr>
        <w:t>The PBAC considered the claim of superior comparative effectiveness for the additional second line subpopulations was uncertain due to data limitations</w:t>
      </w:r>
      <w:r w:rsidR="00FF55F9">
        <w:rPr>
          <w:rFonts w:eastAsia="Calibri"/>
        </w:rPr>
        <w:t xml:space="preserve">. </w:t>
      </w:r>
    </w:p>
    <w:bookmarkEnd w:id="39"/>
    <w:p w14:paraId="0E969684" w14:textId="35301953" w:rsidR="006215FA" w:rsidRPr="006215FA" w:rsidRDefault="006215FA" w:rsidP="006215FA">
      <w:pPr>
        <w:pStyle w:val="ExecSumBodyText"/>
      </w:pPr>
      <w:r w:rsidRPr="00CE42B4">
        <w:t>The PBAC considered that the claim of inferior comparative safety was reasonable.</w:t>
      </w:r>
      <w:bookmarkEnd w:id="40"/>
    </w:p>
    <w:p w14:paraId="74A1172E" w14:textId="128C170E" w:rsidR="00B60939" w:rsidRPr="00262BDA" w:rsidRDefault="00B60939" w:rsidP="00E9094A">
      <w:pPr>
        <w:pStyle w:val="3-SubsectionHeading"/>
      </w:pPr>
      <w:bookmarkStart w:id="41" w:name="_Toc22897645"/>
      <w:bookmarkStart w:id="42" w:name="_Toc103610478"/>
      <w:r w:rsidRPr="00262BDA">
        <w:t>Economic analysis</w:t>
      </w:r>
      <w:bookmarkEnd w:id="41"/>
      <w:bookmarkEnd w:id="42"/>
      <w:r w:rsidR="00491B3A" w:rsidRPr="00262BDA">
        <w:t xml:space="preserve"> </w:t>
      </w:r>
    </w:p>
    <w:p w14:paraId="14C1E8F9" w14:textId="39BA03F1" w:rsidR="00275C5A" w:rsidRPr="0028085E" w:rsidRDefault="00F860E0" w:rsidP="00641FB3">
      <w:pPr>
        <w:pStyle w:val="ExecSumBodyText"/>
      </w:pPr>
      <w:bookmarkStart w:id="43" w:name="_Ref110495779"/>
      <w:r w:rsidRPr="0028085E">
        <w:t>The original submission for romosozumab (first- and second-line settings), considered at the November 2018 PBAC meeting, included a cost-effectiveness analysis of romosozumab versus alendronate. The PBAC considered that the analysis did not form a reliable basis for decision-making due to the overestimation of fracture risk and treatment effect, the assumption of continuing treatment effect (which relied on adherence and persistence rates unlikely to be achieved in the PBS population), and potentially unreliable fracture disutilities (para 7.13, romosozumab PSD, November 2018 PBAC meeting).</w:t>
      </w:r>
      <w:bookmarkEnd w:id="43"/>
    </w:p>
    <w:p w14:paraId="3035FFEE" w14:textId="357801CE" w:rsidR="00F860E0" w:rsidRPr="0028085E" w:rsidRDefault="00F860E0" w:rsidP="00641FB3">
      <w:pPr>
        <w:pStyle w:val="ExecSumBodyText"/>
      </w:pPr>
      <w:r w:rsidRPr="00F860E0">
        <w:t>A cost-effectiveness analysis was not presented in the July 2019 resubmission</w:t>
      </w:r>
      <w:r w:rsidR="007266EA">
        <w:t>, which focused</w:t>
      </w:r>
      <w:r w:rsidRPr="00F860E0">
        <w:t xml:space="preserve"> o</w:t>
      </w:r>
      <w:r w:rsidR="007266EA">
        <w:t>n</w:t>
      </w:r>
      <w:r w:rsidRPr="00F860E0">
        <w:t xml:space="preserve"> romosozumab for the second line setting only.</w:t>
      </w:r>
      <w:r w:rsidRPr="00F860E0">
        <w:rPr>
          <w:i/>
          <w:iCs/>
        </w:rPr>
        <w:t xml:space="preserve"> </w:t>
      </w:r>
      <w:r w:rsidRPr="0028085E">
        <w:t>The PBAC considered that it was unclear whether romosozumab would be cost-effective if used in a broader population than patients who currently use teriparatide (para 7.1, romosozumab PSD, July 2019 PBAC meeting).</w:t>
      </w:r>
    </w:p>
    <w:p w14:paraId="6C5812C5" w14:textId="486AAD25" w:rsidR="00F860E0" w:rsidRPr="0028085E" w:rsidRDefault="00F860E0" w:rsidP="00641FB3">
      <w:pPr>
        <w:pStyle w:val="ExecSumBodyText"/>
      </w:pPr>
      <w:bookmarkStart w:id="44" w:name="_Ref110495786"/>
      <w:r w:rsidRPr="0028085E">
        <w:t xml:space="preserve">The March 2020 resubmission of romosozumab for the second line setting included the economic model comparing romosozumab and alendronate from the November 2018 submission with key changes to selected cost inputs only. </w:t>
      </w:r>
      <w:r w:rsidR="007266EA" w:rsidRPr="0028085E">
        <w:t>At that time, t</w:t>
      </w:r>
      <w:r w:rsidRPr="0028085E">
        <w:t>he PBAC noted that the economic model, which was fundamentally unchanged from the November 2018 submission, was unreliable for decision-making and hence could not be used to assess the cost-effectiveness of romosozumab in the broader second line population</w:t>
      </w:r>
      <w:r w:rsidR="007266EA" w:rsidRPr="0028085E">
        <w:t xml:space="preserve"> </w:t>
      </w:r>
      <w:r w:rsidRPr="0028085E">
        <w:t>(para 7.12, romosozumab PSD, March 2020 PBAC meeting).</w:t>
      </w:r>
      <w:bookmarkEnd w:id="44"/>
    </w:p>
    <w:p w14:paraId="1AE50D53" w14:textId="20B0770D" w:rsidR="00094C63" w:rsidRPr="0028085E" w:rsidRDefault="00094C63" w:rsidP="00641FB3">
      <w:pPr>
        <w:pStyle w:val="ExecSumBodyText"/>
      </w:pPr>
      <w:r w:rsidRPr="0028085E">
        <w:t>The current resubmission presented a cost-effectiveness analysis of romosozumab versus alendronate in patients with severe osteoporosis. The economic model was a cost-utility analysis based on data from the ARCH trial and other modelled variables.</w:t>
      </w:r>
    </w:p>
    <w:p w14:paraId="2CD3E8B1" w14:textId="631B4AAC" w:rsidR="00094C63" w:rsidRPr="0028085E" w:rsidRDefault="00094C63" w:rsidP="00641FB3">
      <w:pPr>
        <w:pStyle w:val="ExecSumBodyText"/>
      </w:pPr>
      <w:r w:rsidRPr="0028085E">
        <w:t xml:space="preserve">The resubmission acknowledged that the economic evaluation was essentially representative of the cost-effectiveness of romosozumab versus alendronate in the first line setting given the ARCH trial population was predominantly treatment naive. </w:t>
      </w:r>
    </w:p>
    <w:p w14:paraId="0505B572" w14:textId="349F1730" w:rsidR="00094C63" w:rsidRPr="005E2E4D" w:rsidRDefault="00D14D51" w:rsidP="00641FB3">
      <w:pPr>
        <w:pStyle w:val="ExecSumBodyText"/>
      </w:pPr>
      <w:r w:rsidRPr="0028085E">
        <w:t>The resubmission acknowledged that the cost-effectiveness of romosozumab in the expanded second line setting was uncertain, however, the resubmission claimed that there was historical PBAC precedence of recommending second line use of osteoporosis medications based on evidence in the first line setting.</w:t>
      </w:r>
      <w:r w:rsidR="00F52BC3" w:rsidRPr="0028085E">
        <w:t xml:space="preserve"> </w:t>
      </w:r>
      <w:r w:rsidR="008A1B1F" w:rsidRPr="005E2E4D">
        <w:t>The ESC noted that n</w:t>
      </w:r>
      <w:r w:rsidR="00F52BC3" w:rsidRPr="005E2E4D">
        <w:t xml:space="preserve">o documentation was provided </w:t>
      </w:r>
      <w:r w:rsidR="00B1171B" w:rsidRPr="005E2E4D">
        <w:t>in the resubmission</w:t>
      </w:r>
      <w:r w:rsidR="008A1B1F" w:rsidRPr="005E2E4D">
        <w:t xml:space="preserve"> and considered that th</w:t>
      </w:r>
      <w:r w:rsidR="0030603A" w:rsidRPr="005E2E4D">
        <w:t>is</w:t>
      </w:r>
      <w:r w:rsidR="008A1B1F" w:rsidRPr="005E2E4D">
        <w:t xml:space="preserve"> claim was poorly justified</w:t>
      </w:r>
      <w:r w:rsidR="00B1171B" w:rsidRPr="005E2E4D">
        <w:t>.</w:t>
      </w:r>
    </w:p>
    <w:p w14:paraId="3C5AAE97" w14:textId="380E2F6B" w:rsidR="00D14D51" w:rsidRPr="0028085E" w:rsidRDefault="00D14D51" w:rsidP="00D14D51">
      <w:pPr>
        <w:pStyle w:val="ExecSumBodyText"/>
      </w:pPr>
      <w:r w:rsidRPr="0028085E">
        <w:t xml:space="preserve">The resubmission assumed that relative treatment effects in the ARCH trial are generalisable to the second line setting. </w:t>
      </w:r>
      <w:r w:rsidR="008A1B1F" w:rsidRPr="005E2E4D">
        <w:t>The ESC noted that</w:t>
      </w:r>
      <w:r w:rsidR="008A1B1F">
        <w:rPr>
          <w:i/>
          <w:iCs/>
        </w:rPr>
        <w:t xml:space="preserve"> </w:t>
      </w:r>
      <w:r w:rsidR="008A1B1F">
        <w:t>n</w:t>
      </w:r>
      <w:r w:rsidRPr="0028085E">
        <w:t xml:space="preserve">o data were provided in the resubmission to support this assumption. Results from post-hoc analyses of romosozumab trials suggest potentially lower BMD gains should anabolic agents be used following anti-resorptive </w:t>
      </w:r>
      <w:r w:rsidRPr="00CB163D">
        <w:t>therapy</w:t>
      </w:r>
      <w:r w:rsidR="00A4448E" w:rsidRPr="00CB163D">
        <w:t xml:space="preserve"> (see paragraph </w:t>
      </w:r>
      <w:r w:rsidR="00A4448E" w:rsidRPr="00CB163D">
        <w:fldChar w:fldCharType="begin"/>
      </w:r>
      <w:r w:rsidR="00A4448E" w:rsidRPr="00CB163D">
        <w:instrText xml:space="preserve"> REF _Ref102142083 \r \h </w:instrText>
      </w:r>
      <w:r w:rsidR="00CB163D" w:rsidRPr="00CB163D">
        <w:instrText xml:space="preserve"> \* MERGEFORMAT </w:instrText>
      </w:r>
      <w:r w:rsidR="00A4448E" w:rsidRPr="00CB163D">
        <w:fldChar w:fldCharType="separate"/>
      </w:r>
      <w:r w:rsidR="00F57113">
        <w:t>6.23</w:t>
      </w:r>
      <w:r w:rsidR="00A4448E" w:rsidRPr="00CB163D">
        <w:fldChar w:fldCharType="end"/>
      </w:r>
      <w:r w:rsidR="00A4448E" w:rsidRPr="00CB163D">
        <w:t>)</w:t>
      </w:r>
      <w:r w:rsidRPr="00CB163D">
        <w:t>.</w:t>
      </w:r>
      <w:r w:rsidRPr="0028085E">
        <w:t xml:space="preserve"> The impact of differences in the magnitude of BMD gains </w:t>
      </w:r>
      <w:r w:rsidR="0092221C" w:rsidRPr="0028085E">
        <w:t>on</w:t>
      </w:r>
      <w:r w:rsidRPr="0028085E">
        <w:t xml:space="preserve"> fracture risk reduction was uncertain. </w:t>
      </w:r>
    </w:p>
    <w:p w14:paraId="2A25E311" w14:textId="7562B2B3" w:rsidR="002B48CC" w:rsidRPr="0028085E" w:rsidRDefault="002B48CC" w:rsidP="002B48CC">
      <w:pPr>
        <w:pStyle w:val="ExecSumBodyText"/>
      </w:pPr>
      <w:r w:rsidRPr="0028085E">
        <w:t>The resubmission claimed the expanded second line population is a</w:t>
      </w:r>
      <w:r w:rsidR="00EF72B7" w:rsidRPr="0028085E">
        <w:t>t</w:t>
      </w:r>
      <w:r w:rsidRPr="0028085E">
        <w:t xml:space="preserve"> higher </w:t>
      </w:r>
      <w:r w:rsidR="00EF72B7" w:rsidRPr="0028085E">
        <w:t xml:space="preserve">fracture </w:t>
      </w:r>
      <w:r w:rsidR="00534A55" w:rsidRPr="0028085E">
        <w:t xml:space="preserve">risk </w:t>
      </w:r>
      <w:r w:rsidRPr="0028085E">
        <w:t>than the proposed first line population as it includes patients with the same BMD threshold requirement of ≤</w:t>
      </w:r>
      <w:r w:rsidR="00B31255">
        <w:t> </w:t>
      </w:r>
      <w:r w:rsidRPr="0028085E">
        <w:t xml:space="preserve">-2.5 but </w:t>
      </w:r>
      <w:r w:rsidR="00534A55" w:rsidRPr="0028085E">
        <w:t xml:space="preserve">they </w:t>
      </w:r>
      <w:r w:rsidRPr="0028085E">
        <w:t>are older, have longer disease duration and higher fracture burden. Assuming constant relative treatment effects, higher underlying fracture risk would translate to a large</w:t>
      </w:r>
      <w:r w:rsidR="001A62BB" w:rsidRPr="0028085E">
        <w:t>r</w:t>
      </w:r>
      <w:r w:rsidRPr="0028085E">
        <w:t xml:space="preserve"> reduction in the incidence of fractures. </w:t>
      </w:r>
      <w:r w:rsidR="008A1B1F" w:rsidRPr="005E2E4D">
        <w:t>The ESC considered that</w:t>
      </w:r>
      <w:r w:rsidR="008A1B1F">
        <w:rPr>
          <w:i/>
          <w:iCs/>
        </w:rPr>
        <w:t xml:space="preserve"> </w:t>
      </w:r>
      <w:r w:rsidR="008A1B1F">
        <w:t>n</w:t>
      </w:r>
      <w:r w:rsidR="00534A55" w:rsidRPr="0028085E">
        <w:t xml:space="preserve">o data were provided in the resubmission to support this assumption. </w:t>
      </w:r>
      <w:r w:rsidRPr="0028085E">
        <w:t xml:space="preserve">It was unclear whether the expanded second line population are at a higher fracture risk compared to the first line population given the removal of the multiple fracture requirement. </w:t>
      </w:r>
    </w:p>
    <w:p w14:paraId="1A42AFB9" w14:textId="5DB58840" w:rsidR="00D14D51" w:rsidRDefault="00DC010D" w:rsidP="00641FB3">
      <w:pPr>
        <w:pStyle w:val="ExecSumBodyText"/>
      </w:pPr>
      <w:r w:rsidRPr="00DC010D">
        <w:t>The table below presents the key components of the economic evaluation.</w:t>
      </w:r>
    </w:p>
    <w:p w14:paraId="2C9D8301" w14:textId="1A8BBF8B" w:rsidR="00DC010D" w:rsidRDefault="00DC010D" w:rsidP="00DC010D">
      <w:pPr>
        <w:pStyle w:val="TableFigureCaption"/>
      </w:pPr>
      <w:r>
        <w:t xml:space="preserve">Table </w:t>
      </w:r>
      <w:fldSimple w:instr=" SEQ Table \* ARABIC ">
        <w:r w:rsidR="00016A98">
          <w:rPr>
            <w:noProof/>
          </w:rPr>
          <w:t>9</w:t>
        </w:r>
      </w:fldSimple>
      <w:r>
        <w:t>: Key components of the economic evaluation</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1E0" w:firstRow="1" w:lastRow="1" w:firstColumn="1" w:lastColumn="1" w:noHBand="0" w:noVBand="0"/>
      </w:tblPr>
      <w:tblGrid>
        <w:gridCol w:w="1381"/>
        <w:gridCol w:w="7636"/>
      </w:tblGrid>
      <w:tr w:rsidR="00DC010D" w14:paraId="3BC18FF5" w14:textId="77777777" w:rsidTr="003406B4">
        <w:trPr>
          <w:tblHeader/>
        </w:trPr>
        <w:tc>
          <w:tcPr>
            <w:tcW w:w="766" w:type="pct"/>
            <w:tcBorders>
              <w:top w:val="single" w:sz="4" w:space="0" w:color="auto"/>
              <w:left w:val="single" w:sz="4" w:space="0" w:color="auto"/>
              <w:bottom w:val="single" w:sz="4" w:space="0" w:color="auto"/>
              <w:right w:val="single" w:sz="4" w:space="0" w:color="auto"/>
            </w:tcBorders>
            <w:vAlign w:val="center"/>
            <w:hideMark/>
          </w:tcPr>
          <w:p w14:paraId="4B70A4B8" w14:textId="77777777" w:rsidR="00DC010D" w:rsidRDefault="00DC010D" w:rsidP="003406B4">
            <w:pPr>
              <w:pStyle w:val="Tableheadingrow"/>
            </w:pPr>
            <w:r>
              <w:t>Component</w:t>
            </w:r>
          </w:p>
        </w:tc>
        <w:tc>
          <w:tcPr>
            <w:tcW w:w="4234" w:type="pct"/>
            <w:tcBorders>
              <w:top w:val="single" w:sz="4" w:space="0" w:color="auto"/>
              <w:left w:val="single" w:sz="4" w:space="0" w:color="auto"/>
              <w:bottom w:val="single" w:sz="4" w:space="0" w:color="auto"/>
              <w:right w:val="single" w:sz="4" w:space="0" w:color="auto"/>
            </w:tcBorders>
            <w:vAlign w:val="center"/>
            <w:hideMark/>
          </w:tcPr>
          <w:p w14:paraId="3B6C107E" w14:textId="77777777" w:rsidR="00DC010D" w:rsidRDefault="00DC010D" w:rsidP="003406B4">
            <w:pPr>
              <w:pStyle w:val="Tableheadingrow"/>
            </w:pPr>
            <w:r>
              <w:t>Summary</w:t>
            </w:r>
          </w:p>
        </w:tc>
      </w:tr>
      <w:tr w:rsidR="00DC010D" w14:paraId="63B8C96D" w14:textId="77777777" w:rsidTr="003406B4">
        <w:tc>
          <w:tcPr>
            <w:tcW w:w="766" w:type="pct"/>
            <w:tcBorders>
              <w:top w:val="single" w:sz="4" w:space="0" w:color="auto"/>
              <w:left w:val="single" w:sz="4" w:space="0" w:color="auto"/>
              <w:bottom w:val="single" w:sz="4" w:space="0" w:color="auto"/>
              <w:right w:val="single" w:sz="4" w:space="0" w:color="auto"/>
            </w:tcBorders>
            <w:vAlign w:val="center"/>
            <w:hideMark/>
          </w:tcPr>
          <w:p w14:paraId="0BBC9036" w14:textId="77777777" w:rsidR="00DC010D" w:rsidRDefault="00DC010D" w:rsidP="003406B4">
            <w:pPr>
              <w:pStyle w:val="TableText"/>
            </w:pPr>
            <w:r>
              <w:t>Treatments</w:t>
            </w:r>
          </w:p>
        </w:tc>
        <w:tc>
          <w:tcPr>
            <w:tcW w:w="4234" w:type="pct"/>
            <w:tcBorders>
              <w:top w:val="single" w:sz="4" w:space="0" w:color="auto"/>
              <w:left w:val="single" w:sz="4" w:space="0" w:color="auto"/>
              <w:bottom w:val="single" w:sz="4" w:space="0" w:color="auto"/>
              <w:right w:val="single" w:sz="4" w:space="0" w:color="auto"/>
            </w:tcBorders>
            <w:vAlign w:val="center"/>
          </w:tcPr>
          <w:p w14:paraId="5BF511CD" w14:textId="77777777" w:rsidR="00DC010D" w:rsidRDefault="00DC010D" w:rsidP="003406B4">
            <w:pPr>
              <w:pStyle w:val="TableText"/>
            </w:pPr>
            <w:r>
              <w:t>Romosozumab/alendronate versus alendronate</w:t>
            </w:r>
          </w:p>
        </w:tc>
      </w:tr>
      <w:tr w:rsidR="00DC010D" w14:paraId="4A6DC389" w14:textId="77777777" w:rsidTr="003406B4">
        <w:tc>
          <w:tcPr>
            <w:tcW w:w="766" w:type="pct"/>
            <w:tcBorders>
              <w:top w:val="single" w:sz="4" w:space="0" w:color="auto"/>
              <w:left w:val="single" w:sz="4" w:space="0" w:color="auto"/>
              <w:bottom w:val="single" w:sz="4" w:space="0" w:color="auto"/>
              <w:right w:val="single" w:sz="4" w:space="0" w:color="auto"/>
            </w:tcBorders>
            <w:vAlign w:val="center"/>
            <w:hideMark/>
          </w:tcPr>
          <w:p w14:paraId="43144047" w14:textId="77777777" w:rsidR="00DC010D" w:rsidRDefault="00DC010D" w:rsidP="003406B4">
            <w:pPr>
              <w:pStyle w:val="TableText"/>
            </w:pPr>
            <w:r>
              <w:t>Time horizon</w:t>
            </w:r>
          </w:p>
        </w:tc>
        <w:tc>
          <w:tcPr>
            <w:tcW w:w="4234" w:type="pct"/>
            <w:tcBorders>
              <w:top w:val="single" w:sz="4" w:space="0" w:color="auto"/>
              <w:left w:val="single" w:sz="4" w:space="0" w:color="auto"/>
              <w:bottom w:val="single" w:sz="4" w:space="0" w:color="auto"/>
              <w:right w:val="single" w:sz="4" w:space="0" w:color="auto"/>
            </w:tcBorders>
            <w:vAlign w:val="center"/>
          </w:tcPr>
          <w:p w14:paraId="7AF2A9EC" w14:textId="77777777" w:rsidR="00DC010D" w:rsidRDefault="00DC010D" w:rsidP="003406B4">
            <w:pPr>
              <w:pStyle w:val="TableText"/>
            </w:pPr>
            <w:r>
              <w:t>20 years in the model base case (to age 94) versus 3 years in the ARCH trial</w:t>
            </w:r>
          </w:p>
        </w:tc>
      </w:tr>
      <w:tr w:rsidR="00DC010D" w14:paraId="7F1675F2" w14:textId="77777777" w:rsidTr="003406B4">
        <w:tc>
          <w:tcPr>
            <w:tcW w:w="766" w:type="pct"/>
            <w:tcBorders>
              <w:top w:val="single" w:sz="4" w:space="0" w:color="auto"/>
              <w:left w:val="single" w:sz="4" w:space="0" w:color="auto"/>
              <w:bottom w:val="single" w:sz="4" w:space="0" w:color="auto"/>
              <w:right w:val="single" w:sz="4" w:space="0" w:color="auto"/>
            </w:tcBorders>
            <w:vAlign w:val="center"/>
            <w:hideMark/>
          </w:tcPr>
          <w:p w14:paraId="6FF341E6" w14:textId="77777777" w:rsidR="00DC010D" w:rsidRDefault="00DC010D" w:rsidP="003406B4">
            <w:pPr>
              <w:pStyle w:val="TableText"/>
            </w:pPr>
            <w:r>
              <w:t>Outcomes</w:t>
            </w:r>
          </w:p>
        </w:tc>
        <w:tc>
          <w:tcPr>
            <w:tcW w:w="4234" w:type="pct"/>
            <w:tcBorders>
              <w:top w:val="single" w:sz="4" w:space="0" w:color="auto"/>
              <w:left w:val="single" w:sz="4" w:space="0" w:color="auto"/>
              <w:bottom w:val="single" w:sz="4" w:space="0" w:color="auto"/>
              <w:right w:val="single" w:sz="4" w:space="0" w:color="auto"/>
            </w:tcBorders>
            <w:vAlign w:val="center"/>
          </w:tcPr>
          <w:p w14:paraId="6233FA4E" w14:textId="77777777" w:rsidR="00DC010D" w:rsidRDefault="00DC010D" w:rsidP="003406B4">
            <w:pPr>
              <w:pStyle w:val="TableText"/>
            </w:pPr>
            <w:r>
              <w:t>Life years and quality adjusted life years (QALYs)</w:t>
            </w:r>
          </w:p>
        </w:tc>
      </w:tr>
      <w:tr w:rsidR="00DC010D" w14:paraId="4D48B5F9" w14:textId="77777777" w:rsidTr="003406B4">
        <w:tc>
          <w:tcPr>
            <w:tcW w:w="766" w:type="pct"/>
            <w:tcBorders>
              <w:top w:val="single" w:sz="4" w:space="0" w:color="auto"/>
              <w:left w:val="single" w:sz="4" w:space="0" w:color="auto"/>
              <w:bottom w:val="single" w:sz="4" w:space="0" w:color="auto"/>
              <w:right w:val="single" w:sz="4" w:space="0" w:color="auto"/>
            </w:tcBorders>
            <w:vAlign w:val="center"/>
            <w:hideMark/>
          </w:tcPr>
          <w:p w14:paraId="1BB7CF89" w14:textId="77777777" w:rsidR="00DC010D" w:rsidRDefault="00DC010D" w:rsidP="003406B4">
            <w:pPr>
              <w:pStyle w:val="TableText"/>
            </w:pPr>
            <w:r>
              <w:t>Methods used to generate results</w:t>
            </w:r>
          </w:p>
        </w:tc>
        <w:tc>
          <w:tcPr>
            <w:tcW w:w="4234" w:type="pct"/>
            <w:tcBorders>
              <w:top w:val="single" w:sz="4" w:space="0" w:color="auto"/>
              <w:left w:val="single" w:sz="4" w:space="0" w:color="auto"/>
              <w:bottom w:val="single" w:sz="4" w:space="0" w:color="auto"/>
              <w:right w:val="single" w:sz="4" w:space="0" w:color="auto"/>
            </w:tcBorders>
            <w:vAlign w:val="center"/>
          </w:tcPr>
          <w:p w14:paraId="75A16FBE" w14:textId="77777777" w:rsidR="00DC010D" w:rsidRDefault="00DC010D" w:rsidP="003406B4">
            <w:pPr>
              <w:pStyle w:val="TableText"/>
            </w:pPr>
            <w:r>
              <w:t>Markov cohort model with tunnel states (half-cycle corrected)</w:t>
            </w:r>
          </w:p>
        </w:tc>
      </w:tr>
      <w:tr w:rsidR="00DC010D" w14:paraId="4CF85071" w14:textId="77777777" w:rsidTr="003406B4">
        <w:tc>
          <w:tcPr>
            <w:tcW w:w="766" w:type="pct"/>
            <w:tcBorders>
              <w:top w:val="single" w:sz="4" w:space="0" w:color="auto"/>
              <w:left w:val="single" w:sz="4" w:space="0" w:color="auto"/>
              <w:bottom w:val="single" w:sz="4" w:space="0" w:color="auto"/>
              <w:right w:val="single" w:sz="4" w:space="0" w:color="auto"/>
            </w:tcBorders>
            <w:vAlign w:val="center"/>
            <w:hideMark/>
          </w:tcPr>
          <w:p w14:paraId="7979E54C" w14:textId="77777777" w:rsidR="00DC010D" w:rsidRDefault="00DC010D" w:rsidP="003406B4">
            <w:pPr>
              <w:pStyle w:val="TableText"/>
            </w:pPr>
            <w:r>
              <w:t>Health states</w:t>
            </w:r>
          </w:p>
        </w:tc>
        <w:tc>
          <w:tcPr>
            <w:tcW w:w="4234" w:type="pct"/>
            <w:tcBorders>
              <w:top w:val="single" w:sz="4" w:space="0" w:color="auto"/>
              <w:left w:val="single" w:sz="4" w:space="0" w:color="auto"/>
              <w:bottom w:val="single" w:sz="4" w:space="0" w:color="auto"/>
              <w:right w:val="single" w:sz="4" w:space="0" w:color="auto"/>
            </w:tcBorders>
            <w:vAlign w:val="center"/>
          </w:tcPr>
          <w:p w14:paraId="545E9EA0" w14:textId="77777777" w:rsidR="00DC010D" w:rsidRDefault="00DC010D" w:rsidP="003406B4">
            <w:pPr>
              <w:pStyle w:val="TableText"/>
            </w:pPr>
            <w:r>
              <w:t xml:space="preserve">7 health states including 3 on-treatment health states (no fracture/other fracture, post- hip fracture, post-vertebral fracture), 3 off-treatment health states (no fracture/other fracture, post- hip fracture, post-vertebral fracture) and dead. </w:t>
            </w:r>
          </w:p>
        </w:tc>
      </w:tr>
      <w:tr w:rsidR="00DC010D" w14:paraId="7C525253" w14:textId="77777777" w:rsidTr="003406B4">
        <w:tc>
          <w:tcPr>
            <w:tcW w:w="766" w:type="pct"/>
            <w:tcBorders>
              <w:top w:val="single" w:sz="4" w:space="0" w:color="auto"/>
              <w:left w:val="single" w:sz="4" w:space="0" w:color="auto"/>
              <w:bottom w:val="single" w:sz="4" w:space="0" w:color="auto"/>
              <w:right w:val="single" w:sz="4" w:space="0" w:color="auto"/>
            </w:tcBorders>
            <w:vAlign w:val="center"/>
            <w:hideMark/>
          </w:tcPr>
          <w:p w14:paraId="6D32E39A" w14:textId="77777777" w:rsidR="00DC010D" w:rsidRDefault="00DC010D" w:rsidP="003406B4">
            <w:pPr>
              <w:pStyle w:val="TableText"/>
            </w:pPr>
            <w:r>
              <w:t>Cycle length</w:t>
            </w:r>
          </w:p>
        </w:tc>
        <w:tc>
          <w:tcPr>
            <w:tcW w:w="4234" w:type="pct"/>
            <w:tcBorders>
              <w:top w:val="single" w:sz="4" w:space="0" w:color="auto"/>
              <w:left w:val="single" w:sz="4" w:space="0" w:color="auto"/>
              <w:bottom w:val="single" w:sz="4" w:space="0" w:color="auto"/>
              <w:right w:val="single" w:sz="4" w:space="0" w:color="auto"/>
            </w:tcBorders>
            <w:vAlign w:val="center"/>
          </w:tcPr>
          <w:p w14:paraId="54528201" w14:textId="77777777" w:rsidR="00DC010D" w:rsidRDefault="00DC010D" w:rsidP="003406B4">
            <w:pPr>
              <w:pStyle w:val="TableText"/>
            </w:pPr>
            <w:r>
              <w:t>Annual</w:t>
            </w:r>
          </w:p>
        </w:tc>
      </w:tr>
      <w:tr w:rsidR="00DC010D" w14:paraId="1A7898EA" w14:textId="77777777" w:rsidTr="003406B4">
        <w:tc>
          <w:tcPr>
            <w:tcW w:w="766" w:type="pct"/>
            <w:tcBorders>
              <w:top w:val="single" w:sz="4" w:space="0" w:color="auto"/>
              <w:left w:val="single" w:sz="4" w:space="0" w:color="auto"/>
              <w:bottom w:val="single" w:sz="4" w:space="0" w:color="auto"/>
              <w:right w:val="single" w:sz="4" w:space="0" w:color="auto"/>
            </w:tcBorders>
            <w:vAlign w:val="center"/>
            <w:hideMark/>
          </w:tcPr>
          <w:p w14:paraId="7D2D44EB" w14:textId="77777777" w:rsidR="00DC010D" w:rsidRPr="0081306F" w:rsidRDefault="00DC010D" w:rsidP="003406B4">
            <w:pPr>
              <w:pStyle w:val="TableText"/>
            </w:pPr>
            <w:r w:rsidRPr="0081306F">
              <w:t>Transition probabilities</w:t>
            </w:r>
          </w:p>
        </w:tc>
        <w:tc>
          <w:tcPr>
            <w:tcW w:w="4234" w:type="pct"/>
            <w:tcBorders>
              <w:top w:val="single" w:sz="4" w:space="0" w:color="auto"/>
              <w:left w:val="single" w:sz="4" w:space="0" w:color="auto"/>
              <w:bottom w:val="single" w:sz="4" w:space="0" w:color="auto"/>
              <w:right w:val="single" w:sz="4" w:space="0" w:color="auto"/>
            </w:tcBorders>
            <w:vAlign w:val="center"/>
          </w:tcPr>
          <w:p w14:paraId="4CB9D47F" w14:textId="22ECEAE9" w:rsidR="00DC010D" w:rsidRPr="0081306F" w:rsidRDefault="00DC010D" w:rsidP="003406B4">
            <w:pPr>
              <w:pStyle w:val="TableText"/>
            </w:pPr>
            <w:r w:rsidRPr="0081306F">
              <w:t>Transition probabilities for fracture in the on-treatment health states were derived from</w:t>
            </w:r>
            <w:r w:rsidR="00516A72" w:rsidRPr="0081306F">
              <w:t xml:space="preserve"> </w:t>
            </w:r>
            <w:r w:rsidR="00AD08E9" w:rsidRPr="0081306F">
              <w:t xml:space="preserve">the </w:t>
            </w:r>
            <w:r w:rsidR="00516A72" w:rsidRPr="0081306F">
              <w:t>alendronate arm of</w:t>
            </w:r>
            <w:r w:rsidRPr="0081306F">
              <w:t xml:space="preserve"> the ARCH trial. Treatment effect estimates for the romosozumab/alendronate arm were derived from the ARCH trial for the first 3 years then assumed to diminish in a linear fashion until convergence of fracture risks with the alendronate arm by Year 6. Treatment discontinuation was assumed to be 5% yearly. Transition probabilities for fracture in the off-treatment health states were derived from the </w:t>
            </w:r>
            <w:r w:rsidR="00516A72" w:rsidRPr="0081306F">
              <w:t xml:space="preserve">alendronate arm of the </w:t>
            </w:r>
            <w:r w:rsidRPr="0081306F">
              <w:t xml:space="preserve">ARCH trial and adjusted using fracture risk multipliers. The incidence of serious cardiovascular events was derived from the ARCH trial. Probability of death was based on Australian life tables adjusted using fracture-related mortality multipliers. </w:t>
            </w:r>
          </w:p>
          <w:p w14:paraId="1019DFFC" w14:textId="77777777" w:rsidR="00DC010D" w:rsidRPr="0081306F" w:rsidRDefault="00DC010D" w:rsidP="003406B4">
            <w:pPr>
              <w:pStyle w:val="TableText"/>
            </w:pPr>
          </w:p>
          <w:p w14:paraId="4BB283D6" w14:textId="77777777" w:rsidR="00DC010D" w:rsidRPr="0081306F" w:rsidRDefault="00DC010D" w:rsidP="003406B4">
            <w:pPr>
              <w:pStyle w:val="TableText"/>
            </w:pPr>
            <w:r w:rsidRPr="0081306F">
              <w:t xml:space="preserve">78% of QALYs occur in the extrapolated period. Incremental costs were accrued in the trial period and were offset over time primarily due to reduced fracture costs. </w:t>
            </w:r>
          </w:p>
        </w:tc>
      </w:tr>
      <w:tr w:rsidR="00DC010D" w14:paraId="74308CEF" w14:textId="77777777" w:rsidTr="003406B4">
        <w:tc>
          <w:tcPr>
            <w:tcW w:w="766" w:type="pct"/>
            <w:tcBorders>
              <w:top w:val="single" w:sz="4" w:space="0" w:color="auto"/>
              <w:left w:val="single" w:sz="4" w:space="0" w:color="auto"/>
              <w:bottom w:val="single" w:sz="4" w:space="0" w:color="auto"/>
              <w:right w:val="single" w:sz="4" w:space="0" w:color="auto"/>
            </w:tcBorders>
            <w:vAlign w:val="center"/>
            <w:hideMark/>
          </w:tcPr>
          <w:p w14:paraId="1F8EF944" w14:textId="77777777" w:rsidR="00DC010D" w:rsidRDefault="00DC010D" w:rsidP="003406B4">
            <w:pPr>
              <w:pStyle w:val="TableText"/>
            </w:pPr>
            <w:r>
              <w:t>Costs</w:t>
            </w:r>
          </w:p>
        </w:tc>
        <w:tc>
          <w:tcPr>
            <w:tcW w:w="4234" w:type="pct"/>
            <w:tcBorders>
              <w:top w:val="single" w:sz="4" w:space="0" w:color="auto"/>
              <w:left w:val="single" w:sz="4" w:space="0" w:color="auto"/>
              <w:bottom w:val="single" w:sz="4" w:space="0" w:color="auto"/>
              <w:right w:val="single" w:sz="4" w:space="0" w:color="auto"/>
            </w:tcBorders>
            <w:vAlign w:val="center"/>
          </w:tcPr>
          <w:p w14:paraId="4AFD5848" w14:textId="14E47994" w:rsidR="00DC010D" w:rsidRDefault="00DC010D" w:rsidP="003406B4">
            <w:pPr>
              <w:pStyle w:val="TableText"/>
            </w:pPr>
            <w:r>
              <w:t>Drug acquisition costs were estimated using the proposed</w:t>
            </w:r>
            <w:r w:rsidR="00516A72">
              <w:t xml:space="preserve"> effective</w:t>
            </w:r>
            <w:r>
              <w:t xml:space="preserve"> </w:t>
            </w:r>
            <w:r w:rsidR="0073612A">
              <w:t>price for romosozumab and published DPMQ for alendronate and denosumab</w:t>
            </w:r>
            <w:r>
              <w:t>. Administration costs were based on MBS costs for GP and nurse administrations. Acute fracture costs were derived from the ICUROS study</w:t>
            </w:r>
            <w:r w:rsidR="00516A72">
              <w:t xml:space="preserve"> (Watts 2013)</w:t>
            </w:r>
            <w:r>
              <w:t>, inflated from 2012 estimates to 2021 costs. Cardiovascular event management costs were based on acute hospitalisation and additional costs during the initial 12 months (readmissions and out of hospital costs)</w:t>
            </w:r>
            <w:r w:rsidR="00A21032">
              <w:t xml:space="preserve"> (Ioannides-Demos 2010)</w:t>
            </w:r>
            <w:r>
              <w:t xml:space="preserve">. Cardiovascular monitoring costs were based on MBS costs for blood tests, electrocardiograms, and specialist visits.  </w:t>
            </w:r>
          </w:p>
        </w:tc>
      </w:tr>
      <w:tr w:rsidR="00DC010D" w14:paraId="054466B3" w14:textId="77777777" w:rsidTr="003406B4">
        <w:tc>
          <w:tcPr>
            <w:tcW w:w="766" w:type="pct"/>
            <w:tcBorders>
              <w:top w:val="single" w:sz="4" w:space="0" w:color="auto"/>
              <w:left w:val="single" w:sz="4" w:space="0" w:color="auto"/>
              <w:bottom w:val="single" w:sz="4" w:space="0" w:color="auto"/>
              <w:right w:val="single" w:sz="4" w:space="0" w:color="auto"/>
            </w:tcBorders>
            <w:vAlign w:val="center"/>
            <w:hideMark/>
          </w:tcPr>
          <w:p w14:paraId="059B914F" w14:textId="77777777" w:rsidR="00DC010D" w:rsidRDefault="00DC010D" w:rsidP="003406B4">
            <w:pPr>
              <w:pStyle w:val="TableText"/>
            </w:pPr>
            <w:r>
              <w:t>Health related quality of life</w:t>
            </w:r>
          </w:p>
        </w:tc>
        <w:tc>
          <w:tcPr>
            <w:tcW w:w="4234" w:type="pct"/>
            <w:tcBorders>
              <w:top w:val="single" w:sz="4" w:space="0" w:color="auto"/>
              <w:left w:val="single" w:sz="4" w:space="0" w:color="auto"/>
              <w:bottom w:val="single" w:sz="4" w:space="0" w:color="auto"/>
              <w:right w:val="single" w:sz="4" w:space="0" w:color="auto"/>
            </w:tcBorders>
            <w:vAlign w:val="center"/>
          </w:tcPr>
          <w:p w14:paraId="3C222724" w14:textId="0544F8F4" w:rsidR="00DC010D" w:rsidRDefault="00DC010D" w:rsidP="003406B4">
            <w:pPr>
              <w:pStyle w:val="TableText"/>
            </w:pPr>
            <w:r>
              <w:t>Baseline utility, incident fracture QALY loss and ongoing fracture disutilities were derived from the Australian cohort of the ICUROS study</w:t>
            </w:r>
            <w:r w:rsidR="001C2B9A">
              <w:t xml:space="preserve"> (</w:t>
            </w:r>
            <w:r w:rsidR="001C2B9A" w:rsidRPr="001C2B9A">
              <w:t>Abimanyi-Ochom 2015</w:t>
            </w:r>
            <w:r w:rsidR="001C2B9A">
              <w:t>)</w:t>
            </w:r>
            <w:r>
              <w:t>. The cardiovascular event disutility was based on a published disutility for an acute myocardial infarction</w:t>
            </w:r>
            <w:r w:rsidR="006C009F">
              <w:t xml:space="preserve"> (Sullivan 2011)</w:t>
            </w:r>
            <w:r>
              <w:t>.</w:t>
            </w:r>
          </w:p>
        </w:tc>
      </w:tr>
      <w:tr w:rsidR="00DC010D" w14:paraId="26226C79" w14:textId="77777777" w:rsidTr="003406B4">
        <w:tc>
          <w:tcPr>
            <w:tcW w:w="766" w:type="pct"/>
            <w:tcBorders>
              <w:top w:val="single" w:sz="4" w:space="0" w:color="auto"/>
              <w:left w:val="single" w:sz="4" w:space="0" w:color="auto"/>
              <w:bottom w:val="single" w:sz="4" w:space="0" w:color="auto"/>
              <w:right w:val="single" w:sz="4" w:space="0" w:color="auto"/>
            </w:tcBorders>
            <w:vAlign w:val="center"/>
            <w:hideMark/>
          </w:tcPr>
          <w:p w14:paraId="2C24939B" w14:textId="77777777" w:rsidR="00DC010D" w:rsidRDefault="00DC010D" w:rsidP="003406B4">
            <w:pPr>
              <w:pStyle w:val="TableText"/>
            </w:pPr>
            <w:r>
              <w:t>Discount rate</w:t>
            </w:r>
          </w:p>
        </w:tc>
        <w:tc>
          <w:tcPr>
            <w:tcW w:w="4234" w:type="pct"/>
            <w:tcBorders>
              <w:top w:val="single" w:sz="4" w:space="0" w:color="auto"/>
              <w:left w:val="single" w:sz="4" w:space="0" w:color="auto"/>
              <w:bottom w:val="single" w:sz="4" w:space="0" w:color="auto"/>
              <w:right w:val="single" w:sz="4" w:space="0" w:color="auto"/>
            </w:tcBorders>
            <w:vAlign w:val="center"/>
            <w:hideMark/>
          </w:tcPr>
          <w:p w14:paraId="123F6C17" w14:textId="56EB8DDD" w:rsidR="00DC010D" w:rsidRPr="0028085E" w:rsidRDefault="00DC010D" w:rsidP="003406B4">
            <w:pPr>
              <w:pStyle w:val="TableText"/>
            </w:pPr>
            <w:r w:rsidRPr="0028085E">
              <w:t xml:space="preserve">Revised base case </w:t>
            </w:r>
            <w:r w:rsidR="00C1662E" w:rsidRPr="0028085E">
              <w:t xml:space="preserve">in the evaluation </w:t>
            </w:r>
            <w:r w:rsidRPr="0028085E">
              <w:t>used 5% per annum (1.5% used in the base case of the resubmission)</w:t>
            </w:r>
          </w:p>
        </w:tc>
      </w:tr>
      <w:tr w:rsidR="00DC010D" w14:paraId="642B098D" w14:textId="77777777" w:rsidTr="003406B4">
        <w:tc>
          <w:tcPr>
            <w:tcW w:w="766" w:type="pct"/>
            <w:tcBorders>
              <w:top w:val="single" w:sz="4" w:space="0" w:color="auto"/>
              <w:left w:val="single" w:sz="4" w:space="0" w:color="auto"/>
              <w:bottom w:val="single" w:sz="4" w:space="0" w:color="auto"/>
              <w:right w:val="single" w:sz="4" w:space="0" w:color="auto"/>
            </w:tcBorders>
            <w:vAlign w:val="center"/>
            <w:hideMark/>
          </w:tcPr>
          <w:p w14:paraId="11A827B1" w14:textId="77777777" w:rsidR="00DC010D" w:rsidRDefault="00DC010D" w:rsidP="003406B4">
            <w:pPr>
              <w:pStyle w:val="TableText"/>
            </w:pPr>
            <w:r>
              <w:t>Software package</w:t>
            </w:r>
          </w:p>
        </w:tc>
        <w:tc>
          <w:tcPr>
            <w:tcW w:w="4234" w:type="pct"/>
            <w:tcBorders>
              <w:top w:val="single" w:sz="4" w:space="0" w:color="auto"/>
              <w:left w:val="single" w:sz="4" w:space="0" w:color="auto"/>
              <w:bottom w:val="single" w:sz="4" w:space="0" w:color="auto"/>
              <w:right w:val="single" w:sz="4" w:space="0" w:color="auto"/>
            </w:tcBorders>
            <w:vAlign w:val="center"/>
            <w:hideMark/>
          </w:tcPr>
          <w:p w14:paraId="7B075A95" w14:textId="77777777" w:rsidR="00DC010D" w:rsidRDefault="00DC010D" w:rsidP="003406B4">
            <w:pPr>
              <w:pStyle w:val="TableText"/>
            </w:pPr>
            <w:r>
              <w:t>Excel</w:t>
            </w:r>
          </w:p>
        </w:tc>
      </w:tr>
    </w:tbl>
    <w:p w14:paraId="621A5723" w14:textId="77777777" w:rsidR="00DC010D" w:rsidRDefault="00DC010D" w:rsidP="00DC010D">
      <w:pPr>
        <w:pStyle w:val="TableFigureFooter"/>
      </w:pPr>
      <w:r>
        <w:t>Source: Table 3.1-2, p61 of the resubmission</w:t>
      </w:r>
    </w:p>
    <w:p w14:paraId="5B5F7B98" w14:textId="488AAC1F" w:rsidR="00490B17" w:rsidRPr="0028085E" w:rsidRDefault="00DC010D" w:rsidP="002E1071">
      <w:pPr>
        <w:pStyle w:val="ExecSumBodyText"/>
      </w:pPr>
      <w:bookmarkStart w:id="45" w:name="_Ref110496428"/>
      <w:r w:rsidRPr="00DC010D">
        <w:t xml:space="preserve">Multiple revisions were made to model inputs to address significant concerns raised by the ESC at the November 2018 meeting including the extrapolation of treatment effect, fracture risks, mortality, utility values and cardiovascular events. There were additional changes to the model structure with the inclusion of off-treatment health states, and all cost inputs have been revised. </w:t>
      </w:r>
      <w:r w:rsidRPr="0028085E">
        <w:t>The economic analysis in the current resubmission was fundamentally different to the model previously considered by the PBAC.</w:t>
      </w:r>
      <w:bookmarkEnd w:id="45"/>
      <w:r w:rsidRPr="0028085E">
        <w:t xml:space="preserve">  </w:t>
      </w:r>
    </w:p>
    <w:p w14:paraId="1546F836" w14:textId="6D745D05" w:rsidR="00DC010D" w:rsidRPr="005E2E4D" w:rsidRDefault="00DC010D" w:rsidP="002E1071">
      <w:pPr>
        <w:pStyle w:val="ExecSumBodyText"/>
      </w:pPr>
      <w:r w:rsidRPr="0028085E">
        <w:t xml:space="preserve">There was an error in the vertebral and other fracture cost inputs in the economic model of the resubmission. The cost of a vertebral fracture was used as the cost of other fractures and vice versa. </w:t>
      </w:r>
      <w:r w:rsidR="008A1B1F" w:rsidRPr="005E2E4D">
        <w:t>The PSCR acknowledged the evaluation correctly identified an error in the attribution of fracture costs in the economic model. The ESC noted this was corrected during the evaluation in the revised base case.</w:t>
      </w:r>
    </w:p>
    <w:p w14:paraId="2A6F3615" w14:textId="3D8615CA" w:rsidR="00086620" w:rsidRDefault="00052901" w:rsidP="002E1071">
      <w:pPr>
        <w:pStyle w:val="ExecSumBodyText"/>
      </w:pPr>
      <w:r w:rsidRPr="00052901">
        <w:t xml:space="preserve">All patients start in the baseline health state of no incident fracture, with an elevated mortality risk due to prior prevalent fracture. In each annual cycle, patients can have no event or experience a hip fracture, vertebral fracture, other fracture, or death. Patients experiencing multiple fracture events accrue the costs and consequences of each event and have ongoing chronic costs and consequences based on the most severe event (hip fracture &gt; vertebral fracture &gt; severe osteoporosis with no fracture/other fracture). The model </w:t>
      </w:r>
      <w:r w:rsidR="00473F90">
        <w:t>uses</w:t>
      </w:r>
      <w:r w:rsidRPr="00052901">
        <w:t xml:space="preserve"> tunnel states to adjust mortality risk based on time since fracture.</w:t>
      </w:r>
    </w:p>
    <w:p w14:paraId="43657E48" w14:textId="476E4650" w:rsidR="00052901" w:rsidRDefault="00052901" w:rsidP="002E1071">
      <w:pPr>
        <w:pStyle w:val="ExecSumBodyText"/>
      </w:pPr>
      <w:r w:rsidRPr="00052901">
        <w:t xml:space="preserve">Patients receive romosozumab for one year followed by alendronate or alendronate only throughout the course of the model. In each cycle, patients who are alive can discontinue treatment and enter </w:t>
      </w:r>
      <w:r w:rsidR="00473F90">
        <w:t>corresponding</w:t>
      </w:r>
      <w:r w:rsidRPr="00052901">
        <w:t xml:space="preserve"> off-treatment health states of no fracture/other fracture, hip fracture or vertebral fracture. In each cycle, patients in the off-treatment health states can also have no event or experience a hip fracture, vertebral fracture, other fracture, or death; however, these patients are at an elevated fracture risk compared to those remaining on treatment. Patients who are off treatment have no treatment costs and accrue the same fracture-related costs and consequences as on-treatment patients.</w:t>
      </w:r>
    </w:p>
    <w:p w14:paraId="64E8E580" w14:textId="24216B80" w:rsidR="00C86F91" w:rsidRPr="0028085E" w:rsidRDefault="00C86F91" w:rsidP="002E1071">
      <w:pPr>
        <w:pStyle w:val="ExecSumBodyText"/>
      </w:pPr>
      <w:r w:rsidRPr="00C86F91">
        <w:t xml:space="preserve">The resubmission acknowledged that the use of the cohort model structure limited the ability to track multiple fractures at the same site, which necessitated the use of incidence rather than event rates in the model and restricted the attribution of fracture-related costs and consequences. </w:t>
      </w:r>
      <w:r w:rsidRPr="0028085E">
        <w:t>A microsimulation would have greater ability to track patients when many health states are of relevance as well as when patients are assumed to be at changing risk of incurring multiple events with long term consequences, as is the case with osteoporosis.</w:t>
      </w:r>
    </w:p>
    <w:p w14:paraId="051BF797" w14:textId="77777777" w:rsidR="0022006A" w:rsidRPr="00052901" w:rsidRDefault="0022006A" w:rsidP="0022006A">
      <w:pPr>
        <w:pStyle w:val="ExecSumBodyText"/>
      </w:pPr>
      <w:r>
        <w:t>Key drivers of the economic model are summarised in the table below.</w:t>
      </w:r>
    </w:p>
    <w:p w14:paraId="1CF60691" w14:textId="02CBE009" w:rsidR="0022006A" w:rsidRDefault="0022006A" w:rsidP="0022006A">
      <w:pPr>
        <w:pStyle w:val="TableFigureCaption"/>
      </w:pPr>
      <w:r>
        <w:t xml:space="preserve">Table </w:t>
      </w:r>
      <w:fldSimple w:instr=" SEQ Table \* ARABIC ">
        <w:r w:rsidR="00016A98">
          <w:rPr>
            <w:noProof/>
          </w:rPr>
          <w:t>10</w:t>
        </w:r>
      </w:fldSimple>
      <w:r>
        <w:t xml:space="preserve">: </w:t>
      </w:r>
      <w:r w:rsidRPr="00262BDA">
        <w:t>Key drivers of the model</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1226"/>
        <w:gridCol w:w="6566"/>
        <w:gridCol w:w="1225"/>
      </w:tblGrid>
      <w:tr w:rsidR="0022006A" w:rsidRPr="00262BDA" w14:paraId="4AFF97FF" w14:textId="77777777" w:rsidTr="003406B4">
        <w:trPr>
          <w:tblHeader/>
        </w:trPr>
        <w:tc>
          <w:tcPr>
            <w:tcW w:w="680" w:type="pct"/>
            <w:shd w:val="clear" w:color="auto" w:fill="auto"/>
            <w:vAlign w:val="center"/>
          </w:tcPr>
          <w:p w14:paraId="2566B0AF" w14:textId="77777777" w:rsidR="0022006A" w:rsidRPr="00262BDA" w:rsidRDefault="0022006A" w:rsidP="003406B4">
            <w:pPr>
              <w:pStyle w:val="Tableheadingrow"/>
              <w:jc w:val="center"/>
              <w:rPr>
                <w:lang w:val="en-AU"/>
              </w:rPr>
            </w:pPr>
            <w:r w:rsidRPr="00262BDA">
              <w:rPr>
                <w:lang w:val="en-AU"/>
              </w:rPr>
              <w:t>Description</w:t>
            </w:r>
          </w:p>
        </w:tc>
        <w:tc>
          <w:tcPr>
            <w:tcW w:w="3641" w:type="pct"/>
            <w:shd w:val="clear" w:color="auto" w:fill="auto"/>
            <w:vAlign w:val="center"/>
          </w:tcPr>
          <w:p w14:paraId="6F94F267" w14:textId="77777777" w:rsidR="0022006A" w:rsidRPr="00262BDA" w:rsidRDefault="0022006A" w:rsidP="003406B4">
            <w:pPr>
              <w:pStyle w:val="Tableheadingrow"/>
              <w:jc w:val="center"/>
              <w:rPr>
                <w:lang w:val="en-AU"/>
              </w:rPr>
            </w:pPr>
            <w:r w:rsidRPr="00262BDA">
              <w:rPr>
                <w:lang w:val="en-AU"/>
              </w:rPr>
              <w:t>Method/Value</w:t>
            </w:r>
          </w:p>
        </w:tc>
        <w:tc>
          <w:tcPr>
            <w:tcW w:w="679" w:type="pct"/>
            <w:shd w:val="clear" w:color="auto" w:fill="auto"/>
            <w:vAlign w:val="center"/>
          </w:tcPr>
          <w:p w14:paraId="40244889" w14:textId="77777777" w:rsidR="0022006A" w:rsidRPr="00262BDA" w:rsidRDefault="0022006A" w:rsidP="003406B4">
            <w:pPr>
              <w:pStyle w:val="Tableheadingrow"/>
              <w:jc w:val="center"/>
              <w:rPr>
                <w:lang w:val="en-AU"/>
              </w:rPr>
            </w:pPr>
            <w:r w:rsidRPr="00262BDA">
              <w:rPr>
                <w:lang w:val="en-AU"/>
              </w:rPr>
              <w:t>Impact</w:t>
            </w:r>
          </w:p>
        </w:tc>
      </w:tr>
      <w:tr w:rsidR="0022006A" w:rsidRPr="0028085E" w14:paraId="4572F1E8" w14:textId="77777777" w:rsidTr="003406B4">
        <w:tc>
          <w:tcPr>
            <w:tcW w:w="680" w:type="pct"/>
            <w:shd w:val="clear" w:color="auto" w:fill="auto"/>
            <w:vAlign w:val="center"/>
          </w:tcPr>
          <w:p w14:paraId="4A76DE83" w14:textId="77777777" w:rsidR="0022006A" w:rsidRPr="0028085E" w:rsidRDefault="0022006A" w:rsidP="003406B4">
            <w:pPr>
              <w:pStyle w:val="TableText"/>
              <w:jc w:val="center"/>
            </w:pPr>
            <w:r w:rsidRPr="0028085E">
              <w:t>Magnitude of treatment effect</w:t>
            </w:r>
          </w:p>
        </w:tc>
        <w:tc>
          <w:tcPr>
            <w:tcW w:w="3641" w:type="pct"/>
            <w:shd w:val="clear" w:color="auto" w:fill="auto"/>
            <w:vAlign w:val="center"/>
          </w:tcPr>
          <w:p w14:paraId="4D432F5D" w14:textId="77777777" w:rsidR="0022006A" w:rsidRPr="0028085E" w:rsidRDefault="0022006A" w:rsidP="003406B4">
            <w:pPr>
              <w:pStyle w:val="TableText"/>
            </w:pPr>
            <w:r w:rsidRPr="0028085E">
              <w:t>Treatment effects modelled based on data from the ARCH trial. The estimated cost-effectiveness of romosozumab is sensitive to uncertainty around the point estimates used in the model.</w:t>
            </w:r>
          </w:p>
        </w:tc>
        <w:tc>
          <w:tcPr>
            <w:tcW w:w="679" w:type="pct"/>
            <w:shd w:val="clear" w:color="auto" w:fill="auto"/>
            <w:vAlign w:val="center"/>
          </w:tcPr>
          <w:p w14:paraId="257CF295" w14:textId="77777777" w:rsidR="0022006A" w:rsidRPr="0028085E" w:rsidRDefault="0022006A" w:rsidP="003406B4">
            <w:pPr>
              <w:pStyle w:val="TableText"/>
              <w:jc w:val="center"/>
            </w:pPr>
            <w:r w:rsidRPr="0028085E">
              <w:t>High, favours romosozumab</w:t>
            </w:r>
          </w:p>
        </w:tc>
      </w:tr>
      <w:tr w:rsidR="0022006A" w:rsidRPr="0028085E" w14:paraId="35C448B8" w14:textId="77777777" w:rsidTr="003406B4">
        <w:tc>
          <w:tcPr>
            <w:tcW w:w="680" w:type="pct"/>
            <w:shd w:val="clear" w:color="auto" w:fill="auto"/>
            <w:vAlign w:val="center"/>
          </w:tcPr>
          <w:p w14:paraId="65B71876" w14:textId="77777777" w:rsidR="0022006A" w:rsidRPr="0028085E" w:rsidRDefault="0022006A" w:rsidP="003406B4">
            <w:pPr>
              <w:pStyle w:val="TableText"/>
              <w:jc w:val="center"/>
            </w:pPr>
            <w:r w:rsidRPr="0028085E">
              <w:t>Extrapolation of treatment effect</w:t>
            </w:r>
          </w:p>
        </w:tc>
        <w:tc>
          <w:tcPr>
            <w:tcW w:w="3641" w:type="pct"/>
            <w:shd w:val="clear" w:color="auto" w:fill="auto"/>
            <w:vAlign w:val="center"/>
          </w:tcPr>
          <w:p w14:paraId="3C325623" w14:textId="50BD5019" w:rsidR="0022006A" w:rsidRPr="0028085E" w:rsidRDefault="0022006A" w:rsidP="003406B4">
            <w:pPr>
              <w:pStyle w:val="TableText"/>
            </w:pPr>
            <w:r w:rsidRPr="0028085E">
              <w:t xml:space="preserve">The resubmission claimed that 12-month, 24-month and primary analysis period (median 33 months) outcomes from the ARCH trial show sustained treatment benefit beyond discontinuation of romosozumab after 12 months. </w:t>
            </w:r>
            <w:r w:rsidR="00707BDA">
              <w:t>Ther</w:t>
            </w:r>
            <w:r w:rsidR="001A32E9">
              <w:t>e</w:t>
            </w:r>
            <w:r w:rsidR="00707BDA">
              <w:t>fore, t</w:t>
            </w:r>
            <w:r w:rsidRPr="0028085E">
              <w:t xml:space="preserve">he resubmission assumed that treatment efficacy associated with romosozumab would diminish in a linear fashion between Years 4-6, after which the romosozumab arm is attributed the same fracture risks as the alendronate arm. </w:t>
            </w:r>
          </w:p>
        </w:tc>
        <w:tc>
          <w:tcPr>
            <w:tcW w:w="679" w:type="pct"/>
            <w:shd w:val="clear" w:color="auto" w:fill="auto"/>
            <w:vAlign w:val="center"/>
          </w:tcPr>
          <w:p w14:paraId="721F4C70" w14:textId="77777777" w:rsidR="0022006A" w:rsidRPr="0028085E" w:rsidRDefault="0022006A" w:rsidP="003406B4">
            <w:pPr>
              <w:pStyle w:val="TableText"/>
              <w:jc w:val="center"/>
            </w:pPr>
            <w:r w:rsidRPr="0028085E">
              <w:t xml:space="preserve">High, favours romosozumab </w:t>
            </w:r>
          </w:p>
        </w:tc>
      </w:tr>
      <w:tr w:rsidR="0022006A" w:rsidRPr="0028085E" w14:paraId="3FD2664D" w14:textId="77777777" w:rsidTr="003406B4">
        <w:tc>
          <w:tcPr>
            <w:tcW w:w="680" w:type="pct"/>
            <w:shd w:val="clear" w:color="auto" w:fill="auto"/>
            <w:vAlign w:val="center"/>
          </w:tcPr>
          <w:p w14:paraId="46268134" w14:textId="77777777" w:rsidR="0022006A" w:rsidRPr="0028085E" w:rsidRDefault="0022006A" w:rsidP="003406B4">
            <w:pPr>
              <w:pStyle w:val="TableText"/>
              <w:jc w:val="center"/>
            </w:pPr>
            <w:r w:rsidRPr="0028085E">
              <w:t>Circumstances of use</w:t>
            </w:r>
          </w:p>
        </w:tc>
        <w:tc>
          <w:tcPr>
            <w:tcW w:w="3641" w:type="pct"/>
            <w:shd w:val="clear" w:color="auto" w:fill="auto"/>
            <w:vAlign w:val="center"/>
          </w:tcPr>
          <w:p w14:paraId="3AFA2799" w14:textId="576C03DF" w:rsidR="00FA7896" w:rsidRPr="0028085E" w:rsidRDefault="00FA7896" w:rsidP="00FA7896">
            <w:pPr>
              <w:pStyle w:val="TableText"/>
            </w:pPr>
            <w:r w:rsidRPr="0028085E">
              <w:t>The resubmission assumed treatment adherence of 90% based on drug exposure data from the ARCH trial, applied as an ongoing fixed reduction to drug costs only.</w:t>
            </w:r>
            <w:r w:rsidR="001A32E9">
              <w:t xml:space="preserve"> </w:t>
            </w:r>
            <w:r w:rsidRPr="0028085E">
              <w:t xml:space="preserve">The resubmission assumed annual treatment persistence of 95% for all modelled treatments. </w:t>
            </w:r>
          </w:p>
          <w:p w14:paraId="4E3770DF" w14:textId="2A4C6CFB" w:rsidR="00DC2C68" w:rsidRPr="0028085E" w:rsidRDefault="001A32E9" w:rsidP="00FA7896">
            <w:pPr>
              <w:pStyle w:val="TableText"/>
            </w:pPr>
            <w:r>
              <w:t>M</w:t>
            </w:r>
            <w:r w:rsidR="00FA7896" w:rsidRPr="0028085E">
              <w:t xml:space="preserve">odelled adherence and persistence are unlikely to reflect both trial-based and real-world circumstances of use. No long-term adherence and persistence data were provided in the resubmission.  </w:t>
            </w:r>
          </w:p>
        </w:tc>
        <w:tc>
          <w:tcPr>
            <w:tcW w:w="679" w:type="pct"/>
            <w:shd w:val="clear" w:color="auto" w:fill="auto"/>
            <w:vAlign w:val="center"/>
          </w:tcPr>
          <w:p w14:paraId="3FF1F1B4" w14:textId="77777777" w:rsidR="0022006A" w:rsidRPr="0028085E" w:rsidRDefault="0022006A" w:rsidP="003406B4">
            <w:pPr>
              <w:pStyle w:val="TableText"/>
              <w:jc w:val="center"/>
            </w:pPr>
            <w:r w:rsidRPr="0028085E">
              <w:t>High, favours romosozumab</w:t>
            </w:r>
          </w:p>
        </w:tc>
      </w:tr>
    </w:tbl>
    <w:p w14:paraId="05AB5EA2" w14:textId="77777777" w:rsidR="0022006A" w:rsidRPr="0028085E" w:rsidRDefault="0022006A" w:rsidP="0022006A">
      <w:pPr>
        <w:pStyle w:val="TableFigureFooter"/>
      </w:pPr>
      <w:r w:rsidRPr="0028085E">
        <w:t>Source: constructed during the evaluation</w:t>
      </w:r>
    </w:p>
    <w:p w14:paraId="1664689C" w14:textId="6E6D9244" w:rsidR="00707BDA" w:rsidRPr="008F51C3" w:rsidRDefault="00707BDA" w:rsidP="00707BDA">
      <w:pPr>
        <w:pStyle w:val="ExecSumBodyText"/>
      </w:pPr>
      <w:r w:rsidRPr="0028085E">
        <w:t xml:space="preserve">The resubmission claimed that 12-month, 24-month and primary analysis period (median 33 months) outcomes from the ARCH trial show sustained treatment benefit beyond discontinuation of romosozumab after 12 months. Therefore, the resubmission assumed that treatment benefit would not immediately diminish to zero after the 3-year trial period. In the base case, the resubmission assumed that treatment efficacy associated with romosozumab would diminish in a linear fashion between Years 4-6, after which the romosozumab arm is attributed the same fracture risks as the alendronate arm. No long-term data are available in support of the comparative efficacy of romosozumab versus alendronate beyond the trial duration. </w:t>
      </w:r>
      <w:r w:rsidRPr="005E2E4D">
        <w:t xml:space="preserve">The PSCR claimed the extrapolation of treatment effects over 6 years in the economic model is conservative given </w:t>
      </w:r>
      <w:bookmarkStart w:id="46" w:name="_Hlk106112279"/>
      <w:r w:rsidRPr="005E2E4D">
        <w:t xml:space="preserve">the ARCH trial data shows maintenance of treatment effect for at least 2 years following discontinuation of romosozumab (see </w:t>
      </w:r>
      <w:r w:rsidRPr="005E2E4D">
        <w:fldChar w:fldCharType="begin"/>
      </w:r>
      <w:r w:rsidRPr="005E2E4D">
        <w:instrText xml:space="preserve"> REF _Ref106112592 \h  \* MERGEFORMAT </w:instrText>
      </w:r>
      <w:r w:rsidRPr="005E2E4D">
        <w:fldChar w:fldCharType="separate"/>
      </w:r>
      <w:r w:rsidR="00972AAC" w:rsidRPr="005E2E4D">
        <w:t>Figure 1</w:t>
      </w:r>
      <w:r w:rsidRPr="005E2E4D">
        <w:fldChar w:fldCharType="end"/>
      </w:r>
      <w:r w:rsidRPr="005E2E4D">
        <w:t xml:space="preserve">). </w:t>
      </w:r>
      <w:bookmarkEnd w:id="46"/>
      <w:r w:rsidR="008A06A9" w:rsidRPr="005E2E4D">
        <w:t>The ESC noted that n</w:t>
      </w:r>
      <w:r w:rsidRPr="005E2E4D">
        <w:t xml:space="preserve">o new data were presented supporting longer term treatment benefit </w:t>
      </w:r>
      <w:r w:rsidR="00CC7D7F" w:rsidRPr="005E2E4D">
        <w:t xml:space="preserve">and considered </w:t>
      </w:r>
      <w:r w:rsidR="00C511D6" w:rsidRPr="005E2E4D">
        <w:t xml:space="preserve">convergence at 4 years </w:t>
      </w:r>
      <w:r w:rsidR="008D20DB" w:rsidRPr="005E2E4D">
        <w:t xml:space="preserve">would be </w:t>
      </w:r>
      <w:r w:rsidR="00C511D6" w:rsidRPr="005E2E4D">
        <w:t>more likely to reflect a real world setting</w:t>
      </w:r>
      <w:r w:rsidR="00CC7D7F" w:rsidRPr="005E2E4D">
        <w:t xml:space="preserve"> (see paragraph </w:t>
      </w:r>
      <w:r w:rsidR="00CC7D7F" w:rsidRPr="005E2E4D">
        <w:fldChar w:fldCharType="begin"/>
      </w:r>
      <w:r w:rsidR="00CC7D7F" w:rsidRPr="005E2E4D">
        <w:instrText xml:space="preserve"> REF _Ref106184947 \r \h </w:instrText>
      </w:r>
      <w:r w:rsidR="005E2E4D">
        <w:instrText xml:space="preserve"> \* MERGEFORMAT </w:instrText>
      </w:r>
      <w:r w:rsidR="00CC7D7F" w:rsidRPr="005E2E4D">
        <w:fldChar w:fldCharType="separate"/>
      </w:r>
      <w:r w:rsidR="00F57113">
        <w:t>6.29</w:t>
      </w:r>
      <w:r w:rsidR="00CC7D7F" w:rsidRPr="005E2E4D">
        <w:fldChar w:fldCharType="end"/>
      </w:r>
      <w:r w:rsidR="00CC7D7F" w:rsidRPr="005E2E4D">
        <w:t>)</w:t>
      </w:r>
      <w:r w:rsidR="00C511D6" w:rsidRPr="005E2E4D">
        <w:t>.</w:t>
      </w:r>
      <w:r w:rsidR="006C2B26">
        <w:rPr>
          <w:i/>
          <w:iCs/>
        </w:rPr>
        <w:t xml:space="preserve"> </w:t>
      </w:r>
      <w:r w:rsidR="007F528C">
        <w:t xml:space="preserve">The pre-PBAC response </w:t>
      </w:r>
      <w:r w:rsidR="00E664BE">
        <w:t>noted the</w:t>
      </w:r>
      <w:r w:rsidR="007F528C">
        <w:t xml:space="preserve"> argument made by ESC that convergence by 4 years would be more likely as utilisation data indicate persistency with anti-resorptive therapy is lower than observed in clinical trials (see paragraph </w:t>
      </w:r>
      <w:r w:rsidR="007F528C">
        <w:fldChar w:fldCharType="begin"/>
      </w:r>
      <w:r w:rsidR="007F528C">
        <w:instrText xml:space="preserve"> REF _Ref106184947 \r \h </w:instrText>
      </w:r>
      <w:r w:rsidR="007F528C">
        <w:fldChar w:fldCharType="separate"/>
      </w:r>
      <w:r w:rsidR="00F57113">
        <w:t>6.29</w:t>
      </w:r>
      <w:r w:rsidR="007F528C">
        <w:fldChar w:fldCharType="end"/>
      </w:r>
      <w:r w:rsidR="007F528C">
        <w:t xml:space="preserve">). </w:t>
      </w:r>
      <w:r w:rsidR="005269E1">
        <w:t xml:space="preserve">The pre-PBAC response argued that the model separately accounted for this treatment discontinuation by assuming zero efficacy in patients who discontinue. </w:t>
      </w:r>
      <w:r w:rsidR="00C70A66">
        <w:t xml:space="preserve">The </w:t>
      </w:r>
      <w:r w:rsidR="00212669">
        <w:t>pre-PBAC response stated that the ESC suggestion of convergence by 4 years would have the effect of immediately removing all extrapolation of treatment benefits for the proportion of patients remaining on treatment.</w:t>
      </w:r>
    </w:p>
    <w:p w14:paraId="43D603D8" w14:textId="77777777" w:rsidR="001A32E9" w:rsidRPr="0028085E" w:rsidRDefault="001A32E9" w:rsidP="001A32E9">
      <w:pPr>
        <w:pStyle w:val="ExecSumBodyText"/>
      </w:pPr>
      <w:r w:rsidRPr="0028085E">
        <w:t xml:space="preserve">The resubmission assumed treatment adherence of 90% based on drug exposure data from the ARCH trial, applied as an ongoing fixed reduction to drug costs only. The approach used to estimate imperfect adherence may not be appropriate as the trial-based drug exposure did not differentiate between treatment adherence (i.e. extent to which patients conformed to the timing, dosage and frequency of the drug) and persistence (i.e. duration of time from treatment initiation to discontinuation). The resubmission’s approach is likely to overestimate trial-based non-adherence given 10% of patients discontinued in the first year of the trial. The resubmission did not adequately justify the assumption of equivalent treatment adherence between all modelled treatments. Overall, trial-based adherence estimates may not be representative of real-world adherence, particularly in terms of long-term use of alendronate and denosumab. </w:t>
      </w:r>
    </w:p>
    <w:p w14:paraId="4E5B0F3D" w14:textId="7C912938" w:rsidR="00707BDA" w:rsidRPr="005E2E4D" w:rsidRDefault="001A32E9" w:rsidP="00063111">
      <w:pPr>
        <w:pStyle w:val="ExecSumBodyText"/>
      </w:pPr>
      <w:r w:rsidRPr="0028085E">
        <w:t>The resubmission assumed annual treatment persistence of 95% for all modelled treatments. Patients who discontinue treatment no longer accrued drug and administration costs and were attributed elevated fracture risk. No justification was provided for the assumed persistence estimate. The assumption of equivalent levels of persistence between all modelled therapies was inappropriate given differences in terms of mode of administration, dosing frequency and total treatment duration.</w:t>
      </w:r>
      <w:r w:rsidR="006D4F00">
        <w:t xml:space="preserve"> </w:t>
      </w:r>
      <w:r w:rsidRPr="0028085E">
        <w:t xml:space="preserve"> </w:t>
      </w:r>
      <w:r w:rsidR="006D4F00" w:rsidRPr="005E2E4D">
        <w:t xml:space="preserve">The PSCR claimed the implementation of 95% yearly persistence estimates in the economic model was conservative, as fracture incidence based on the ITT population of the ARCH trial </w:t>
      </w:r>
      <w:r w:rsidR="00054154" w:rsidRPr="005E2E4D">
        <w:t xml:space="preserve">inherently </w:t>
      </w:r>
      <w:r w:rsidR="006D4F00" w:rsidRPr="005E2E4D">
        <w:t xml:space="preserve">accounts for treatment discontinuations. </w:t>
      </w:r>
      <w:r w:rsidR="00054154" w:rsidRPr="005E2E4D">
        <w:t xml:space="preserve">The ESC noted alternative persistence rates were tested in sensitivity analyses (see </w:t>
      </w:r>
      <w:r w:rsidR="00054154" w:rsidRPr="005E2E4D">
        <w:fldChar w:fldCharType="begin"/>
      </w:r>
      <w:r w:rsidR="00054154" w:rsidRPr="005E2E4D">
        <w:instrText xml:space="preserve"> REF _Ref103347713 \h  \* MERGEFORMAT </w:instrText>
      </w:r>
      <w:r w:rsidR="00054154" w:rsidRPr="005E2E4D">
        <w:fldChar w:fldCharType="separate"/>
      </w:r>
      <w:r w:rsidR="008F51C3">
        <w:t xml:space="preserve">Table </w:t>
      </w:r>
      <w:r w:rsidR="008F51C3">
        <w:rPr>
          <w:noProof/>
        </w:rPr>
        <w:t>13</w:t>
      </w:r>
      <w:r w:rsidR="00054154" w:rsidRPr="005E2E4D">
        <w:fldChar w:fldCharType="end"/>
      </w:r>
      <w:r w:rsidR="00054154" w:rsidRPr="005E2E4D">
        <w:t xml:space="preserve">), and considered it was unclear why these analyses would show such an increase in ICER if </w:t>
      </w:r>
      <w:r w:rsidR="00361151" w:rsidRPr="005E2E4D">
        <w:t>the effectiveness outcomes applied in the model</w:t>
      </w:r>
      <w:r w:rsidR="00054154" w:rsidRPr="005E2E4D">
        <w:t xml:space="preserve"> </w:t>
      </w:r>
      <w:r w:rsidR="00361151" w:rsidRPr="005E2E4D">
        <w:t xml:space="preserve">inherently incorporate a degree of discontinuation and hence were conservative </w:t>
      </w:r>
      <w:r w:rsidR="00054154" w:rsidRPr="005E2E4D">
        <w:t>as proposed by the PSCR. In addition, t</w:t>
      </w:r>
      <w:r w:rsidR="006D4F00" w:rsidRPr="005E2E4D">
        <w:t xml:space="preserve">he ESC </w:t>
      </w:r>
      <w:r w:rsidR="00063111" w:rsidRPr="005E2E4D">
        <w:t xml:space="preserve">considered the assumed persistence rates were inconsistent with clinical practice given the </w:t>
      </w:r>
      <w:r w:rsidR="00063111" w:rsidRPr="005E2E4D">
        <w:rPr>
          <w:rFonts w:eastAsia="Calibri"/>
        </w:rPr>
        <w:t xml:space="preserve">May 2022 </w:t>
      </w:r>
      <w:r w:rsidR="00063111" w:rsidRPr="005E2E4D">
        <w:rPr>
          <w:snapToGrid/>
        </w:rPr>
        <w:t xml:space="preserve">DUSC Secretariat analysis indicated </w:t>
      </w:r>
      <w:r w:rsidR="00063111" w:rsidRPr="005E2E4D">
        <w:t xml:space="preserve">only </w:t>
      </w:r>
      <w:r w:rsidR="00063111" w:rsidRPr="005E2E4D">
        <w:rPr>
          <w:snapToGrid/>
        </w:rPr>
        <w:t>46% of patients successfully transitioned to anti-resorptive therapy</w:t>
      </w:r>
      <w:r w:rsidR="00063111" w:rsidRPr="005E2E4D">
        <w:t xml:space="preserve"> after stopping teriparatide (see paragraph </w:t>
      </w:r>
      <w:r w:rsidR="00063111" w:rsidRPr="005E2E4D">
        <w:fldChar w:fldCharType="begin"/>
      </w:r>
      <w:r w:rsidR="00063111" w:rsidRPr="005E2E4D">
        <w:instrText xml:space="preserve"> REF _Ref106096252 \r \h </w:instrText>
      </w:r>
      <w:r w:rsidR="005E2E4D">
        <w:instrText xml:space="preserve"> \* MERGEFORMAT </w:instrText>
      </w:r>
      <w:r w:rsidR="00063111" w:rsidRPr="005E2E4D">
        <w:fldChar w:fldCharType="separate"/>
      </w:r>
      <w:r w:rsidR="00F57113">
        <w:t>6.28</w:t>
      </w:r>
      <w:r w:rsidR="00063111" w:rsidRPr="005E2E4D">
        <w:fldChar w:fldCharType="end"/>
      </w:r>
      <w:r w:rsidR="00063111" w:rsidRPr="005E2E4D">
        <w:t xml:space="preserve">). </w:t>
      </w:r>
    </w:p>
    <w:p w14:paraId="7CE45A4C" w14:textId="653DD47F" w:rsidR="005610A9" w:rsidRPr="0028085E" w:rsidRDefault="00F94F75" w:rsidP="002E1071">
      <w:pPr>
        <w:pStyle w:val="ExecSumBodyText"/>
      </w:pPr>
      <w:r w:rsidRPr="0028085E">
        <w:t xml:space="preserve">During the evaluation, a comparison of trial-based versus modelled fracture estimates was conducted to validate the model </w:t>
      </w:r>
      <w:r w:rsidRPr="00C23A81">
        <w:t xml:space="preserve">(see </w:t>
      </w:r>
      <w:r w:rsidR="00A87F6B" w:rsidRPr="00C23A81">
        <w:fldChar w:fldCharType="begin"/>
      </w:r>
      <w:r w:rsidR="00A87F6B" w:rsidRPr="00C23A81">
        <w:instrText xml:space="preserve"> REF _Ref103256234 \h  \* MERGEFORMAT </w:instrText>
      </w:r>
      <w:r w:rsidR="00A87F6B" w:rsidRPr="00C23A81">
        <w:fldChar w:fldCharType="separate"/>
      </w:r>
      <w:r w:rsidR="0062058A">
        <w:t xml:space="preserve">Table </w:t>
      </w:r>
      <w:r w:rsidR="0062058A">
        <w:rPr>
          <w:noProof/>
        </w:rPr>
        <w:t>11</w:t>
      </w:r>
      <w:r w:rsidR="00A87F6B" w:rsidRPr="00C23A81">
        <w:fldChar w:fldCharType="end"/>
      </w:r>
      <w:r w:rsidRPr="0028085E">
        <w:t>).</w:t>
      </w:r>
    </w:p>
    <w:p w14:paraId="1C72555B" w14:textId="783B1166" w:rsidR="00F94F75" w:rsidRDefault="00F94F75" w:rsidP="00F94F75">
      <w:pPr>
        <w:pStyle w:val="TableHeading"/>
      </w:pPr>
      <w:bookmarkStart w:id="47" w:name="_Ref103256234"/>
      <w:r>
        <w:t xml:space="preserve">Table </w:t>
      </w:r>
      <w:fldSimple w:instr=" SEQ Table \* ARABIC ">
        <w:r w:rsidR="00016A98">
          <w:rPr>
            <w:noProof/>
          </w:rPr>
          <w:t>11</w:t>
        </w:r>
      </w:fldSimple>
      <w:bookmarkEnd w:id="47"/>
      <w:r>
        <w:t>: Cumulative incidence of clinical fractures (hip, vertebral, other) in the model</w:t>
      </w:r>
    </w:p>
    <w:tbl>
      <w:tblPr>
        <w:tblStyle w:val="TableGrid"/>
        <w:tblW w:w="0" w:type="auto"/>
        <w:tblLook w:val="04A0" w:firstRow="1" w:lastRow="0" w:firstColumn="1" w:lastColumn="0" w:noHBand="0" w:noVBand="1"/>
      </w:tblPr>
      <w:tblGrid>
        <w:gridCol w:w="2190"/>
        <w:gridCol w:w="2367"/>
        <w:gridCol w:w="2250"/>
        <w:gridCol w:w="2210"/>
      </w:tblGrid>
      <w:tr w:rsidR="00F94F75" w14:paraId="7C70E9DF" w14:textId="77777777" w:rsidTr="003406B4">
        <w:tc>
          <w:tcPr>
            <w:tcW w:w="2190" w:type="dxa"/>
          </w:tcPr>
          <w:p w14:paraId="7F6E9E52" w14:textId="77777777" w:rsidR="00F94F75" w:rsidRDefault="00F94F75" w:rsidP="003406B4">
            <w:pPr>
              <w:pStyle w:val="Tableheadingrow"/>
            </w:pPr>
          </w:p>
        </w:tc>
        <w:tc>
          <w:tcPr>
            <w:tcW w:w="2367" w:type="dxa"/>
          </w:tcPr>
          <w:p w14:paraId="51BCA5CD" w14:textId="77777777" w:rsidR="00F94F75" w:rsidRDefault="00F94F75" w:rsidP="003406B4">
            <w:pPr>
              <w:pStyle w:val="Tableheadingrow"/>
            </w:pPr>
            <w:r>
              <w:t>Romosozumab/alendronate</w:t>
            </w:r>
          </w:p>
        </w:tc>
        <w:tc>
          <w:tcPr>
            <w:tcW w:w="2250" w:type="dxa"/>
          </w:tcPr>
          <w:p w14:paraId="4D31869C" w14:textId="77777777" w:rsidR="00F94F75" w:rsidRDefault="00F94F75" w:rsidP="003406B4">
            <w:pPr>
              <w:pStyle w:val="Tableheadingrow"/>
            </w:pPr>
            <w:r>
              <w:t>Alendronate/alendronate</w:t>
            </w:r>
          </w:p>
        </w:tc>
        <w:tc>
          <w:tcPr>
            <w:tcW w:w="2210" w:type="dxa"/>
          </w:tcPr>
          <w:p w14:paraId="0005E00C" w14:textId="77777777" w:rsidR="00F94F75" w:rsidRDefault="00F94F75" w:rsidP="003406B4">
            <w:pPr>
              <w:pStyle w:val="Tableheadingrow"/>
            </w:pPr>
            <w:r>
              <w:t>Incremental difference</w:t>
            </w:r>
          </w:p>
        </w:tc>
      </w:tr>
      <w:tr w:rsidR="00F94F75" w14:paraId="473AC52F" w14:textId="77777777" w:rsidTr="003406B4">
        <w:tc>
          <w:tcPr>
            <w:tcW w:w="9017" w:type="dxa"/>
            <w:gridSpan w:val="4"/>
          </w:tcPr>
          <w:p w14:paraId="12C91517" w14:textId="77777777" w:rsidR="00F94F75" w:rsidRPr="003603DC" w:rsidRDefault="00F94F75" w:rsidP="003406B4">
            <w:pPr>
              <w:pStyle w:val="TableText"/>
              <w:rPr>
                <w:b/>
                <w:bCs w:val="0"/>
              </w:rPr>
            </w:pPr>
            <w:r>
              <w:rPr>
                <w:b/>
                <w:bCs w:val="0"/>
              </w:rPr>
              <w:t xml:space="preserve">Cumulative incidence of fractures in the </w:t>
            </w:r>
            <w:r w:rsidRPr="003603DC">
              <w:rPr>
                <w:b/>
                <w:bCs w:val="0"/>
              </w:rPr>
              <w:t>ARCH trial (</w:t>
            </w:r>
            <w:r>
              <w:rPr>
                <w:b/>
                <w:bCs w:val="0"/>
              </w:rPr>
              <w:t>Years 1-3</w:t>
            </w:r>
            <w:r w:rsidRPr="003603DC">
              <w:rPr>
                <w:b/>
                <w:bCs w:val="0"/>
              </w:rPr>
              <w:t>)</w:t>
            </w:r>
          </w:p>
        </w:tc>
      </w:tr>
      <w:tr w:rsidR="00F94F75" w14:paraId="79C6B440" w14:textId="77777777" w:rsidTr="003406B4">
        <w:tc>
          <w:tcPr>
            <w:tcW w:w="2190" w:type="dxa"/>
          </w:tcPr>
          <w:p w14:paraId="34AB6DE6" w14:textId="77777777" w:rsidR="00F94F75" w:rsidRDefault="00F94F75" w:rsidP="003406B4">
            <w:pPr>
              <w:pStyle w:val="TableText"/>
            </w:pPr>
            <w:r>
              <w:t>Clinical fractures</w:t>
            </w:r>
          </w:p>
        </w:tc>
        <w:tc>
          <w:tcPr>
            <w:tcW w:w="2367" w:type="dxa"/>
          </w:tcPr>
          <w:p w14:paraId="2FA3D185" w14:textId="77777777" w:rsidR="00F94F75" w:rsidRDefault="00F94F75" w:rsidP="003406B4">
            <w:pPr>
              <w:pStyle w:val="TableText"/>
              <w:jc w:val="center"/>
            </w:pPr>
            <w:r>
              <w:t>10.62%</w:t>
            </w:r>
          </w:p>
        </w:tc>
        <w:tc>
          <w:tcPr>
            <w:tcW w:w="2250" w:type="dxa"/>
          </w:tcPr>
          <w:p w14:paraId="3AA9A14D" w14:textId="77777777" w:rsidR="00F94F75" w:rsidRDefault="00F94F75" w:rsidP="003406B4">
            <w:pPr>
              <w:pStyle w:val="TableText"/>
              <w:jc w:val="center"/>
            </w:pPr>
            <w:r>
              <w:t>14.60%</w:t>
            </w:r>
          </w:p>
        </w:tc>
        <w:tc>
          <w:tcPr>
            <w:tcW w:w="2210" w:type="dxa"/>
          </w:tcPr>
          <w:p w14:paraId="189DD37A" w14:textId="77777777" w:rsidR="00F94F75" w:rsidRDefault="00F94F75" w:rsidP="003406B4">
            <w:pPr>
              <w:pStyle w:val="TableText"/>
              <w:jc w:val="center"/>
            </w:pPr>
            <w:r>
              <w:t>-3.98%</w:t>
            </w:r>
          </w:p>
        </w:tc>
      </w:tr>
      <w:tr w:rsidR="00F94F75" w14:paraId="54D5B144" w14:textId="77777777" w:rsidTr="003406B4">
        <w:tc>
          <w:tcPr>
            <w:tcW w:w="2190" w:type="dxa"/>
          </w:tcPr>
          <w:p w14:paraId="56FDFFA6" w14:textId="77777777" w:rsidR="00F94F75" w:rsidRDefault="00F94F75" w:rsidP="003406B4">
            <w:pPr>
              <w:pStyle w:val="TableText"/>
            </w:pPr>
            <w:r>
              <w:t>- Hip fractures</w:t>
            </w:r>
          </w:p>
        </w:tc>
        <w:tc>
          <w:tcPr>
            <w:tcW w:w="2367" w:type="dxa"/>
          </w:tcPr>
          <w:p w14:paraId="69455BA5" w14:textId="77777777" w:rsidR="00F94F75" w:rsidRDefault="00F94F75" w:rsidP="003406B4">
            <w:pPr>
              <w:pStyle w:val="TableText"/>
              <w:jc w:val="center"/>
            </w:pPr>
            <w:r>
              <w:t>2.22%</w:t>
            </w:r>
          </w:p>
        </w:tc>
        <w:tc>
          <w:tcPr>
            <w:tcW w:w="2250" w:type="dxa"/>
          </w:tcPr>
          <w:p w14:paraId="24D9A8B4" w14:textId="77777777" w:rsidR="00F94F75" w:rsidRDefault="00F94F75" w:rsidP="003406B4">
            <w:pPr>
              <w:pStyle w:val="TableText"/>
              <w:jc w:val="center"/>
            </w:pPr>
            <w:r>
              <w:t>3.80%</w:t>
            </w:r>
          </w:p>
        </w:tc>
        <w:tc>
          <w:tcPr>
            <w:tcW w:w="2210" w:type="dxa"/>
          </w:tcPr>
          <w:p w14:paraId="4D29BA1C" w14:textId="77777777" w:rsidR="00F94F75" w:rsidRDefault="00F94F75" w:rsidP="003406B4">
            <w:pPr>
              <w:pStyle w:val="TableText"/>
              <w:jc w:val="center"/>
            </w:pPr>
            <w:r>
              <w:t>-1.58%</w:t>
            </w:r>
          </w:p>
        </w:tc>
      </w:tr>
      <w:tr w:rsidR="00F94F75" w14:paraId="1EDC9CBD" w14:textId="77777777" w:rsidTr="003406B4">
        <w:tc>
          <w:tcPr>
            <w:tcW w:w="2190" w:type="dxa"/>
          </w:tcPr>
          <w:p w14:paraId="24FE6987" w14:textId="77777777" w:rsidR="00F94F75" w:rsidRDefault="00F94F75" w:rsidP="003406B4">
            <w:pPr>
              <w:pStyle w:val="TableText"/>
            </w:pPr>
            <w:r>
              <w:t>- Vertebral fractures</w:t>
            </w:r>
          </w:p>
        </w:tc>
        <w:tc>
          <w:tcPr>
            <w:tcW w:w="2367" w:type="dxa"/>
          </w:tcPr>
          <w:p w14:paraId="4F232221" w14:textId="77777777" w:rsidR="00F94F75" w:rsidRDefault="00F94F75" w:rsidP="003406B4">
            <w:pPr>
              <w:pStyle w:val="TableText"/>
              <w:jc w:val="center"/>
            </w:pPr>
            <w:r>
              <w:t>1.69%</w:t>
            </w:r>
          </w:p>
        </w:tc>
        <w:tc>
          <w:tcPr>
            <w:tcW w:w="2250" w:type="dxa"/>
          </w:tcPr>
          <w:p w14:paraId="11E12DC6" w14:textId="77777777" w:rsidR="00F94F75" w:rsidRDefault="00F94F75" w:rsidP="003406B4">
            <w:pPr>
              <w:pStyle w:val="TableText"/>
              <w:jc w:val="center"/>
            </w:pPr>
            <w:r>
              <w:t>3.69%</w:t>
            </w:r>
          </w:p>
        </w:tc>
        <w:tc>
          <w:tcPr>
            <w:tcW w:w="2210" w:type="dxa"/>
          </w:tcPr>
          <w:p w14:paraId="06A5B9FC" w14:textId="77777777" w:rsidR="00F94F75" w:rsidRDefault="00F94F75" w:rsidP="003406B4">
            <w:pPr>
              <w:pStyle w:val="TableText"/>
              <w:jc w:val="center"/>
            </w:pPr>
            <w:r>
              <w:t>-2.00%</w:t>
            </w:r>
          </w:p>
        </w:tc>
      </w:tr>
      <w:tr w:rsidR="00F94F75" w14:paraId="3E924DA5" w14:textId="77777777" w:rsidTr="003406B4">
        <w:tc>
          <w:tcPr>
            <w:tcW w:w="2190" w:type="dxa"/>
          </w:tcPr>
          <w:p w14:paraId="1075CE3D" w14:textId="77777777" w:rsidR="00F94F75" w:rsidRPr="0028085E" w:rsidRDefault="00F94F75" w:rsidP="003406B4">
            <w:pPr>
              <w:pStyle w:val="TableText"/>
              <w:rPr>
                <w:vertAlign w:val="superscript"/>
              </w:rPr>
            </w:pPr>
            <w:r w:rsidRPr="0028085E">
              <w:t xml:space="preserve">- Other fractures </w:t>
            </w:r>
            <w:r w:rsidRPr="0028085E">
              <w:rPr>
                <w:vertAlign w:val="superscript"/>
              </w:rPr>
              <w:t>a</w:t>
            </w:r>
          </w:p>
        </w:tc>
        <w:tc>
          <w:tcPr>
            <w:tcW w:w="2367" w:type="dxa"/>
          </w:tcPr>
          <w:p w14:paraId="1275A9E5" w14:textId="77777777" w:rsidR="00F94F75" w:rsidRPr="0028085E" w:rsidRDefault="00F94F75" w:rsidP="003406B4">
            <w:pPr>
              <w:pStyle w:val="TableText"/>
              <w:jc w:val="center"/>
            </w:pPr>
            <w:r w:rsidRPr="0028085E">
              <w:t>6.71%</w:t>
            </w:r>
          </w:p>
        </w:tc>
        <w:tc>
          <w:tcPr>
            <w:tcW w:w="2250" w:type="dxa"/>
          </w:tcPr>
          <w:p w14:paraId="47035E5A" w14:textId="77777777" w:rsidR="00F94F75" w:rsidRPr="0028085E" w:rsidRDefault="00F94F75" w:rsidP="003406B4">
            <w:pPr>
              <w:pStyle w:val="TableText"/>
              <w:jc w:val="center"/>
            </w:pPr>
            <w:r w:rsidRPr="0028085E">
              <w:t>7.11%</w:t>
            </w:r>
          </w:p>
        </w:tc>
        <w:tc>
          <w:tcPr>
            <w:tcW w:w="2210" w:type="dxa"/>
          </w:tcPr>
          <w:p w14:paraId="67478A52" w14:textId="77777777" w:rsidR="00F94F75" w:rsidRPr="0028085E" w:rsidRDefault="00F94F75" w:rsidP="003406B4">
            <w:pPr>
              <w:pStyle w:val="TableText"/>
              <w:jc w:val="center"/>
            </w:pPr>
            <w:r w:rsidRPr="0028085E">
              <w:t>-0.40%</w:t>
            </w:r>
          </w:p>
        </w:tc>
      </w:tr>
      <w:tr w:rsidR="00F94F75" w14:paraId="23A25796" w14:textId="77777777" w:rsidTr="003406B4">
        <w:tc>
          <w:tcPr>
            <w:tcW w:w="9017" w:type="dxa"/>
            <w:gridSpan w:val="4"/>
          </w:tcPr>
          <w:p w14:paraId="0DB99553" w14:textId="77777777" w:rsidR="00F94F75" w:rsidRDefault="00F94F75" w:rsidP="003406B4">
            <w:pPr>
              <w:pStyle w:val="TableText"/>
            </w:pPr>
            <w:r>
              <w:rPr>
                <w:b/>
                <w:bCs w:val="0"/>
              </w:rPr>
              <w:t>Cumulative incidence of fractures in the model (Years 1-3)</w:t>
            </w:r>
          </w:p>
        </w:tc>
      </w:tr>
      <w:tr w:rsidR="00F94F75" w14:paraId="187CB942" w14:textId="77777777" w:rsidTr="003406B4">
        <w:tc>
          <w:tcPr>
            <w:tcW w:w="2190" w:type="dxa"/>
          </w:tcPr>
          <w:p w14:paraId="2606E571" w14:textId="77777777" w:rsidR="00F94F75" w:rsidRDefault="00F94F75" w:rsidP="003406B4">
            <w:pPr>
              <w:pStyle w:val="TableText"/>
            </w:pPr>
            <w:r>
              <w:t>Clinical fractures</w:t>
            </w:r>
          </w:p>
        </w:tc>
        <w:tc>
          <w:tcPr>
            <w:tcW w:w="2367" w:type="dxa"/>
          </w:tcPr>
          <w:p w14:paraId="719CF29E" w14:textId="77777777" w:rsidR="00F94F75" w:rsidRDefault="00F94F75" w:rsidP="003406B4">
            <w:pPr>
              <w:pStyle w:val="TableText"/>
              <w:jc w:val="center"/>
            </w:pPr>
            <w:r>
              <w:t>11.08%</w:t>
            </w:r>
          </w:p>
        </w:tc>
        <w:tc>
          <w:tcPr>
            <w:tcW w:w="2250" w:type="dxa"/>
          </w:tcPr>
          <w:p w14:paraId="2D149E0C" w14:textId="77777777" w:rsidR="00F94F75" w:rsidRDefault="00F94F75" w:rsidP="003406B4">
            <w:pPr>
              <w:pStyle w:val="TableText"/>
              <w:jc w:val="center"/>
            </w:pPr>
            <w:r>
              <w:t>14.69%</w:t>
            </w:r>
          </w:p>
        </w:tc>
        <w:tc>
          <w:tcPr>
            <w:tcW w:w="2210" w:type="dxa"/>
          </w:tcPr>
          <w:p w14:paraId="0AFFF593" w14:textId="77777777" w:rsidR="00F94F75" w:rsidRDefault="00F94F75" w:rsidP="003406B4">
            <w:pPr>
              <w:pStyle w:val="TableText"/>
              <w:jc w:val="center"/>
            </w:pPr>
            <w:r>
              <w:t>-3.62%</w:t>
            </w:r>
          </w:p>
        </w:tc>
      </w:tr>
      <w:tr w:rsidR="00F94F75" w14:paraId="10C1FA95" w14:textId="77777777" w:rsidTr="003406B4">
        <w:tc>
          <w:tcPr>
            <w:tcW w:w="2190" w:type="dxa"/>
          </w:tcPr>
          <w:p w14:paraId="03DBDCF1" w14:textId="77777777" w:rsidR="00F94F75" w:rsidRDefault="00F94F75" w:rsidP="003406B4">
            <w:pPr>
              <w:pStyle w:val="TableText"/>
            </w:pPr>
            <w:r>
              <w:t>- Hip fractures</w:t>
            </w:r>
          </w:p>
        </w:tc>
        <w:tc>
          <w:tcPr>
            <w:tcW w:w="2367" w:type="dxa"/>
          </w:tcPr>
          <w:p w14:paraId="24B7B35D" w14:textId="77777777" w:rsidR="00F94F75" w:rsidRDefault="00F94F75" w:rsidP="003406B4">
            <w:pPr>
              <w:pStyle w:val="TableText"/>
              <w:jc w:val="center"/>
            </w:pPr>
            <w:r>
              <w:t>2.29%</w:t>
            </w:r>
          </w:p>
        </w:tc>
        <w:tc>
          <w:tcPr>
            <w:tcW w:w="2250" w:type="dxa"/>
          </w:tcPr>
          <w:p w14:paraId="3668B7E6" w14:textId="77777777" w:rsidR="00F94F75" w:rsidRDefault="00F94F75" w:rsidP="003406B4">
            <w:pPr>
              <w:pStyle w:val="TableText"/>
              <w:jc w:val="center"/>
            </w:pPr>
            <w:r>
              <w:t>3.55%</w:t>
            </w:r>
          </w:p>
        </w:tc>
        <w:tc>
          <w:tcPr>
            <w:tcW w:w="2210" w:type="dxa"/>
          </w:tcPr>
          <w:p w14:paraId="6A63C679" w14:textId="77777777" w:rsidR="00F94F75" w:rsidRDefault="00F94F75" w:rsidP="003406B4">
            <w:pPr>
              <w:pStyle w:val="TableText"/>
              <w:jc w:val="center"/>
            </w:pPr>
            <w:r>
              <w:t>-1.25%</w:t>
            </w:r>
          </w:p>
        </w:tc>
      </w:tr>
      <w:tr w:rsidR="00F94F75" w14:paraId="44FC2BCC" w14:textId="77777777" w:rsidTr="003406B4">
        <w:tc>
          <w:tcPr>
            <w:tcW w:w="2190" w:type="dxa"/>
          </w:tcPr>
          <w:p w14:paraId="7CB6EBCF" w14:textId="77777777" w:rsidR="00F94F75" w:rsidRDefault="00F94F75" w:rsidP="003406B4">
            <w:pPr>
              <w:pStyle w:val="TableText"/>
            </w:pPr>
            <w:r>
              <w:t>- Vertebral fractures</w:t>
            </w:r>
          </w:p>
        </w:tc>
        <w:tc>
          <w:tcPr>
            <w:tcW w:w="2367" w:type="dxa"/>
          </w:tcPr>
          <w:p w14:paraId="1081618F" w14:textId="77777777" w:rsidR="00F94F75" w:rsidRDefault="00F94F75" w:rsidP="003406B4">
            <w:pPr>
              <w:pStyle w:val="TableText"/>
              <w:jc w:val="center"/>
            </w:pPr>
            <w:r>
              <w:t>1.48%</w:t>
            </w:r>
          </w:p>
        </w:tc>
        <w:tc>
          <w:tcPr>
            <w:tcW w:w="2250" w:type="dxa"/>
          </w:tcPr>
          <w:p w14:paraId="4E885A14" w14:textId="77777777" w:rsidR="00F94F75" w:rsidRDefault="00F94F75" w:rsidP="003406B4">
            <w:pPr>
              <w:pStyle w:val="TableText"/>
              <w:jc w:val="center"/>
            </w:pPr>
            <w:r>
              <w:t>3.23%</w:t>
            </w:r>
          </w:p>
        </w:tc>
        <w:tc>
          <w:tcPr>
            <w:tcW w:w="2210" w:type="dxa"/>
          </w:tcPr>
          <w:p w14:paraId="5FF494C5" w14:textId="77777777" w:rsidR="00F94F75" w:rsidRDefault="00F94F75" w:rsidP="003406B4">
            <w:pPr>
              <w:pStyle w:val="TableText"/>
              <w:jc w:val="center"/>
            </w:pPr>
            <w:r>
              <w:t>-1.75%</w:t>
            </w:r>
          </w:p>
        </w:tc>
      </w:tr>
      <w:tr w:rsidR="00F94F75" w14:paraId="0A3661D0" w14:textId="77777777" w:rsidTr="003406B4">
        <w:tc>
          <w:tcPr>
            <w:tcW w:w="2190" w:type="dxa"/>
          </w:tcPr>
          <w:p w14:paraId="19290FF9" w14:textId="77777777" w:rsidR="00F94F75" w:rsidRDefault="00F94F75" w:rsidP="003406B4">
            <w:pPr>
              <w:pStyle w:val="TableText"/>
            </w:pPr>
            <w:r>
              <w:t>- Other fractures</w:t>
            </w:r>
          </w:p>
        </w:tc>
        <w:tc>
          <w:tcPr>
            <w:tcW w:w="2367" w:type="dxa"/>
          </w:tcPr>
          <w:p w14:paraId="57567549" w14:textId="77777777" w:rsidR="00F94F75" w:rsidRDefault="00F94F75" w:rsidP="003406B4">
            <w:pPr>
              <w:pStyle w:val="TableText"/>
              <w:jc w:val="center"/>
            </w:pPr>
            <w:r>
              <w:t>7.30%</w:t>
            </w:r>
          </w:p>
        </w:tc>
        <w:tc>
          <w:tcPr>
            <w:tcW w:w="2250" w:type="dxa"/>
          </w:tcPr>
          <w:p w14:paraId="2ADE4358" w14:textId="77777777" w:rsidR="00F94F75" w:rsidRDefault="00F94F75" w:rsidP="003406B4">
            <w:pPr>
              <w:pStyle w:val="TableText"/>
              <w:jc w:val="center"/>
            </w:pPr>
            <w:r>
              <w:t>7.91%</w:t>
            </w:r>
          </w:p>
        </w:tc>
        <w:tc>
          <w:tcPr>
            <w:tcW w:w="2210" w:type="dxa"/>
          </w:tcPr>
          <w:p w14:paraId="2BCA47EF" w14:textId="77777777" w:rsidR="00F94F75" w:rsidRDefault="00F94F75" w:rsidP="003406B4">
            <w:pPr>
              <w:pStyle w:val="TableText"/>
              <w:jc w:val="center"/>
            </w:pPr>
            <w:r>
              <w:t>-0.62%</w:t>
            </w:r>
          </w:p>
        </w:tc>
      </w:tr>
      <w:tr w:rsidR="00F94F75" w14:paraId="0467D454" w14:textId="77777777" w:rsidTr="003406B4">
        <w:tc>
          <w:tcPr>
            <w:tcW w:w="9017" w:type="dxa"/>
            <w:gridSpan w:val="4"/>
          </w:tcPr>
          <w:p w14:paraId="63530EB3" w14:textId="77777777" w:rsidR="00F94F75" w:rsidRDefault="00F94F75" w:rsidP="003406B4">
            <w:pPr>
              <w:pStyle w:val="TableText"/>
            </w:pPr>
            <w:r>
              <w:rPr>
                <w:b/>
                <w:bCs w:val="0"/>
              </w:rPr>
              <w:t>Cumulative incidence of fractures in the model (Years 4-20)</w:t>
            </w:r>
          </w:p>
        </w:tc>
      </w:tr>
      <w:tr w:rsidR="00F94F75" w14:paraId="5A80299A" w14:textId="77777777" w:rsidTr="003406B4">
        <w:tc>
          <w:tcPr>
            <w:tcW w:w="2190" w:type="dxa"/>
          </w:tcPr>
          <w:p w14:paraId="1E495231" w14:textId="77777777" w:rsidR="00F94F75" w:rsidRDefault="00F94F75" w:rsidP="003406B4">
            <w:pPr>
              <w:pStyle w:val="TableText"/>
            </w:pPr>
            <w:r>
              <w:t>Clinical fractures</w:t>
            </w:r>
          </w:p>
        </w:tc>
        <w:tc>
          <w:tcPr>
            <w:tcW w:w="2367" w:type="dxa"/>
          </w:tcPr>
          <w:p w14:paraId="7DE2D3B3" w14:textId="77777777" w:rsidR="00F94F75" w:rsidRDefault="00F94F75" w:rsidP="003406B4">
            <w:pPr>
              <w:pStyle w:val="TableText"/>
              <w:jc w:val="center"/>
            </w:pPr>
            <w:r w:rsidRPr="00FC5253">
              <w:t>51.86%</w:t>
            </w:r>
          </w:p>
        </w:tc>
        <w:tc>
          <w:tcPr>
            <w:tcW w:w="2250" w:type="dxa"/>
          </w:tcPr>
          <w:p w14:paraId="01E0792F" w14:textId="77777777" w:rsidR="00F94F75" w:rsidRDefault="00F94F75" w:rsidP="003406B4">
            <w:pPr>
              <w:pStyle w:val="TableText"/>
              <w:jc w:val="center"/>
            </w:pPr>
            <w:r w:rsidRPr="00FC5253">
              <w:t>52.66%</w:t>
            </w:r>
          </w:p>
        </w:tc>
        <w:tc>
          <w:tcPr>
            <w:tcW w:w="2210" w:type="dxa"/>
          </w:tcPr>
          <w:p w14:paraId="1B95BCFE" w14:textId="77777777" w:rsidR="00F94F75" w:rsidRDefault="00F94F75" w:rsidP="003406B4">
            <w:pPr>
              <w:pStyle w:val="TableText"/>
              <w:jc w:val="center"/>
            </w:pPr>
            <w:r w:rsidRPr="00FC5253">
              <w:t>-0.80%</w:t>
            </w:r>
          </w:p>
        </w:tc>
      </w:tr>
      <w:tr w:rsidR="00F94F75" w14:paraId="2E20730F" w14:textId="77777777" w:rsidTr="003406B4">
        <w:tc>
          <w:tcPr>
            <w:tcW w:w="2190" w:type="dxa"/>
          </w:tcPr>
          <w:p w14:paraId="01C8D4D0" w14:textId="77777777" w:rsidR="00F94F75" w:rsidRDefault="00F94F75" w:rsidP="003406B4">
            <w:pPr>
              <w:pStyle w:val="TableText"/>
            </w:pPr>
            <w:r>
              <w:t>- Hip fractures</w:t>
            </w:r>
          </w:p>
        </w:tc>
        <w:tc>
          <w:tcPr>
            <w:tcW w:w="2367" w:type="dxa"/>
          </w:tcPr>
          <w:p w14:paraId="1098D734" w14:textId="77777777" w:rsidR="00F94F75" w:rsidRDefault="00F94F75" w:rsidP="003406B4">
            <w:pPr>
              <w:pStyle w:val="TableText"/>
              <w:jc w:val="center"/>
            </w:pPr>
            <w:r w:rsidRPr="00FC5253">
              <w:t>12.81%</w:t>
            </w:r>
          </w:p>
        </w:tc>
        <w:tc>
          <w:tcPr>
            <w:tcW w:w="2250" w:type="dxa"/>
          </w:tcPr>
          <w:p w14:paraId="52849CBD" w14:textId="77777777" w:rsidR="00F94F75" w:rsidRDefault="00F94F75" w:rsidP="003406B4">
            <w:pPr>
              <w:pStyle w:val="TableText"/>
              <w:jc w:val="center"/>
            </w:pPr>
            <w:r w:rsidRPr="00FC5253">
              <w:t>13.11%</w:t>
            </w:r>
          </w:p>
        </w:tc>
        <w:tc>
          <w:tcPr>
            <w:tcW w:w="2210" w:type="dxa"/>
          </w:tcPr>
          <w:p w14:paraId="447DEE01" w14:textId="77777777" w:rsidR="00F94F75" w:rsidRDefault="00F94F75" w:rsidP="003406B4">
            <w:pPr>
              <w:pStyle w:val="TableText"/>
              <w:jc w:val="center"/>
            </w:pPr>
            <w:r w:rsidRPr="00FC5253">
              <w:t>-0.30%</w:t>
            </w:r>
          </w:p>
        </w:tc>
      </w:tr>
      <w:tr w:rsidR="00F94F75" w14:paraId="12C89927" w14:textId="77777777" w:rsidTr="003406B4">
        <w:tc>
          <w:tcPr>
            <w:tcW w:w="2190" w:type="dxa"/>
          </w:tcPr>
          <w:p w14:paraId="2DEABFFF" w14:textId="77777777" w:rsidR="00F94F75" w:rsidRDefault="00F94F75" w:rsidP="003406B4">
            <w:pPr>
              <w:pStyle w:val="TableText"/>
            </w:pPr>
            <w:r>
              <w:t>- Vertebral fractures</w:t>
            </w:r>
          </w:p>
        </w:tc>
        <w:tc>
          <w:tcPr>
            <w:tcW w:w="2367" w:type="dxa"/>
          </w:tcPr>
          <w:p w14:paraId="21D4604C" w14:textId="77777777" w:rsidR="00F94F75" w:rsidRDefault="00F94F75" w:rsidP="003406B4">
            <w:pPr>
              <w:pStyle w:val="TableText"/>
              <w:jc w:val="center"/>
            </w:pPr>
            <w:r w:rsidRPr="00FC5253">
              <w:t>12.48%</w:t>
            </w:r>
          </w:p>
        </w:tc>
        <w:tc>
          <w:tcPr>
            <w:tcW w:w="2250" w:type="dxa"/>
          </w:tcPr>
          <w:p w14:paraId="6B7F0219" w14:textId="77777777" w:rsidR="00F94F75" w:rsidRDefault="00F94F75" w:rsidP="003406B4">
            <w:pPr>
              <w:pStyle w:val="TableText"/>
              <w:jc w:val="center"/>
            </w:pPr>
            <w:r w:rsidRPr="00FC5253">
              <w:t>12.92%</w:t>
            </w:r>
          </w:p>
        </w:tc>
        <w:tc>
          <w:tcPr>
            <w:tcW w:w="2210" w:type="dxa"/>
          </w:tcPr>
          <w:p w14:paraId="028065A8" w14:textId="77777777" w:rsidR="00F94F75" w:rsidRDefault="00F94F75" w:rsidP="003406B4">
            <w:pPr>
              <w:pStyle w:val="TableText"/>
              <w:jc w:val="center"/>
            </w:pPr>
            <w:r w:rsidRPr="00FC5253">
              <w:t>-0.43%</w:t>
            </w:r>
          </w:p>
        </w:tc>
      </w:tr>
      <w:tr w:rsidR="00F94F75" w14:paraId="4184F910" w14:textId="77777777" w:rsidTr="003406B4">
        <w:tc>
          <w:tcPr>
            <w:tcW w:w="2190" w:type="dxa"/>
          </w:tcPr>
          <w:p w14:paraId="34A82CB6" w14:textId="77777777" w:rsidR="00F94F75" w:rsidRDefault="00F94F75" w:rsidP="003406B4">
            <w:pPr>
              <w:pStyle w:val="TableText"/>
            </w:pPr>
            <w:r>
              <w:t>- Other fractures</w:t>
            </w:r>
          </w:p>
        </w:tc>
        <w:tc>
          <w:tcPr>
            <w:tcW w:w="2367" w:type="dxa"/>
          </w:tcPr>
          <w:p w14:paraId="32C80DCC" w14:textId="77777777" w:rsidR="00F94F75" w:rsidRDefault="00F94F75" w:rsidP="003406B4">
            <w:pPr>
              <w:pStyle w:val="TableText"/>
              <w:jc w:val="center"/>
            </w:pPr>
            <w:r w:rsidRPr="00FC5253">
              <w:t>26.56%</w:t>
            </w:r>
          </w:p>
        </w:tc>
        <w:tc>
          <w:tcPr>
            <w:tcW w:w="2250" w:type="dxa"/>
          </w:tcPr>
          <w:p w14:paraId="3FC6101E" w14:textId="77777777" w:rsidR="00F94F75" w:rsidRDefault="00F94F75" w:rsidP="003406B4">
            <w:pPr>
              <w:pStyle w:val="TableText"/>
              <w:jc w:val="center"/>
            </w:pPr>
            <w:r w:rsidRPr="00FC5253">
              <w:t>26.63%</w:t>
            </w:r>
          </w:p>
        </w:tc>
        <w:tc>
          <w:tcPr>
            <w:tcW w:w="2210" w:type="dxa"/>
          </w:tcPr>
          <w:p w14:paraId="2C6533E7" w14:textId="77777777" w:rsidR="00F94F75" w:rsidRDefault="00F94F75" w:rsidP="003406B4">
            <w:pPr>
              <w:pStyle w:val="TableText"/>
              <w:jc w:val="center"/>
            </w:pPr>
            <w:r w:rsidRPr="00FC5253">
              <w:t>-0.07%</w:t>
            </w:r>
          </w:p>
        </w:tc>
      </w:tr>
    </w:tbl>
    <w:p w14:paraId="2553B3FB" w14:textId="77777777" w:rsidR="00F94F75" w:rsidRDefault="00F94F75" w:rsidP="00F94F75">
      <w:pPr>
        <w:pStyle w:val="TableFigureFooter"/>
      </w:pPr>
      <w:r>
        <w:t xml:space="preserve">Source: constructed during the evaluation using the ‘Evenity_CEA_Mar22’ Excel economic model of the resubmission and additional data from Figure 14-4.4, p901; Figure 14-4.7, p907; Figure 14-4.8, p909 of the ARCH trial report </w:t>
      </w:r>
    </w:p>
    <w:p w14:paraId="172C5D82" w14:textId="0EDEBF6A" w:rsidR="00F94F75" w:rsidRPr="00C23A81" w:rsidRDefault="00F94F75" w:rsidP="00F94F75">
      <w:pPr>
        <w:pStyle w:val="TableFigureFooter"/>
      </w:pPr>
      <w:r w:rsidRPr="00C23A81">
        <w:rPr>
          <w:vertAlign w:val="superscript"/>
        </w:rPr>
        <w:t>a</w:t>
      </w:r>
      <w:r w:rsidRPr="00C23A81">
        <w:t xml:space="preserve"> </w:t>
      </w:r>
      <w:r w:rsidR="0028085E" w:rsidRPr="00C23A81">
        <w:t>E</w:t>
      </w:r>
      <w:r w:rsidRPr="00C23A81">
        <w:t xml:space="preserve">stimates were calculated during the evaluation with the same approach used in the resubmission. The incidence of other fractures was calculated as total incident clinical fractures – incident hip fractures – incident clinical vertebral fractures. </w:t>
      </w:r>
    </w:p>
    <w:p w14:paraId="52103E09" w14:textId="2D9897ED" w:rsidR="007C0C9D" w:rsidRPr="0028085E" w:rsidRDefault="007C0C9D" w:rsidP="002E1071">
      <w:pPr>
        <w:pStyle w:val="ExecSumBodyText"/>
      </w:pPr>
      <w:r w:rsidRPr="0028085E">
        <w:t xml:space="preserve">The comparison indicated slightly higher fracture incidence in the modelled population compared to the trial population. The resubmission claimed that the application of </w:t>
      </w:r>
      <w:r w:rsidR="00642625" w:rsidRPr="0028085E">
        <w:t>imperfect treatment persistence</w:t>
      </w:r>
      <w:r w:rsidRPr="0028085E">
        <w:t xml:space="preserve"> resulted in an overestimation of </w:t>
      </w:r>
      <w:r w:rsidR="00642625" w:rsidRPr="0028085E">
        <w:t xml:space="preserve">the </w:t>
      </w:r>
      <w:r w:rsidRPr="0028085E">
        <w:t xml:space="preserve">incidence </w:t>
      </w:r>
      <w:r w:rsidR="00642625" w:rsidRPr="0028085E">
        <w:t xml:space="preserve">of </w:t>
      </w:r>
      <w:r w:rsidRPr="0028085E">
        <w:t>fractures and underestimation of relative treatment effects of romosozumab versus alendronate, over the first three years of the model compared to the trial. This claim was validated during the evaluation, however, numerical differences remained between trial- and model-based estimates. The reasons for the numerical differences were the inclusion of mortality multipliers and differences between data sources and approaches used to derive the trial- and model-based estimates. Trial-based estimates in the table above were extracted from Kaplan-Meier curves of time-to-first event analyses whereas modelled estimates were based on calculated annualised fracture incidence using primary/secondary endpoints in the trial (24 months or primary analysis period).</w:t>
      </w:r>
      <w:r w:rsidR="00C23A81">
        <w:t xml:space="preserve"> </w:t>
      </w:r>
    </w:p>
    <w:p w14:paraId="2644CD5D" w14:textId="34FF04DF" w:rsidR="000D7AF9" w:rsidRPr="0028085E" w:rsidRDefault="001B171F" w:rsidP="002E1071">
      <w:pPr>
        <w:pStyle w:val="ExecSumBodyText"/>
      </w:pPr>
      <w:r w:rsidRPr="001B171F">
        <w:t>While the majority of fractures in the model occurred beyond the duration of the trial, the majority of the incremental difference between treatment arms occurred during the first three years.</w:t>
      </w:r>
      <w:r w:rsidRPr="001B171F">
        <w:rPr>
          <w:i/>
          <w:iCs/>
        </w:rPr>
        <w:t xml:space="preserve"> </w:t>
      </w:r>
      <w:r w:rsidRPr="0028085E">
        <w:t>Removal of modelled treatment discontinuation</w:t>
      </w:r>
      <w:r w:rsidR="009B2636" w:rsidRPr="0028085E">
        <w:t xml:space="preserve"> (i.e. 100% persistence)</w:t>
      </w:r>
      <w:r w:rsidRPr="0028085E">
        <w:t xml:space="preserve"> yielded a similar pattern in the extrapolated period, with a reduction in fracture incidence in both arms and marginal increase in the incremental difference in favour of romosozumab.</w:t>
      </w:r>
      <w:r w:rsidR="00C23A81">
        <w:t xml:space="preserve"> </w:t>
      </w:r>
    </w:p>
    <w:p w14:paraId="40717DAB" w14:textId="7E30F43A" w:rsidR="00426EFD" w:rsidRPr="0028085E" w:rsidRDefault="00426EFD" w:rsidP="002E1071">
      <w:pPr>
        <w:pStyle w:val="ExecSumBodyText"/>
      </w:pPr>
      <w:r w:rsidRPr="0028085E">
        <w:t>The resubmission assumed constant fracture risk over time</w:t>
      </w:r>
      <w:r w:rsidR="0002619F">
        <w:t>.</w:t>
      </w:r>
      <w:r w:rsidRPr="0028085E">
        <w:t xml:space="preserve"> </w:t>
      </w:r>
      <w:r w:rsidR="0002619F" w:rsidRPr="005E2E4D">
        <w:t xml:space="preserve">The ESC </w:t>
      </w:r>
      <w:r w:rsidR="00A24B74" w:rsidRPr="005E2E4D">
        <w:t>not</w:t>
      </w:r>
      <w:r w:rsidR="0002619F" w:rsidRPr="005E2E4D">
        <w:t>ed this</w:t>
      </w:r>
      <w:r w:rsidRPr="005E2E4D">
        <w:t xml:space="preserve"> was inconsistent </w:t>
      </w:r>
      <w:r w:rsidR="006567C6" w:rsidRPr="005E2E4D">
        <w:t>with the resubmission’s claim that patients with a recent fracture are at high imminent risk of a subsequent fracture</w:t>
      </w:r>
      <w:r w:rsidR="00A44399" w:rsidRPr="005E2E4D">
        <w:t>,</w:t>
      </w:r>
      <w:r w:rsidR="009F72AE" w:rsidRPr="005E2E4D">
        <w:t xml:space="preserve"> that </w:t>
      </w:r>
      <w:r w:rsidR="0002619F" w:rsidRPr="005E2E4D">
        <w:t xml:space="preserve">formed part of the resubmissions justification of the targeted first line population. </w:t>
      </w:r>
      <w:r w:rsidR="006567C6" w:rsidRPr="0028085E">
        <w:t xml:space="preserve">This approach was also inconsistent </w:t>
      </w:r>
      <w:r w:rsidRPr="0028085E">
        <w:t xml:space="preserve">with published economic evaluations that calculated changing risk over time based on changing patient characteristics (e.g. age, fracture burden). </w:t>
      </w:r>
    </w:p>
    <w:p w14:paraId="657A6F06" w14:textId="751329D0" w:rsidR="00E958E5" w:rsidRPr="0028085E" w:rsidRDefault="00E958E5" w:rsidP="002E1071">
      <w:pPr>
        <w:pStyle w:val="ExecSumBodyText"/>
      </w:pPr>
      <w:r w:rsidRPr="0028085E">
        <w:t xml:space="preserve">The resubmission did not adequately justify the use of </w:t>
      </w:r>
      <w:r w:rsidR="00D45B3A" w:rsidRPr="0028085E">
        <w:t xml:space="preserve">inverted </w:t>
      </w:r>
      <w:r w:rsidRPr="0028085E">
        <w:t>treatment effect estimates from the meta-analysis of the FIT trial cohorts</w:t>
      </w:r>
      <w:r w:rsidR="008E1C4D" w:rsidRPr="0028085E">
        <w:t xml:space="preserve"> (alendronate placebo-controlled trial)</w:t>
      </w:r>
      <w:r w:rsidRPr="0028085E">
        <w:t xml:space="preserve"> to quantify </w:t>
      </w:r>
      <w:r w:rsidR="00E61083" w:rsidRPr="0028085E">
        <w:t>elevated</w:t>
      </w:r>
      <w:r w:rsidRPr="0028085E">
        <w:t xml:space="preserve"> fracture risk in patients who have stopped romosozumab and/or alendronate in the economic model. There are concerns with the robustness </w:t>
      </w:r>
      <w:r w:rsidR="008E1C4D" w:rsidRPr="0028085E">
        <w:t xml:space="preserve">of the meta-analysis </w:t>
      </w:r>
      <w:r w:rsidRPr="0028085E">
        <w:t>and applicability of these estimates to the PBS population</w:t>
      </w:r>
      <w:r w:rsidR="00685597" w:rsidRPr="0028085E">
        <w:t xml:space="preserve"> given the data</w:t>
      </w:r>
      <w:r w:rsidR="00A0341C" w:rsidRPr="0028085E">
        <w:t xml:space="preserve"> are relatively old (conducted in the mid-1990s) </w:t>
      </w:r>
      <w:r w:rsidR="00685597" w:rsidRPr="0028085E">
        <w:t>and the trial</w:t>
      </w:r>
      <w:r w:rsidR="00A0341C" w:rsidRPr="0028085E">
        <w:t xml:space="preserve"> used lower than currently recommended doses of alendronate. </w:t>
      </w:r>
    </w:p>
    <w:p w14:paraId="454EA121" w14:textId="74B70AF6" w:rsidR="002B0116" w:rsidRPr="0028085E" w:rsidRDefault="00AC20BB" w:rsidP="002E1071">
      <w:pPr>
        <w:pStyle w:val="ExecSumBodyText"/>
      </w:pPr>
      <w:r w:rsidRPr="0028085E">
        <w:t>The resubmission estimated mortality multipliers based on the Dubbo Osteoporosis Epidemiology Study</w:t>
      </w:r>
      <w:r w:rsidR="00A479DA" w:rsidRPr="0028085E">
        <w:t xml:space="preserve"> that recruited </w:t>
      </w:r>
      <w:r w:rsidR="004F7960" w:rsidRPr="0028085E">
        <w:t xml:space="preserve">older Australians who sustained a fracture between 1989 and 2007. </w:t>
      </w:r>
      <w:r w:rsidR="008C0882" w:rsidRPr="0028085E">
        <w:t xml:space="preserve">The results from the Dubbo Osteoporosis Epidemiology Study indicate an association between osteoporotic fracture and increased mortality but do not demonstrate causation. Additionally, the data are relatively old and may not be applicable to current practice. </w:t>
      </w:r>
    </w:p>
    <w:p w14:paraId="2414308B" w14:textId="0C2FFC0B" w:rsidR="00052901" w:rsidRPr="0028085E" w:rsidRDefault="00052901" w:rsidP="002E1071">
      <w:pPr>
        <w:pStyle w:val="ExecSumBodyText"/>
      </w:pPr>
      <w:bookmarkStart w:id="48" w:name="_Ref110454408"/>
      <w:r w:rsidRPr="0028085E">
        <w:t>The impact of cardiovascular events was implemented as a fixed incremental cost (first year only) and ongoing disutility</w:t>
      </w:r>
      <w:r w:rsidR="009B2636" w:rsidRPr="0028085E">
        <w:t xml:space="preserve"> in</w:t>
      </w:r>
      <w:r w:rsidRPr="0028085E">
        <w:t xml:space="preserve"> the romosozumab arm only based on the between arm difference in the incidence of serious cardiovascular events reported in the ARCH trial. </w:t>
      </w:r>
      <w:r w:rsidRPr="005E2E4D">
        <w:t xml:space="preserve">The </w:t>
      </w:r>
      <w:r w:rsidR="000A4E2D" w:rsidRPr="005E2E4D">
        <w:t xml:space="preserve">ESC noted the </w:t>
      </w:r>
      <w:r w:rsidRPr="005E2E4D">
        <w:t>resubmission assumed no mortality impact associated with cardiovascular events</w:t>
      </w:r>
      <w:r w:rsidR="000A4E2D" w:rsidRPr="005E2E4D">
        <w:t xml:space="preserve">. The ESC considered that this assumption was not appropriate as it </w:t>
      </w:r>
      <w:r w:rsidRPr="005E2E4D">
        <w:t>was inconsistent with the trial.</w:t>
      </w:r>
      <w:r w:rsidRPr="0028085E">
        <w:t xml:space="preserve"> </w:t>
      </w:r>
      <w:r w:rsidR="001B760B">
        <w:t>The pre-PBAC response noted that cardiovascular deaths were reported in a similar proportion of patients in both treatment arms: 58 (2.8%) subjects in the romosozumab/alendronate group and 55 (2.7%) subjects in the alendronate/alendronate group. The pre-PBAC response argued that, consistent with the evidence, the model d</w:t>
      </w:r>
      <w:r w:rsidR="0062058A">
        <w:t>id</w:t>
      </w:r>
      <w:r w:rsidR="001B760B">
        <w:t xml:space="preserve"> not apply a difference in mortality but d</w:t>
      </w:r>
      <w:r w:rsidR="0062058A">
        <w:t>id</w:t>
      </w:r>
      <w:r w:rsidR="001B760B">
        <w:t xml:space="preserve"> include a disutility and cost associated with a potential difference in the incidence of serious cardiovascular events.</w:t>
      </w:r>
      <w:bookmarkEnd w:id="48"/>
      <w:r w:rsidR="001B760B">
        <w:t xml:space="preserve"> </w:t>
      </w:r>
    </w:p>
    <w:p w14:paraId="7BAD343D" w14:textId="61253CA9" w:rsidR="00AB6BCB" w:rsidRPr="0028085E" w:rsidRDefault="00620BD0" w:rsidP="00BB732D">
      <w:pPr>
        <w:pStyle w:val="ExecSumBodyText"/>
      </w:pPr>
      <w:r w:rsidRPr="0028085E">
        <w:t xml:space="preserve">During the evaluation, an expanded stepped economic evaluation was conducted </w:t>
      </w:r>
      <w:r w:rsidR="00AA4D6B">
        <w:t>to calculate a</w:t>
      </w:r>
      <w:r w:rsidRPr="0028085E">
        <w:t xml:space="preserve"> revised base case using corrected fracture costs and a 5% </w:t>
      </w:r>
      <w:r w:rsidR="00D41325">
        <w:t xml:space="preserve">(rather than the 1.5% used in the resubmission) </w:t>
      </w:r>
      <w:r w:rsidRPr="0028085E">
        <w:t>discount rate (see table below).</w:t>
      </w:r>
    </w:p>
    <w:p w14:paraId="758E080F" w14:textId="224ED8FC" w:rsidR="00620BD0" w:rsidRDefault="00620BD0" w:rsidP="00620BD0">
      <w:pPr>
        <w:pStyle w:val="TableFigureCaption"/>
      </w:pPr>
      <w:r>
        <w:t xml:space="preserve">Table </w:t>
      </w:r>
      <w:fldSimple w:instr=" SEQ Table \* ARABIC ">
        <w:r w:rsidR="00016A98">
          <w:rPr>
            <w:noProof/>
          </w:rPr>
          <w:t>12</w:t>
        </w:r>
      </w:fldSimple>
      <w:r>
        <w:t xml:space="preserve">: </w:t>
      </w:r>
      <w:r w:rsidRPr="00262BDA">
        <w:t>Results of the stepped economic evaluation</w:t>
      </w:r>
      <w:r w:rsidRPr="00620BD0">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1E0" w:firstRow="1" w:lastRow="1" w:firstColumn="1" w:lastColumn="1" w:noHBand="0" w:noVBand="0"/>
      </w:tblPr>
      <w:tblGrid>
        <w:gridCol w:w="2757"/>
        <w:gridCol w:w="2451"/>
        <w:gridCol w:w="2298"/>
        <w:gridCol w:w="1511"/>
      </w:tblGrid>
      <w:tr w:rsidR="00620BD0" w:rsidRPr="00262BDA" w14:paraId="4B85F7A4" w14:textId="77777777" w:rsidTr="003406B4">
        <w:trPr>
          <w:tblHeader/>
        </w:trPr>
        <w:tc>
          <w:tcPr>
            <w:tcW w:w="1529" w:type="pct"/>
            <w:vAlign w:val="center"/>
          </w:tcPr>
          <w:p w14:paraId="7FE41F13" w14:textId="77777777" w:rsidR="00620BD0" w:rsidRPr="00262BDA" w:rsidRDefault="00620BD0" w:rsidP="003406B4">
            <w:pPr>
              <w:pStyle w:val="Tableheadingrow"/>
              <w:rPr>
                <w:lang w:val="en-AU"/>
              </w:rPr>
            </w:pPr>
            <w:r w:rsidRPr="00262BDA">
              <w:rPr>
                <w:lang w:val="en-AU"/>
              </w:rPr>
              <w:t>Step and component</w:t>
            </w:r>
          </w:p>
        </w:tc>
        <w:tc>
          <w:tcPr>
            <w:tcW w:w="1359" w:type="pct"/>
            <w:vAlign w:val="center"/>
          </w:tcPr>
          <w:p w14:paraId="6D89155C" w14:textId="535D4FEF" w:rsidR="00620BD0" w:rsidRPr="0028085E" w:rsidRDefault="00620BD0" w:rsidP="003406B4">
            <w:pPr>
              <w:pStyle w:val="Tableheadingrow"/>
              <w:jc w:val="center"/>
              <w:rPr>
                <w:vertAlign w:val="superscript"/>
                <w:lang w:val="en-AU"/>
              </w:rPr>
            </w:pPr>
            <w:r>
              <w:rPr>
                <w:lang w:val="en-AU"/>
              </w:rPr>
              <w:t>Romosozumab/alendronate</w:t>
            </w:r>
          </w:p>
        </w:tc>
        <w:tc>
          <w:tcPr>
            <w:tcW w:w="1274" w:type="pct"/>
            <w:vAlign w:val="center"/>
          </w:tcPr>
          <w:p w14:paraId="3F055532" w14:textId="77777777" w:rsidR="00620BD0" w:rsidRPr="00262BDA" w:rsidRDefault="00620BD0" w:rsidP="003406B4">
            <w:pPr>
              <w:pStyle w:val="Tableheadingrow"/>
              <w:jc w:val="center"/>
              <w:rPr>
                <w:lang w:val="en-AU"/>
              </w:rPr>
            </w:pPr>
            <w:r>
              <w:rPr>
                <w:lang w:val="en-AU"/>
              </w:rPr>
              <w:t>Alendronate/alendronate</w:t>
            </w:r>
          </w:p>
        </w:tc>
        <w:tc>
          <w:tcPr>
            <w:tcW w:w="838" w:type="pct"/>
            <w:vAlign w:val="center"/>
          </w:tcPr>
          <w:p w14:paraId="4AA232DC" w14:textId="77777777" w:rsidR="00620BD0" w:rsidRPr="00262BDA" w:rsidRDefault="00620BD0" w:rsidP="003406B4">
            <w:pPr>
              <w:pStyle w:val="Tableheadingrow"/>
              <w:jc w:val="center"/>
              <w:rPr>
                <w:lang w:val="en-AU"/>
              </w:rPr>
            </w:pPr>
            <w:r w:rsidRPr="00262BDA">
              <w:rPr>
                <w:lang w:val="en-AU"/>
              </w:rPr>
              <w:t>Increment</w:t>
            </w:r>
          </w:p>
        </w:tc>
      </w:tr>
      <w:tr w:rsidR="00620BD0" w:rsidRPr="00255991" w14:paraId="01426FFF" w14:textId="77777777" w:rsidTr="003406B4">
        <w:tc>
          <w:tcPr>
            <w:tcW w:w="5000" w:type="pct"/>
            <w:gridSpan w:val="4"/>
            <w:vAlign w:val="center"/>
          </w:tcPr>
          <w:p w14:paraId="6D7A209F" w14:textId="23EF155B" w:rsidR="00620BD0" w:rsidRPr="0028085E" w:rsidRDefault="00620BD0" w:rsidP="003406B4">
            <w:pPr>
              <w:pStyle w:val="TableText"/>
              <w:rPr>
                <w:b/>
                <w:bCs w:val="0"/>
                <w:vertAlign w:val="superscript"/>
              </w:rPr>
            </w:pPr>
            <w:r w:rsidRPr="00255991">
              <w:rPr>
                <w:b/>
                <w:bCs w:val="0"/>
              </w:rPr>
              <w:t xml:space="preserve">Step </w:t>
            </w:r>
            <w:r>
              <w:rPr>
                <w:b/>
                <w:bCs w:val="0"/>
              </w:rPr>
              <w:t>1</w:t>
            </w:r>
            <w:r w:rsidRPr="00255991">
              <w:rPr>
                <w:b/>
                <w:bCs w:val="0"/>
              </w:rPr>
              <w:t xml:space="preserve">: </w:t>
            </w:r>
            <w:r>
              <w:rPr>
                <w:b/>
                <w:bCs w:val="0"/>
              </w:rPr>
              <w:t>Trial-based efficacy and modelled annual fracture incidence based on the ARCH trial, 3 year horizon, drug and administration costs</w:t>
            </w:r>
            <w:r w:rsidR="0028085E">
              <w:rPr>
                <w:b/>
                <w:bCs w:val="0"/>
                <w:vertAlign w:val="superscript"/>
              </w:rPr>
              <w:t>a</w:t>
            </w:r>
          </w:p>
        </w:tc>
      </w:tr>
      <w:tr w:rsidR="00620BD0" w:rsidRPr="00262BDA" w14:paraId="445E3C88" w14:textId="77777777" w:rsidTr="003406B4">
        <w:tc>
          <w:tcPr>
            <w:tcW w:w="1529" w:type="pct"/>
            <w:vAlign w:val="center"/>
          </w:tcPr>
          <w:p w14:paraId="6CCF4367" w14:textId="7F0D6443" w:rsidR="00620BD0" w:rsidRPr="0028085E" w:rsidRDefault="00620BD0" w:rsidP="003406B4">
            <w:pPr>
              <w:pStyle w:val="TableText"/>
              <w:rPr>
                <w:rFonts w:ascii="Times" w:hAnsi="Times"/>
                <w:vertAlign w:val="superscript"/>
              </w:rPr>
            </w:pPr>
            <w:r w:rsidRPr="00262BDA">
              <w:t>Costs</w:t>
            </w:r>
          </w:p>
        </w:tc>
        <w:tc>
          <w:tcPr>
            <w:tcW w:w="1359" w:type="pct"/>
            <w:vAlign w:val="center"/>
          </w:tcPr>
          <w:p w14:paraId="6659C858" w14:textId="2133060E" w:rsidR="00620BD0" w:rsidRPr="0028085E" w:rsidRDefault="00620BD0" w:rsidP="003406B4">
            <w:pPr>
              <w:pStyle w:val="TableText"/>
              <w:jc w:val="center"/>
            </w:pPr>
            <w:r w:rsidRPr="0028085E">
              <w:t>$</w:t>
            </w:r>
            <w:r w:rsidR="009A7DC1" w:rsidRPr="009A7DC1">
              <w:rPr>
                <w:color w:val="000000"/>
                <w:shd w:val="solid" w:color="000000" w:fill="000000"/>
                <w14:textFill>
                  <w14:solidFill>
                    <w14:srgbClr w14:val="000000">
                      <w14:alpha w14:val="100000"/>
                    </w14:srgbClr>
                  </w14:solidFill>
                </w14:textFill>
              </w:rPr>
              <w:t>|</w:t>
            </w:r>
          </w:p>
        </w:tc>
        <w:tc>
          <w:tcPr>
            <w:tcW w:w="1274" w:type="pct"/>
            <w:vAlign w:val="center"/>
          </w:tcPr>
          <w:p w14:paraId="1D67BC00" w14:textId="6A03AAF3" w:rsidR="00620BD0" w:rsidRPr="0028085E" w:rsidRDefault="00620BD0" w:rsidP="003406B4">
            <w:pPr>
              <w:pStyle w:val="TableText"/>
              <w:jc w:val="center"/>
            </w:pPr>
            <w:r w:rsidRPr="0028085E">
              <w:t>$</w:t>
            </w:r>
            <w:r w:rsidR="009A7DC1" w:rsidRPr="009A7DC1">
              <w:rPr>
                <w:color w:val="000000"/>
                <w:shd w:val="solid" w:color="000000" w:fill="000000"/>
                <w14:textFill>
                  <w14:solidFill>
                    <w14:srgbClr w14:val="000000">
                      <w14:alpha w14:val="100000"/>
                    </w14:srgbClr>
                  </w14:solidFill>
                </w14:textFill>
              </w:rPr>
              <w:t>|</w:t>
            </w:r>
          </w:p>
        </w:tc>
        <w:tc>
          <w:tcPr>
            <w:tcW w:w="838" w:type="pct"/>
            <w:vAlign w:val="center"/>
          </w:tcPr>
          <w:p w14:paraId="2FA41249" w14:textId="265C5AA1" w:rsidR="00620BD0" w:rsidRPr="0028085E" w:rsidRDefault="00620BD0" w:rsidP="003406B4">
            <w:pPr>
              <w:pStyle w:val="TableText"/>
              <w:jc w:val="center"/>
            </w:pPr>
            <w:r w:rsidRPr="0028085E">
              <w:t>$</w:t>
            </w:r>
            <w:r w:rsidR="009A7DC1" w:rsidRPr="009A7DC1">
              <w:rPr>
                <w:color w:val="000000"/>
                <w:shd w:val="solid" w:color="000000" w:fill="000000"/>
                <w14:textFill>
                  <w14:solidFill>
                    <w14:srgbClr w14:val="000000">
                      <w14:alpha w14:val="100000"/>
                    </w14:srgbClr>
                  </w14:solidFill>
                </w14:textFill>
              </w:rPr>
              <w:t>|</w:t>
            </w:r>
          </w:p>
        </w:tc>
      </w:tr>
      <w:tr w:rsidR="00620BD0" w:rsidRPr="00262BDA" w14:paraId="206AEBD2" w14:textId="77777777" w:rsidTr="003406B4">
        <w:tc>
          <w:tcPr>
            <w:tcW w:w="1529" w:type="pct"/>
            <w:vAlign w:val="center"/>
          </w:tcPr>
          <w:p w14:paraId="6E450838" w14:textId="77777777" w:rsidR="00620BD0" w:rsidRPr="00262BDA" w:rsidRDefault="00620BD0" w:rsidP="003406B4">
            <w:pPr>
              <w:pStyle w:val="TableText"/>
              <w:rPr>
                <w:rFonts w:ascii="Times" w:hAnsi="Times"/>
              </w:rPr>
            </w:pPr>
            <w:r>
              <w:t>Patients without fracture</w:t>
            </w:r>
          </w:p>
        </w:tc>
        <w:tc>
          <w:tcPr>
            <w:tcW w:w="1359" w:type="pct"/>
            <w:vAlign w:val="center"/>
          </w:tcPr>
          <w:p w14:paraId="69592BE0" w14:textId="77777777" w:rsidR="00620BD0" w:rsidRPr="0028085E" w:rsidRDefault="00620BD0" w:rsidP="003406B4">
            <w:pPr>
              <w:pStyle w:val="TableText"/>
              <w:jc w:val="center"/>
            </w:pPr>
            <w:r w:rsidRPr="0028085E">
              <w:t>0.8925</w:t>
            </w:r>
          </w:p>
        </w:tc>
        <w:tc>
          <w:tcPr>
            <w:tcW w:w="1274" w:type="pct"/>
            <w:vAlign w:val="center"/>
          </w:tcPr>
          <w:p w14:paraId="1CF520FF" w14:textId="77777777" w:rsidR="00620BD0" w:rsidRPr="0028085E" w:rsidRDefault="00620BD0" w:rsidP="003406B4">
            <w:pPr>
              <w:pStyle w:val="TableText"/>
              <w:jc w:val="center"/>
            </w:pPr>
            <w:r w:rsidRPr="0028085E">
              <w:t>0.8540</w:t>
            </w:r>
          </w:p>
        </w:tc>
        <w:tc>
          <w:tcPr>
            <w:tcW w:w="838" w:type="pct"/>
            <w:vAlign w:val="center"/>
          </w:tcPr>
          <w:p w14:paraId="02FF8A57" w14:textId="77777777" w:rsidR="00620BD0" w:rsidRPr="0028085E" w:rsidRDefault="00620BD0" w:rsidP="003406B4">
            <w:pPr>
              <w:pStyle w:val="TableText"/>
              <w:jc w:val="center"/>
            </w:pPr>
            <w:r w:rsidRPr="0028085E">
              <w:t>0.0385</w:t>
            </w:r>
          </w:p>
        </w:tc>
      </w:tr>
      <w:tr w:rsidR="00620BD0" w:rsidRPr="00262BDA" w14:paraId="04FAB9C8" w14:textId="77777777" w:rsidTr="003406B4">
        <w:tc>
          <w:tcPr>
            <w:tcW w:w="4162" w:type="pct"/>
            <w:gridSpan w:val="3"/>
            <w:vAlign w:val="center"/>
          </w:tcPr>
          <w:p w14:paraId="40E5A451" w14:textId="77777777" w:rsidR="00620BD0" w:rsidRPr="0028085E" w:rsidRDefault="00620BD0" w:rsidP="003406B4">
            <w:pPr>
              <w:pStyle w:val="TableText"/>
              <w:rPr>
                <w:rFonts w:ascii="Times" w:hAnsi="Times"/>
              </w:rPr>
            </w:pPr>
            <w:r w:rsidRPr="0028085E">
              <w:t>Incremental cost per additional patient free of any incident fracture</w:t>
            </w:r>
          </w:p>
        </w:tc>
        <w:tc>
          <w:tcPr>
            <w:tcW w:w="838" w:type="pct"/>
            <w:vAlign w:val="center"/>
          </w:tcPr>
          <w:p w14:paraId="44DD9DC7" w14:textId="635C2F4F" w:rsidR="00620BD0" w:rsidRPr="004722AE" w:rsidRDefault="00620BD0" w:rsidP="003406B4">
            <w:pPr>
              <w:pStyle w:val="TableText"/>
              <w:jc w:val="center"/>
              <w:rPr>
                <w:vertAlign w:val="superscript"/>
              </w:rPr>
            </w:pPr>
            <w:r w:rsidRPr="0028085E">
              <w:t>$</w:t>
            </w:r>
            <w:r w:rsidR="009A7DC1" w:rsidRPr="009A7DC1">
              <w:rPr>
                <w:color w:val="000000"/>
                <w:shd w:val="solid" w:color="000000" w:fill="000000"/>
                <w14:textFill>
                  <w14:solidFill>
                    <w14:srgbClr w14:val="000000">
                      <w14:alpha w14:val="100000"/>
                    </w14:srgbClr>
                  </w14:solidFill>
                </w14:textFill>
              </w:rPr>
              <w:t>|</w:t>
            </w:r>
            <w:r w:rsidR="004722AE">
              <w:rPr>
                <w:vertAlign w:val="superscript"/>
              </w:rPr>
              <w:t>1</w:t>
            </w:r>
          </w:p>
        </w:tc>
      </w:tr>
      <w:tr w:rsidR="00620BD0" w:rsidRPr="00255991" w14:paraId="59D283CA" w14:textId="77777777" w:rsidTr="003406B4">
        <w:tc>
          <w:tcPr>
            <w:tcW w:w="5000" w:type="pct"/>
            <w:gridSpan w:val="4"/>
            <w:vAlign w:val="center"/>
          </w:tcPr>
          <w:p w14:paraId="21B5E302" w14:textId="2613027A" w:rsidR="00620BD0" w:rsidRPr="0028085E" w:rsidRDefault="00620BD0" w:rsidP="003406B4">
            <w:pPr>
              <w:pStyle w:val="TableText"/>
              <w:rPr>
                <w:b/>
                <w:bCs w:val="0"/>
                <w:vertAlign w:val="superscript"/>
              </w:rPr>
            </w:pPr>
            <w:r w:rsidRPr="0028085E">
              <w:rPr>
                <w:b/>
                <w:bCs w:val="0"/>
              </w:rPr>
              <w:t>Step 2: Include drug adherence and persistence</w:t>
            </w:r>
            <w:r w:rsidR="0028085E" w:rsidRPr="0028085E">
              <w:rPr>
                <w:b/>
                <w:bCs w:val="0"/>
                <w:vertAlign w:val="superscript"/>
              </w:rPr>
              <w:t>a</w:t>
            </w:r>
          </w:p>
        </w:tc>
      </w:tr>
      <w:tr w:rsidR="00620BD0" w:rsidRPr="00CF6413" w14:paraId="3F78D251" w14:textId="77777777" w:rsidTr="003406B4">
        <w:tc>
          <w:tcPr>
            <w:tcW w:w="1529" w:type="pct"/>
            <w:vAlign w:val="center"/>
          </w:tcPr>
          <w:p w14:paraId="7C16C1D5" w14:textId="77777777" w:rsidR="00620BD0" w:rsidRPr="00262BDA" w:rsidRDefault="00620BD0" w:rsidP="003406B4">
            <w:pPr>
              <w:pStyle w:val="TableText"/>
              <w:rPr>
                <w:rFonts w:ascii="Times" w:hAnsi="Times"/>
              </w:rPr>
            </w:pPr>
            <w:r w:rsidRPr="00262BDA">
              <w:t>Costs</w:t>
            </w:r>
          </w:p>
        </w:tc>
        <w:tc>
          <w:tcPr>
            <w:tcW w:w="1359" w:type="pct"/>
            <w:vAlign w:val="center"/>
          </w:tcPr>
          <w:p w14:paraId="10170656" w14:textId="2008D2B7" w:rsidR="00620BD0" w:rsidRPr="0028085E" w:rsidRDefault="00620BD0" w:rsidP="003406B4">
            <w:pPr>
              <w:pStyle w:val="TableText"/>
              <w:jc w:val="center"/>
            </w:pPr>
            <w:r w:rsidRPr="0028085E">
              <w:t>$</w:t>
            </w:r>
            <w:r w:rsidR="009A7DC1" w:rsidRPr="009A7DC1">
              <w:rPr>
                <w:color w:val="000000"/>
                <w:shd w:val="solid" w:color="000000" w:fill="000000"/>
                <w14:textFill>
                  <w14:solidFill>
                    <w14:srgbClr w14:val="000000">
                      <w14:alpha w14:val="100000"/>
                    </w14:srgbClr>
                  </w14:solidFill>
                </w14:textFill>
              </w:rPr>
              <w:t>|</w:t>
            </w:r>
          </w:p>
        </w:tc>
        <w:tc>
          <w:tcPr>
            <w:tcW w:w="1274" w:type="pct"/>
            <w:vAlign w:val="center"/>
          </w:tcPr>
          <w:p w14:paraId="5E5AD1C1" w14:textId="063D7E03" w:rsidR="00620BD0" w:rsidRPr="0028085E" w:rsidRDefault="00620BD0" w:rsidP="003406B4">
            <w:pPr>
              <w:pStyle w:val="TableText"/>
              <w:jc w:val="center"/>
            </w:pPr>
            <w:r w:rsidRPr="0028085E">
              <w:t>$</w:t>
            </w:r>
            <w:r w:rsidR="009A7DC1" w:rsidRPr="009A7DC1">
              <w:rPr>
                <w:color w:val="000000"/>
                <w:shd w:val="solid" w:color="000000" w:fill="000000"/>
                <w14:textFill>
                  <w14:solidFill>
                    <w14:srgbClr w14:val="000000">
                      <w14:alpha w14:val="100000"/>
                    </w14:srgbClr>
                  </w14:solidFill>
                </w14:textFill>
              </w:rPr>
              <w:t>|</w:t>
            </w:r>
          </w:p>
        </w:tc>
        <w:tc>
          <w:tcPr>
            <w:tcW w:w="838" w:type="pct"/>
            <w:vAlign w:val="center"/>
          </w:tcPr>
          <w:p w14:paraId="5D2DC203" w14:textId="37270969" w:rsidR="00620BD0" w:rsidRPr="0028085E" w:rsidRDefault="00620BD0" w:rsidP="003406B4">
            <w:pPr>
              <w:pStyle w:val="TableText"/>
              <w:jc w:val="center"/>
            </w:pPr>
            <w:r w:rsidRPr="0028085E">
              <w:t>$</w:t>
            </w:r>
            <w:r w:rsidR="009A7DC1" w:rsidRPr="009A7DC1">
              <w:rPr>
                <w:color w:val="000000"/>
                <w:shd w:val="solid" w:color="000000" w:fill="000000"/>
                <w14:textFill>
                  <w14:solidFill>
                    <w14:srgbClr w14:val="000000">
                      <w14:alpha w14:val="100000"/>
                    </w14:srgbClr>
                  </w14:solidFill>
                </w14:textFill>
              </w:rPr>
              <w:t>|</w:t>
            </w:r>
          </w:p>
        </w:tc>
      </w:tr>
      <w:tr w:rsidR="00620BD0" w:rsidRPr="00CF6413" w14:paraId="72BEA11E" w14:textId="77777777" w:rsidTr="003406B4">
        <w:tc>
          <w:tcPr>
            <w:tcW w:w="1529" w:type="pct"/>
            <w:vAlign w:val="center"/>
          </w:tcPr>
          <w:p w14:paraId="1929567A" w14:textId="77777777" w:rsidR="00620BD0" w:rsidRPr="00262BDA" w:rsidRDefault="00620BD0" w:rsidP="003406B4">
            <w:pPr>
              <w:pStyle w:val="TableText"/>
              <w:rPr>
                <w:rFonts w:ascii="Times" w:hAnsi="Times"/>
              </w:rPr>
            </w:pPr>
            <w:r>
              <w:t>Patients without fracture</w:t>
            </w:r>
          </w:p>
        </w:tc>
        <w:tc>
          <w:tcPr>
            <w:tcW w:w="1359" w:type="pct"/>
            <w:vAlign w:val="center"/>
          </w:tcPr>
          <w:p w14:paraId="61E7531F" w14:textId="77777777" w:rsidR="00620BD0" w:rsidRPr="0028085E" w:rsidRDefault="00620BD0" w:rsidP="003406B4">
            <w:pPr>
              <w:pStyle w:val="TableText"/>
              <w:jc w:val="center"/>
            </w:pPr>
            <w:r w:rsidRPr="0028085E">
              <w:t>0.8877</w:t>
            </w:r>
          </w:p>
        </w:tc>
        <w:tc>
          <w:tcPr>
            <w:tcW w:w="1274" w:type="pct"/>
            <w:vAlign w:val="center"/>
          </w:tcPr>
          <w:p w14:paraId="026CAD13" w14:textId="77777777" w:rsidR="00620BD0" w:rsidRPr="0028085E" w:rsidRDefault="00620BD0" w:rsidP="003406B4">
            <w:pPr>
              <w:pStyle w:val="TableText"/>
              <w:jc w:val="center"/>
            </w:pPr>
            <w:r w:rsidRPr="0028085E">
              <w:t>0.8511</w:t>
            </w:r>
          </w:p>
        </w:tc>
        <w:tc>
          <w:tcPr>
            <w:tcW w:w="838" w:type="pct"/>
            <w:vAlign w:val="center"/>
          </w:tcPr>
          <w:p w14:paraId="1E385918" w14:textId="77777777" w:rsidR="00620BD0" w:rsidRPr="0028085E" w:rsidRDefault="00620BD0" w:rsidP="003406B4">
            <w:pPr>
              <w:pStyle w:val="TableText"/>
              <w:jc w:val="center"/>
            </w:pPr>
            <w:r w:rsidRPr="0028085E">
              <w:t>0.0366</w:t>
            </w:r>
          </w:p>
        </w:tc>
      </w:tr>
      <w:tr w:rsidR="00620BD0" w:rsidRPr="0015692E" w14:paraId="71301DCE" w14:textId="77777777" w:rsidTr="003406B4">
        <w:tc>
          <w:tcPr>
            <w:tcW w:w="4162" w:type="pct"/>
            <w:gridSpan w:val="3"/>
            <w:vAlign w:val="center"/>
          </w:tcPr>
          <w:p w14:paraId="163803F9" w14:textId="77777777" w:rsidR="00620BD0" w:rsidRPr="0028085E" w:rsidRDefault="00620BD0" w:rsidP="003406B4">
            <w:pPr>
              <w:pStyle w:val="TableText"/>
              <w:rPr>
                <w:rFonts w:ascii="Times" w:hAnsi="Times"/>
              </w:rPr>
            </w:pPr>
            <w:r w:rsidRPr="0028085E">
              <w:t>Incremental cost per additional patient free of any incident fracture</w:t>
            </w:r>
          </w:p>
        </w:tc>
        <w:tc>
          <w:tcPr>
            <w:tcW w:w="838" w:type="pct"/>
            <w:vAlign w:val="center"/>
          </w:tcPr>
          <w:p w14:paraId="7DFD1589" w14:textId="50A117D8" w:rsidR="00620BD0" w:rsidRPr="0028085E" w:rsidRDefault="00620BD0" w:rsidP="003406B4">
            <w:pPr>
              <w:pStyle w:val="TableText"/>
              <w:jc w:val="center"/>
            </w:pPr>
            <w:r w:rsidRPr="0028085E">
              <w:t>$</w:t>
            </w:r>
            <w:r w:rsidR="009A7DC1" w:rsidRPr="009A7DC1">
              <w:rPr>
                <w:color w:val="000000"/>
                <w:shd w:val="solid" w:color="000000" w:fill="000000"/>
                <w14:textFill>
                  <w14:solidFill>
                    <w14:srgbClr w14:val="000000">
                      <w14:alpha w14:val="100000"/>
                    </w14:srgbClr>
                  </w14:solidFill>
                </w14:textFill>
              </w:rPr>
              <w:t>|</w:t>
            </w:r>
            <w:r w:rsidR="004722AE">
              <w:rPr>
                <w:vertAlign w:val="superscript"/>
              </w:rPr>
              <w:t>1</w:t>
            </w:r>
          </w:p>
        </w:tc>
      </w:tr>
      <w:tr w:rsidR="00620BD0" w:rsidRPr="00255991" w14:paraId="02B5AB7D" w14:textId="77777777" w:rsidTr="003406B4">
        <w:tc>
          <w:tcPr>
            <w:tcW w:w="5000" w:type="pct"/>
            <w:gridSpan w:val="4"/>
            <w:vAlign w:val="center"/>
          </w:tcPr>
          <w:p w14:paraId="5DF45D8C" w14:textId="4252C18F" w:rsidR="00620BD0" w:rsidRPr="0028085E" w:rsidRDefault="00620BD0" w:rsidP="003406B4">
            <w:pPr>
              <w:pStyle w:val="TableText"/>
              <w:rPr>
                <w:b/>
                <w:bCs w:val="0"/>
                <w:vertAlign w:val="superscript"/>
              </w:rPr>
            </w:pPr>
            <w:r w:rsidRPr="0028085E">
              <w:rPr>
                <w:b/>
                <w:bCs w:val="0"/>
              </w:rPr>
              <w:t>Step 3: Include cardiovascular monitoring and event costs</w:t>
            </w:r>
            <w:r w:rsidR="0028085E" w:rsidRPr="0028085E">
              <w:rPr>
                <w:b/>
                <w:bCs w:val="0"/>
                <w:vertAlign w:val="superscript"/>
              </w:rPr>
              <w:t>a</w:t>
            </w:r>
          </w:p>
        </w:tc>
      </w:tr>
      <w:tr w:rsidR="00620BD0" w:rsidRPr="00CF6413" w14:paraId="29EC5ACF" w14:textId="77777777" w:rsidTr="003406B4">
        <w:tc>
          <w:tcPr>
            <w:tcW w:w="1529" w:type="pct"/>
            <w:vAlign w:val="center"/>
          </w:tcPr>
          <w:p w14:paraId="0E8095E8" w14:textId="77777777" w:rsidR="00620BD0" w:rsidRPr="00262BDA" w:rsidRDefault="00620BD0" w:rsidP="003406B4">
            <w:pPr>
              <w:pStyle w:val="TableText"/>
              <w:rPr>
                <w:rFonts w:ascii="Times" w:hAnsi="Times"/>
              </w:rPr>
            </w:pPr>
            <w:r w:rsidRPr="00262BDA">
              <w:t>Costs</w:t>
            </w:r>
          </w:p>
        </w:tc>
        <w:tc>
          <w:tcPr>
            <w:tcW w:w="1359" w:type="pct"/>
            <w:vAlign w:val="center"/>
          </w:tcPr>
          <w:p w14:paraId="7603A14C" w14:textId="2F3B876A" w:rsidR="00620BD0" w:rsidRPr="0028085E" w:rsidRDefault="00620BD0" w:rsidP="003406B4">
            <w:pPr>
              <w:pStyle w:val="TableText"/>
              <w:jc w:val="center"/>
            </w:pPr>
            <w:r w:rsidRPr="0028085E">
              <w:t>$</w:t>
            </w:r>
            <w:r w:rsidR="009A7DC1" w:rsidRPr="009A7DC1">
              <w:rPr>
                <w:color w:val="000000"/>
                <w:shd w:val="solid" w:color="000000" w:fill="000000"/>
                <w14:textFill>
                  <w14:solidFill>
                    <w14:srgbClr w14:val="000000">
                      <w14:alpha w14:val="100000"/>
                    </w14:srgbClr>
                  </w14:solidFill>
                </w14:textFill>
              </w:rPr>
              <w:t>|</w:t>
            </w:r>
          </w:p>
        </w:tc>
        <w:tc>
          <w:tcPr>
            <w:tcW w:w="1274" w:type="pct"/>
            <w:vAlign w:val="center"/>
          </w:tcPr>
          <w:p w14:paraId="044FE46A" w14:textId="53905D86" w:rsidR="00620BD0" w:rsidRPr="0028085E" w:rsidRDefault="00620BD0" w:rsidP="003406B4">
            <w:pPr>
              <w:pStyle w:val="TableText"/>
              <w:jc w:val="center"/>
            </w:pPr>
            <w:r w:rsidRPr="0028085E">
              <w:t>$</w:t>
            </w:r>
            <w:r w:rsidR="009A7DC1" w:rsidRPr="009A7DC1">
              <w:rPr>
                <w:color w:val="000000"/>
                <w:shd w:val="solid" w:color="000000" w:fill="000000"/>
                <w14:textFill>
                  <w14:solidFill>
                    <w14:srgbClr w14:val="000000">
                      <w14:alpha w14:val="100000"/>
                    </w14:srgbClr>
                  </w14:solidFill>
                </w14:textFill>
              </w:rPr>
              <w:t>|</w:t>
            </w:r>
          </w:p>
        </w:tc>
        <w:tc>
          <w:tcPr>
            <w:tcW w:w="838" w:type="pct"/>
            <w:vAlign w:val="center"/>
          </w:tcPr>
          <w:p w14:paraId="07FA571B" w14:textId="51F818E6" w:rsidR="00620BD0" w:rsidRPr="0028085E" w:rsidRDefault="00620BD0" w:rsidP="003406B4">
            <w:pPr>
              <w:pStyle w:val="TableText"/>
              <w:jc w:val="center"/>
            </w:pPr>
            <w:r w:rsidRPr="0028085E">
              <w:t>$</w:t>
            </w:r>
            <w:r w:rsidR="009A7DC1" w:rsidRPr="009A7DC1">
              <w:rPr>
                <w:color w:val="000000"/>
                <w:shd w:val="solid" w:color="000000" w:fill="000000"/>
                <w14:textFill>
                  <w14:solidFill>
                    <w14:srgbClr w14:val="000000">
                      <w14:alpha w14:val="100000"/>
                    </w14:srgbClr>
                  </w14:solidFill>
                </w14:textFill>
              </w:rPr>
              <w:t>|</w:t>
            </w:r>
          </w:p>
        </w:tc>
      </w:tr>
      <w:tr w:rsidR="00620BD0" w:rsidRPr="00CF6413" w14:paraId="20E2FAEF" w14:textId="77777777" w:rsidTr="003406B4">
        <w:tc>
          <w:tcPr>
            <w:tcW w:w="1529" w:type="pct"/>
            <w:vAlign w:val="center"/>
          </w:tcPr>
          <w:p w14:paraId="6B649349" w14:textId="77777777" w:rsidR="00620BD0" w:rsidRPr="00262BDA" w:rsidRDefault="00620BD0" w:rsidP="003406B4">
            <w:pPr>
              <w:pStyle w:val="TableText"/>
              <w:rPr>
                <w:rFonts w:ascii="Times" w:hAnsi="Times"/>
              </w:rPr>
            </w:pPr>
            <w:r>
              <w:t>Patients without fracture</w:t>
            </w:r>
          </w:p>
        </w:tc>
        <w:tc>
          <w:tcPr>
            <w:tcW w:w="1359" w:type="pct"/>
            <w:vAlign w:val="center"/>
          </w:tcPr>
          <w:p w14:paraId="0C733A6E" w14:textId="77777777" w:rsidR="00620BD0" w:rsidRPr="0028085E" w:rsidRDefault="00620BD0" w:rsidP="003406B4">
            <w:pPr>
              <w:pStyle w:val="TableText"/>
              <w:jc w:val="center"/>
            </w:pPr>
            <w:r w:rsidRPr="0028085E">
              <w:t>0.8877</w:t>
            </w:r>
          </w:p>
        </w:tc>
        <w:tc>
          <w:tcPr>
            <w:tcW w:w="1274" w:type="pct"/>
            <w:vAlign w:val="center"/>
          </w:tcPr>
          <w:p w14:paraId="3B953872" w14:textId="77777777" w:rsidR="00620BD0" w:rsidRPr="0028085E" w:rsidRDefault="00620BD0" w:rsidP="003406B4">
            <w:pPr>
              <w:pStyle w:val="TableText"/>
              <w:jc w:val="center"/>
            </w:pPr>
            <w:r w:rsidRPr="0028085E">
              <w:t>0.8511</w:t>
            </w:r>
          </w:p>
        </w:tc>
        <w:tc>
          <w:tcPr>
            <w:tcW w:w="838" w:type="pct"/>
            <w:vAlign w:val="center"/>
          </w:tcPr>
          <w:p w14:paraId="66A346E0" w14:textId="77777777" w:rsidR="00620BD0" w:rsidRPr="0028085E" w:rsidRDefault="00620BD0" w:rsidP="003406B4">
            <w:pPr>
              <w:pStyle w:val="TableText"/>
              <w:jc w:val="center"/>
            </w:pPr>
            <w:r w:rsidRPr="0028085E">
              <w:t>0.0366</w:t>
            </w:r>
          </w:p>
        </w:tc>
      </w:tr>
      <w:tr w:rsidR="00620BD0" w:rsidRPr="0015692E" w14:paraId="1CC86CEC" w14:textId="77777777" w:rsidTr="003406B4">
        <w:tc>
          <w:tcPr>
            <w:tcW w:w="4162" w:type="pct"/>
            <w:gridSpan w:val="3"/>
            <w:vAlign w:val="center"/>
          </w:tcPr>
          <w:p w14:paraId="3EC16A75" w14:textId="77777777" w:rsidR="00620BD0" w:rsidRPr="0028085E" w:rsidRDefault="00620BD0" w:rsidP="003406B4">
            <w:pPr>
              <w:pStyle w:val="TableText"/>
              <w:rPr>
                <w:rFonts w:ascii="Times" w:hAnsi="Times"/>
              </w:rPr>
            </w:pPr>
            <w:r w:rsidRPr="0028085E">
              <w:t>Incremental cost per additional patient free of any incident fracture</w:t>
            </w:r>
          </w:p>
        </w:tc>
        <w:tc>
          <w:tcPr>
            <w:tcW w:w="838" w:type="pct"/>
            <w:vAlign w:val="center"/>
          </w:tcPr>
          <w:p w14:paraId="1D1DD6DC" w14:textId="5283D44D" w:rsidR="00620BD0" w:rsidRPr="0028085E" w:rsidRDefault="00620BD0" w:rsidP="003406B4">
            <w:pPr>
              <w:pStyle w:val="TableText"/>
              <w:jc w:val="center"/>
            </w:pPr>
            <w:r w:rsidRPr="0028085E">
              <w:t>$</w:t>
            </w:r>
            <w:r w:rsidR="009A7DC1" w:rsidRPr="009A7DC1">
              <w:rPr>
                <w:color w:val="000000"/>
                <w:shd w:val="solid" w:color="000000" w:fill="000000"/>
                <w14:textFill>
                  <w14:solidFill>
                    <w14:srgbClr w14:val="000000">
                      <w14:alpha w14:val="100000"/>
                    </w14:srgbClr>
                  </w14:solidFill>
                </w14:textFill>
              </w:rPr>
              <w:t>|</w:t>
            </w:r>
            <w:r w:rsidR="004722AE">
              <w:rPr>
                <w:vertAlign w:val="superscript"/>
              </w:rPr>
              <w:t>1</w:t>
            </w:r>
          </w:p>
        </w:tc>
      </w:tr>
      <w:tr w:rsidR="00620BD0" w:rsidRPr="00255991" w14:paraId="45070CD2" w14:textId="77777777" w:rsidTr="003406B4">
        <w:tc>
          <w:tcPr>
            <w:tcW w:w="5000" w:type="pct"/>
            <w:gridSpan w:val="4"/>
            <w:vAlign w:val="center"/>
          </w:tcPr>
          <w:p w14:paraId="500759A6" w14:textId="7BD87079" w:rsidR="00620BD0" w:rsidRPr="0028085E" w:rsidRDefault="00620BD0" w:rsidP="003406B4">
            <w:pPr>
              <w:pStyle w:val="TableText"/>
              <w:rPr>
                <w:b/>
                <w:bCs w:val="0"/>
                <w:vertAlign w:val="superscript"/>
              </w:rPr>
            </w:pPr>
            <w:r w:rsidRPr="0028085E">
              <w:rPr>
                <w:b/>
                <w:bCs w:val="0"/>
              </w:rPr>
              <w:t>Step 4: Include acute fracture costs</w:t>
            </w:r>
            <w:r w:rsidR="0028085E" w:rsidRPr="0028085E">
              <w:rPr>
                <w:b/>
                <w:bCs w:val="0"/>
                <w:vertAlign w:val="superscript"/>
              </w:rPr>
              <w:t>a</w:t>
            </w:r>
          </w:p>
        </w:tc>
      </w:tr>
      <w:tr w:rsidR="00620BD0" w:rsidRPr="00CF6413" w14:paraId="5FC80C28" w14:textId="77777777" w:rsidTr="003406B4">
        <w:tc>
          <w:tcPr>
            <w:tcW w:w="1529" w:type="pct"/>
            <w:vAlign w:val="center"/>
          </w:tcPr>
          <w:p w14:paraId="3A83B41F" w14:textId="77777777" w:rsidR="00620BD0" w:rsidRPr="00262BDA" w:rsidRDefault="00620BD0" w:rsidP="003406B4">
            <w:pPr>
              <w:pStyle w:val="TableText"/>
              <w:rPr>
                <w:rFonts w:ascii="Times" w:hAnsi="Times"/>
              </w:rPr>
            </w:pPr>
            <w:r w:rsidRPr="00262BDA">
              <w:t>Costs</w:t>
            </w:r>
          </w:p>
        </w:tc>
        <w:tc>
          <w:tcPr>
            <w:tcW w:w="1359" w:type="pct"/>
            <w:vAlign w:val="center"/>
          </w:tcPr>
          <w:p w14:paraId="69A1EF50" w14:textId="10BD9C0A" w:rsidR="00620BD0" w:rsidRPr="0028085E" w:rsidRDefault="00620BD0" w:rsidP="003406B4">
            <w:pPr>
              <w:pStyle w:val="TableText"/>
              <w:jc w:val="center"/>
            </w:pPr>
            <w:r w:rsidRPr="0028085E">
              <w:t>$</w:t>
            </w:r>
            <w:r w:rsidR="009A7DC1" w:rsidRPr="009A7DC1">
              <w:rPr>
                <w:color w:val="000000"/>
                <w:shd w:val="solid" w:color="000000" w:fill="000000"/>
                <w14:textFill>
                  <w14:solidFill>
                    <w14:srgbClr w14:val="000000">
                      <w14:alpha w14:val="100000"/>
                    </w14:srgbClr>
                  </w14:solidFill>
                </w14:textFill>
              </w:rPr>
              <w:t>|</w:t>
            </w:r>
          </w:p>
        </w:tc>
        <w:tc>
          <w:tcPr>
            <w:tcW w:w="1274" w:type="pct"/>
            <w:vAlign w:val="center"/>
          </w:tcPr>
          <w:p w14:paraId="0466B90A" w14:textId="36307519" w:rsidR="00620BD0" w:rsidRPr="0028085E" w:rsidRDefault="00620BD0" w:rsidP="003406B4">
            <w:pPr>
              <w:pStyle w:val="TableText"/>
              <w:jc w:val="center"/>
            </w:pPr>
            <w:r w:rsidRPr="0028085E">
              <w:t>$</w:t>
            </w:r>
            <w:r w:rsidR="009A7DC1" w:rsidRPr="009A7DC1">
              <w:rPr>
                <w:color w:val="000000"/>
                <w:shd w:val="solid" w:color="000000" w:fill="000000"/>
                <w14:textFill>
                  <w14:solidFill>
                    <w14:srgbClr w14:val="000000">
                      <w14:alpha w14:val="100000"/>
                    </w14:srgbClr>
                  </w14:solidFill>
                </w14:textFill>
              </w:rPr>
              <w:t>|</w:t>
            </w:r>
          </w:p>
        </w:tc>
        <w:tc>
          <w:tcPr>
            <w:tcW w:w="838" w:type="pct"/>
            <w:vAlign w:val="center"/>
          </w:tcPr>
          <w:p w14:paraId="73D57A77" w14:textId="588231EC" w:rsidR="00620BD0" w:rsidRPr="0028085E" w:rsidRDefault="00620BD0" w:rsidP="003406B4">
            <w:pPr>
              <w:pStyle w:val="TableText"/>
              <w:jc w:val="center"/>
            </w:pPr>
            <w:r w:rsidRPr="0028085E">
              <w:t>$</w:t>
            </w:r>
            <w:r w:rsidR="009A7DC1" w:rsidRPr="009A7DC1">
              <w:rPr>
                <w:color w:val="000000"/>
                <w:shd w:val="solid" w:color="000000" w:fill="000000"/>
                <w14:textFill>
                  <w14:solidFill>
                    <w14:srgbClr w14:val="000000">
                      <w14:alpha w14:val="100000"/>
                    </w14:srgbClr>
                  </w14:solidFill>
                </w14:textFill>
              </w:rPr>
              <w:t>|</w:t>
            </w:r>
          </w:p>
        </w:tc>
      </w:tr>
      <w:tr w:rsidR="00620BD0" w:rsidRPr="00CF6413" w14:paraId="1849B032" w14:textId="77777777" w:rsidTr="003406B4">
        <w:tc>
          <w:tcPr>
            <w:tcW w:w="1529" w:type="pct"/>
            <w:vAlign w:val="center"/>
          </w:tcPr>
          <w:p w14:paraId="18874E26" w14:textId="77777777" w:rsidR="00620BD0" w:rsidRPr="00262BDA" w:rsidRDefault="00620BD0" w:rsidP="003406B4">
            <w:pPr>
              <w:pStyle w:val="TableText"/>
              <w:rPr>
                <w:rFonts w:ascii="Times" w:hAnsi="Times"/>
              </w:rPr>
            </w:pPr>
            <w:r>
              <w:t>Patients without fracture</w:t>
            </w:r>
          </w:p>
        </w:tc>
        <w:tc>
          <w:tcPr>
            <w:tcW w:w="1359" w:type="pct"/>
            <w:vAlign w:val="center"/>
          </w:tcPr>
          <w:p w14:paraId="19CDC5B3" w14:textId="77777777" w:rsidR="00620BD0" w:rsidRPr="0028085E" w:rsidRDefault="00620BD0" w:rsidP="003406B4">
            <w:pPr>
              <w:pStyle w:val="TableText"/>
              <w:jc w:val="center"/>
            </w:pPr>
            <w:r w:rsidRPr="0028085E">
              <w:t>0.8877</w:t>
            </w:r>
          </w:p>
        </w:tc>
        <w:tc>
          <w:tcPr>
            <w:tcW w:w="1274" w:type="pct"/>
            <w:vAlign w:val="center"/>
          </w:tcPr>
          <w:p w14:paraId="062618DB" w14:textId="77777777" w:rsidR="00620BD0" w:rsidRPr="0028085E" w:rsidRDefault="00620BD0" w:rsidP="003406B4">
            <w:pPr>
              <w:pStyle w:val="TableText"/>
              <w:jc w:val="center"/>
            </w:pPr>
            <w:r w:rsidRPr="0028085E">
              <w:t>0.8511</w:t>
            </w:r>
          </w:p>
        </w:tc>
        <w:tc>
          <w:tcPr>
            <w:tcW w:w="838" w:type="pct"/>
            <w:vAlign w:val="center"/>
          </w:tcPr>
          <w:p w14:paraId="7E943F34" w14:textId="77777777" w:rsidR="00620BD0" w:rsidRPr="0028085E" w:rsidRDefault="00620BD0" w:rsidP="003406B4">
            <w:pPr>
              <w:pStyle w:val="TableText"/>
              <w:jc w:val="center"/>
            </w:pPr>
            <w:r w:rsidRPr="0028085E">
              <w:t>0.0366</w:t>
            </w:r>
          </w:p>
        </w:tc>
      </w:tr>
      <w:tr w:rsidR="00620BD0" w:rsidRPr="0015692E" w14:paraId="480791A3" w14:textId="77777777" w:rsidTr="003406B4">
        <w:tc>
          <w:tcPr>
            <w:tcW w:w="4162" w:type="pct"/>
            <w:gridSpan w:val="3"/>
            <w:vAlign w:val="center"/>
          </w:tcPr>
          <w:p w14:paraId="5DF91CD8" w14:textId="77777777" w:rsidR="00620BD0" w:rsidRPr="0028085E" w:rsidRDefault="00620BD0" w:rsidP="003406B4">
            <w:pPr>
              <w:pStyle w:val="TableText"/>
              <w:rPr>
                <w:rFonts w:ascii="Times" w:hAnsi="Times"/>
              </w:rPr>
            </w:pPr>
            <w:r w:rsidRPr="0028085E">
              <w:t>Incremental cost per additional patient free of any incident fracture</w:t>
            </w:r>
          </w:p>
        </w:tc>
        <w:tc>
          <w:tcPr>
            <w:tcW w:w="838" w:type="pct"/>
            <w:vAlign w:val="center"/>
          </w:tcPr>
          <w:p w14:paraId="38D46A87" w14:textId="7FB472EC" w:rsidR="00620BD0" w:rsidRPr="0028085E" w:rsidRDefault="00620BD0" w:rsidP="003406B4">
            <w:pPr>
              <w:pStyle w:val="TableText"/>
              <w:jc w:val="center"/>
            </w:pPr>
            <w:r w:rsidRPr="0028085E">
              <w:t>$</w:t>
            </w:r>
            <w:r w:rsidR="009A7DC1" w:rsidRPr="009A7DC1">
              <w:rPr>
                <w:color w:val="000000"/>
                <w:shd w:val="solid" w:color="000000" w:fill="000000"/>
                <w14:textFill>
                  <w14:solidFill>
                    <w14:srgbClr w14:val="000000">
                      <w14:alpha w14:val="100000"/>
                    </w14:srgbClr>
                  </w14:solidFill>
                </w14:textFill>
              </w:rPr>
              <w:t>|</w:t>
            </w:r>
            <w:r w:rsidR="004722AE">
              <w:rPr>
                <w:vertAlign w:val="superscript"/>
              </w:rPr>
              <w:t>2</w:t>
            </w:r>
          </w:p>
        </w:tc>
      </w:tr>
      <w:tr w:rsidR="00620BD0" w:rsidRPr="00255991" w14:paraId="538BE9F9" w14:textId="77777777" w:rsidTr="003406B4">
        <w:tc>
          <w:tcPr>
            <w:tcW w:w="5000" w:type="pct"/>
            <w:gridSpan w:val="4"/>
            <w:vAlign w:val="center"/>
          </w:tcPr>
          <w:p w14:paraId="656AF6D3" w14:textId="395FD6E1" w:rsidR="00620BD0" w:rsidRPr="0028085E" w:rsidRDefault="00620BD0" w:rsidP="003406B4">
            <w:pPr>
              <w:pStyle w:val="TableText"/>
              <w:rPr>
                <w:b/>
                <w:bCs w:val="0"/>
                <w:vertAlign w:val="superscript"/>
              </w:rPr>
            </w:pPr>
            <w:r w:rsidRPr="0028085E">
              <w:rPr>
                <w:b/>
                <w:bCs w:val="0"/>
              </w:rPr>
              <w:t>Step 5: Include osteoporosis utility/disutility values and cardiovascular event disutility</w:t>
            </w:r>
            <w:r w:rsidR="0028085E" w:rsidRPr="0028085E">
              <w:rPr>
                <w:b/>
                <w:bCs w:val="0"/>
                <w:vertAlign w:val="superscript"/>
              </w:rPr>
              <w:t>a</w:t>
            </w:r>
          </w:p>
        </w:tc>
      </w:tr>
      <w:tr w:rsidR="00620BD0" w:rsidRPr="00CF6413" w14:paraId="36D60354" w14:textId="77777777" w:rsidTr="003406B4">
        <w:tc>
          <w:tcPr>
            <w:tcW w:w="1529" w:type="pct"/>
            <w:vAlign w:val="center"/>
          </w:tcPr>
          <w:p w14:paraId="399BCFD2" w14:textId="77777777" w:rsidR="00620BD0" w:rsidRPr="00262BDA" w:rsidRDefault="00620BD0" w:rsidP="003406B4">
            <w:pPr>
              <w:pStyle w:val="TableText"/>
              <w:rPr>
                <w:rFonts w:ascii="Times" w:hAnsi="Times"/>
              </w:rPr>
            </w:pPr>
            <w:r w:rsidRPr="00262BDA">
              <w:t>Costs</w:t>
            </w:r>
          </w:p>
        </w:tc>
        <w:tc>
          <w:tcPr>
            <w:tcW w:w="1359" w:type="pct"/>
            <w:vAlign w:val="center"/>
          </w:tcPr>
          <w:p w14:paraId="29808761" w14:textId="4CDC96AE" w:rsidR="00620BD0" w:rsidRPr="0028085E" w:rsidRDefault="00620BD0" w:rsidP="003406B4">
            <w:pPr>
              <w:pStyle w:val="TableText"/>
              <w:jc w:val="center"/>
            </w:pPr>
            <w:r w:rsidRPr="0028085E">
              <w:t>$</w:t>
            </w:r>
            <w:r w:rsidR="009A7DC1" w:rsidRPr="009A7DC1">
              <w:rPr>
                <w:color w:val="000000"/>
                <w:shd w:val="solid" w:color="000000" w:fill="000000"/>
                <w14:textFill>
                  <w14:solidFill>
                    <w14:srgbClr w14:val="000000">
                      <w14:alpha w14:val="100000"/>
                    </w14:srgbClr>
                  </w14:solidFill>
                </w14:textFill>
              </w:rPr>
              <w:t>|</w:t>
            </w:r>
          </w:p>
        </w:tc>
        <w:tc>
          <w:tcPr>
            <w:tcW w:w="1274" w:type="pct"/>
            <w:vAlign w:val="center"/>
          </w:tcPr>
          <w:p w14:paraId="42D650C8" w14:textId="5A1D04BF" w:rsidR="00620BD0" w:rsidRPr="0028085E" w:rsidRDefault="00620BD0" w:rsidP="003406B4">
            <w:pPr>
              <w:pStyle w:val="TableText"/>
              <w:jc w:val="center"/>
            </w:pPr>
            <w:r w:rsidRPr="0028085E">
              <w:t>$</w:t>
            </w:r>
            <w:r w:rsidR="009A7DC1" w:rsidRPr="009A7DC1">
              <w:rPr>
                <w:color w:val="000000"/>
                <w:shd w:val="solid" w:color="000000" w:fill="000000"/>
                <w14:textFill>
                  <w14:solidFill>
                    <w14:srgbClr w14:val="000000">
                      <w14:alpha w14:val="100000"/>
                    </w14:srgbClr>
                  </w14:solidFill>
                </w14:textFill>
              </w:rPr>
              <w:t>|</w:t>
            </w:r>
          </w:p>
        </w:tc>
        <w:tc>
          <w:tcPr>
            <w:tcW w:w="838" w:type="pct"/>
            <w:vAlign w:val="center"/>
          </w:tcPr>
          <w:p w14:paraId="32E5D981" w14:textId="5C73A2F4" w:rsidR="00620BD0" w:rsidRPr="0028085E" w:rsidRDefault="00620BD0" w:rsidP="003406B4">
            <w:pPr>
              <w:pStyle w:val="TableText"/>
              <w:jc w:val="center"/>
            </w:pPr>
            <w:r w:rsidRPr="0028085E">
              <w:t>$</w:t>
            </w:r>
            <w:r w:rsidR="009A7DC1" w:rsidRPr="009A7DC1">
              <w:rPr>
                <w:color w:val="000000"/>
                <w:shd w:val="solid" w:color="000000" w:fill="000000"/>
                <w14:textFill>
                  <w14:solidFill>
                    <w14:srgbClr w14:val="000000">
                      <w14:alpha w14:val="100000"/>
                    </w14:srgbClr>
                  </w14:solidFill>
                </w14:textFill>
              </w:rPr>
              <w:t>|</w:t>
            </w:r>
          </w:p>
        </w:tc>
      </w:tr>
      <w:tr w:rsidR="00620BD0" w:rsidRPr="00CF6413" w14:paraId="1A8E441E" w14:textId="77777777" w:rsidTr="003406B4">
        <w:tc>
          <w:tcPr>
            <w:tcW w:w="1529" w:type="pct"/>
            <w:vAlign w:val="center"/>
          </w:tcPr>
          <w:p w14:paraId="4B4A82B5" w14:textId="77777777" w:rsidR="00620BD0" w:rsidRPr="00262BDA" w:rsidRDefault="00620BD0" w:rsidP="003406B4">
            <w:pPr>
              <w:pStyle w:val="TableText"/>
              <w:rPr>
                <w:rFonts w:ascii="Times" w:hAnsi="Times"/>
              </w:rPr>
            </w:pPr>
            <w:r>
              <w:t>QALYs</w:t>
            </w:r>
          </w:p>
        </w:tc>
        <w:tc>
          <w:tcPr>
            <w:tcW w:w="1359" w:type="pct"/>
            <w:vAlign w:val="center"/>
          </w:tcPr>
          <w:p w14:paraId="048547C1" w14:textId="77777777" w:rsidR="00620BD0" w:rsidRPr="0028085E" w:rsidRDefault="00620BD0" w:rsidP="003406B4">
            <w:pPr>
              <w:pStyle w:val="TableText"/>
              <w:jc w:val="center"/>
            </w:pPr>
            <w:r w:rsidRPr="0028085E">
              <w:t>2.4952</w:t>
            </w:r>
          </w:p>
        </w:tc>
        <w:tc>
          <w:tcPr>
            <w:tcW w:w="1274" w:type="pct"/>
            <w:vAlign w:val="center"/>
          </w:tcPr>
          <w:p w14:paraId="081E5D1B" w14:textId="77777777" w:rsidR="00620BD0" w:rsidRPr="0028085E" w:rsidRDefault="00620BD0" w:rsidP="003406B4">
            <w:pPr>
              <w:pStyle w:val="TableText"/>
              <w:jc w:val="center"/>
            </w:pPr>
            <w:r w:rsidRPr="0028085E">
              <w:t>2.4852</w:t>
            </w:r>
          </w:p>
        </w:tc>
        <w:tc>
          <w:tcPr>
            <w:tcW w:w="838" w:type="pct"/>
            <w:vAlign w:val="center"/>
          </w:tcPr>
          <w:p w14:paraId="0FE68BCF" w14:textId="77777777" w:rsidR="00620BD0" w:rsidRPr="0028085E" w:rsidRDefault="00620BD0" w:rsidP="003406B4">
            <w:pPr>
              <w:pStyle w:val="TableText"/>
              <w:jc w:val="center"/>
            </w:pPr>
            <w:r w:rsidRPr="0028085E">
              <w:t>0.0099</w:t>
            </w:r>
          </w:p>
        </w:tc>
      </w:tr>
      <w:tr w:rsidR="00620BD0" w:rsidRPr="0015692E" w14:paraId="19867BA4" w14:textId="77777777" w:rsidTr="003406B4">
        <w:tc>
          <w:tcPr>
            <w:tcW w:w="4162" w:type="pct"/>
            <w:gridSpan w:val="3"/>
            <w:vAlign w:val="center"/>
          </w:tcPr>
          <w:p w14:paraId="5ED7E40D" w14:textId="77777777" w:rsidR="00620BD0" w:rsidRPr="0028085E" w:rsidRDefault="00620BD0" w:rsidP="003406B4">
            <w:pPr>
              <w:pStyle w:val="TableText"/>
              <w:rPr>
                <w:rFonts w:ascii="Times" w:hAnsi="Times"/>
              </w:rPr>
            </w:pPr>
            <w:r w:rsidRPr="0028085E">
              <w:t>Incremental cost per QALY gained</w:t>
            </w:r>
          </w:p>
        </w:tc>
        <w:tc>
          <w:tcPr>
            <w:tcW w:w="838" w:type="pct"/>
            <w:vAlign w:val="center"/>
          </w:tcPr>
          <w:p w14:paraId="1B54A68F" w14:textId="4B400E08" w:rsidR="00620BD0" w:rsidRPr="0028085E" w:rsidRDefault="00620BD0" w:rsidP="003406B4">
            <w:pPr>
              <w:pStyle w:val="TableText"/>
              <w:jc w:val="center"/>
            </w:pPr>
            <w:r w:rsidRPr="0028085E">
              <w:t>$</w:t>
            </w:r>
            <w:r w:rsidR="009A7DC1" w:rsidRPr="009A7DC1">
              <w:rPr>
                <w:color w:val="000000"/>
                <w:shd w:val="solid" w:color="000000" w:fill="000000"/>
                <w14:textFill>
                  <w14:solidFill>
                    <w14:srgbClr w14:val="000000">
                      <w14:alpha w14:val="100000"/>
                    </w14:srgbClr>
                  </w14:solidFill>
                </w14:textFill>
              </w:rPr>
              <w:t>|</w:t>
            </w:r>
            <w:r w:rsidR="004722AE">
              <w:rPr>
                <w:vertAlign w:val="superscript"/>
              </w:rPr>
              <w:t>3</w:t>
            </w:r>
          </w:p>
        </w:tc>
      </w:tr>
      <w:tr w:rsidR="00620BD0" w:rsidRPr="00255991" w14:paraId="1ACDEEA3" w14:textId="77777777" w:rsidTr="003406B4">
        <w:tc>
          <w:tcPr>
            <w:tcW w:w="5000" w:type="pct"/>
            <w:gridSpan w:val="4"/>
            <w:vAlign w:val="center"/>
          </w:tcPr>
          <w:p w14:paraId="57420530" w14:textId="2CC35892" w:rsidR="00620BD0" w:rsidRPr="0028085E" w:rsidRDefault="00620BD0" w:rsidP="003406B4">
            <w:pPr>
              <w:pStyle w:val="TableText"/>
              <w:rPr>
                <w:b/>
                <w:bCs w:val="0"/>
                <w:vertAlign w:val="superscript"/>
              </w:rPr>
            </w:pPr>
            <w:r w:rsidRPr="00255991">
              <w:rPr>
                <w:b/>
                <w:bCs w:val="0"/>
              </w:rPr>
              <w:t xml:space="preserve">Step </w:t>
            </w:r>
            <w:r>
              <w:rPr>
                <w:b/>
                <w:bCs w:val="0"/>
              </w:rPr>
              <w:t>6</w:t>
            </w:r>
            <w:r w:rsidRPr="00255991">
              <w:rPr>
                <w:b/>
                <w:bCs w:val="0"/>
              </w:rPr>
              <w:t xml:space="preserve">: </w:t>
            </w:r>
            <w:r w:rsidRPr="001D1309">
              <w:rPr>
                <w:b/>
                <w:bCs w:val="0"/>
              </w:rPr>
              <w:t>Modelled fracture risks (constant annualised fracture risks from the ARCH trial), modelled treatment efficacy (trial-based efficacy for 3 years then risk convergence by year 6), 20 year time horizon</w:t>
            </w:r>
            <w:r w:rsidR="0028085E">
              <w:rPr>
                <w:b/>
                <w:bCs w:val="0"/>
                <w:vertAlign w:val="superscript"/>
              </w:rPr>
              <w:t>a</w:t>
            </w:r>
          </w:p>
        </w:tc>
      </w:tr>
      <w:tr w:rsidR="00620BD0" w:rsidRPr="00CF6413" w14:paraId="64D50ED0" w14:textId="77777777" w:rsidTr="003406B4">
        <w:tc>
          <w:tcPr>
            <w:tcW w:w="1529" w:type="pct"/>
            <w:vAlign w:val="center"/>
          </w:tcPr>
          <w:p w14:paraId="6948A1C7" w14:textId="77777777" w:rsidR="00620BD0" w:rsidRPr="00262BDA" w:rsidRDefault="00620BD0" w:rsidP="003406B4">
            <w:pPr>
              <w:pStyle w:val="TableText"/>
              <w:rPr>
                <w:rFonts w:ascii="Times" w:hAnsi="Times"/>
              </w:rPr>
            </w:pPr>
            <w:r w:rsidRPr="00262BDA">
              <w:t>Costs</w:t>
            </w:r>
          </w:p>
        </w:tc>
        <w:tc>
          <w:tcPr>
            <w:tcW w:w="1359" w:type="pct"/>
            <w:vAlign w:val="center"/>
          </w:tcPr>
          <w:p w14:paraId="227342D6" w14:textId="48578E8A" w:rsidR="00620BD0" w:rsidRPr="0028085E" w:rsidRDefault="00620BD0" w:rsidP="003406B4">
            <w:pPr>
              <w:pStyle w:val="TableText"/>
              <w:jc w:val="center"/>
            </w:pPr>
            <w:r w:rsidRPr="0028085E">
              <w:t>$</w:t>
            </w:r>
            <w:r w:rsidR="009A7DC1" w:rsidRPr="009A7DC1">
              <w:rPr>
                <w:color w:val="000000"/>
                <w:shd w:val="solid" w:color="000000" w:fill="000000"/>
                <w14:textFill>
                  <w14:solidFill>
                    <w14:srgbClr w14:val="000000">
                      <w14:alpha w14:val="100000"/>
                    </w14:srgbClr>
                  </w14:solidFill>
                </w14:textFill>
              </w:rPr>
              <w:t>|</w:t>
            </w:r>
          </w:p>
        </w:tc>
        <w:tc>
          <w:tcPr>
            <w:tcW w:w="1274" w:type="pct"/>
            <w:vAlign w:val="center"/>
          </w:tcPr>
          <w:p w14:paraId="3AD7C2AA" w14:textId="2B00276A" w:rsidR="00620BD0" w:rsidRPr="0028085E" w:rsidRDefault="00620BD0" w:rsidP="003406B4">
            <w:pPr>
              <w:pStyle w:val="TableText"/>
              <w:jc w:val="center"/>
            </w:pPr>
            <w:r w:rsidRPr="0028085E">
              <w:t>$</w:t>
            </w:r>
            <w:r w:rsidR="009A7DC1" w:rsidRPr="009A7DC1">
              <w:rPr>
                <w:color w:val="000000"/>
                <w:shd w:val="solid" w:color="000000" w:fill="000000"/>
                <w14:textFill>
                  <w14:solidFill>
                    <w14:srgbClr w14:val="000000">
                      <w14:alpha w14:val="100000"/>
                    </w14:srgbClr>
                  </w14:solidFill>
                </w14:textFill>
              </w:rPr>
              <w:t>|</w:t>
            </w:r>
          </w:p>
        </w:tc>
        <w:tc>
          <w:tcPr>
            <w:tcW w:w="838" w:type="pct"/>
            <w:vAlign w:val="center"/>
          </w:tcPr>
          <w:p w14:paraId="0253D312" w14:textId="53867CB7" w:rsidR="00620BD0" w:rsidRPr="0028085E" w:rsidRDefault="00620BD0" w:rsidP="003406B4">
            <w:pPr>
              <w:pStyle w:val="TableText"/>
              <w:jc w:val="center"/>
            </w:pPr>
            <w:r w:rsidRPr="0028085E">
              <w:t>$</w:t>
            </w:r>
            <w:r w:rsidR="009A7DC1" w:rsidRPr="009A7DC1">
              <w:rPr>
                <w:color w:val="000000"/>
                <w:shd w:val="solid" w:color="000000" w:fill="000000"/>
                <w14:textFill>
                  <w14:solidFill>
                    <w14:srgbClr w14:val="000000">
                      <w14:alpha w14:val="100000"/>
                    </w14:srgbClr>
                  </w14:solidFill>
                </w14:textFill>
              </w:rPr>
              <w:t>|</w:t>
            </w:r>
          </w:p>
        </w:tc>
      </w:tr>
      <w:tr w:rsidR="00620BD0" w:rsidRPr="00CF6413" w14:paraId="46FD45A8" w14:textId="77777777" w:rsidTr="003406B4">
        <w:tc>
          <w:tcPr>
            <w:tcW w:w="1529" w:type="pct"/>
            <w:vAlign w:val="center"/>
          </w:tcPr>
          <w:p w14:paraId="5CA62106" w14:textId="77777777" w:rsidR="00620BD0" w:rsidRPr="00262BDA" w:rsidRDefault="00620BD0" w:rsidP="003406B4">
            <w:pPr>
              <w:pStyle w:val="TableText"/>
              <w:rPr>
                <w:rFonts w:ascii="Times" w:hAnsi="Times"/>
              </w:rPr>
            </w:pPr>
            <w:r>
              <w:t>QALYs</w:t>
            </w:r>
          </w:p>
        </w:tc>
        <w:tc>
          <w:tcPr>
            <w:tcW w:w="1359" w:type="pct"/>
            <w:vAlign w:val="center"/>
          </w:tcPr>
          <w:p w14:paraId="6C4DBD64" w14:textId="77777777" w:rsidR="00620BD0" w:rsidRPr="0028085E" w:rsidRDefault="00620BD0" w:rsidP="003406B4">
            <w:pPr>
              <w:pStyle w:val="TableText"/>
              <w:jc w:val="center"/>
            </w:pPr>
            <w:r w:rsidRPr="0028085E">
              <w:t>11.8691</w:t>
            </w:r>
          </w:p>
        </w:tc>
        <w:tc>
          <w:tcPr>
            <w:tcW w:w="1274" w:type="pct"/>
            <w:vAlign w:val="center"/>
          </w:tcPr>
          <w:p w14:paraId="7D6799D7" w14:textId="77777777" w:rsidR="00620BD0" w:rsidRPr="0028085E" w:rsidRDefault="00620BD0" w:rsidP="003406B4">
            <w:pPr>
              <w:pStyle w:val="TableText"/>
              <w:jc w:val="center"/>
            </w:pPr>
            <w:r w:rsidRPr="0028085E">
              <w:t>11.8252</w:t>
            </w:r>
          </w:p>
        </w:tc>
        <w:tc>
          <w:tcPr>
            <w:tcW w:w="838" w:type="pct"/>
            <w:vAlign w:val="center"/>
          </w:tcPr>
          <w:p w14:paraId="0A85B855" w14:textId="77777777" w:rsidR="00620BD0" w:rsidRPr="0028085E" w:rsidRDefault="00620BD0" w:rsidP="003406B4">
            <w:pPr>
              <w:pStyle w:val="TableText"/>
              <w:jc w:val="center"/>
            </w:pPr>
            <w:r w:rsidRPr="0028085E">
              <w:t>0.0439</w:t>
            </w:r>
          </w:p>
        </w:tc>
      </w:tr>
      <w:tr w:rsidR="00620BD0" w:rsidRPr="0015692E" w14:paraId="09EC7628" w14:textId="77777777" w:rsidTr="003406B4">
        <w:tc>
          <w:tcPr>
            <w:tcW w:w="4162" w:type="pct"/>
            <w:gridSpan w:val="3"/>
            <w:vAlign w:val="center"/>
          </w:tcPr>
          <w:p w14:paraId="7D662162" w14:textId="77777777" w:rsidR="00620BD0" w:rsidRPr="0028085E" w:rsidRDefault="00620BD0" w:rsidP="003406B4">
            <w:pPr>
              <w:pStyle w:val="TableText"/>
              <w:rPr>
                <w:rFonts w:ascii="Times" w:hAnsi="Times"/>
              </w:rPr>
            </w:pPr>
            <w:r w:rsidRPr="0028085E">
              <w:t>Incremental cost per QALY gained</w:t>
            </w:r>
          </w:p>
        </w:tc>
        <w:tc>
          <w:tcPr>
            <w:tcW w:w="838" w:type="pct"/>
            <w:vAlign w:val="center"/>
          </w:tcPr>
          <w:p w14:paraId="521BA742" w14:textId="79C15C30" w:rsidR="00620BD0" w:rsidRPr="0028085E" w:rsidRDefault="00620BD0" w:rsidP="003406B4">
            <w:pPr>
              <w:pStyle w:val="TableText"/>
              <w:jc w:val="center"/>
            </w:pPr>
            <w:r w:rsidRPr="0028085E">
              <w:t>$</w:t>
            </w:r>
            <w:r w:rsidR="009A7DC1" w:rsidRPr="009A7DC1">
              <w:rPr>
                <w:color w:val="000000"/>
                <w:shd w:val="solid" w:color="000000" w:fill="000000"/>
                <w14:textFill>
                  <w14:solidFill>
                    <w14:srgbClr w14:val="000000">
                      <w14:alpha w14:val="100000"/>
                    </w14:srgbClr>
                  </w14:solidFill>
                </w14:textFill>
              </w:rPr>
              <w:t>|</w:t>
            </w:r>
            <w:r w:rsidR="004722AE">
              <w:rPr>
                <w:vertAlign w:val="superscript"/>
              </w:rPr>
              <w:t>4</w:t>
            </w:r>
          </w:p>
        </w:tc>
      </w:tr>
      <w:tr w:rsidR="00620BD0" w:rsidRPr="00262BDA" w14:paraId="1FB9C683" w14:textId="77777777" w:rsidTr="003406B4">
        <w:tc>
          <w:tcPr>
            <w:tcW w:w="5000" w:type="pct"/>
            <w:gridSpan w:val="4"/>
            <w:vAlign w:val="center"/>
          </w:tcPr>
          <w:p w14:paraId="4F7D9494" w14:textId="5D29A2EB" w:rsidR="00620BD0" w:rsidRPr="0028085E" w:rsidRDefault="00620BD0" w:rsidP="003406B4">
            <w:pPr>
              <w:pStyle w:val="Tableheadingrow"/>
              <w:rPr>
                <w:vertAlign w:val="superscript"/>
                <w:lang w:val="en-AU"/>
              </w:rPr>
            </w:pPr>
            <w:r w:rsidRPr="0028085E">
              <w:rPr>
                <w:lang w:val="en-AU"/>
              </w:rPr>
              <w:t>Step 7: Include mortality multipliers</w:t>
            </w:r>
            <w:r w:rsidR="0028085E" w:rsidRPr="0028085E">
              <w:rPr>
                <w:vertAlign w:val="superscript"/>
                <w:lang w:val="en-AU"/>
              </w:rPr>
              <w:t>a</w:t>
            </w:r>
          </w:p>
        </w:tc>
      </w:tr>
      <w:tr w:rsidR="00620BD0" w:rsidRPr="00CC6583" w14:paraId="311381DD" w14:textId="77777777" w:rsidTr="003406B4">
        <w:tc>
          <w:tcPr>
            <w:tcW w:w="1529" w:type="pct"/>
            <w:vAlign w:val="center"/>
          </w:tcPr>
          <w:p w14:paraId="350153C7" w14:textId="77777777" w:rsidR="00620BD0" w:rsidRPr="00262BDA" w:rsidRDefault="00620BD0" w:rsidP="003406B4">
            <w:pPr>
              <w:pStyle w:val="TableText"/>
              <w:rPr>
                <w:rFonts w:ascii="Times" w:hAnsi="Times"/>
              </w:rPr>
            </w:pPr>
            <w:r w:rsidRPr="00262BDA">
              <w:t>Costs</w:t>
            </w:r>
          </w:p>
        </w:tc>
        <w:tc>
          <w:tcPr>
            <w:tcW w:w="1359" w:type="pct"/>
            <w:vAlign w:val="center"/>
          </w:tcPr>
          <w:p w14:paraId="0EF7B803" w14:textId="3BFE8809" w:rsidR="00620BD0" w:rsidRPr="0028085E" w:rsidRDefault="00620BD0" w:rsidP="003406B4">
            <w:pPr>
              <w:pStyle w:val="TableText"/>
              <w:jc w:val="center"/>
            </w:pPr>
            <w:r w:rsidRPr="0028085E">
              <w:t>$</w:t>
            </w:r>
            <w:r w:rsidR="009A7DC1" w:rsidRPr="009A7DC1">
              <w:rPr>
                <w:color w:val="000000"/>
                <w:shd w:val="solid" w:color="000000" w:fill="000000"/>
                <w14:textFill>
                  <w14:solidFill>
                    <w14:srgbClr w14:val="000000">
                      <w14:alpha w14:val="100000"/>
                    </w14:srgbClr>
                  </w14:solidFill>
                </w14:textFill>
              </w:rPr>
              <w:t>|</w:t>
            </w:r>
          </w:p>
        </w:tc>
        <w:tc>
          <w:tcPr>
            <w:tcW w:w="1274" w:type="pct"/>
            <w:vAlign w:val="center"/>
          </w:tcPr>
          <w:p w14:paraId="505AFFD7" w14:textId="43B34FBF" w:rsidR="00620BD0" w:rsidRPr="0028085E" w:rsidRDefault="00620BD0" w:rsidP="003406B4">
            <w:pPr>
              <w:pStyle w:val="TableText"/>
              <w:jc w:val="center"/>
            </w:pPr>
            <w:r w:rsidRPr="0028085E">
              <w:t>$</w:t>
            </w:r>
            <w:r w:rsidR="009A7DC1" w:rsidRPr="009A7DC1">
              <w:rPr>
                <w:color w:val="000000"/>
                <w:shd w:val="solid" w:color="000000" w:fill="000000"/>
                <w14:textFill>
                  <w14:solidFill>
                    <w14:srgbClr w14:val="000000">
                      <w14:alpha w14:val="100000"/>
                    </w14:srgbClr>
                  </w14:solidFill>
                </w14:textFill>
              </w:rPr>
              <w:t>|</w:t>
            </w:r>
          </w:p>
        </w:tc>
        <w:tc>
          <w:tcPr>
            <w:tcW w:w="838" w:type="pct"/>
            <w:vAlign w:val="center"/>
          </w:tcPr>
          <w:p w14:paraId="4E15B026" w14:textId="2F70CDEF" w:rsidR="00620BD0" w:rsidRPr="0028085E" w:rsidRDefault="00620BD0" w:rsidP="003406B4">
            <w:pPr>
              <w:pStyle w:val="TableText"/>
              <w:jc w:val="center"/>
            </w:pPr>
            <w:r w:rsidRPr="0028085E">
              <w:t>$</w:t>
            </w:r>
            <w:r w:rsidR="009A7DC1" w:rsidRPr="009A7DC1">
              <w:rPr>
                <w:color w:val="000000"/>
                <w:shd w:val="solid" w:color="000000" w:fill="000000"/>
                <w14:textFill>
                  <w14:solidFill>
                    <w14:srgbClr w14:val="000000">
                      <w14:alpha w14:val="100000"/>
                    </w14:srgbClr>
                  </w14:solidFill>
                </w14:textFill>
              </w:rPr>
              <w:t>|</w:t>
            </w:r>
          </w:p>
        </w:tc>
      </w:tr>
      <w:tr w:rsidR="00620BD0" w:rsidRPr="00CC6583" w14:paraId="038329DE" w14:textId="77777777" w:rsidTr="003406B4">
        <w:tc>
          <w:tcPr>
            <w:tcW w:w="1529" w:type="pct"/>
            <w:vAlign w:val="center"/>
          </w:tcPr>
          <w:p w14:paraId="5469CFE1" w14:textId="77777777" w:rsidR="00620BD0" w:rsidRPr="00262BDA" w:rsidRDefault="00620BD0" w:rsidP="003406B4">
            <w:pPr>
              <w:pStyle w:val="TableText"/>
              <w:rPr>
                <w:rFonts w:ascii="Times" w:hAnsi="Times"/>
              </w:rPr>
            </w:pPr>
            <w:r w:rsidRPr="00262BDA">
              <w:t>QALYs</w:t>
            </w:r>
          </w:p>
        </w:tc>
        <w:tc>
          <w:tcPr>
            <w:tcW w:w="1359" w:type="pct"/>
            <w:vAlign w:val="center"/>
          </w:tcPr>
          <w:p w14:paraId="7A58C759" w14:textId="77777777" w:rsidR="00620BD0" w:rsidRPr="0028085E" w:rsidRDefault="00620BD0" w:rsidP="003406B4">
            <w:pPr>
              <w:pStyle w:val="TableText"/>
              <w:jc w:val="center"/>
            </w:pPr>
            <w:r w:rsidRPr="0028085E">
              <w:t>10.4841</w:t>
            </w:r>
          </w:p>
        </w:tc>
        <w:tc>
          <w:tcPr>
            <w:tcW w:w="1274" w:type="pct"/>
            <w:vAlign w:val="center"/>
          </w:tcPr>
          <w:p w14:paraId="3AE48EA7" w14:textId="77777777" w:rsidR="00620BD0" w:rsidRPr="0028085E" w:rsidRDefault="00620BD0" w:rsidP="003406B4">
            <w:pPr>
              <w:pStyle w:val="TableText"/>
              <w:jc w:val="center"/>
            </w:pPr>
            <w:r w:rsidRPr="0028085E">
              <w:t>10.4235</w:t>
            </w:r>
          </w:p>
        </w:tc>
        <w:tc>
          <w:tcPr>
            <w:tcW w:w="838" w:type="pct"/>
            <w:vAlign w:val="center"/>
          </w:tcPr>
          <w:p w14:paraId="6D41771B" w14:textId="77777777" w:rsidR="00620BD0" w:rsidRPr="0028085E" w:rsidRDefault="00620BD0" w:rsidP="003406B4">
            <w:pPr>
              <w:pStyle w:val="TableText"/>
              <w:jc w:val="center"/>
            </w:pPr>
            <w:r w:rsidRPr="0028085E">
              <w:t>0.0606</w:t>
            </w:r>
          </w:p>
        </w:tc>
      </w:tr>
      <w:tr w:rsidR="00620BD0" w:rsidRPr="00F122DE" w14:paraId="7C47EB90" w14:textId="77777777" w:rsidTr="003406B4">
        <w:tc>
          <w:tcPr>
            <w:tcW w:w="4162" w:type="pct"/>
            <w:gridSpan w:val="3"/>
            <w:vAlign w:val="center"/>
          </w:tcPr>
          <w:p w14:paraId="59E9E238" w14:textId="77777777" w:rsidR="00620BD0" w:rsidRPr="0028085E" w:rsidRDefault="00620BD0" w:rsidP="003406B4">
            <w:pPr>
              <w:pStyle w:val="TableText"/>
              <w:rPr>
                <w:rFonts w:ascii="Times" w:hAnsi="Times"/>
                <w:bCs w:val="0"/>
              </w:rPr>
            </w:pPr>
            <w:r w:rsidRPr="0028085E">
              <w:rPr>
                <w:bCs w:val="0"/>
              </w:rPr>
              <w:t xml:space="preserve">Incremental cost per QALY gained </w:t>
            </w:r>
          </w:p>
        </w:tc>
        <w:tc>
          <w:tcPr>
            <w:tcW w:w="838" w:type="pct"/>
            <w:vAlign w:val="center"/>
          </w:tcPr>
          <w:p w14:paraId="7C985D80" w14:textId="3332E090" w:rsidR="00620BD0" w:rsidRPr="0028085E" w:rsidRDefault="00620BD0" w:rsidP="003406B4">
            <w:pPr>
              <w:pStyle w:val="TableText"/>
              <w:jc w:val="center"/>
            </w:pPr>
            <w:r w:rsidRPr="0028085E">
              <w:t>$</w:t>
            </w:r>
            <w:r w:rsidR="009A7DC1" w:rsidRPr="009A7DC1">
              <w:rPr>
                <w:color w:val="000000"/>
                <w:shd w:val="solid" w:color="000000" w:fill="000000"/>
                <w14:textFill>
                  <w14:solidFill>
                    <w14:srgbClr w14:val="000000">
                      <w14:alpha w14:val="100000"/>
                    </w14:srgbClr>
                  </w14:solidFill>
                </w14:textFill>
              </w:rPr>
              <w:t>|</w:t>
            </w:r>
            <w:r w:rsidR="004722AE">
              <w:rPr>
                <w:vertAlign w:val="superscript"/>
              </w:rPr>
              <w:t>4</w:t>
            </w:r>
          </w:p>
        </w:tc>
      </w:tr>
      <w:tr w:rsidR="00620BD0" w:rsidRPr="00262BDA" w14:paraId="16F5CADD" w14:textId="77777777" w:rsidTr="003406B4">
        <w:tc>
          <w:tcPr>
            <w:tcW w:w="5000" w:type="pct"/>
            <w:gridSpan w:val="4"/>
            <w:vAlign w:val="center"/>
          </w:tcPr>
          <w:p w14:paraId="6E24DB16" w14:textId="215BEEF5" w:rsidR="00620BD0" w:rsidRPr="0028085E" w:rsidRDefault="00620BD0" w:rsidP="003406B4">
            <w:pPr>
              <w:pStyle w:val="Tableheadingrow"/>
              <w:rPr>
                <w:vertAlign w:val="superscript"/>
                <w:lang w:val="en-AU"/>
              </w:rPr>
            </w:pPr>
            <w:r w:rsidRPr="0028085E">
              <w:rPr>
                <w:lang w:val="en-AU"/>
              </w:rPr>
              <w:t>Step 8: Include 5% discount</w:t>
            </w:r>
            <w:r w:rsidR="0028085E" w:rsidRPr="0028085E">
              <w:rPr>
                <w:vertAlign w:val="superscript"/>
                <w:lang w:val="en-AU"/>
              </w:rPr>
              <w:t>a</w:t>
            </w:r>
          </w:p>
        </w:tc>
      </w:tr>
      <w:tr w:rsidR="00620BD0" w:rsidRPr="00CC6583" w14:paraId="397B5801" w14:textId="77777777" w:rsidTr="003406B4">
        <w:tc>
          <w:tcPr>
            <w:tcW w:w="1529" w:type="pct"/>
            <w:vAlign w:val="center"/>
          </w:tcPr>
          <w:p w14:paraId="6E743B1A" w14:textId="77777777" w:rsidR="00620BD0" w:rsidRPr="00262BDA" w:rsidRDefault="00620BD0" w:rsidP="003406B4">
            <w:pPr>
              <w:pStyle w:val="TableText"/>
              <w:rPr>
                <w:rFonts w:ascii="Times" w:hAnsi="Times"/>
              </w:rPr>
            </w:pPr>
            <w:r w:rsidRPr="00262BDA">
              <w:t>Costs</w:t>
            </w:r>
          </w:p>
        </w:tc>
        <w:tc>
          <w:tcPr>
            <w:tcW w:w="1359" w:type="pct"/>
            <w:vAlign w:val="center"/>
          </w:tcPr>
          <w:p w14:paraId="7C0C44D6" w14:textId="2FC91D87" w:rsidR="00620BD0" w:rsidRPr="0028085E" w:rsidRDefault="00620BD0" w:rsidP="003406B4">
            <w:pPr>
              <w:pStyle w:val="TableText"/>
              <w:jc w:val="center"/>
            </w:pPr>
            <w:r w:rsidRPr="0028085E">
              <w:t>$</w:t>
            </w:r>
            <w:r w:rsidR="009A7DC1" w:rsidRPr="009A7DC1">
              <w:rPr>
                <w:color w:val="000000"/>
                <w:shd w:val="solid" w:color="000000" w:fill="000000"/>
                <w14:textFill>
                  <w14:solidFill>
                    <w14:srgbClr w14:val="000000">
                      <w14:alpha w14:val="100000"/>
                    </w14:srgbClr>
                  </w14:solidFill>
                </w14:textFill>
              </w:rPr>
              <w:t>|</w:t>
            </w:r>
          </w:p>
        </w:tc>
        <w:tc>
          <w:tcPr>
            <w:tcW w:w="1274" w:type="pct"/>
            <w:vAlign w:val="center"/>
          </w:tcPr>
          <w:p w14:paraId="7DB9B143" w14:textId="209D68E6" w:rsidR="00620BD0" w:rsidRPr="0028085E" w:rsidRDefault="00620BD0" w:rsidP="003406B4">
            <w:pPr>
              <w:pStyle w:val="TableText"/>
              <w:jc w:val="center"/>
            </w:pPr>
            <w:r w:rsidRPr="0028085E">
              <w:t>$</w:t>
            </w:r>
            <w:r w:rsidR="009A7DC1" w:rsidRPr="009A7DC1">
              <w:rPr>
                <w:color w:val="000000"/>
                <w:shd w:val="solid" w:color="000000" w:fill="000000"/>
                <w14:textFill>
                  <w14:solidFill>
                    <w14:srgbClr w14:val="000000">
                      <w14:alpha w14:val="100000"/>
                    </w14:srgbClr>
                  </w14:solidFill>
                </w14:textFill>
              </w:rPr>
              <w:t>|</w:t>
            </w:r>
          </w:p>
        </w:tc>
        <w:tc>
          <w:tcPr>
            <w:tcW w:w="838" w:type="pct"/>
            <w:vAlign w:val="center"/>
          </w:tcPr>
          <w:p w14:paraId="57D24A5B" w14:textId="1657A6D3" w:rsidR="00620BD0" w:rsidRPr="0028085E" w:rsidRDefault="00620BD0" w:rsidP="003406B4">
            <w:pPr>
              <w:pStyle w:val="TableText"/>
              <w:jc w:val="center"/>
            </w:pPr>
            <w:r w:rsidRPr="0028085E">
              <w:t>$</w:t>
            </w:r>
            <w:r w:rsidR="009A7DC1" w:rsidRPr="009A7DC1">
              <w:rPr>
                <w:color w:val="000000"/>
                <w:shd w:val="solid" w:color="000000" w:fill="000000"/>
                <w14:textFill>
                  <w14:solidFill>
                    <w14:srgbClr w14:val="000000">
                      <w14:alpha w14:val="100000"/>
                    </w14:srgbClr>
                  </w14:solidFill>
                </w14:textFill>
              </w:rPr>
              <w:t>|</w:t>
            </w:r>
          </w:p>
        </w:tc>
      </w:tr>
      <w:tr w:rsidR="00620BD0" w:rsidRPr="00CC6583" w14:paraId="0FD7AC8C" w14:textId="77777777" w:rsidTr="003406B4">
        <w:tc>
          <w:tcPr>
            <w:tcW w:w="1529" w:type="pct"/>
            <w:vAlign w:val="center"/>
          </w:tcPr>
          <w:p w14:paraId="4BEBFB20" w14:textId="77777777" w:rsidR="00620BD0" w:rsidRPr="00262BDA" w:rsidRDefault="00620BD0" w:rsidP="003406B4">
            <w:pPr>
              <w:pStyle w:val="TableText"/>
              <w:rPr>
                <w:rFonts w:ascii="Times" w:hAnsi="Times"/>
              </w:rPr>
            </w:pPr>
            <w:r w:rsidRPr="00262BDA">
              <w:t>QALYs</w:t>
            </w:r>
          </w:p>
        </w:tc>
        <w:tc>
          <w:tcPr>
            <w:tcW w:w="1359" w:type="pct"/>
            <w:vAlign w:val="center"/>
          </w:tcPr>
          <w:p w14:paraId="370DCF85" w14:textId="77777777" w:rsidR="00620BD0" w:rsidRPr="0028085E" w:rsidRDefault="00620BD0" w:rsidP="003406B4">
            <w:pPr>
              <w:pStyle w:val="TableText"/>
              <w:jc w:val="center"/>
            </w:pPr>
            <w:r w:rsidRPr="0028085E">
              <w:t>7.6781</w:t>
            </w:r>
          </w:p>
        </w:tc>
        <w:tc>
          <w:tcPr>
            <w:tcW w:w="1274" w:type="pct"/>
            <w:vAlign w:val="center"/>
          </w:tcPr>
          <w:p w14:paraId="27DEF371" w14:textId="77777777" w:rsidR="00620BD0" w:rsidRPr="0028085E" w:rsidRDefault="00620BD0" w:rsidP="003406B4">
            <w:pPr>
              <w:pStyle w:val="TableText"/>
              <w:jc w:val="center"/>
            </w:pPr>
            <w:r w:rsidRPr="0028085E">
              <w:t>7,6353</w:t>
            </w:r>
          </w:p>
        </w:tc>
        <w:tc>
          <w:tcPr>
            <w:tcW w:w="838" w:type="pct"/>
            <w:vAlign w:val="center"/>
          </w:tcPr>
          <w:p w14:paraId="2F2DEC86" w14:textId="77777777" w:rsidR="00620BD0" w:rsidRPr="0028085E" w:rsidRDefault="00620BD0" w:rsidP="003406B4">
            <w:pPr>
              <w:pStyle w:val="TableText"/>
              <w:jc w:val="center"/>
            </w:pPr>
            <w:r w:rsidRPr="0028085E">
              <w:t>0.0428</w:t>
            </w:r>
          </w:p>
        </w:tc>
      </w:tr>
      <w:tr w:rsidR="00620BD0" w:rsidRPr="00F122DE" w14:paraId="4346EDAC" w14:textId="77777777" w:rsidTr="003406B4">
        <w:tc>
          <w:tcPr>
            <w:tcW w:w="4162" w:type="pct"/>
            <w:gridSpan w:val="3"/>
            <w:vAlign w:val="center"/>
          </w:tcPr>
          <w:p w14:paraId="60031E7F" w14:textId="77777777" w:rsidR="00620BD0" w:rsidRPr="0028085E" w:rsidRDefault="00620BD0" w:rsidP="003406B4">
            <w:pPr>
              <w:pStyle w:val="TableText"/>
              <w:rPr>
                <w:rFonts w:ascii="Times" w:hAnsi="Times"/>
                <w:bCs w:val="0"/>
              </w:rPr>
            </w:pPr>
            <w:r w:rsidRPr="0028085E">
              <w:rPr>
                <w:bCs w:val="0"/>
              </w:rPr>
              <w:t>Incremental cost per QALY gained (revised base case)</w:t>
            </w:r>
          </w:p>
        </w:tc>
        <w:tc>
          <w:tcPr>
            <w:tcW w:w="838" w:type="pct"/>
            <w:vAlign w:val="center"/>
          </w:tcPr>
          <w:p w14:paraId="72B5CB58" w14:textId="225ED469" w:rsidR="00620BD0" w:rsidRPr="0028085E" w:rsidRDefault="00620BD0" w:rsidP="003406B4">
            <w:pPr>
              <w:pStyle w:val="TableText"/>
              <w:jc w:val="center"/>
            </w:pPr>
            <w:r w:rsidRPr="0028085E">
              <w:t>$</w:t>
            </w:r>
            <w:r w:rsidR="009A7DC1" w:rsidRPr="009A7DC1">
              <w:rPr>
                <w:color w:val="000000"/>
                <w:shd w:val="solid" w:color="000000" w:fill="000000"/>
                <w14:textFill>
                  <w14:solidFill>
                    <w14:srgbClr w14:val="000000">
                      <w14:alpha w14:val="100000"/>
                    </w14:srgbClr>
                  </w14:solidFill>
                </w14:textFill>
              </w:rPr>
              <w:t>|</w:t>
            </w:r>
            <w:r w:rsidR="004722AE">
              <w:rPr>
                <w:vertAlign w:val="superscript"/>
              </w:rPr>
              <w:t>5</w:t>
            </w:r>
          </w:p>
        </w:tc>
      </w:tr>
    </w:tbl>
    <w:p w14:paraId="1318BF52" w14:textId="77777777" w:rsidR="00620BD0" w:rsidRDefault="00620BD0" w:rsidP="00620BD0">
      <w:pPr>
        <w:pStyle w:val="TableFigureFooter"/>
      </w:pPr>
      <w:r w:rsidRPr="00262BDA">
        <w:t xml:space="preserve">Source: </w:t>
      </w:r>
      <w:r>
        <w:t>constructed during the evaluation using the ‘Evenity_CEA_Mar22’ Excel economic model of the resubmission</w:t>
      </w:r>
    </w:p>
    <w:p w14:paraId="37706C7B" w14:textId="77777777" w:rsidR="00620BD0" w:rsidRDefault="00620BD0" w:rsidP="00620BD0">
      <w:pPr>
        <w:pStyle w:val="TableFigureFooter"/>
      </w:pPr>
      <w:r>
        <w:t>Abbreviation: QALY, quality adjusted life year</w:t>
      </w:r>
    </w:p>
    <w:p w14:paraId="6EFE6D4B" w14:textId="48A88BBF" w:rsidR="00620BD0" w:rsidRDefault="0028085E" w:rsidP="004722AE">
      <w:pPr>
        <w:pStyle w:val="TableFigureFooter"/>
        <w:spacing w:after="0"/>
      </w:pPr>
      <w:r w:rsidRPr="0028085E">
        <w:rPr>
          <w:vertAlign w:val="superscript"/>
        </w:rPr>
        <w:t>a</w:t>
      </w:r>
      <w:r w:rsidR="00620BD0" w:rsidRPr="0028085E">
        <w:t xml:space="preserve"> </w:t>
      </w:r>
      <w:r w:rsidRPr="0028085E">
        <w:t>E</w:t>
      </w:r>
      <w:r w:rsidR="00620BD0" w:rsidRPr="0028085E">
        <w:t>stimates were calculated during the evaluation</w:t>
      </w:r>
    </w:p>
    <w:p w14:paraId="4F786D1B" w14:textId="77777777" w:rsidR="004722AE" w:rsidRPr="009A6D58" w:rsidRDefault="004722AE" w:rsidP="004722AE">
      <w:pPr>
        <w:rPr>
          <w:rFonts w:ascii="Arial Narrow" w:hAnsi="Arial Narrow"/>
          <w:i/>
          <w:sz w:val="18"/>
          <w:szCs w:val="18"/>
        </w:rPr>
      </w:pPr>
      <w:r w:rsidRPr="009A6D58">
        <w:rPr>
          <w:rFonts w:ascii="Arial Narrow" w:hAnsi="Arial Narrow"/>
          <w:i/>
          <w:sz w:val="18"/>
          <w:szCs w:val="18"/>
        </w:rPr>
        <w:t xml:space="preserve">The redacted values correspond to the following ranges: </w:t>
      </w:r>
    </w:p>
    <w:p w14:paraId="59FE87F0" w14:textId="5DA93A39" w:rsidR="004722AE" w:rsidRPr="009A6D58" w:rsidRDefault="004722AE" w:rsidP="004722AE">
      <w:pPr>
        <w:rPr>
          <w:rFonts w:ascii="Arial Narrow" w:hAnsi="Arial Narrow"/>
          <w:i/>
          <w:sz w:val="18"/>
          <w:szCs w:val="18"/>
        </w:rPr>
      </w:pPr>
      <w:r w:rsidRPr="009A6D58">
        <w:rPr>
          <w:rFonts w:ascii="Arial Narrow" w:hAnsi="Arial Narrow"/>
          <w:i/>
          <w:sz w:val="18"/>
          <w:szCs w:val="18"/>
          <w:vertAlign w:val="superscript"/>
        </w:rPr>
        <w:t>1</w:t>
      </w:r>
      <w:r>
        <w:rPr>
          <w:rFonts w:ascii="Arial Narrow" w:hAnsi="Arial Narrow"/>
          <w:i/>
          <w:sz w:val="18"/>
          <w:szCs w:val="18"/>
        </w:rPr>
        <w:t xml:space="preserve"> </w:t>
      </w:r>
      <w:r w:rsidRPr="004722AE">
        <w:rPr>
          <w:rFonts w:ascii="Arial Narrow" w:hAnsi="Arial Narrow"/>
          <w:i/>
          <w:sz w:val="18"/>
          <w:szCs w:val="18"/>
        </w:rPr>
        <w:t>$55,000 to &lt; $75,000</w:t>
      </w:r>
    </w:p>
    <w:p w14:paraId="14B1E7F1" w14:textId="59337C14" w:rsidR="004722AE" w:rsidRPr="009A6D58" w:rsidRDefault="004722AE" w:rsidP="004722AE">
      <w:pPr>
        <w:rPr>
          <w:rFonts w:ascii="Arial Narrow" w:hAnsi="Arial Narrow"/>
          <w:i/>
          <w:sz w:val="18"/>
          <w:szCs w:val="18"/>
        </w:rPr>
      </w:pPr>
      <w:r w:rsidRPr="009A6D58">
        <w:rPr>
          <w:rFonts w:ascii="Arial Narrow" w:hAnsi="Arial Narrow"/>
          <w:i/>
          <w:sz w:val="18"/>
          <w:szCs w:val="18"/>
          <w:vertAlign w:val="superscript"/>
        </w:rPr>
        <w:t>2</w:t>
      </w:r>
      <w:r>
        <w:rPr>
          <w:rFonts w:ascii="Arial Narrow" w:hAnsi="Arial Narrow"/>
          <w:i/>
          <w:sz w:val="18"/>
          <w:szCs w:val="18"/>
        </w:rPr>
        <w:t xml:space="preserve"> </w:t>
      </w:r>
      <w:r w:rsidRPr="004722AE">
        <w:rPr>
          <w:rFonts w:ascii="Arial Narrow" w:hAnsi="Arial Narrow"/>
          <w:i/>
          <w:sz w:val="18"/>
          <w:szCs w:val="18"/>
        </w:rPr>
        <w:t>$45,000 to &lt; $55,000</w:t>
      </w:r>
    </w:p>
    <w:p w14:paraId="081BD5A8" w14:textId="33F215FE" w:rsidR="004722AE" w:rsidRDefault="004722AE" w:rsidP="004722AE">
      <w:pPr>
        <w:rPr>
          <w:rFonts w:ascii="Arial Narrow" w:hAnsi="Arial Narrow"/>
          <w:i/>
          <w:sz w:val="18"/>
          <w:szCs w:val="18"/>
        </w:rPr>
      </w:pPr>
      <w:r w:rsidRPr="009A6D58">
        <w:rPr>
          <w:rFonts w:ascii="Arial Narrow" w:hAnsi="Arial Narrow"/>
          <w:i/>
          <w:sz w:val="18"/>
          <w:szCs w:val="18"/>
          <w:vertAlign w:val="superscript"/>
        </w:rPr>
        <w:t>3</w:t>
      </w:r>
      <w:r>
        <w:rPr>
          <w:rFonts w:ascii="Arial Narrow" w:hAnsi="Arial Narrow"/>
          <w:i/>
          <w:sz w:val="18"/>
          <w:szCs w:val="18"/>
        </w:rPr>
        <w:t xml:space="preserve"> </w:t>
      </w:r>
      <w:r w:rsidRPr="004722AE">
        <w:rPr>
          <w:rFonts w:ascii="Arial Narrow" w:hAnsi="Arial Narrow"/>
          <w:i/>
          <w:sz w:val="18"/>
          <w:szCs w:val="18"/>
        </w:rPr>
        <w:t>$155,000 to &lt; $255,000</w:t>
      </w:r>
    </w:p>
    <w:p w14:paraId="2EE03DFD" w14:textId="62479D5F" w:rsidR="004722AE" w:rsidRDefault="004722AE" w:rsidP="004722AE">
      <w:pPr>
        <w:rPr>
          <w:rFonts w:ascii="Arial Narrow" w:hAnsi="Arial Narrow"/>
          <w:i/>
          <w:sz w:val="18"/>
          <w:szCs w:val="18"/>
        </w:rPr>
      </w:pPr>
      <w:r>
        <w:rPr>
          <w:rFonts w:ascii="Arial Narrow" w:hAnsi="Arial Narrow"/>
          <w:i/>
          <w:sz w:val="18"/>
          <w:szCs w:val="18"/>
          <w:vertAlign w:val="superscript"/>
        </w:rPr>
        <w:t>4</w:t>
      </w:r>
      <w:r>
        <w:rPr>
          <w:rFonts w:ascii="Arial Narrow" w:hAnsi="Arial Narrow"/>
          <w:i/>
          <w:sz w:val="18"/>
          <w:szCs w:val="18"/>
        </w:rPr>
        <w:t xml:space="preserve"> </w:t>
      </w:r>
      <w:r w:rsidRPr="004722AE">
        <w:rPr>
          <w:rFonts w:ascii="Arial Narrow" w:hAnsi="Arial Narrow"/>
          <w:i/>
          <w:sz w:val="18"/>
          <w:szCs w:val="18"/>
        </w:rPr>
        <w:t>$25,000 to &lt; $35,000</w:t>
      </w:r>
    </w:p>
    <w:p w14:paraId="0505ED97" w14:textId="68E05066" w:rsidR="004722AE" w:rsidRPr="004722AE" w:rsidRDefault="004722AE" w:rsidP="004722AE">
      <w:pPr>
        <w:spacing w:after="120"/>
        <w:rPr>
          <w:rFonts w:ascii="Arial Narrow" w:hAnsi="Arial Narrow"/>
          <w:i/>
          <w:sz w:val="18"/>
          <w:szCs w:val="18"/>
        </w:rPr>
      </w:pPr>
      <w:r>
        <w:rPr>
          <w:rFonts w:ascii="Arial Narrow" w:hAnsi="Arial Narrow"/>
          <w:i/>
          <w:sz w:val="18"/>
          <w:szCs w:val="18"/>
          <w:vertAlign w:val="superscript"/>
        </w:rPr>
        <w:t>5</w:t>
      </w:r>
      <w:r>
        <w:rPr>
          <w:rFonts w:ascii="Arial Narrow" w:hAnsi="Arial Narrow"/>
          <w:i/>
          <w:sz w:val="18"/>
          <w:szCs w:val="18"/>
        </w:rPr>
        <w:t xml:space="preserve"> </w:t>
      </w:r>
      <w:r w:rsidRPr="004722AE">
        <w:rPr>
          <w:rFonts w:ascii="Arial Narrow" w:hAnsi="Arial Narrow"/>
          <w:i/>
          <w:sz w:val="18"/>
          <w:szCs w:val="18"/>
        </w:rPr>
        <w:t>$35,000 to &lt; $45,000</w:t>
      </w:r>
    </w:p>
    <w:p w14:paraId="0499AAE5" w14:textId="323D251F" w:rsidR="00EF71D0" w:rsidRPr="0028085E" w:rsidRDefault="00EF71D0" w:rsidP="00BB732D">
      <w:pPr>
        <w:pStyle w:val="ExecSumBodyText"/>
      </w:pPr>
      <w:r w:rsidRPr="0028085E">
        <w:t xml:space="preserve">In the revised base case, treatment with romosozumab followed by alendronate was associated with a cost per QALY gained of </w:t>
      </w:r>
      <w:r w:rsidR="00044C86" w:rsidRPr="00044C86">
        <w:t>$35,000 to &lt; $45,000</w:t>
      </w:r>
      <w:r w:rsidR="00044C86">
        <w:t xml:space="preserve"> </w:t>
      </w:r>
      <w:r w:rsidRPr="0028085E">
        <w:t>compared to alendronate alone for the treatment of severe osteoporosis in the first line setting.</w:t>
      </w:r>
    </w:p>
    <w:p w14:paraId="1BAC1159" w14:textId="3A19A347" w:rsidR="00A86E8B" w:rsidRPr="0028085E" w:rsidRDefault="00EF71D0" w:rsidP="00BB732D">
      <w:pPr>
        <w:pStyle w:val="ExecSumBodyText"/>
      </w:pPr>
      <w:r w:rsidRPr="0028085E">
        <w:t xml:space="preserve">The extrapolation of treatment benefits beyond the clinical trial data had the largest impact on the stepped economic evaluation. </w:t>
      </w:r>
      <w:r w:rsidR="00D23D11" w:rsidRPr="0028085E">
        <w:t xml:space="preserve"> </w:t>
      </w:r>
    </w:p>
    <w:p w14:paraId="3A21B496" w14:textId="3E3F073B" w:rsidR="00EF71D0" w:rsidRPr="0028085E" w:rsidRDefault="00EF71D0" w:rsidP="00F07DB7">
      <w:pPr>
        <w:pStyle w:val="ExecSumBodyText"/>
        <w:spacing w:after="0"/>
      </w:pPr>
      <w:r w:rsidRPr="0028085E">
        <w:t>For every 1000 patients treated with romosozumab/alendronate</w:t>
      </w:r>
      <w:r w:rsidR="001C4E73" w:rsidRPr="0028085E">
        <w:t xml:space="preserve"> versus alendronate</w:t>
      </w:r>
      <w:r w:rsidRPr="0028085E">
        <w:t xml:space="preserve"> and followed up for 20 years, the economic evaluation (using undiscounted costs) estimates that there would be:</w:t>
      </w:r>
    </w:p>
    <w:p w14:paraId="7059831C" w14:textId="48463D90" w:rsidR="00EF71D0" w:rsidRPr="0028085E" w:rsidRDefault="00EF71D0" w:rsidP="006215FA">
      <w:pPr>
        <w:pStyle w:val="ListParagraph"/>
        <w:numPr>
          <w:ilvl w:val="0"/>
          <w:numId w:val="13"/>
        </w:numPr>
        <w:rPr>
          <w:rFonts w:asciiTheme="minorHAnsi" w:hAnsiTheme="minorHAnsi"/>
          <w:snapToGrid w:val="0"/>
        </w:rPr>
      </w:pPr>
      <w:r w:rsidRPr="0028085E">
        <w:rPr>
          <w:rFonts w:asciiTheme="minorHAnsi" w:hAnsiTheme="minorHAnsi"/>
          <w:snapToGrid w:val="0"/>
        </w:rPr>
        <w:t xml:space="preserve">romosozumab drug and administration costs of </w:t>
      </w:r>
      <w:r w:rsidR="00044C86" w:rsidRPr="00044C86">
        <w:rPr>
          <w:rFonts w:asciiTheme="minorHAnsi" w:hAnsiTheme="minorHAnsi"/>
          <w:snapToGrid w:val="0"/>
        </w:rPr>
        <w:t>$0 to &lt; $10 million</w:t>
      </w:r>
      <w:r w:rsidRPr="0028085E">
        <w:rPr>
          <w:rFonts w:asciiTheme="minorHAnsi" w:hAnsiTheme="minorHAnsi"/>
          <w:snapToGrid w:val="0"/>
        </w:rPr>
        <w:t xml:space="preserve">, and alendronate drug costs of </w:t>
      </w:r>
      <w:r w:rsidR="00044C86" w:rsidRPr="00044C86">
        <w:rPr>
          <w:rFonts w:asciiTheme="minorHAnsi" w:hAnsiTheme="minorHAnsi"/>
          <w:snapToGrid w:val="0"/>
        </w:rPr>
        <w:t>$0 to &lt; $10 million</w:t>
      </w:r>
      <w:r w:rsidR="00044C86" w:rsidRPr="00044C86" w:rsidDel="00044C86">
        <w:rPr>
          <w:rFonts w:asciiTheme="minorHAnsi" w:hAnsiTheme="minorHAnsi"/>
          <w:snapToGrid w:val="0"/>
        </w:rPr>
        <w:t xml:space="preserve"> </w:t>
      </w:r>
      <w:r w:rsidRPr="0028085E">
        <w:rPr>
          <w:rFonts w:asciiTheme="minorHAnsi" w:hAnsiTheme="minorHAnsi"/>
          <w:snapToGrid w:val="0"/>
        </w:rPr>
        <w:t>(including treatment adherence and persistence).</w:t>
      </w:r>
    </w:p>
    <w:p w14:paraId="694CEF26" w14:textId="77777777" w:rsidR="00EF71D0" w:rsidRPr="0028085E" w:rsidRDefault="00EF71D0" w:rsidP="006215FA">
      <w:pPr>
        <w:pStyle w:val="ListParagraph"/>
        <w:numPr>
          <w:ilvl w:val="0"/>
          <w:numId w:val="13"/>
        </w:numPr>
        <w:rPr>
          <w:rFonts w:asciiTheme="minorHAnsi" w:hAnsiTheme="minorHAnsi"/>
          <w:snapToGrid w:val="0"/>
        </w:rPr>
      </w:pPr>
      <w:r w:rsidRPr="0028085E">
        <w:rPr>
          <w:rFonts w:asciiTheme="minorHAnsi" w:hAnsiTheme="minorHAnsi"/>
          <w:snapToGrid w:val="0"/>
        </w:rPr>
        <w:t>increased cardiovascular event and monitoring costs of $305,000; with cardiovascular events associated with reduced quality of life.</w:t>
      </w:r>
    </w:p>
    <w:p w14:paraId="2679A13D" w14:textId="07137F37" w:rsidR="00EF71D0" w:rsidRPr="00044C86" w:rsidRDefault="00EF71D0" w:rsidP="00044C86">
      <w:pPr>
        <w:pStyle w:val="ListParagraph"/>
        <w:numPr>
          <w:ilvl w:val="0"/>
          <w:numId w:val="13"/>
        </w:numPr>
        <w:spacing w:after="120"/>
        <w:ind w:left="1077" w:hanging="357"/>
        <w:rPr>
          <w:rFonts w:asciiTheme="minorHAnsi" w:hAnsiTheme="minorHAnsi"/>
          <w:snapToGrid w:val="0"/>
        </w:rPr>
      </w:pPr>
      <w:r w:rsidRPr="0028085E">
        <w:rPr>
          <w:rFonts w:asciiTheme="minorHAnsi" w:hAnsiTheme="minorHAnsi"/>
          <w:snapToGrid w:val="0"/>
        </w:rPr>
        <w:t xml:space="preserve">44 new fractures avoided comprising 15 hip fractures, 22 vertebral fractures and 7 other fractures; which would </w:t>
      </w:r>
      <w:bookmarkStart w:id="49" w:name="_Hlk113629082"/>
      <w:r w:rsidR="00044C86">
        <w:rPr>
          <w:rFonts w:asciiTheme="minorHAnsi" w:hAnsiTheme="minorHAnsi"/>
          <w:snapToGrid w:val="0"/>
        </w:rPr>
        <w:t xml:space="preserve">be a </w:t>
      </w:r>
      <w:r w:rsidR="00044C86" w:rsidRPr="00044C86">
        <w:rPr>
          <w:rFonts w:asciiTheme="minorHAnsi" w:hAnsiTheme="minorHAnsi"/>
          <w:snapToGrid w:val="0"/>
        </w:rPr>
        <w:t>net cost saving</w:t>
      </w:r>
      <w:bookmarkEnd w:id="49"/>
      <w:r w:rsidR="00044C86">
        <w:rPr>
          <w:rFonts w:asciiTheme="minorHAnsi" w:hAnsiTheme="minorHAnsi"/>
          <w:snapToGrid w:val="0"/>
        </w:rPr>
        <w:t xml:space="preserve"> </w:t>
      </w:r>
      <w:r w:rsidRPr="00044C86">
        <w:rPr>
          <w:rFonts w:asciiTheme="minorHAnsi" w:hAnsiTheme="minorHAnsi"/>
          <w:snapToGrid w:val="0"/>
        </w:rPr>
        <w:t>in acute and chronic costs, be associated with improved quality of life and result in an average of 27.5 life years gained.</w:t>
      </w:r>
    </w:p>
    <w:p w14:paraId="48FBCD42" w14:textId="0640F6F0" w:rsidR="001D45B4" w:rsidRPr="0028085E" w:rsidRDefault="002931E3" w:rsidP="00F07DB7">
      <w:pPr>
        <w:pStyle w:val="ExecSumBodyText"/>
      </w:pPr>
      <w:r w:rsidRPr="0028085E">
        <w:t>Results of sensitivity analyses for the revised base case using a 5% discount rate</w:t>
      </w:r>
      <w:r w:rsidR="006F5F9C" w:rsidRPr="0028085E">
        <w:t xml:space="preserve"> </w:t>
      </w:r>
      <w:r w:rsidR="00CB45F5" w:rsidRPr="0028085E">
        <w:t>and including corrected fracture costs</w:t>
      </w:r>
      <w:r w:rsidRPr="0028085E">
        <w:t xml:space="preserve"> are summarised in the table below.</w:t>
      </w:r>
    </w:p>
    <w:p w14:paraId="75B195DA" w14:textId="03361797" w:rsidR="009E4CF0" w:rsidRDefault="009E4CF0" w:rsidP="009E4CF0">
      <w:pPr>
        <w:pStyle w:val="TableFigureCaption"/>
      </w:pPr>
      <w:bookmarkStart w:id="50" w:name="_Ref103347713"/>
      <w:bookmarkStart w:id="51" w:name="_Ref103347705"/>
      <w:r>
        <w:t xml:space="preserve">Table </w:t>
      </w:r>
      <w:fldSimple w:instr=" SEQ Table \* ARABIC ">
        <w:r w:rsidR="00016A98">
          <w:rPr>
            <w:noProof/>
          </w:rPr>
          <w:t>13</w:t>
        </w:r>
      </w:fldSimple>
      <w:bookmarkEnd w:id="50"/>
      <w:r>
        <w:t>:</w:t>
      </w:r>
      <w:r w:rsidRPr="009E4CF0">
        <w:rPr>
          <w:rStyle w:val="CommentReference"/>
          <w:b/>
          <w:szCs w:val="22"/>
        </w:rPr>
        <w:t xml:space="preserve"> </w:t>
      </w:r>
      <w:r w:rsidRPr="008C363C">
        <w:rPr>
          <w:rStyle w:val="CommentReference"/>
          <w:b/>
          <w:szCs w:val="22"/>
        </w:rPr>
        <w:t>Results of sensitivity analyses</w:t>
      </w:r>
      <w:bookmarkEnd w:id="51"/>
    </w:p>
    <w:tbl>
      <w:tblPr>
        <w:tblW w:w="9029" w:type="dxa"/>
        <w:tblInd w:w="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732"/>
        <w:gridCol w:w="1651"/>
        <w:gridCol w:w="1666"/>
        <w:gridCol w:w="980"/>
      </w:tblGrid>
      <w:tr w:rsidR="00E275F3" w:rsidRPr="008C363C" w14:paraId="4AA2517B" w14:textId="77777777" w:rsidTr="003406B4">
        <w:trPr>
          <w:cantSplit/>
          <w:tblHeader/>
        </w:trPr>
        <w:tc>
          <w:tcPr>
            <w:tcW w:w="4732" w:type="dxa"/>
            <w:tcMar>
              <w:left w:w="28" w:type="dxa"/>
              <w:right w:w="28" w:type="dxa"/>
            </w:tcMar>
            <w:vAlign w:val="center"/>
          </w:tcPr>
          <w:p w14:paraId="55AE8976" w14:textId="77777777" w:rsidR="00E275F3" w:rsidRPr="008C363C" w:rsidRDefault="00E275F3" w:rsidP="00B34EF6">
            <w:pPr>
              <w:pStyle w:val="TableText"/>
              <w:keepNext w:val="0"/>
              <w:widowControl w:val="0"/>
              <w:rPr>
                <w:b/>
                <w:bCs w:val="0"/>
              </w:rPr>
            </w:pPr>
            <w:r w:rsidRPr="008C363C">
              <w:rPr>
                <w:b/>
                <w:bCs w:val="0"/>
              </w:rPr>
              <w:t>Analyses</w:t>
            </w:r>
          </w:p>
        </w:tc>
        <w:tc>
          <w:tcPr>
            <w:tcW w:w="1651" w:type="dxa"/>
            <w:tcMar>
              <w:left w:w="28" w:type="dxa"/>
              <w:right w:w="28" w:type="dxa"/>
            </w:tcMar>
            <w:vAlign w:val="center"/>
          </w:tcPr>
          <w:p w14:paraId="23DC5713" w14:textId="77777777" w:rsidR="00E275F3" w:rsidRPr="008C363C" w:rsidRDefault="00E275F3" w:rsidP="00B34EF6">
            <w:pPr>
              <w:pStyle w:val="TableText"/>
              <w:keepNext w:val="0"/>
              <w:widowControl w:val="0"/>
              <w:jc w:val="center"/>
              <w:rPr>
                <w:b/>
                <w:bCs w:val="0"/>
              </w:rPr>
            </w:pPr>
            <w:r w:rsidRPr="008C363C">
              <w:rPr>
                <w:b/>
                <w:bCs w:val="0"/>
              </w:rPr>
              <w:t>Incremental cost</w:t>
            </w:r>
          </w:p>
        </w:tc>
        <w:tc>
          <w:tcPr>
            <w:tcW w:w="1666" w:type="dxa"/>
            <w:tcMar>
              <w:left w:w="28" w:type="dxa"/>
              <w:right w:w="28" w:type="dxa"/>
            </w:tcMar>
            <w:vAlign w:val="center"/>
          </w:tcPr>
          <w:p w14:paraId="57053A42" w14:textId="77777777" w:rsidR="00E275F3" w:rsidRPr="008C363C" w:rsidRDefault="00E275F3" w:rsidP="00B34EF6">
            <w:pPr>
              <w:pStyle w:val="TableText"/>
              <w:keepNext w:val="0"/>
              <w:widowControl w:val="0"/>
              <w:jc w:val="center"/>
              <w:rPr>
                <w:b/>
                <w:bCs w:val="0"/>
              </w:rPr>
            </w:pPr>
            <w:r w:rsidRPr="008C363C">
              <w:rPr>
                <w:b/>
                <w:bCs w:val="0"/>
              </w:rPr>
              <w:t>Incremental QALY</w:t>
            </w:r>
          </w:p>
        </w:tc>
        <w:tc>
          <w:tcPr>
            <w:tcW w:w="980" w:type="dxa"/>
            <w:tcMar>
              <w:left w:w="28" w:type="dxa"/>
              <w:right w:w="28" w:type="dxa"/>
            </w:tcMar>
            <w:vAlign w:val="center"/>
          </w:tcPr>
          <w:p w14:paraId="7E98E551" w14:textId="77777777" w:rsidR="00E275F3" w:rsidRPr="008C363C" w:rsidRDefault="00E275F3" w:rsidP="00B34EF6">
            <w:pPr>
              <w:pStyle w:val="TableText"/>
              <w:keepNext w:val="0"/>
              <w:widowControl w:val="0"/>
              <w:jc w:val="center"/>
              <w:rPr>
                <w:b/>
                <w:bCs w:val="0"/>
              </w:rPr>
            </w:pPr>
            <w:r w:rsidRPr="008C363C">
              <w:rPr>
                <w:b/>
                <w:bCs w:val="0"/>
              </w:rPr>
              <w:t>ICER</w:t>
            </w:r>
          </w:p>
        </w:tc>
      </w:tr>
      <w:tr w:rsidR="00E275F3" w:rsidRPr="00264D26" w14:paraId="3815473A" w14:textId="77777777" w:rsidTr="003406B4">
        <w:trPr>
          <w:cantSplit/>
        </w:trPr>
        <w:tc>
          <w:tcPr>
            <w:tcW w:w="4732" w:type="dxa"/>
            <w:tcMar>
              <w:left w:w="28" w:type="dxa"/>
              <w:right w:w="28" w:type="dxa"/>
            </w:tcMar>
            <w:vAlign w:val="center"/>
          </w:tcPr>
          <w:p w14:paraId="501CBBAB" w14:textId="67B43D81" w:rsidR="00E275F3" w:rsidRPr="0028085E" w:rsidRDefault="00E275F3" w:rsidP="00B34EF6">
            <w:pPr>
              <w:pStyle w:val="TableText"/>
              <w:keepNext w:val="0"/>
              <w:widowControl w:val="0"/>
              <w:rPr>
                <w:vertAlign w:val="superscript"/>
              </w:rPr>
            </w:pPr>
            <w:r>
              <w:t>Revised base case (5% discount rate, corrected fracture costs)</w:t>
            </w:r>
            <w:r w:rsidR="0028085E">
              <w:rPr>
                <w:vertAlign w:val="superscript"/>
              </w:rPr>
              <w:t>a</w:t>
            </w:r>
          </w:p>
        </w:tc>
        <w:tc>
          <w:tcPr>
            <w:tcW w:w="1651" w:type="dxa"/>
            <w:tcMar>
              <w:left w:w="28" w:type="dxa"/>
              <w:right w:w="28" w:type="dxa"/>
            </w:tcMar>
            <w:vAlign w:val="center"/>
          </w:tcPr>
          <w:p w14:paraId="79585CBE" w14:textId="7A6F8BEC" w:rsidR="00E275F3" w:rsidRPr="0028085E" w:rsidRDefault="00E275F3" w:rsidP="00B34EF6">
            <w:pPr>
              <w:pStyle w:val="TableText"/>
              <w:keepNext w:val="0"/>
              <w:widowControl w:val="0"/>
              <w:jc w:val="center"/>
            </w:pPr>
            <w:r w:rsidRPr="0028085E">
              <w:t>$</w:t>
            </w:r>
            <w:r w:rsidR="009A7DC1" w:rsidRPr="009A7DC1">
              <w:rPr>
                <w:color w:val="000000"/>
                <w:shd w:val="solid" w:color="000000" w:fill="000000"/>
                <w14:textFill>
                  <w14:solidFill>
                    <w14:srgbClr w14:val="000000">
                      <w14:alpha w14:val="100000"/>
                    </w14:srgbClr>
                  </w14:solidFill>
                </w14:textFill>
              </w:rPr>
              <w:t>|</w:t>
            </w:r>
          </w:p>
        </w:tc>
        <w:tc>
          <w:tcPr>
            <w:tcW w:w="1666" w:type="dxa"/>
            <w:tcMar>
              <w:left w:w="28" w:type="dxa"/>
              <w:right w:w="28" w:type="dxa"/>
            </w:tcMar>
            <w:vAlign w:val="center"/>
          </w:tcPr>
          <w:p w14:paraId="4DEAEC1E" w14:textId="77777777" w:rsidR="00E275F3" w:rsidRPr="0028085E" w:rsidRDefault="00E275F3" w:rsidP="00B34EF6">
            <w:pPr>
              <w:pStyle w:val="TableText"/>
              <w:keepNext w:val="0"/>
              <w:widowControl w:val="0"/>
              <w:jc w:val="center"/>
            </w:pPr>
            <w:r w:rsidRPr="0028085E">
              <w:t>0.0428</w:t>
            </w:r>
          </w:p>
        </w:tc>
        <w:tc>
          <w:tcPr>
            <w:tcW w:w="980" w:type="dxa"/>
            <w:tcMar>
              <w:left w:w="28" w:type="dxa"/>
              <w:right w:w="28" w:type="dxa"/>
            </w:tcMar>
            <w:vAlign w:val="center"/>
          </w:tcPr>
          <w:p w14:paraId="487127EB" w14:textId="1BB1A122" w:rsidR="00E275F3" w:rsidRPr="00D80EF5" w:rsidRDefault="00E275F3" w:rsidP="00B34EF6">
            <w:pPr>
              <w:pStyle w:val="TableText"/>
              <w:keepNext w:val="0"/>
              <w:widowControl w:val="0"/>
              <w:jc w:val="center"/>
            </w:pPr>
            <w:r w:rsidRPr="0028085E">
              <w:t>$</w:t>
            </w:r>
            <w:r w:rsidR="009A7DC1" w:rsidRPr="009A7DC1">
              <w:rPr>
                <w:color w:val="000000"/>
                <w:spacing w:val="89"/>
                <w:shd w:val="solid" w:color="000000" w:fill="000000"/>
                <w:fitText w:val="175" w:id="-1435317244"/>
                <w14:textFill>
                  <w14:solidFill>
                    <w14:srgbClr w14:val="000000">
                      <w14:alpha w14:val="100000"/>
                    </w14:srgbClr>
                  </w14:solidFill>
                </w14:textFill>
              </w:rPr>
              <w:t>|</w:t>
            </w:r>
            <w:r w:rsidR="009A7DC1" w:rsidRPr="009A7DC1">
              <w:rPr>
                <w:color w:val="000000"/>
                <w:spacing w:val="1"/>
                <w:shd w:val="solid" w:color="000000" w:fill="000000"/>
                <w:fitText w:val="175" w:id="-1435317244"/>
                <w14:textFill>
                  <w14:solidFill>
                    <w14:srgbClr w14:val="000000">
                      <w14:alpha w14:val="100000"/>
                    </w14:srgbClr>
                  </w14:solidFill>
                </w14:textFill>
              </w:rPr>
              <w:t>|</w:t>
            </w:r>
            <w:r w:rsidR="00D80EF5">
              <w:rPr>
                <w:vertAlign w:val="superscript"/>
              </w:rPr>
              <w:t>1</w:t>
            </w:r>
          </w:p>
        </w:tc>
      </w:tr>
      <w:tr w:rsidR="00E275F3" w:rsidRPr="00264D26" w14:paraId="58AD7F33" w14:textId="77777777" w:rsidTr="003406B4">
        <w:trPr>
          <w:cantSplit/>
        </w:trPr>
        <w:tc>
          <w:tcPr>
            <w:tcW w:w="9029" w:type="dxa"/>
            <w:gridSpan w:val="4"/>
            <w:tcMar>
              <w:left w:w="28" w:type="dxa"/>
              <w:right w:w="28" w:type="dxa"/>
            </w:tcMar>
            <w:vAlign w:val="center"/>
          </w:tcPr>
          <w:p w14:paraId="235A4248" w14:textId="08A86651" w:rsidR="00E275F3" w:rsidRPr="0028085E" w:rsidRDefault="00E275F3" w:rsidP="00B34EF6">
            <w:pPr>
              <w:pStyle w:val="TableText"/>
              <w:keepNext w:val="0"/>
              <w:widowControl w:val="0"/>
              <w:rPr>
                <w:vertAlign w:val="superscript"/>
              </w:rPr>
            </w:pPr>
            <w:r w:rsidRPr="0028085E">
              <w:rPr>
                <w:b/>
                <w:bCs w:val="0"/>
              </w:rPr>
              <w:t>Discount rate (base case 5% discount rate)</w:t>
            </w:r>
            <w:r w:rsidR="0028085E" w:rsidRPr="0028085E">
              <w:rPr>
                <w:b/>
                <w:bCs w:val="0"/>
                <w:vertAlign w:val="superscript"/>
              </w:rPr>
              <w:t>a</w:t>
            </w:r>
          </w:p>
        </w:tc>
      </w:tr>
      <w:tr w:rsidR="00E275F3" w:rsidRPr="00264D26" w14:paraId="5C45F367" w14:textId="77777777" w:rsidTr="003406B4">
        <w:trPr>
          <w:cantSplit/>
        </w:trPr>
        <w:tc>
          <w:tcPr>
            <w:tcW w:w="4732" w:type="dxa"/>
            <w:tcMar>
              <w:left w:w="28" w:type="dxa"/>
              <w:right w:w="28" w:type="dxa"/>
            </w:tcMar>
            <w:vAlign w:val="center"/>
          </w:tcPr>
          <w:p w14:paraId="12F5A677" w14:textId="77777777" w:rsidR="00E275F3" w:rsidRPr="00264D26" w:rsidRDefault="00E275F3" w:rsidP="00B34EF6">
            <w:pPr>
              <w:pStyle w:val="TableText"/>
              <w:keepNext w:val="0"/>
              <w:widowControl w:val="0"/>
            </w:pPr>
            <w:r>
              <w:t>3.5%</w:t>
            </w:r>
          </w:p>
        </w:tc>
        <w:tc>
          <w:tcPr>
            <w:tcW w:w="1651" w:type="dxa"/>
            <w:tcMar>
              <w:left w:w="28" w:type="dxa"/>
              <w:right w:w="28" w:type="dxa"/>
            </w:tcMar>
            <w:vAlign w:val="center"/>
          </w:tcPr>
          <w:p w14:paraId="74FFDC06" w14:textId="004C7F58" w:rsidR="00E275F3" w:rsidRPr="0028085E" w:rsidRDefault="00E275F3" w:rsidP="00B34EF6">
            <w:pPr>
              <w:pStyle w:val="TableText"/>
              <w:keepNext w:val="0"/>
              <w:widowControl w:val="0"/>
              <w:jc w:val="center"/>
            </w:pPr>
            <w:r w:rsidRPr="0028085E">
              <w:t>$</w:t>
            </w:r>
            <w:r w:rsidR="009A7DC1" w:rsidRPr="009A7DC1">
              <w:rPr>
                <w:color w:val="000000"/>
                <w:shd w:val="solid" w:color="000000" w:fill="000000"/>
                <w14:textFill>
                  <w14:solidFill>
                    <w14:srgbClr w14:val="000000">
                      <w14:alpha w14:val="100000"/>
                    </w14:srgbClr>
                  </w14:solidFill>
                </w14:textFill>
              </w:rPr>
              <w:t>|</w:t>
            </w:r>
          </w:p>
        </w:tc>
        <w:tc>
          <w:tcPr>
            <w:tcW w:w="1666" w:type="dxa"/>
            <w:tcMar>
              <w:left w:w="28" w:type="dxa"/>
              <w:right w:w="28" w:type="dxa"/>
            </w:tcMar>
            <w:vAlign w:val="center"/>
          </w:tcPr>
          <w:p w14:paraId="16A8C63F" w14:textId="77777777" w:rsidR="00E275F3" w:rsidRPr="0028085E" w:rsidRDefault="00E275F3" w:rsidP="00B34EF6">
            <w:pPr>
              <w:pStyle w:val="TableText"/>
              <w:keepNext w:val="0"/>
              <w:widowControl w:val="0"/>
              <w:jc w:val="center"/>
            </w:pPr>
            <w:r w:rsidRPr="0028085E">
              <w:t>0.0472</w:t>
            </w:r>
          </w:p>
        </w:tc>
        <w:tc>
          <w:tcPr>
            <w:tcW w:w="980" w:type="dxa"/>
            <w:tcMar>
              <w:left w:w="28" w:type="dxa"/>
              <w:right w:w="28" w:type="dxa"/>
            </w:tcMar>
            <w:vAlign w:val="center"/>
          </w:tcPr>
          <w:p w14:paraId="63CA204C" w14:textId="3ADF31F1" w:rsidR="00E275F3" w:rsidRPr="0028085E" w:rsidRDefault="00E275F3" w:rsidP="00B34EF6">
            <w:pPr>
              <w:pStyle w:val="TableText"/>
              <w:keepNext w:val="0"/>
              <w:widowControl w:val="0"/>
              <w:jc w:val="center"/>
            </w:pPr>
            <w:r w:rsidRPr="0028085E">
              <w:t>$</w:t>
            </w:r>
            <w:r w:rsidR="009A7DC1" w:rsidRPr="009A7DC1">
              <w:rPr>
                <w:color w:val="000000"/>
                <w:spacing w:val="89"/>
                <w:shd w:val="solid" w:color="000000" w:fill="000000"/>
                <w:fitText w:val="175" w:id="-1435317243"/>
                <w14:textFill>
                  <w14:solidFill>
                    <w14:srgbClr w14:val="000000">
                      <w14:alpha w14:val="100000"/>
                    </w14:srgbClr>
                  </w14:solidFill>
                </w14:textFill>
              </w:rPr>
              <w:t>|</w:t>
            </w:r>
            <w:r w:rsidR="009A7DC1" w:rsidRPr="009A7DC1">
              <w:rPr>
                <w:color w:val="000000"/>
                <w:spacing w:val="1"/>
                <w:shd w:val="solid" w:color="000000" w:fill="000000"/>
                <w:fitText w:val="175" w:id="-1435317243"/>
                <w14:textFill>
                  <w14:solidFill>
                    <w14:srgbClr w14:val="000000">
                      <w14:alpha w14:val="100000"/>
                    </w14:srgbClr>
                  </w14:solidFill>
                </w14:textFill>
              </w:rPr>
              <w:t>|</w:t>
            </w:r>
            <w:r w:rsidR="00FD6605">
              <w:rPr>
                <w:vertAlign w:val="superscript"/>
              </w:rPr>
              <w:t>2</w:t>
            </w:r>
          </w:p>
        </w:tc>
      </w:tr>
      <w:tr w:rsidR="00E275F3" w:rsidRPr="00264D26" w14:paraId="30511C58" w14:textId="77777777" w:rsidTr="003406B4">
        <w:trPr>
          <w:cantSplit/>
        </w:trPr>
        <w:tc>
          <w:tcPr>
            <w:tcW w:w="4732" w:type="dxa"/>
            <w:tcMar>
              <w:left w:w="28" w:type="dxa"/>
              <w:right w:w="28" w:type="dxa"/>
            </w:tcMar>
            <w:vAlign w:val="center"/>
          </w:tcPr>
          <w:p w14:paraId="02979090" w14:textId="77777777" w:rsidR="00E275F3" w:rsidRPr="00264D26" w:rsidRDefault="00E275F3" w:rsidP="00B34EF6">
            <w:pPr>
              <w:pStyle w:val="TableText"/>
              <w:keepNext w:val="0"/>
              <w:widowControl w:val="0"/>
            </w:pPr>
            <w:r>
              <w:t>1.5% (submission’s base case with corrected fracture costs)</w:t>
            </w:r>
          </w:p>
        </w:tc>
        <w:tc>
          <w:tcPr>
            <w:tcW w:w="1651" w:type="dxa"/>
            <w:tcMar>
              <w:left w:w="28" w:type="dxa"/>
              <w:right w:w="28" w:type="dxa"/>
            </w:tcMar>
            <w:vAlign w:val="center"/>
          </w:tcPr>
          <w:p w14:paraId="0B918522" w14:textId="6BDCB814" w:rsidR="00E275F3" w:rsidRPr="0028085E" w:rsidRDefault="00E275F3" w:rsidP="00B34EF6">
            <w:pPr>
              <w:pStyle w:val="TableText"/>
              <w:keepNext w:val="0"/>
              <w:widowControl w:val="0"/>
              <w:jc w:val="center"/>
            </w:pPr>
            <w:r w:rsidRPr="0028085E">
              <w:t>$</w:t>
            </w:r>
            <w:r w:rsidR="009A7DC1" w:rsidRPr="009A7DC1">
              <w:rPr>
                <w:color w:val="000000"/>
                <w:shd w:val="solid" w:color="000000" w:fill="000000"/>
                <w14:textFill>
                  <w14:solidFill>
                    <w14:srgbClr w14:val="000000">
                      <w14:alpha w14:val="100000"/>
                    </w14:srgbClr>
                  </w14:solidFill>
                </w14:textFill>
              </w:rPr>
              <w:t>|</w:t>
            </w:r>
          </w:p>
        </w:tc>
        <w:tc>
          <w:tcPr>
            <w:tcW w:w="1666" w:type="dxa"/>
            <w:tcMar>
              <w:left w:w="28" w:type="dxa"/>
              <w:right w:w="28" w:type="dxa"/>
            </w:tcMar>
            <w:vAlign w:val="center"/>
          </w:tcPr>
          <w:p w14:paraId="68AD3242" w14:textId="77777777" w:rsidR="00E275F3" w:rsidRPr="0028085E" w:rsidRDefault="00E275F3" w:rsidP="00B34EF6">
            <w:pPr>
              <w:pStyle w:val="TableText"/>
              <w:keepNext w:val="0"/>
              <w:widowControl w:val="0"/>
              <w:jc w:val="center"/>
            </w:pPr>
            <w:r w:rsidRPr="0028085E">
              <w:t>0.0542</w:t>
            </w:r>
          </w:p>
        </w:tc>
        <w:tc>
          <w:tcPr>
            <w:tcW w:w="980" w:type="dxa"/>
            <w:tcMar>
              <w:left w:w="28" w:type="dxa"/>
              <w:right w:w="28" w:type="dxa"/>
            </w:tcMar>
            <w:vAlign w:val="center"/>
          </w:tcPr>
          <w:p w14:paraId="576DF4B1" w14:textId="51AA5DFB" w:rsidR="00E275F3" w:rsidRPr="0028085E" w:rsidRDefault="00E275F3" w:rsidP="00B34EF6">
            <w:pPr>
              <w:pStyle w:val="TableText"/>
              <w:keepNext w:val="0"/>
              <w:widowControl w:val="0"/>
              <w:jc w:val="center"/>
            </w:pPr>
            <w:r w:rsidRPr="0028085E">
              <w:t>$</w:t>
            </w:r>
            <w:r w:rsidR="009A7DC1" w:rsidRPr="009A7DC1">
              <w:rPr>
                <w:color w:val="000000"/>
                <w:spacing w:val="89"/>
                <w:shd w:val="solid" w:color="000000" w:fill="000000"/>
                <w:fitText w:val="175" w:id="-1435317242"/>
                <w14:textFill>
                  <w14:solidFill>
                    <w14:srgbClr w14:val="000000">
                      <w14:alpha w14:val="100000"/>
                    </w14:srgbClr>
                  </w14:solidFill>
                </w14:textFill>
              </w:rPr>
              <w:t>|</w:t>
            </w:r>
            <w:r w:rsidR="009A7DC1" w:rsidRPr="009A7DC1">
              <w:rPr>
                <w:color w:val="000000"/>
                <w:spacing w:val="1"/>
                <w:shd w:val="solid" w:color="000000" w:fill="000000"/>
                <w:fitText w:val="175" w:id="-1435317242"/>
                <w14:textFill>
                  <w14:solidFill>
                    <w14:srgbClr w14:val="000000">
                      <w14:alpha w14:val="100000"/>
                    </w14:srgbClr>
                  </w14:solidFill>
                </w14:textFill>
              </w:rPr>
              <w:t>|</w:t>
            </w:r>
            <w:r w:rsidR="00FD6605">
              <w:rPr>
                <w:vertAlign w:val="superscript"/>
              </w:rPr>
              <w:t>2</w:t>
            </w:r>
          </w:p>
        </w:tc>
      </w:tr>
      <w:tr w:rsidR="00E275F3" w:rsidRPr="00264D26" w14:paraId="64E5BC1D" w14:textId="77777777" w:rsidTr="003406B4">
        <w:trPr>
          <w:cantSplit/>
        </w:trPr>
        <w:tc>
          <w:tcPr>
            <w:tcW w:w="4732" w:type="dxa"/>
            <w:tcMar>
              <w:left w:w="28" w:type="dxa"/>
              <w:right w:w="28" w:type="dxa"/>
            </w:tcMar>
            <w:vAlign w:val="center"/>
          </w:tcPr>
          <w:p w14:paraId="32B920FB" w14:textId="77777777" w:rsidR="00E275F3" w:rsidRPr="00264D26" w:rsidRDefault="00E275F3" w:rsidP="00B34EF6">
            <w:pPr>
              <w:pStyle w:val="TableText"/>
              <w:keepNext w:val="0"/>
              <w:widowControl w:val="0"/>
            </w:pPr>
            <w:r>
              <w:t>0%</w:t>
            </w:r>
          </w:p>
        </w:tc>
        <w:tc>
          <w:tcPr>
            <w:tcW w:w="1651" w:type="dxa"/>
            <w:tcMar>
              <w:left w:w="28" w:type="dxa"/>
              <w:right w:w="28" w:type="dxa"/>
            </w:tcMar>
            <w:vAlign w:val="center"/>
          </w:tcPr>
          <w:p w14:paraId="0332FBD4" w14:textId="312B4867" w:rsidR="00E275F3" w:rsidRPr="0028085E" w:rsidRDefault="00E275F3" w:rsidP="00B34EF6">
            <w:pPr>
              <w:pStyle w:val="TableText"/>
              <w:keepNext w:val="0"/>
              <w:widowControl w:val="0"/>
              <w:jc w:val="center"/>
            </w:pPr>
            <w:r w:rsidRPr="0028085E">
              <w:t>$</w:t>
            </w:r>
            <w:r w:rsidR="009A7DC1" w:rsidRPr="009A7DC1">
              <w:rPr>
                <w:color w:val="000000"/>
                <w:shd w:val="solid" w:color="000000" w:fill="000000"/>
                <w14:textFill>
                  <w14:solidFill>
                    <w14:srgbClr w14:val="000000">
                      <w14:alpha w14:val="100000"/>
                    </w14:srgbClr>
                  </w14:solidFill>
                </w14:textFill>
              </w:rPr>
              <w:t>|</w:t>
            </w:r>
          </w:p>
        </w:tc>
        <w:tc>
          <w:tcPr>
            <w:tcW w:w="1666" w:type="dxa"/>
            <w:tcMar>
              <w:left w:w="28" w:type="dxa"/>
              <w:right w:w="28" w:type="dxa"/>
            </w:tcMar>
            <w:vAlign w:val="center"/>
          </w:tcPr>
          <w:p w14:paraId="55F3A1CC" w14:textId="77777777" w:rsidR="00E275F3" w:rsidRPr="0028085E" w:rsidRDefault="00E275F3" w:rsidP="00B34EF6">
            <w:pPr>
              <w:pStyle w:val="TableText"/>
              <w:keepNext w:val="0"/>
              <w:widowControl w:val="0"/>
              <w:jc w:val="center"/>
            </w:pPr>
            <w:r w:rsidRPr="0028085E">
              <w:t>0.0606</w:t>
            </w:r>
          </w:p>
        </w:tc>
        <w:tc>
          <w:tcPr>
            <w:tcW w:w="980" w:type="dxa"/>
            <w:tcMar>
              <w:left w:w="28" w:type="dxa"/>
              <w:right w:w="28" w:type="dxa"/>
            </w:tcMar>
            <w:vAlign w:val="center"/>
          </w:tcPr>
          <w:p w14:paraId="7E92E846" w14:textId="7926DE24" w:rsidR="00E275F3" w:rsidRPr="0028085E" w:rsidRDefault="00E275F3" w:rsidP="00B34EF6">
            <w:pPr>
              <w:pStyle w:val="TableText"/>
              <w:keepNext w:val="0"/>
              <w:widowControl w:val="0"/>
              <w:jc w:val="center"/>
            </w:pPr>
            <w:r w:rsidRPr="0028085E">
              <w:t>$</w:t>
            </w:r>
            <w:r w:rsidR="009A7DC1" w:rsidRPr="009A7DC1">
              <w:rPr>
                <w:color w:val="000000"/>
                <w:spacing w:val="89"/>
                <w:shd w:val="solid" w:color="000000" w:fill="000000"/>
                <w:fitText w:val="175" w:id="-1435317241"/>
                <w14:textFill>
                  <w14:solidFill>
                    <w14:srgbClr w14:val="000000">
                      <w14:alpha w14:val="100000"/>
                    </w14:srgbClr>
                  </w14:solidFill>
                </w14:textFill>
              </w:rPr>
              <w:t>|</w:t>
            </w:r>
            <w:r w:rsidR="009A7DC1" w:rsidRPr="009A7DC1">
              <w:rPr>
                <w:color w:val="000000"/>
                <w:spacing w:val="1"/>
                <w:shd w:val="solid" w:color="000000" w:fill="000000"/>
                <w:fitText w:val="175" w:id="-1435317241"/>
                <w14:textFill>
                  <w14:solidFill>
                    <w14:srgbClr w14:val="000000">
                      <w14:alpha w14:val="100000"/>
                    </w14:srgbClr>
                  </w14:solidFill>
                </w14:textFill>
              </w:rPr>
              <w:t>|</w:t>
            </w:r>
            <w:r w:rsidR="00FD6605">
              <w:rPr>
                <w:vertAlign w:val="superscript"/>
              </w:rPr>
              <w:t>2</w:t>
            </w:r>
          </w:p>
        </w:tc>
      </w:tr>
      <w:tr w:rsidR="00E275F3" w:rsidRPr="00264D26" w14:paraId="1A14CAF5" w14:textId="77777777" w:rsidTr="003406B4">
        <w:trPr>
          <w:cantSplit/>
        </w:trPr>
        <w:tc>
          <w:tcPr>
            <w:tcW w:w="9029" w:type="dxa"/>
            <w:gridSpan w:val="4"/>
            <w:tcMar>
              <w:left w:w="28" w:type="dxa"/>
              <w:right w:w="28" w:type="dxa"/>
            </w:tcMar>
            <w:vAlign w:val="center"/>
          </w:tcPr>
          <w:p w14:paraId="5C6E99F2" w14:textId="3F69ECD8" w:rsidR="00E275F3" w:rsidRPr="0028085E" w:rsidRDefault="00E275F3" w:rsidP="00B34EF6">
            <w:pPr>
              <w:pStyle w:val="TableText"/>
              <w:keepNext w:val="0"/>
              <w:widowControl w:val="0"/>
              <w:rPr>
                <w:b/>
                <w:bCs w:val="0"/>
                <w:vertAlign w:val="superscript"/>
              </w:rPr>
            </w:pPr>
            <w:r w:rsidRPr="0028085E">
              <w:rPr>
                <w:b/>
                <w:bCs w:val="0"/>
              </w:rPr>
              <w:t>Time horizon (base case 20 years)</w:t>
            </w:r>
            <w:r w:rsidR="0028085E" w:rsidRPr="0028085E">
              <w:rPr>
                <w:b/>
                <w:bCs w:val="0"/>
                <w:vertAlign w:val="superscript"/>
              </w:rPr>
              <w:t>a</w:t>
            </w:r>
          </w:p>
        </w:tc>
      </w:tr>
      <w:tr w:rsidR="00E275F3" w:rsidRPr="00264D26" w14:paraId="0EFF9877" w14:textId="77777777" w:rsidTr="003406B4">
        <w:trPr>
          <w:cantSplit/>
        </w:trPr>
        <w:tc>
          <w:tcPr>
            <w:tcW w:w="4732" w:type="dxa"/>
            <w:tcMar>
              <w:left w:w="28" w:type="dxa"/>
              <w:right w:w="28" w:type="dxa"/>
            </w:tcMar>
            <w:vAlign w:val="center"/>
          </w:tcPr>
          <w:p w14:paraId="2ABADE04" w14:textId="77777777" w:rsidR="00E275F3" w:rsidRDefault="00E275F3" w:rsidP="00B34EF6">
            <w:pPr>
              <w:pStyle w:val="TableText"/>
              <w:keepNext w:val="0"/>
              <w:widowControl w:val="0"/>
            </w:pPr>
            <w:r>
              <w:t>3 years</w:t>
            </w:r>
          </w:p>
        </w:tc>
        <w:tc>
          <w:tcPr>
            <w:tcW w:w="1651" w:type="dxa"/>
            <w:tcMar>
              <w:left w:w="28" w:type="dxa"/>
              <w:right w:w="28" w:type="dxa"/>
            </w:tcMar>
            <w:vAlign w:val="center"/>
          </w:tcPr>
          <w:p w14:paraId="5DE3FE17" w14:textId="1D5B8133" w:rsidR="00E275F3" w:rsidRPr="0028085E" w:rsidRDefault="00E275F3" w:rsidP="00B34EF6">
            <w:pPr>
              <w:pStyle w:val="TableText"/>
              <w:keepNext w:val="0"/>
              <w:widowControl w:val="0"/>
              <w:jc w:val="center"/>
            </w:pPr>
            <w:r w:rsidRPr="0028085E">
              <w:t>$</w:t>
            </w:r>
            <w:r w:rsidR="009A7DC1" w:rsidRPr="009A7DC1">
              <w:rPr>
                <w:color w:val="000000"/>
                <w:shd w:val="solid" w:color="000000" w:fill="000000"/>
                <w14:textFill>
                  <w14:solidFill>
                    <w14:srgbClr w14:val="000000">
                      <w14:alpha w14:val="100000"/>
                    </w14:srgbClr>
                  </w14:solidFill>
                </w14:textFill>
              </w:rPr>
              <w:t>|</w:t>
            </w:r>
          </w:p>
        </w:tc>
        <w:tc>
          <w:tcPr>
            <w:tcW w:w="1666" w:type="dxa"/>
            <w:tcMar>
              <w:left w:w="28" w:type="dxa"/>
              <w:right w:w="28" w:type="dxa"/>
            </w:tcMar>
            <w:vAlign w:val="center"/>
          </w:tcPr>
          <w:p w14:paraId="0E97B2DE" w14:textId="77777777" w:rsidR="00E275F3" w:rsidRPr="0028085E" w:rsidRDefault="00E275F3" w:rsidP="00B34EF6">
            <w:pPr>
              <w:pStyle w:val="TableText"/>
              <w:keepNext w:val="0"/>
              <w:widowControl w:val="0"/>
              <w:jc w:val="center"/>
            </w:pPr>
            <w:r w:rsidRPr="0028085E">
              <w:t>0.0095</w:t>
            </w:r>
          </w:p>
        </w:tc>
        <w:tc>
          <w:tcPr>
            <w:tcW w:w="980" w:type="dxa"/>
            <w:tcMar>
              <w:left w:w="28" w:type="dxa"/>
              <w:right w:w="28" w:type="dxa"/>
            </w:tcMar>
            <w:vAlign w:val="center"/>
          </w:tcPr>
          <w:p w14:paraId="6CB5A173" w14:textId="656904AB" w:rsidR="00E275F3" w:rsidRPr="0028085E" w:rsidRDefault="00E275F3" w:rsidP="00B34EF6">
            <w:pPr>
              <w:pStyle w:val="TableText"/>
              <w:keepNext w:val="0"/>
              <w:widowControl w:val="0"/>
              <w:jc w:val="center"/>
            </w:pPr>
            <w:r w:rsidRPr="0028085E">
              <w:t>$</w:t>
            </w:r>
            <w:r w:rsidR="009A7DC1" w:rsidRPr="009A7DC1">
              <w:rPr>
                <w:color w:val="000000"/>
                <w:spacing w:val="89"/>
                <w:shd w:val="solid" w:color="000000" w:fill="000000"/>
                <w:fitText w:val="175" w:id="-1435317240"/>
                <w14:textFill>
                  <w14:solidFill>
                    <w14:srgbClr w14:val="000000">
                      <w14:alpha w14:val="100000"/>
                    </w14:srgbClr>
                  </w14:solidFill>
                </w14:textFill>
              </w:rPr>
              <w:t>|</w:t>
            </w:r>
            <w:r w:rsidR="009A7DC1" w:rsidRPr="009A7DC1">
              <w:rPr>
                <w:color w:val="000000"/>
                <w:spacing w:val="1"/>
                <w:shd w:val="solid" w:color="000000" w:fill="000000"/>
                <w:fitText w:val="175" w:id="-1435317240"/>
                <w14:textFill>
                  <w14:solidFill>
                    <w14:srgbClr w14:val="000000">
                      <w14:alpha w14:val="100000"/>
                    </w14:srgbClr>
                  </w14:solidFill>
                </w14:textFill>
              </w:rPr>
              <w:t>|</w:t>
            </w:r>
            <w:r w:rsidR="00FD6605">
              <w:rPr>
                <w:vertAlign w:val="superscript"/>
              </w:rPr>
              <w:t>3</w:t>
            </w:r>
          </w:p>
        </w:tc>
      </w:tr>
      <w:tr w:rsidR="00E275F3" w:rsidRPr="00264D26" w14:paraId="4ACFF380" w14:textId="77777777" w:rsidTr="003406B4">
        <w:trPr>
          <w:cantSplit/>
        </w:trPr>
        <w:tc>
          <w:tcPr>
            <w:tcW w:w="4732" w:type="dxa"/>
            <w:tcMar>
              <w:left w:w="28" w:type="dxa"/>
              <w:right w:w="28" w:type="dxa"/>
            </w:tcMar>
            <w:vAlign w:val="center"/>
          </w:tcPr>
          <w:p w14:paraId="7E88BF0E" w14:textId="77777777" w:rsidR="00E275F3" w:rsidRPr="00264D26" w:rsidRDefault="00E275F3" w:rsidP="00B34EF6">
            <w:pPr>
              <w:pStyle w:val="TableText"/>
              <w:keepNext w:val="0"/>
              <w:widowControl w:val="0"/>
            </w:pPr>
            <w:r>
              <w:t>5 years</w:t>
            </w:r>
          </w:p>
        </w:tc>
        <w:tc>
          <w:tcPr>
            <w:tcW w:w="1651" w:type="dxa"/>
            <w:tcMar>
              <w:left w:w="28" w:type="dxa"/>
              <w:right w:w="28" w:type="dxa"/>
            </w:tcMar>
            <w:vAlign w:val="center"/>
          </w:tcPr>
          <w:p w14:paraId="5F167445" w14:textId="7E411750" w:rsidR="00E275F3" w:rsidRPr="0028085E" w:rsidRDefault="00E275F3" w:rsidP="00B34EF6">
            <w:pPr>
              <w:pStyle w:val="TableText"/>
              <w:keepNext w:val="0"/>
              <w:widowControl w:val="0"/>
              <w:jc w:val="center"/>
            </w:pPr>
            <w:r w:rsidRPr="0028085E">
              <w:t>$</w:t>
            </w:r>
            <w:r w:rsidR="009A7DC1" w:rsidRPr="009A7DC1">
              <w:rPr>
                <w:color w:val="000000"/>
                <w:shd w:val="solid" w:color="000000" w:fill="000000"/>
                <w14:textFill>
                  <w14:solidFill>
                    <w14:srgbClr w14:val="000000">
                      <w14:alpha w14:val="100000"/>
                    </w14:srgbClr>
                  </w14:solidFill>
                </w14:textFill>
              </w:rPr>
              <w:t>|</w:t>
            </w:r>
          </w:p>
        </w:tc>
        <w:tc>
          <w:tcPr>
            <w:tcW w:w="1666" w:type="dxa"/>
            <w:tcMar>
              <w:left w:w="28" w:type="dxa"/>
              <w:right w:w="28" w:type="dxa"/>
            </w:tcMar>
            <w:vAlign w:val="center"/>
          </w:tcPr>
          <w:p w14:paraId="7B776264" w14:textId="77777777" w:rsidR="00E275F3" w:rsidRPr="0028085E" w:rsidRDefault="00E275F3" w:rsidP="00B34EF6">
            <w:pPr>
              <w:pStyle w:val="TableText"/>
              <w:keepNext w:val="0"/>
              <w:widowControl w:val="0"/>
              <w:jc w:val="center"/>
            </w:pPr>
            <w:r w:rsidRPr="0028085E">
              <w:t>0.0168</w:t>
            </w:r>
          </w:p>
        </w:tc>
        <w:tc>
          <w:tcPr>
            <w:tcW w:w="980" w:type="dxa"/>
            <w:tcMar>
              <w:left w:w="28" w:type="dxa"/>
              <w:right w:w="28" w:type="dxa"/>
            </w:tcMar>
            <w:vAlign w:val="center"/>
          </w:tcPr>
          <w:p w14:paraId="2E0682AD" w14:textId="78FB4E53" w:rsidR="00E275F3" w:rsidRPr="0028085E" w:rsidRDefault="00E275F3" w:rsidP="00B34EF6">
            <w:pPr>
              <w:pStyle w:val="TableText"/>
              <w:keepNext w:val="0"/>
              <w:widowControl w:val="0"/>
              <w:jc w:val="center"/>
            </w:pPr>
            <w:r w:rsidRPr="0028085E">
              <w:t>$</w:t>
            </w:r>
            <w:r w:rsidR="009A7DC1" w:rsidRPr="009A7DC1">
              <w:rPr>
                <w:color w:val="000000"/>
                <w:spacing w:val="89"/>
                <w:shd w:val="solid" w:color="000000" w:fill="000000"/>
                <w:fitText w:val="175" w:id="-1435317239"/>
                <w14:textFill>
                  <w14:solidFill>
                    <w14:srgbClr w14:val="000000">
                      <w14:alpha w14:val="100000"/>
                    </w14:srgbClr>
                  </w14:solidFill>
                </w14:textFill>
              </w:rPr>
              <w:t>|</w:t>
            </w:r>
            <w:r w:rsidR="009A7DC1" w:rsidRPr="009A7DC1">
              <w:rPr>
                <w:color w:val="000000"/>
                <w:spacing w:val="1"/>
                <w:shd w:val="solid" w:color="000000" w:fill="000000"/>
                <w:fitText w:val="175" w:id="-1435317239"/>
                <w14:textFill>
                  <w14:solidFill>
                    <w14:srgbClr w14:val="000000">
                      <w14:alpha w14:val="100000"/>
                    </w14:srgbClr>
                  </w14:solidFill>
                </w14:textFill>
              </w:rPr>
              <w:t>|</w:t>
            </w:r>
            <w:r w:rsidR="00FD6605">
              <w:rPr>
                <w:vertAlign w:val="superscript"/>
              </w:rPr>
              <w:t>4</w:t>
            </w:r>
          </w:p>
        </w:tc>
      </w:tr>
      <w:tr w:rsidR="00E275F3" w:rsidRPr="00264D26" w14:paraId="41BFD869" w14:textId="77777777" w:rsidTr="003406B4">
        <w:trPr>
          <w:cantSplit/>
        </w:trPr>
        <w:tc>
          <w:tcPr>
            <w:tcW w:w="4732" w:type="dxa"/>
            <w:tcMar>
              <w:left w:w="28" w:type="dxa"/>
              <w:right w:w="28" w:type="dxa"/>
            </w:tcMar>
            <w:vAlign w:val="center"/>
          </w:tcPr>
          <w:p w14:paraId="26BD485F" w14:textId="77777777" w:rsidR="00E275F3" w:rsidRPr="00264D26" w:rsidRDefault="00E275F3" w:rsidP="00B34EF6">
            <w:pPr>
              <w:pStyle w:val="TableText"/>
              <w:keepNext w:val="0"/>
              <w:widowControl w:val="0"/>
            </w:pPr>
            <w:r>
              <w:t>10 years</w:t>
            </w:r>
          </w:p>
        </w:tc>
        <w:tc>
          <w:tcPr>
            <w:tcW w:w="1651" w:type="dxa"/>
            <w:tcMar>
              <w:left w:w="28" w:type="dxa"/>
              <w:right w:w="28" w:type="dxa"/>
            </w:tcMar>
            <w:vAlign w:val="center"/>
          </w:tcPr>
          <w:p w14:paraId="468E3A4E" w14:textId="39500B7A" w:rsidR="00E275F3" w:rsidRPr="0028085E" w:rsidRDefault="00E275F3" w:rsidP="00B34EF6">
            <w:pPr>
              <w:pStyle w:val="TableText"/>
              <w:keepNext w:val="0"/>
              <w:widowControl w:val="0"/>
              <w:jc w:val="center"/>
            </w:pPr>
            <w:r w:rsidRPr="0028085E">
              <w:t>$</w:t>
            </w:r>
            <w:r w:rsidR="009A7DC1" w:rsidRPr="009A7DC1">
              <w:rPr>
                <w:color w:val="000000"/>
                <w:shd w:val="solid" w:color="000000" w:fill="000000"/>
                <w14:textFill>
                  <w14:solidFill>
                    <w14:srgbClr w14:val="000000">
                      <w14:alpha w14:val="100000"/>
                    </w14:srgbClr>
                  </w14:solidFill>
                </w14:textFill>
              </w:rPr>
              <w:t>|</w:t>
            </w:r>
          </w:p>
        </w:tc>
        <w:tc>
          <w:tcPr>
            <w:tcW w:w="1666" w:type="dxa"/>
            <w:tcMar>
              <w:left w:w="28" w:type="dxa"/>
              <w:right w:w="28" w:type="dxa"/>
            </w:tcMar>
            <w:vAlign w:val="center"/>
          </w:tcPr>
          <w:p w14:paraId="595F9B59" w14:textId="77777777" w:rsidR="00E275F3" w:rsidRPr="0028085E" w:rsidRDefault="00E275F3" w:rsidP="00B34EF6">
            <w:pPr>
              <w:pStyle w:val="TableText"/>
              <w:keepNext w:val="0"/>
              <w:widowControl w:val="0"/>
              <w:jc w:val="center"/>
            </w:pPr>
            <w:r w:rsidRPr="0028085E">
              <w:t>0.0317</w:t>
            </w:r>
          </w:p>
        </w:tc>
        <w:tc>
          <w:tcPr>
            <w:tcW w:w="980" w:type="dxa"/>
            <w:tcMar>
              <w:left w:w="28" w:type="dxa"/>
              <w:right w:w="28" w:type="dxa"/>
            </w:tcMar>
            <w:vAlign w:val="center"/>
          </w:tcPr>
          <w:p w14:paraId="43D79D71" w14:textId="0201AA16" w:rsidR="00E275F3" w:rsidRPr="0028085E" w:rsidRDefault="00E275F3" w:rsidP="00B34EF6">
            <w:pPr>
              <w:pStyle w:val="TableText"/>
              <w:keepNext w:val="0"/>
              <w:widowControl w:val="0"/>
              <w:jc w:val="center"/>
            </w:pPr>
            <w:r w:rsidRPr="0028085E">
              <w:t>$</w:t>
            </w:r>
            <w:r w:rsidR="009A7DC1" w:rsidRPr="009A7DC1">
              <w:rPr>
                <w:color w:val="000000"/>
                <w:spacing w:val="89"/>
                <w:shd w:val="solid" w:color="000000" w:fill="000000"/>
                <w:fitText w:val="175" w:id="-1435317238"/>
                <w14:textFill>
                  <w14:solidFill>
                    <w14:srgbClr w14:val="000000">
                      <w14:alpha w14:val="100000"/>
                    </w14:srgbClr>
                  </w14:solidFill>
                </w14:textFill>
              </w:rPr>
              <w:t>|</w:t>
            </w:r>
            <w:r w:rsidR="009A7DC1" w:rsidRPr="009A7DC1">
              <w:rPr>
                <w:color w:val="000000"/>
                <w:spacing w:val="1"/>
                <w:shd w:val="solid" w:color="000000" w:fill="000000"/>
                <w:fitText w:val="175" w:id="-1435317238"/>
                <w14:textFill>
                  <w14:solidFill>
                    <w14:srgbClr w14:val="000000">
                      <w14:alpha w14:val="100000"/>
                    </w14:srgbClr>
                  </w14:solidFill>
                </w14:textFill>
              </w:rPr>
              <w:t>|</w:t>
            </w:r>
            <w:r w:rsidR="004722AE">
              <w:rPr>
                <w:vertAlign w:val="superscript"/>
              </w:rPr>
              <w:t>5</w:t>
            </w:r>
          </w:p>
        </w:tc>
      </w:tr>
      <w:tr w:rsidR="00E275F3" w14:paraId="1A6FA961" w14:textId="77777777" w:rsidTr="003406B4">
        <w:trPr>
          <w:cantSplit/>
        </w:trPr>
        <w:tc>
          <w:tcPr>
            <w:tcW w:w="9029" w:type="dxa"/>
            <w:gridSpan w:val="4"/>
            <w:tcMar>
              <w:left w:w="28" w:type="dxa"/>
              <w:right w:w="28" w:type="dxa"/>
            </w:tcMar>
            <w:vAlign w:val="center"/>
          </w:tcPr>
          <w:p w14:paraId="77DDFE3F" w14:textId="5DAFF5E1" w:rsidR="00E275F3" w:rsidRPr="0028085E" w:rsidRDefault="00E275F3" w:rsidP="00B34EF6">
            <w:pPr>
              <w:pStyle w:val="TableText"/>
              <w:keepNext w:val="0"/>
              <w:widowControl w:val="0"/>
              <w:rPr>
                <w:b/>
                <w:bCs w:val="0"/>
                <w:vertAlign w:val="superscript"/>
              </w:rPr>
            </w:pPr>
            <w:r w:rsidRPr="0028085E">
              <w:rPr>
                <w:b/>
                <w:bCs w:val="0"/>
              </w:rPr>
              <w:t>Comparator (base case alendronate drug costs and fracture risks based on the ARCH trial)</w:t>
            </w:r>
            <w:r w:rsidR="0028085E" w:rsidRPr="0028085E">
              <w:rPr>
                <w:b/>
                <w:bCs w:val="0"/>
                <w:vertAlign w:val="superscript"/>
              </w:rPr>
              <w:t>a</w:t>
            </w:r>
          </w:p>
        </w:tc>
      </w:tr>
      <w:tr w:rsidR="00E275F3" w14:paraId="68C5856B" w14:textId="77777777" w:rsidTr="003406B4">
        <w:trPr>
          <w:cantSplit/>
        </w:trPr>
        <w:tc>
          <w:tcPr>
            <w:tcW w:w="4732" w:type="dxa"/>
            <w:tcMar>
              <w:left w:w="28" w:type="dxa"/>
              <w:right w:w="28" w:type="dxa"/>
            </w:tcMar>
            <w:vAlign w:val="center"/>
          </w:tcPr>
          <w:p w14:paraId="48C1B6B2" w14:textId="77777777" w:rsidR="00E275F3" w:rsidRDefault="00E275F3" w:rsidP="00B34EF6">
            <w:pPr>
              <w:pStyle w:val="TableText"/>
              <w:keepNext w:val="0"/>
              <w:widowControl w:val="0"/>
            </w:pPr>
            <w:r>
              <w:t>Denosumab (denosumab drug and administration costs; treatment effect of HR 0.58 applied to vertebral fracture risk)</w:t>
            </w:r>
          </w:p>
        </w:tc>
        <w:tc>
          <w:tcPr>
            <w:tcW w:w="1651" w:type="dxa"/>
            <w:tcMar>
              <w:left w:w="28" w:type="dxa"/>
              <w:right w:w="28" w:type="dxa"/>
            </w:tcMar>
            <w:vAlign w:val="center"/>
          </w:tcPr>
          <w:p w14:paraId="4A8A96F1" w14:textId="350C7FAA" w:rsidR="00E275F3" w:rsidRPr="0028085E" w:rsidRDefault="00E275F3" w:rsidP="00B34EF6">
            <w:pPr>
              <w:pStyle w:val="TableText"/>
              <w:keepNext w:val="0"/>
              <w:widowControl w:val="0"/>
              <w:jc w:val="center"/>
            </w:pPr>
            <w:r w:rsidRPr="0028085E">
              <w:t>$</w:t>
            </w:r>
            <w:r w:rsidR="009A7DC1" w:rsidRPr="009A7DC1">
              <w:rPr>
                <w:color w:val="000000"/>
                <w:shd w:val="solid" w:color="000000" w:fill="000000"/>
                <w14:textFill>
                  <w14:solidFill>
                    <w14:srgbClr w14:val="000000">
                      <w14:alpha w14:val="100000"/>
                    </w14:srgbClr>
                  </w14:solidFill>
                </w14:textFill>
              </w:rPr>
              <w:t>|</w:t>
            </w:r>
          </w:p>
        </w:tc>
        <w:tc>
          <w:tcPr>
            <w:tcW w:w="1666" w:type="dxa"/>
            <w:tcMar>
              <w:left w:w="28" w:type="dxa"/>
              <w:right w:w="28" w:type="dxa"/>
            </w:tcMar>
            <w:vAlign w:val="center"/>
          </w:tcPr>
          <w:p w14:paraId="41CD71F1" w14:textId="77777777" w:rsidR="00E275F3" w:rsidRPr="0028085E" w:rsidRDefault="00E275F3" w:rsidP="00B34EF6">
            <w:pPr>
              <w:pStyle w:val="TableText"/>
              <w:keepNext w:val="0"/>
              <w:widowControl w:val="0"/>
              <w:jc w:val="center"/>
            </w:pPr>
            <w:r w:rsidRPr="0028085E">
              <w:t>0.0331</w:t>
            </w:r>
          </w:p>
        </w:tc>
        <w:tc>
          <w:tcPr>
            <w:tcW w:w="980" w:type="dxa"/>
            <w:tcMar>
              <w:left w:w="28" w:type="dxa"/>
              <w:right w:w="28" w:type="dxa"/>
            </w:tcMar>
            <w:vAlign w:val="center"/>
          </w:tcPr>
          <w:p w14:paraId="019914F4" w14:textId="69F37FF3" w:rsidR="00E275F3" w:rsidRPr="0028085E" w:rsidRDefault="00E275F3" w:rsidP="00B34EF6">
            <w:pPr>
              <w:pStyle w:val="TableText"/>
              <w:keepNext w:val="0"/>
              <w:widowControl w:val="0"/>
              <w:jc w:val="center"/>
            </w:pPr>
            <w:r w:rsidRPr="0028085E">
              <w:t>$</w:t>
            </w:r>
            <w:r w:rsidR="009A7DC1" w:rsidRPr="009A7DC1">
              <w:rPr>
                <w:color w:val="000000"/>
                <w:spacing w:val="89"/>
                <w:shd w:val="solid" w:color="000000" w:fill="000000"/>
                <w:fitText w:val="175" w:id="-1435317237"/>
                <w14:textFill>
                  <w14:solidFill>
                    <w14:srgbClr w14:val="000000">
                      <w14:alpha w14:val="100000"/>
                    </w14:srgbClr>
                  </w14:solidFill>
                </w14:textFill>
              </w:rPr>
              <w:t>|</w:t>
            </w:r>
            <w:r w:rsidR="009A7DC1" w:rsidRPr="009A7DC1">
              <w:rPr>
                <w:color w:val="000000"/>
                <w:spacing w:val="1"/>
                <w:shd w:val="solid" w:color="000000" w:fill="000000"/>
                <w:fitText w:val="175" w:id="-1435317237"/>
                <w14:textFill>
                  <w14:solidFill>
                    <w14:srgbClr w14:val="000000">
                      <w14:alpha w14:val="100000"/>
                    </w14:srgbClr>
                  </w14:solidFill>
                </w14:textFill>
              </w:rPr>
              <w:t>|</w:t>
            </w:r>
            <w:r w:rsidR="00FD6605">
              <w:rPr>
                <w:vertAlign w:val="superscript"/>
              </w:rPr>
              <w:t>1</w:t>
            </w:r>
          </w:p>
        </w:tc>
      </w:tr>
      <w:tr w:rsidR="00E275F3" w14:paraId="355C5AF4" w14:textId="77777777" w:rsidTr="003406B4">
        <w:trPr>
          <w:cantSplit/>
        </w:trPr>
        <w:tc>
          <w:tcPr>
            <w:tcW w:w="4732" w:type="dxa"/>
            <w:tcMar>
              <w:left w:w="28" w:type="dxa"/>
              <w:right w:w="28" w:type="dxa"/>
            </w:tcMar>
            <w:vAlign w:val="center"/>
          </w:tcPr>
          <w:p w14:paraId="7C9C3D39" w14:textId="77777777" w:rsidR="00E275F3" w:rsidRDefault="00E275F3" w:rsidP="00B34EF6">
            <w:pPr>
              <w:pStyle w:val="TableText"/>
              <w:keepNext w:val="0"/>
              <w:widowControl w:val="0"/>
            </w:pPr>
            <w:r>
              <w:t>Denosumab (denosumab drug and administration costs; no adjustments to fracture risk)</w:t>
            </w:r>
          </w:p>
        </w:tc>
        <w:tc>
          <w:tcPr>
            <w:tcW w:w="1651" w:type="dxa"/>
            <w:tcMar>
              <w:left w:w="28" w:type="dxa"/>
              <w:right w:w="28" w:type="dxa"/>
            </w:tcMar>
            <w:vAlign w:val="center"/>
          </w:tcPr>
          <w:p w14:paraId="10E5B9D5" w14:textId="7AD29BE2" w:rsidR="00E275F3" w:rsidRPr="0028085E" w:rsidRDefault="00E275F3" w:rsidP="00B34EF6">
            <w:pPr>
              <w:pStyle w:val="TableText"/>
              <w:keepNext w:val="0"/>
              <w:widowControl w:val="0"/>
              <w:jc w:val="center"/>
            </w:pPr>
            <w:r w:rsidRPr="0028085E">
              <w:t>$</w:t>
            </w:r>
            <w:r w:rsidR="009A7DC1" w:rsidRPr="009A7DC1">
              <w:rPr>
                <w:color w:val="000000"/>
                <w:shd w:val="solid" w:color="000000" w:fill="000000"/>
                <w14:textFill>
                  <w14:solidFill>
                    <w14:srgbClr w14:val="000000">
                      <w14:alpha w14:val="100000"/>
                    </w14:srgbClr>
                  </w14:solidFill>
                </w14:textFill>
              </w:rPr>
              <w:t>|</w:t>
            </w:r>
          </w:p>
        </w:tc>
        <w:tc>
          <w:tcPr>
            <w:tcW w:w="1666" w:type="dxa"/>
            <w:tcMar>
              <w:left w:w="28" w:type="dxa"/>
              <w:right w:w="28" w:type="dxa"/>
            </w:tcMar>
            <w:vAlign w:val="center"/>
          </w:tcPr>
          <w:p w14:paraId="5816D940" w14:textId="77777777" w:rsidR="00E275F3" w:rsidRPr="0028085E" w:rsidRDefault="00E275F3" w:rsidP="00B34EF6">
            <w:pPr>
              <w:pStyle w:val="TableText"/>
              <w:keepNext w:val="0"/>
              <w:widowControl w:val="0"/>
              <w:jc w:val="center"/>
            </w:pPr>
            <w:r w:rsidRPr="0028085E">
              <w:t>0.0428</w:t>
            </w:r>
          </w:p>
        </w:tc>
        <w:tc>
          <w:tcPr>
            <w:tcW w:w="980" w:type="dxa"/>
            <w:tcMar>
              <w:left w:w="28" w:type="dxa"/>
              <w:right w:w="28" w:type="dxa"/>
            </w:tcMar>
            <w:vAlign w:val="center"/>
          </w:tcPr>
          <w:p w14:paraId="7F9940EA" w14:textId="65D57A63" w:rsidR="00E275F3" w:rsidRPr="0028085E" w:rsidRDefault="00E275F3" w:rsidP="00B34EF6">
            <w:pPr>
              <w:pStyle w:val="TableText"/>
              <w:keepNext w:val="0"/>
              <w:widowControl w:val="0"/>
              <w:jc w:val="center"/>
            </w:pPr>
            <w:r w:rsidRPr="0028085E">
              <w:t>$</w:t>
            </w:r>
            <w:r w:rsidR="009A7DC1" w:rsidRPr="009A7DC1">
              <w:rPr>
                <w:color w:val="000000"/>
                <w:spacing w:val="89"/>
                <w:shd w:val="solid" w:color="000000" w:fill="000000"/>
                <w:fitText w:val="175" w:id="-1435317236"/>
                <w14:textFill>
                  <w14:solidFill>
                    <w14:srgbClr w14:val="000000">
                      <w14:alpha w14:val="100000"/>
                    </w14:srgbClr>
                  </w14:solidFill>
                </w14:textFill>
              </w:rPr>
              <w:t>|</w:t>
            </w:r>
            <w:r w:rsidR="009A7DC1" w:rsidRPr="009A7DC1">
              <w:rPr>
                <w:color w:val="000000"/>
                <w:spacing w:val="1"/>
                <w:shd w:val="solid" w:color="000000" w:fill="000000"/>
                <w:fitText w:val="175" w:id="-1435317236"/>
                <w14:textFill>
                  <w14:solidFill>
                    <w14:srgbClr w14:val="000000">
                      <w14:alpha w14:val="100000"/>
                    </w14:srgbClr>
                  </w14:solidFill>
                </w14:textFill>
              </w:rPr>
              <w:t>|</w:t>
            </w:r>
            <w:r w:rsidR="00FD6605">
              <w:rPr>
                <w:vertAlign w:val="superscript"/>
              </w:rPr>
              <w:t>2</w:t>
            </w:r>
          </w:p>
        </w:tc>
      </w:tr>
      <w:tr w:rsidR="00E275F3" w14:paraId="3AF39483" w14:textId="77777777" w:rsidTr="003406B4">
        <w:trPr>
          <w:cantSplit/>
        </w:trPr>
        <w:tc>
          <w:tcPr>
            <w:tcW w:w="9029" w:type="dxa"/>
            <w:gridSpan w:val="4"/>
            <w:tcMar>
              <w:left w:w="28" w:type="dxa"/>
              <w:right w:w="28" w:type="dxa"/>
            </w:tcMar>
            <w:vAlign w:val="center"/>
          </w:tcPr>
          <w:p w14:paraId="11D53233" w14:textId="4278A9A8" w:rsidR="00E275F3" w:rsidRPr="0028085E" w:rsidRDefault="00E275F3" w:rsidP="00B34EF6">
            <w:pPr>
              <w:pStyle w:val="TableText"/>
              <w:keepNext w:val="0"/>
              <w:widowControl w:val="0"/>
              <w:rPr>
                <w:vertAlign w:val="superscript"/>
              </w:rPr>
            </w:pPr>
            <w:r w:rsidRPr="0028085E">
              <w:rPr>
                <w:b/>
                <w:bCs w:val="0"/>
              </w:rPr>
              <w:t>Treatment discontinuation (base case 5% per year in both arms)</w:t>
            </w:r>
            <w:r w:rsidR="0028085E" w:rsidRPr="0028085E">
              <w:rPr>
                <w:b/>
                <w:bCs w:val="0"/>
                <w:vertAlign w:val="superscript"/>
              </w:rPr>
              <w:t>a</w:t>
            </w:r>
          </w:p>
        </w:tc>
      </w:tr>
      <w:tr w:rsidR="00E275F3" w14:paraId="3C9C99D2" w14:textId="77777777" w:rsidTr="003406B4">
        <w:trPr>
          <w:cantSplit/>
        </w:trPr>
        <w:tc>
          <w:tcPr>
            <w:tcW w:w="4732" w:type="dxa"/>
            <w:tcMar>
              <w:left w:w="28" w:type="dxa"/>
              <w:right w:w="28" w:type="dxa"/>
            </w:tcMar>
            <w:vAlign w:val="center"/>
          </w:tcPr>
          <w:p w14:paraId="2D953218" w14:textId="77777777" w:rsidR="00E275F3" w:rsidRDefault="00E275F3" w:rsidP="00B34EF6">
            <w:pPr>
              <w:pStyle w:val="TableText"/>
              <w:keepNext w:val="0"/>
              <w:widowControl w:val="0"/>
            </w:pPr>
            <w:r>
              <w:t>No discontinuation, both arms</w:t>
            </w:r>
          </w:p>
        </w:tc>
        <w:tc>
          <w:tcPr>
            <w:tcW w:w="1651" w:type="dxa"/>
            <w:tcMar>
              <w:left w:w="28" w:type="dxa"/>
              <w:right w:w="28" w:type="dxa"/>
            </w:tcMar>
            <w:vAlign w:val="center"/>
          </w:tcPr>
          <w:p w14:paraId="4FAF87A7" w14:textId="0976CD74" w:rsidR="00E275F3" w:rsidRPr="0028085E" w:rsidRDefault="00E275F3" w:rsidP="00B34EF6">
            <w:pPr>
              <w:pStyle w:val="TableText"/>
              <w:keepNext w:val="0"/>
              <w:widowControl w:val="0"/>
              <w:jc w:val="center"/>
            </w:pPr>
            <w:r w:rsidRPr="0028085E">
              <w:t>$</w:t>
            </w:r>
            <w:r w:rsidR="009A7DC1" w:rsidRPr="009A7DC1">
              <w:rPr>
                <w:color w:val="000000"/>
                <w:shd w:val="solid" w:color="000000" w:fill="000000"/>
                <w14:textFill>
                  <w14:solidFill>
                    <w14:srgbClr w14:val="000000">
                      <w14:alpha w14:val="100000"/>
                    </w14:srgbClr>
                  </w14:solidFill>
                </w14:textFill>
              </w:rPr>
              <w:t>|</w:t>
            </w:r>
          </w:p>
        </w:tc>
        <w:tc>
          <w:tcPr>
            <w:tcW w:w="1666" w:type="dxa"/>
            <w:tcMar>
              <w:left w:w="28" w:type="dxa"/>
              <w:right w:w="28" w:type="dxa"/>
            </w:tcMar>
            <w:vAlign w:val="center"/>
          </w:tcPr>
          <w:p w14:paraId="1BF3EFB5" w14:textId="77777777" w:rsidR="00E275F3" w:rsidRPr="0028085E" w:rsidRDefault="00E275F3" w:rsidP="00B34EF6">
            <w:pPr>
              <w:pStyle w:val="TableText"/>
              <w:keepNext w:val="0"/>
              <w:widowControl w:val="0"/>
              <w:jc w:val="center"/>
            </w:pPr>
            <w:r w:rsidRPr="0028085E">
              <w:t>0.0468</w:t>
            </w:r>
          </w:p>
        </w:tc>
        <w:tc>
          <w:tcPr>
            <w:tcW w:w="980" w:type="dxa"/>
            <w:tcMar>
              <w:left w:w="28" w:type="dxa"/>
              <w:right w:w="28" w:type="dxa"/>
            </w:tcMar>
            <w:vAlign w:val="center"/>
          </w:tcPr>
          <w:p w14:paraId="783FA4A7" w14:textId="2B32AAE3" w:rsidR="00E275F3" w:rsidRPr="0028085E" w:rsidRDefault="00E275F3" w:rsidP="00B34EF6">
            <w:pPr>
              <w:pStyle w:val="TableText"/>
              <w:keepNext w:val="0"/>
              <w:widowControl w:val="0"/>
              <w:jc w:val="center"/>
            </w:pPr>
            <w:r w:rsidRPr="0028085E">
              <w:t>$</w:t>
            </w:r>
            <w:r w:rsidR="009A7DC1" w:rsidRPr="009A7DC1">
              <w:rPr>
                <w:color w:val="000000"/>
                <w:spacing w:val="89"/>
                <w:shd w:val="solid" w:color="000000" w:fill="000000"/>
                <w:fitText w:val="175" w:id="-1435317235"/>
                <w14:textFill>
                  <w14:solidFill>
                    <w14:srgbClr w14:val="000000">
                      <w14:alpha w14:val="100000"/>
                    </w14:srgbClr>
                  </w14:solidFill>
                </w14:textFill>
              </w:rPr>
              <w:t>|</w:t>
            </w:r>
            <w:r w:rsidR="009A7DC1" w:rsidRPr="009A7DC1">
              <w:rPr>
                <w:color w:val="000000"/>
                <w:spacing w:val="1"/>
                <w:shd w:val="solid" w:color="000000" w:fill="000000"/>
                <w:fitText w:val="175" w:id="-1435317235"/>
                <w14:textFill>
                  <w14:solidFill>
                    <w14:srgbClr w14:val="000000">
                      <w14:alpha w14:val="100000"/>
                    </w14:srgbClr>
                  </w14:solidFill>
                </w14:textFill>
              </w:rPr>
              <w:t>|</w:t>
            </w:r>
            <w:r w:rsidR="00FD6605">
              <w:rPr>
                <w:vertAlign w:val="superscript"/>
              </w:rPr>
              <w:t>2</w:t>
            </w:r>
          </w:p>
        </w:tc>
      </w:tr>
      <w:tr w:rsidR="00E275F3" w14:paraId="6FAE4821" w14:textId="77777777" w:rsidTr="003406B4">
        <w:trPr>
          <w:cantSplit/>
        </w:trPr>
        <w:tc>
          <w:tcPr>
            <w:tcW w:w="4732" w:type="dxa"/>
            <w:tcMar>
              <w:left w:w="28" w:type="dxa"/>
              <w:right w:w="28" w:type="dxa"/>
            </w:tcMar>
            <w:vAlign w:val="center"/>
          </w:tcPr>
          <w:p w14:paraId="5EC5F091" w14:textId="77777777" w:rsidR="00E275F3" w:rsidRDefault="00E275F3" w:rsidP="00B34EF6">
            <w:pPr>
              <w:pStyle w:val="TableText"/>
              <w:keepNext w:val="0"/>
              <w:widowControl w:val="0"/>
            </w:pPr>
            <w:r>
              <w:t xml:space="preserve">10% per year, both arms </w:t>
            </w:r>
          </w:p>
        </w:tc>
        <w:tc>
          <w:tcPr>
            <w:tcW w:w="1651" w:type="dxa"/>
            <w:tcMar>
              <w:left w:w="28" w:type="dxa"/>
              <w:right w:w="28" w:type="dxa"/>
            </w:tcMar>
            <w:vAlign w:val="center"/>
          </w:tcPr>
          <w:p w14:paraId="6AAADE5D" w14:textId="7E7B223F" w:rsidR="00E275F3" w:rsidRPr="0028085E" w:rsidRDefault="00E275F3" w:rsidP="00B34EF6">
            <w:pPr>
              <w:pStyle w:val="TableText"/>
              <w:keepNext w:val="0"/>
              <w:widowControl w:val="0"/>
              <w:jc w:val="center"/>
            </w:pPr>
            <w:r w:rsidRPr="0028085E">
              <w:t>$</w:t>
            </w:r>
            <w:r w:rsidR="009A7DC1" w:rsidRPr="009A7DC1">
              <w:rPr>
                <w:color w:val="000000"/>
                <w:shd w:val="solid" w:color="000000" w:fill="000000"/>
                <w14:textFill>
                  <w14:solidFill>
                    <w14:srgbClr w14:val="000000">
                      <w14:alpha w14:val="100000"/>
                    </w14:srgbClr>
                  </w14:solidFill>
                </w14:textFill>
              </w:rPr>
              <w:t>|</w:t>
            </w:r>
          </w:p>
        </w:tc>
        <w:tc>
          <w:tcPr>
            <w:tcW w:w="1666" w:type="dxa"/>
            <w:tcMar>
              <w:left w:w="28" w:type="dxa"/>
              <w:right w:w="28" w:type="dxa"/>
            </w:tcMar>
            <w:vAlign w:val="center"/>
          </w:tcPr>
          <w:p w14:paraId="38218102" w14:textId="77777777" w:rsidR="00E275F3" w:rsidRPr="0028085E" w:rsidRDefault="00E275F3" w:rsidP="00B34EF6">
            <w:pPr>
              <w:pStyle w:val="TableText"/>
              <w:keepNext w:val="0"/>
              <w:widowControl w:val="0"/>
              <w:jc w:val="center"/>
            </w:pPr>
            <w:r w:rsidRPr="0028085E">
              <w:t>0.0392</w:t>
            </w:r>
          </w:p>
        </w:tc>
        <w:tc>
          <w:tcPr>
            <w:tcW w:w="980" w:type="dxa"/>
            <w:tcMar>
              <w:left w:w="28" w:type="dxa"/>
              <w:right w:w="28" w:type="dxa"/>
            </w:tcMar>
            <w:vAlign w:val="center"/>
          </w:tcPr>
          <w:p w14:paraId="785F00CA" w14:textId="00778307" w:rsidR="00E275F3" w:rsidRPr="0028085E" w:rsidRDefault="00E275F3" w:rsidP="00B34EF6">
            <w:pPr>
              <w:pStyle w:val="TableText"/>
              <w:keepNext w:val="0"/>
              <w:widowControl w:val="0"/>
              <w:jc w:val="center"/>
            </w:pPr>
            <w:r w:rsidRPr="0028085E">
              <w:t>$</w:t>
            </w:r>
            <w:r w:rsidR="009A7DC1" w:rsidRPr="009A7DC1">
              <w:rPr>
                <w:color w:val="000000"/>
                <w:spacing w:val="89"/>
                <w:shd w:val="solid" w:color="000000" w:fill="000000"/>
                <w:fitText w:val="175" w:id="-1435317234"/>
                <w14:textFill>
                  <w14:solidFill>
                    <w14:srgbClr w14:val="000000">
                      <w14:alpha w14:val="100000"/>
                    </w14:srgbClr>
                  </w14:solidFill>
                </w14:textFill>
              </w:rPr>
              <w:t>|</w:t>
            </w:r>
            <w:r w:rsidR="009A7DC1" w:rsidRPr="009A7DC1">
              <w:rPr>
                <w:color w:val="000000"/>
                <w:spacing w:val="1"/>
                <w:shd w:val="solid" w:color="000000" w:fill="000000"/>
                <w:fitText w:val="175" w:id="-1435317234"/>
                <w14:textFill>
                  <w14:solidFill>
                    <w14:srgbClr w14:val="000000">
                      <w14:alpha w14:val="100000"/>
                    </w14:srgbClr>
                  </w14:solidFill>
                </w14:textFill>
              </w:rPr>
              <w:t>|</w:t>
            </w:r>
            <w:r w:rsidR="00FD6605">
              <w:rPr>
                <w:vertAlign w:val="superscript"/>
              </w:rPr>
              <w:t>1</w:t>
            </w:r>
          </w:p>
        </w:tc>
      </w:tr>
      <w:tr w:rsidR="00E275F3" w14:paraId="46429356" w14:textId="77777777" w:rsidTr="003406B4">
        <w:trPr>
          <w:cantSplit/>
        </w:trPr>
        <w:tc>
          <w:tcPr>
            <w:tcW w:w="4732" w:type="dxa"/>
            <w:tcMar>
              <w:left w:w="28" w:type="dxa"/>
              <w:right w:w="28" w:type="dxa"/>
            </w:tcMar>
            <w:vAlign w:val="center"/>
          </w:tcPr>
          <w:p w14:paraId="0C1218D8" w14:textId="77777777" w:rsidR="00E275F3" w:rsidRDefault="00E275F3" w:rsidP="00B34EF6">
            <w:pPr>
              <w:pStyle w:val="TableText"/>
              <w:keepNext w:val="0"/>
              <w:widowControl w:val="0"/>
            </w:pPr>
            <w:r>
              <w:t xml:space="preserve">20% per year, both arms </w:t>
            </w:r>
          </w:p>
        </w:tc>
        <w:tc>
          <w:tcPr>
            <w:tcW w:w="1651" w:type="dxa"/>
            <w:tcMar>
              <w:left w:w="28" w:type="dxa"/>
              <w:right w:w="28" w:type="dxa"/>
            </w:tcMar>
            <w:vAlign w:val="center"/>
          </w:tcPr>
          <w:p w14:paraId="2D4FDDE0" w14:textId="506E34D6" w:rsidR="00E275F3" w:rsidRPr="0028085E" w:rsidRDefault="00E275F3" w:rsidP="00B34EF6">
            <w:pPr>
              <w:pStyle w:val="TableText"/>
              <w:keepNext w:val="0"/>
              <w:widowControl w:val="0"/>
              <w:jc w:val="center"/>
            </w:pPr>
            <w:r w:rsidRPr="0028085E">
              <w:t>$</w:t>
            </w:r>
            <w:r w:rsidR="009A7DC1" w:rsidRPr="009A7DC1">
              <w:rPr>
                <w:color w:val="000000"/>
                <w:shd w:val="solid" w:color="000000" w:fill="000000"/>
                <w14:textFill>
                  <w14:solidFill>
                    <w14:srgbClr w14:val="000000">
                      <w14:alpha w14:val="100000"/>
                    </w14:srgbClr>
                  </w14:solidFill>
                </w14:textFill>
              </w:rPr>
              <w:t>|</w:t>
            </w:r>
          </w:p>
        </w:tc>
        <w:tc>
          <w:tcPr>
            <w:tcW w:w="1666" w:type="dxa"/>
            <w:tcMar>
              <w:left w:w="28" w:type="dxa"/>
              <w:right w:w="28" w:type="dxa"/>
            </w:tcMar>
            <w:vAlign w:val="center"/>
          </w:tcPr>
          <w:p w14:paraId="6BFFB82F" w14:textId="77777777" w:rsidR="00E275F3" w:rsidRPr="0028085E" w:rsidRDefault="00E275F3" w:rsidP="00B34EF6">
            <w:pPr>
              <w:pStyle w:val="TableText"/>
              <w:keepNext w:val="0"/>
              <w:widowControl w:val="0"/>
              <w:jc w:val="center"/>
            </w:pPr>
            <w:r w:rsidRPr="0028085E">
              <w:t>0.0331</w:t>
            </w:r>
          </w:p>
        </w:tc>
        <w:tc>
          <w:tcPr>
            <w:tcW w:w="980" w:type="dxa"/>
            <w:tcMar>
              <w:left w:w="28" w:type="dxa"/>
              <w:right w:w="28" w:type="dxa"/>
            </w:tcMar>
            <w:vAlign w:val="center"/>
          </w:tcPr>
          <w:p w14:paraId="4C49CCCC" w14:textId="6B327A00" w:rsidR="00E275F3" w:rsidRPr="0028085E" w:rsidRDefault="00E275F3" w:rsidP="00B34EF6">
            <w:pPr>
              <w:pStyle w:val="TableText"/>
              <w:keepNext w:val="0"/>
              <w:widowControl w:val="0"/>
              <w:jc w:val="center"/>
            </w:pPr>
            <w:r w:rsidRPr="0028085E">
              <w:t>$</w:t>
            </w:r>
            <w:r w:rsidR="009A7DC1" w:rsidRPr="009A7DC1">
              <w:rPr>
                <w:color w:val="000000"/>
                <w:spacing w:val="89"/>
                <w:shd w:val="solid" w:color="000000" w:fill="000000"/>
                <w:fitText w:val="175" w:id="-1435317233"/>
                <w14:textFill>
                  <w14:solidFill>
                    <w14:srgbClr w14:val="000000">
                      <w14:alpha w14:val="100000"/>
                    </w14:srgbClr>
                  </w14:solidFill>
                </w14:textFill>
              </w:rPr>
              <w:t>|</w:t>
            </w:r>
            <w:r w:rsidR="009A7DC1" w:rsidRPr="009A7DC1">
              <w:rPr>
                <w:color w:val="000000"/>
                <w:spacing w:val="1"/>
                <w:shd w:val="solid" w:color="000000" w:fill="000000"/>
                <w:fitText w:val="175" w:id="-1435317233"/>
                <w14:textFill>
                  <w14:solidFill>
                    <w14:srgbClr w14:val="000000">
                      <w14:alpha w14:val="100000"/>
                    </w14:srgbClr>
                  </w14:solidFill>
                </w14:textFill>
              </w:rPr>
              <w:t>|</w:t>
            </w:r>
            <w:r w:rsidR="004722AE">
              <w:rPr>
                <w:vertAlign w:val="superscript"/>
              </w:rPr>
              <w:t>5</w:t>
            </w:r>
          </w:p>
        </w:tc>
      </w:tr>
      <w:tr w:rsidR="00E275F3" w14:paraId="5F1E770B" w14:textId="77777777" w:rsidTr="003406B4">
        <w:trPr>
          <w:cantSplit/>
        </w:trPr>
        <w:tc>
          <w:tcPr>
            <w:tcW w:w="4732" w:type="dxa"/>
            <w:tcMar>
              <w:left w:w="28" w:type="dxa"/>
              <w:right w:w="28" w:type="dxa"/>
            </w:tcMar>
            <w:vAlign w:val="center"/>
          </w:tcPr>
          <w:p w14:paraId="031B334C" w14:textId="77777777" w:rsidR="00E275F3" w:rsidRDefault="00E275F3" w:rsidP="00B34EF6">
            <w:pPr>
              <w:pStyle w:val="TableText"/>
              <w:keepNext w:val="0"/>
              <w:widowControl w:val="0"/>
            </w:pPr>
            <w:r>
              <w:t>Romosozumab/alendronate: 5% per year; alendronate/alendronate: 10% per year</w:t>
            </w:r>
          </w:p>
        </w:tc>
        <w:tc>
          <w:tcPr>
            <w:tcW w:w="1651" w:type="dxa"/>
            <w:tcMar>
              <w:left w:w="28" w:type="dxa"/>
              <w:right w:w="28" w:type="dxa"/>
            </w:tcMar>
            <w:vAlign w:val="center"/>
          </w:tcPr>
          <w:p w14:paraId="458B910C" w14:textId="57BBAE95" w:rsidR="00E275F3" w:rsidRPr="0028085E" w:rsidRDefault="00E275F3" w:rsidP="00B34EF6">
            <w:pPr>
              <w:pStyle w:val="TableText"/>
              <w:keepNext w:val="0"/>
              <w:widowControl w:val="0"/>
              <w:jc w:val="center"/>
            </w:pPr>
            <w:r w:rsidRPr="0028085E">
              <w:t>$</w:t>
            </w:r>
            <w:r w:rsidR="009A7DC1" w:rsidRPr="009A7DC1">
              <w:rPr>
                <w:color w:val="000000"/>
                <w:shd w:val="solid" w:color="000000" w:fill="000000"/>
                <w14:textFill>
                  <w14:solidFill>
                    <w14:srgbClr w14:val="000000">
                      <w14:alpha w14:val="100000"/>
                    </w14:srgbClr>
                  </w14:solidFill>
                </w14:textFill>
              </w:rPr>
              <w:t>|</w:t>
            </w:r>
          </w:p>
        </w:tc>
        <w:tc>
          <w:tcPr>
            <w:tcW w:w="1666" w:type="dxa"/>
            <w:tcMar>
              <w:left w:w="28" w:type="dxa"/>
              <w:right w:w="28" w:type="dxa"/>
            </w:tcMar>
            <w:vAlign w:val="center"/>
          </w:tcPr>
          <w:p w14:paraId="16485A2C" w14:textId="77777777" w:rsidR="00E275F3" w:rsidRPr="0028085E" w:rsidRDefault="00E275F3" w:rsidP="00B34EF6">
            <w:pPr>
              <w:pStyle w:val="TableText"/>
              <w:keepNext w:val="0"/>
              <w:widowControl w:val="0"/>
              <w:jc w:val="center"/>
            </w:pPr>
            <w:r w:rsidRPr="0028085E">
              <w:t>0.0659</w:t>
            </w:r>
          </w:p>
        </w:tc>
        <w:tc>
          <w:tcPr>
            <w:tcW w:w="980" w:type="dxa"/>
            <w:tcMar>
              <w:left w:w="28" w:type="dxa"/>
              <w:right w:w="28" w:type="dxa"/>
            </w:tcMar>
            <w:vAlign w:val="center"/>
          </w:tcPr>
          <w:p w14:paraId="70B8082C" w14:textId="6C3A227D" w:rsidR="00E275F3" w:rsidRPr="0028085E" w:rsidRDefault="00E275F3" w:rsidP="00B34EF6">
            <w:pPr>
              <w:pStyle w:val="TableText"/>
              <w:keepNext w:val="0"/>
              <w:widowControl w:val="0"/>
              <w:jc w:val="center"/>
            </w:pPr>
            <w:r w:rsidRPr="0028085E">
              <w:t>$</w:t>
            </w:r>
            <w:r w:rsidR="009A7DC1" w:rsidRPr="009A7DC1">
              <w:rPr>
                <w:color w:val="000000"/>
                <w:spacing w:val="89"/>
                <w:shd w:val="solid" w:color="000000" w:fill="000000"/>
                <w:fitText w:val="175" w:id="-1435317232"/>
                <w14:textFill>
                  <w14:solidFill>
                    <w14:srgbClr w14:val="000000">
                      <w14:alpha w14:val="100000"/>
                    </w14:srgbClr>
                  </w14:solidFill>
                </w14:textFill>
              </w:rPr>
              <w:t>|</w:t>
            </w:r>
            <w:r w:rsidR="009A7DC1" w:rsidRPr="009A7DC1">
              <w:rPr>
                <w:color w:val="000000"/>
                <w:spacing w:val="1"/>
                <w:shd w:val="solid" w:color="000000" w:fill="000000"/>
                <w:fitText w:val="175" w:id="-1435317232"/>
                <w14:textFill>
                  <w14:solidFill>
                    <w14:srgbClr w14:val="000000">
                      <w14:alpha w14:val="100000"/>
                    </w14:srgbClr>
                  </w14:solidFill>
                </w14:textFill>
              </w:rPr>
              <w:t>|</w:t>
            </w:r>
            <w:r w:rsidR="004722AE">
              <w:rPr>
                <w:vertAlign w:val="superscript"/>
              </w:rPr>
              <w:t>6</w:t>
            </w:r>
          </w:p>
        </w:tc>
      </w:tr>
      <w:tr w:rsidR="00E275F3" w14:paraId="2940D63A" w14:textId="77777777" w:rsidTr="003406B4">
        <w:trPr>
          <w:cantSplit/>
        </w:trPr>
        <w:tc>
          <w:tcPr>
            <w:tcW w:w="4732" w:type="dxa"/>
            <w:tcMar>
              <w:left w:w="28" w:type="dxa"/>
              <w:right w:w="28" w:type="dxa"/>
            </w:tcMar>
            <w:vAlign w:val="center"/>
          </w:tcPr>
          <w:p w14:paraId="2EC9D2F7" w14:textId="77777777" w:rsidR="00E275F3" w:rsidRDefault="00E275F3" w:rsidP="00B34EF6">
            <w:pPr>
              <w:pStyle w:val="TableText"/>
              <w:keepNext w:val="0"/>
              <w:widowControl w:val="0"/>
            </w:pPr>
            <w:r>
              <w:t xml:space="preserve">Romosozumab/alendronate: 10% per year; alendronate/alendronate: 5% per year </w:t>
            </w:r>
          </w:p>
        </w:tc>
        <w:tc>
          <w:tcPr>
            <w:tcW w:w="1651" w:type="dxa"/>
            <w:tcMar>
              <w:left w:w="28" w:type="dxa"/>
              <w:right w:w="28" w:type="dxa"/>
            </w:tcMar>
            <w:vAlign w:val="center"/>
          </w:tcPr>
          <w:p w14:paraId="0FAF0BC6" w14:textId="6E5E5AC7" w:rsidR="00E275F3" w:rsidRPr="0028085E" w:rsidRDefault="00E275F3" w:rsidP="00B34EF6">
            <w:pPr>
              <w:pStyle w:val="TableText"/>
              <w:keepNext w:val="0"/>
              <w:widowControl w:val="0"/>
              <w:jc w:val="center"/>
            </w:pPr>
            <w:r w:rsidRPr="0028085E">
              <w:t>$</w:t>
            </w:r>
            <w:r w:rsidR="009A7DC1" w:rsidRPr="009A7DC1">
              <w:rPr>
                <w:color w:val="000000"/>
                <w:shd w:val="solid" w:color="000000" w:fill="000000"/>
                <w14:textFill>
                  <w14:solidFill>
                    <w14:srgbClr w14:val="000000">
                      <w14:alpha w14:val="100000"/>
                    </w14:srgbClr>
                  </w14:solidFill>
                </w14:textFill>
              </w:rPr>
              <w:t>|</w:t>
            </w:r>
          </w:p>
        </w:tc>
        <w:tc>
          <w:tcPr>
            <w:tcW w:w="1666" w:type="dxa"/>
            <w:tcMar>
              <w:left w:w="28" w:type="dxa"/>
              <w:right w:w="28" w:type="dxa"/>
            </w:tcMar>
            <w:vAlign w:val="center"/>
          </w:tcPr>
          <w:p w14:paraId="49636DB1" w14:textId="77777777" w:rsidR="00E275F3" w:rsidRPr="0028085E" w:rsidRDefault="00E275F3" w:rsidP="00B34EF6">
            <w:pPr>
              <w:pStyle w:val="TableText"/>
              <w:keepNext w:val="0"/>
              <w:widowControl w:val="0"/>
              <w:jc w:val="center"/>
            </w:pPr>
            <w:r w:rsidRPr="0028085E">
              <w:t>0.0162</w:t>
            </w:r>
          </w:p>
        </w:tc>
        <w:tc>
          <w:tcPr>
            <w:tcW w:w="980" w:type="dxa"/>
            <w:tcMar>
              <w:left w:w="28" w:type="dxa"/>
              <w:right w:w="28" w:type="dxa"/>
            </w:tcMar>
            <w:vAlign w:val="center"/>
          </w:tcPr>
          <w:p w14:paraId="0673F313" w14:textId="59CDA037" w:rsidR="00E275F3" w:rsidRPr="0028085E" w:rsidRDefault="00E275F3" w:rsidP="00B34EF6">
            <w:pPr>
              <w:pStyle w:val="TableText"/>
              <w:keepNext w:val="0"/>
              <w:widowControl w:val="0"/>
              <w:jc w:val="center"/>
            </w:pPr>
            <w:r w:rsidRPr="0028085E">
              <w:t>$</w:t>
            </w:r>
            <w:r w:rsidR="009A7DC1" w:rsidRPr="009A7DC1">
              <w:rPr>
                <w:color w:val="000000"/>
                <w:spacing w:val="89"/>
                <w:shd w:val="solid" w:color="000000" w:fill="000000"/>
                <w:fitText w:val="175" w:id="-1435317248"/>
                <w14:textFill>
                  <w14:solidFill>
                    <w14:srgbClr w14:val="000000">
                      <w14:alpha w14:val="100000"/>
                    </w14:srgbClr>
                  </w14:solidFill>
                </w14:textFill>
              </w:rPr>
              <w:t>|</w:t>
            </w:r>
            <w:r w:rsidR="009A7DC1" w:rsidRPr="009A7DC1">
              <w:rPr>
                <w:color w:val="000000"/>
                <w:spacing w:val="1"/>
                <w:shd w:val="solid" w:color="000000" w:fill="000000"/>
                <w:fitText w:val="175" w:id="-1435317248"/>
                <w14:textFill>
                  <w14:solidFill>
                    <w14:srgbClr w14:val="000000">
                      <w14:alpha w14:val="100000"/>
                    </w14:srgbClr>
                  </w14:solidFill>
                </w14:textFill>
              </w:rPr>
              <w:t>|</w:t>
            </w:r>
            <w:r w:rsidR="004722AE">
              <w:rPr>
                <w:vertAlign w:val="superscript"/>
              </w:rPr>
              <w:t>7</w:t>
            </w:r>
          </w:p>
        </w:tc>
      </w:tr>
      <w:tr w:rsidR="00E275F3" w14:paraId="35B6D040" w14:textId="77777777" w:rsidTr="003406B4">
        <w:trPr>
          <w:cantSplit/>
        </w:trPr>
        <w:tc>
          <w:tcPr>
            <w:tcW w:w="4732" w:type="dxa"/>
            <w:tcMar>
              <w:left w:w="28" w:type="dxa"/>
              <w:right w:w="28" w:type="dxa"/>
            </w:tcMar>
            <w:vAlign w:val="center"/>
          </w:tcPr>
          <w:p w14:paraId="37673CFF" w14:textId="77777777" w:rsidR="00E275F3" w:rsidRDefault="00E275F3" w:rsidP="00B34EF6">
            <w:pPr>
              <w:pStyle w:val="TableText"/>
              <w:keepNext w:val="0"/>
              <w:widowControl w:val="0"/>
            </w:pPr>
            <w:r>
              <w:t>100% discontinuation in year 1, both arms</w:t>
            </w:r>
          </w:p>
        </w:tc>
        <w:tc>
          <w:tcPr>
            <w:tcW w:w="1651" w:type="dxa"/>
            <w:tcMar>
              <w:left w:w="28" w:type="dxa"/>
              <w:right w:w="28" w:type="dxa"/>
            </w:tcMar>
            <w:vAlign w:val="center"/>
          </w:tcPr>
          <w:p w14:paraId="0E9BD8E2" w14:textId="148203C1" w:rsidR="00E275F3" w:rsidRPr="0028085E" w:rsidRDefault="00E275F3" w:rsidP="00B34EF6">
            <w:pPr>
              <w:pStyle w:val="TableText"/>
              <w:keepNext w:val="0"/>
              <w:widowControl w:val="0"/>
              <w:jc w:val="center"/>
            </w:pPr>
            <w:r w:rsidRPr="0028085E">
              <w:t>$</w:t>
            </w:r>
            <w:r w:rsidR="009A7DC1" w:rsidRPr="009A7DC1">
              <w:rPr>
                <w:color w:val="000000"/>
                <w:shd w:val="solid" w:color="000000" w:fill="000000"/>
                <w14:textFill>
                  <w14:solidFill>
                    <w14:srgbClr w14:val="000000">
                      <w14:alpha w14:val="100000"/>
                    </w14:srgbClr>
                  </w14:solidFill>
                </w14:textFill>
              </w:rPr>
              <w:t>|</w:t>
            </w:r>
          </w:p>
        </w:tc>
        <w:tc>
          <w:tcPr>
            <w:tcW w:w="1666" w:type="dxa"/>
            <w:tcMar>
              <w:left w:w="28" w:type="dxa"/>
              <w:right w:w="28" w:type="dxa"/>
            </w:tcMar>
            <w:vAlign w:val="center"/>
          </w:tcPr>
          <w:p w14:paraId="0BDC0C34" w14:textId="77777777" w:rsidR="00E275F3" w:rsidRPr="0028085E" w:rsidRDefault="00E275F3" w:rsidP="00B34EF6">
            <w:pPr>
              <w:pStyle w:val="TableText"/>
              <w:keepNext w:val="0"/>
              <w:widowControl w:val="0"/>
              <w:jc w:val="center"/>
            </w:pPr>
            <w:r w:rsidRPr="0028085E">
              <w:t>0.0102</w:t>
            </w:r>
          </w:p>
        </w:tc>
        <w:tc>
          <w:tcPr>
            <w:tcW w:w="980" w:type="dxa"/>
            <w:tcMar>
              <w:left w:w="28" w:type="dxa"/>
              <w:right w:w="28" w:type="dxa"/>
            </w:tcMar>
            <w:vAlign w:val="center"/>
          </w:tcPr>
          <w:p w14:paraId="13CCDFEA" w14:textId="53AD7074" w:rsidR="00E275F3" w:rsidRPr="0028085E" w:rsidRDefault="00E275F3" w:rsidP="00B34EF6">
            <w:pPr>
              <w:pStyle w:val="TableText"/>
              <w:keepNext w:val="0"/>
              <w:widowControl w:val="0"/>
              <w:jc w:val="center"/>
            </w:pPr>
            <w:r w:rsidRPr="0028085E">
              <w:t>$</w:t>
            </w:r>
            <w:r w:rsidR="009A7DC1" w:rsidRPr="009A7DC1">
              <w:rPr>
                <w:color w:val="000000"/>
                <w:spacing w:val="89"/>
                <w:shd w:val="solid" w:color="000000" w:fill="000000"/>
                <w:fitText w:val="175" w:id="-1435317247"/>
                <w14:textFill>
                  <w14:solidFill>
                    <w14:srgbClr w14:val="000000">
                      <w14:alpha w14:val="100000"/>
                    </w14:srgbClr>
                  </w14:solidFill>
                </w14:textFill>
              </w:rPr>
              <w:t>|</w:t>
            </w:r>
            <w:r w:rsidR="009A7DC1" w:rsidRPr="009A7DC1">
              <w:rPr>
                <w:color w:val="000000"/>
                <w:spacing w:val="1"/>
                <w:shd w:val="solid" w:color="000000" w:fill="000000"/>
                <w:fitText w:val="175" w:id="-1435317247"/>
                <w14:textFill>
                  <w14:solidFill>
                    <w14:srgbClr w14:val="000000">
                      <w14:alpha w14:val="100000"/>
                    </w14:srgbClr>
                  </w14:solidFill>
                </w14:textFill>
              </w:rPr>
              <w:t>|</w:t>
            </w:r>
            <w:r w:rsidR="004722AE">
              <w:rPr>
                <w:vertAlign w:val="superscript"/>
              </w:rPr>
              <w:t>7</w:t>
            </w:r>
          </w:p>
        </w:tc>
      </w:tr>
      <w:tr w:rsidR="00E275F3" w14:paraId="7B1646DA" w14:textId="77777777" w:rsidTr="003406B4">
        <w:trPr>
          <w:cantSplit/>
        </w:trPr>
        <w:tc>
          <w:tcPr>
            <w:tcW w:w="4732" w:type="dxa"/>
            <w:tcMar>
              <w:left w:w="28" w:type="dxa"/>
              <w:right w:w="28" w:type="dxa"/>
            </w:tcMar>
            <w:vAlign w:val="center"/>
          </w:tcPr>
          <w:p w14:paraId="41600296" w14:textId="77777777" w:rsidR="00E275F3" w:rsidRDefault="00E275F3" w:rsidP="00B34EF6">
            <w:pPr>
              <w:pStyle w:val="TableText"/>
              <w:keepNext w:val="0"/>
              <w:widowControl w:val="0"/>
            </w:pPr>
            <w:r>
              <w:t>No discontinuation in year 1 and 100% discontinuation in year 2, both arms</w:t>
            </w:r>
          </w:p>
        </w:tc>
        <w:tc>
          <w:tcPr>
            <w:tcW w:w="1651" w:type="dxa"/>
            <w:tcMar>
              <w:left w:w="28" w:type="dxa"/>
              <w:right w:w="28" w:type="dxa"/>
            </w:tcMar>
            <w:vAlign w:val="center"/>
          </w:tcPr>
          <w:p w14:paraId="1B501E71" w14:textId="49962576" w:rsidR="00E275F3" w:rsidRPr="0028085E" w:rsidRDefault="00E275F3" w:rsidP="00B34EF6">
            <w:pPr>
              <w:pStyle w:val="TableText"/>
              <w:keepNext w:val="0"/>
              <w:widowControl w:val="0"/>
              <w:jc w:val="center"/>
            </w:pPr>
            <w:r w:rsidRPr="0028085E">
              <w:t>$</w:t>
            </w:r>
            <w:r w:rsidR="009A7DC1" w:rsidRPr="009A7DC1">
              <w:rPr>
                <w:color w:val="000000"/>
                <w:shd w:val="solid" w:color="000000" w:fill="000000"/>
                <w14:textFill>
                  <w14:solidFill>
                    <w14:srgbClr w14:val="000000">
                      <w14:alpha w14:val="100000"/>
                    </w14:srgbClr>
                  </w14:solidFill>
                </w14:textFill>
              </w:rPr>
              <w:t>|</w:t>
            </w:r>
          </w:p>
        </w:tc>
        <w:tc>
          <w:tcPr>
            <w:tcW w:w="1666" w:type="dxa"/>
            <w:tcMar>
              <w:left w:w="28" w:type="dxa"/>
              <w:right w:w="28" w:type="dxa"/>
            </w:tcMar>
            <w:vAlign w:val="center"/>
          </w:tcPr>
          <w:p w14:paraId="6BACA8BE" w14:textId="77777777" w:rsidR="00E275F3" w:rsidRPr="0028085E" w:rsidRDefault="00E275F3" w:rsidP="00B34EF6">
            <w:pPr>
              <w:pStyle w:val="TableText"/>
              <w:keepNext w:val="0"/>
              <w:widowControl w:val="0"/>
              <w:jc w:val="center"/>
            </w:pPr>
            <w:r w:rsidRPr="0028085E">
              <w:t>0.0228</w:t>
            </w:r>
          </w:p>
        </w:tc>
        <w:tc>
          <w:tcPr>
            <w:tcW w:w="980" w:type="dxa"/>
            <w:tcMar>
              <w:left w:w="28" w:type="dxa"/>
              <w:right w:w="28" w:type="dxa"/>
            </w:tcMar>
            <w:vAlign w:val="center"/>
          </w:tcPr>
          <w:p w14:paraId="59D27D1A" w14:textId="08401C84" w:rsidR="00E275F3" w:rsidRPr="0028085E" w:rsidRDefault="00E275F3" w:rsidP="00B34EF6">
            <w:pPr>
              <w:pStyle w:val="TableText"/>
              <w:keepNext w:val="0"/>
              <w:widowControl w:val="0"/>
              <w:jc w:val="center"/>
            </w:pPr>
            <w:r w:rsidRPr="0028085E">
              <w:t>$</w:t>
            </w:r>
            <w:r w:rsidR="009A7DC1" w:rsidRPr="009A7DC1">
              <w:rPr>
                <w:color w:val="000000"/>
                <w:spacing w:val="89"/>
                <w:shd w:val="solid" w:color="000000" w:fill="000000"/>
                <w:fitText w:val="175" w:id="-1435317246"/>
                <w14:textFill>
                  <w14:solidFill>
                    <w14:srgbClr w14:val="000000">
                      <w14:alpha w14:val="100000"/>
                    </w14:srgbClr>
                  </w14:solidFill>
                </w14:textFill>
              </w:rPr>
              <w:t>|</w:t>
            </w:r>
            <w:r w:rsidR="009A7DC1" w:rsidRPr="009A7DC1">
              <w:rPr>
                <w:color w:val="000000"/>
                <w:spacing w:val="1"/>
                <w:shd w:val="solid" w:color="000000" w:fill="000000"/>
                <w:fitText w:val="175" w:id="-1435317246"/>
                <w14:textFill>
                  <w14:solidFill>
                    <w14:srgbClr w14:val="000000">
                      <w14:alpha w14:val="100000"/>
                    </w14:srgbClr>
                  </w14:solidFill>
                </w14:textFill>
              </w:rPr>
              <w:t>|</w:t>
            </w:r>
            <w:r w:rsidR="004722AE">
              <w:rPr>
                <w:vertAlign w:val="superscript"/>
              </w:rPr>
              <w:t>8</w:t>
            </w:r>
          </w:p>
        </w:tc>
      </w:tr>
      <w:tr w:rsidR="00E275F3" w14:paraId="6AA61EE5" w14:textId="77777777" w:rsidTr="003406B4">
        <w:trPr>
          <w:cantSplit/>
        </w:trPr>
        <w:tc>
          <w:tcPr>
            <w:tcW w:w="4732" w:type="dxa"/>
            <w:tcMar>
              <w:left w:w="28" w:type="dxa"/>
              <w:right w:w="28" w:type="dxa"/>
            </w:tcMar>
            <w:vAlign w:val="center"/>
          </w:tcPr>
          <w:p w14:paraId="20A9156E" w14:textId="77777777" w:rsidR="00E275F3" w:rsidRDefault="00E275F3" w:rsidP="00B34EF6">
            <w:pPr>
              <w:pStyle w:val="TableText"/>
              <w:keepNext w:val="0"/>
              <w:widowControl w:val="0"/>
            </w:pPr>
            <w:r>
              <w:t>No discontinuation in the first 2 years and 100% discontinuation in year 3, both arms</w:t>
            </w:r>
          </w:p>
        </w:tc>
        <w:tc>
          <w:tcPr>
            <w:tcW w:w="1651" w:type="dxa"/>
            <w:tcMar>
              <w:left w:w="28" w:type="dxa"/>
              <w:right w:w="28" w:type="dxa"/>
            </w:tcMar>
            <w:vAlign w:val="center"/>
          </w:tcPr>
          <w:p w14:paraId="11A7D6BC" w14:textId="2AA328E4" w:rsidR="00E275F3" w:rsidRPr="0028085E" w:rsidRDefault="00E275F3" w:rsidP="00B34EF6">
            <w:pPr>
              <w:pStyle w:val="TableText"/>
              <w:keepNext w:val="0"/>
              <w:widowControl w:val="0"/>
              <w:jc w:val="center"/>
            </w:pPr>
            <w:r w:rsidRPr="0028085E">
              <w:t>$</w:t>
            </w:r>
            <w:r w:rsidR="009A7DC1" w:rsidRPr="009A7DC1">
              <w:rPr>
                <w:color w:val="000000"/>
                <w:shd w:val="solid" w:color="000000" w:fill="000000"/>
                <w14:textFill>
                  <w14:solidFill>
                    <w14:srgbClr w14:val="000000">
                      <w14:alpha w14:val="100000"/>
                    </w14:srgbClr>
                  </w14:solidFill>
                </w14:textFill>
              </w:rPr>
              <w:t>|</w:t>
            </w:r>
          </w:p>
        </w:tc>
        <w:tc>
          <w:tcPr>
            <w:tcW w:w="1666" w:type="dxa"/>
            <w:tcMar>
              <w:left w:w="28" w:type="dxa"/>
              <w:right w:w="28" w:type="dxa"/>
            </w:tcMar>
            <w:vAlign w:val="center"/>
          </w:tcPr>
          <w:p w14:paraId="6EE59F7E" w14:textId="77777777" w:rsidR="00E275F3" w:rsidRPr="0028085E" w:rsidRDefault="00E275F3" w:rsidP="00B34EF6">
            <w:pPr>
              <w:pStyle w:val="TableText"/>
              <w:keepNext w:val="0"/>
              <w:widowControl w:val="0"/>
              <w:jc w:val="center"/>
            </w:pPr>
            <w:r w:rsidRPr="0028085E">
              <w:t>0.0343</w:t>
            </w:r>
          </w:p>
        </w:tc>
        <w:tc>
          <w:tcPr>
            <w:tcW w:w="980" w:type="dxa"/>
            <w:tcMar>
              <w:left w:w="28" w:type="dxa"/>
              <w:right w:w="28" w:type="dxa"/>
            </w:tcMar>
            <w:vAlign w:val="center"/>
          </w:tcPr>
          <w:p w14:paraId="7A24A3A0" w14:textId="503B1ADB" w:rsidR="00E275F3" w:rsidRPr="0028085E" w:rsidRDefault="00E275F3" w:rsidP="00B34EF6">
            <w:pPr>
              <w:pStyle w:val="TableText"/>
              <w:keepNext w:val="0"/>
              <w:widowControl w:val="0"/>
              <w:jc w:val="center"/>
            </w:pPr>
            <w:r w:rsidRPr="0028085E">
              <w:t>$</w:t>
            </w:r>
            <w:r w:rsidR="009A7DC1" w:rsidRPr="009A7DC1">
              <w:rPr>
                <w:color w:val="000000"/>
                <w:spacing w:val="89"/>
                <w:shd w:val="solid" w:color="000000" w:fill="000000"/>
                <w:fitText w:val="175" w:id="-1435317245"/>
                <w14:textFill>
                  <w14:solidFill>
                    <w14:srgbClr w14:val="000000">
                      <w14:alpha w14:val="100000"/>
                    </w14:srgbClr>
                  </w14:solidFill>
                </w14:textFill>
              </w:rPr>
              <w:t>|</w:t>
            </w:r>
            <w:r w:rsidR="009A7DC1" w:rsidRPr="009A7DC1">
              <w:rPr>
                <w:color w:val="000000"/>
                <w:spacing w:val="1"/>
                <w:shd w:val="solid" w:color="000000" w:fill="000000"/>
                <w:fitText w:val="175" w:id="-1435317245"/>
                <w14:textFill>
                  <w14:solidFill>
                    <w14:srgbClr w14:val="000000">
                      <w14:alpha w14:val="100000"/>
                    </w14:srgbClr>
                  </w14:solidFill>
                </w14:textFill>
              </w:rPr>
              <w:t>|</w:t>
            </w:r>
            <w:r w:rsidR="004722AE">
              <w:rPr>
                <w:vertAlign w:val="superscript"/>
              </w:rPr>
              <w:t>5</w:t>
            </w:r>
          </w:p>
        </w:tc>
      </w:tr>
      <w:tr w:rsidR="00E275F3" w14:paraId="78585473" w14:textId="77777777" w:rsidTr="003406B4">
        <w:trPr>
          <w:cantSplit/>
        </w:trPr>
        <w:tc>
          <w:tcPr>
            <w:tcW w:w="4732" w:type="dxa"/>
            <w:tcMar>
              <w:left w:w="28" w:type="dxa"/>
              <w:right w:w="28" w:type="dxa"/>
            </w:tcMar>
            <w:vAlign w:val="center"/>
          </w:tcPr>
          <w:p w14:paraId="01FC1515" w14:textId="77777777" w:rsidR="00E275F3" w:rsidRDefault="00E275F3" w:rsidP="00B34EF6">
            <w:pPr>
              <w:pStyle w:val="TableText"/>
              <w:keepNext w:val="0"/>
              <w:widowControl w:val="0"/>
            </w:pPr>
            <w:r>
              <w:t>No discontinuation in the first 3 years and 100% discontinuation in year 4, both arms</w:t>
            </w:r>
          </w:p>
        </w:tc>
        <w:tc>
          <w:tcPr>
            <w:tcW w:w="1651" w:type="dxa"/>
            <w:tcMar>
              <w:left w:w="28" w:type="dxa"/>
              <w:right w:w="28" w:type="dxa"/>
            </w:tcMar>
            <w:vAlign w:val="center"/>
          </w:tcPr>
          <w:p w14:paraId="3EC16A98" w14:textId="3C4742C8" w:rsidR="00E275F3" w:rsidRPr="0028085E" w:rsidRDefault="00E275F3" w:rsidP="00B34EF6">
            <w:pPr>
              <w:pStyle w:val="TableText"/>
              <w:keepNext w:val="0"/>
              <w:widowControl w:val="0"/>
              <w:jc w:val="center"/>
            </w:pPr>
            <w:r w:rsidRPr="0028085E">
              <w:t>$</w:t>
            </w:r>
            <w:r w:rsidR="009A7DC1" w:rsidRPr="009A7DC1">
              <w:rPr>
                <w:color w:val="000000"/>
                <w:shd w:val="solid" w:color="000000" w:fill="000000"/>
                <w14:textFill>
                  <w14:solidFill>
                    <w14:srgbClr w14:val="000000">
                      <w14:alpha w14:val="100000"/>
                    </w14:srgbClr>
                  </w14:solidFill>
                </w14:textFill>
              </w:rPr>
              <w:t>|</w:t>
            </w:r>
          </w:p>
        </w:tc>
        <w:tc>
          <w:tcPr>
            <w:tcW w:w="1666" w:type="dxa"/>
            <w:tcMar>
              <w:left w:w="28" w:type="dxa"/>
              <w:right w:w="28" w:type="dxa"/>
            </w:tcMar>
            <w:vAlign w:val="center"/>
          </w:tcPr>
          <w:p w14:paraId="1D232A41" w14:textId="77777777" w:rsidR="00E275F3" w:rsidRPr="0028085E" w:rsidRDefault="00E275F3" w:rsidP="00B34EF6">
            <w:pPr>
              <w:pStyle w:val="TableText"/>
              <w:keepNext w:val="0"/>
              <w:widowControl w:val="0"/>
              <w:jc w:val="center"/>
            </w:pPr>
            <w:r w:rsidRPr="0028085E">
              <w:t>0.0416</w:t>
            </w:r>
          </w:p>
        </w:tc>
        <w:tc>
          <w:tcPr>
            <w:tcW w:w="980" w:type="dxa"/>
            <w:tcMar>
              <w:left w:w="28" w:type="dxa"/>
              <w:right w:w="28" w:type="dxa"/>
            </w:tcMar>
            <w:vAlign w:val="center"/>
          </w:tcPr>
          <w:p w14:paraId="6918D2B5" w14:textId="7751BB0A" w:rsidR="00E275F3" w:rsidRPr="0028085E" w:rsidRDefault="00E275F3" w:rsidP="00B34EF6">
            <w:pPr>
              <w:pStyle w:val="TableText"/>
              <w:keepNext w:val="0"/>
              <w:widowControl w:val="0"/>
              <w:jc w:val="center"/>
            </w:pPr>
            <w:r w:rsidRPr="0028085E">
              <w:t>$</w:t>
            </w:r>
            <w:r w:rsidR="009A7DC1" w:rsidRPr="009A7DC1">
              <w:rPr>
                <w:color w:val="000000"/>
                <w:spacing w:val="89"/>
                <w:shd w:val="solid" w:color="000000" w:fill="000000"/>
                <w:fitText w:val="175" w:id="-1435317244"/>
                <w14:textFill>
                  <w14:solidFill>
                    <w14:srgbClr w14:val="000000">
                      <w14:alpha w14:val="100000"/>
                    </w14:srgbClr>
                  </w14:solidFill>
                </w14:textFill>
              </w:rPr>
              <w:t>|</w:t>
            </w:r>
            <w:r w:rsidR="009A7DC1" w:rsidRPr="009A7DC1">
              <w:rPr>
                <w:color w:val="000000"/>
                <w:spacing w:val="1"/>
                <w:shd w:val="solid" w:color="000000" w:fill="000000"/>
                <w:fitText w:val="175" w:id="-1435317244"/>
                <w14:textFill>
                  <w14:solidFill>
                    <w14:srgbClr w14:val="000000">
                      <w14:alpha w14:val="100000"/>
                    </w14:srgbClr>
                  </w14:solidFill>
                </w14:textFill>
              </w:rPr>
              <w:t>|</w:t>
            </w:r>
            <w:r w:rsidR="00FD6605">
              <w:rPr>
                <w:vertAlign w:val="superscript"/>
              </w:rPr>
              <w:t>1</w:t>
            </w:r>
          </w:p>
        </w:tc>
      </w:tr>
      <w:tr w:rsidR="00E275F3" w14:paraId="3579B0C4" w14:textId="77777777" w:rsidTr="003406B4">
        <w:trPr>
          <w:cantSplit/>
        </w:trPr>
        <w:tc>
          <w:tcPr>
            <w:tcW w:w="4732" w:type="dxa"/>
            <w:tcMar>
              <w:left w:w="28" w:type="dxa"/>
              <w:right w:w="28" w:type="dxa"/>
            </w:tcMar>
            <w:vAlign w:val="center"/>
          </w:tcPr>
          <w:p w14:paraId="6FACB2CA" w14:textId="77777777" w:rsidR="00E275F3" w:rsidRDefault="00E275F3" w:rsidP="00B34EF6">
            <w:pPr>
              <w:pStyle w:val="TableText"/>
              <w:keepNext w:val="0"/>
              <w:widowControl w:val="0"/>
            </w:pPr>
            <w:r>
              <w:t>No discontinuation in the first 4 years and 100% discontinuation in year 5, both arms</w:t>
            </w:r>
          </w:p>
        </w:tc>
        <w:tc>
          <w:tcPr>
            <w:tcW w:w="1651" w:type="dxa"/>
            <w:tcMar>
              <w:left w:w="28" w:type="dxa"/>
              <w:right w:w="28" w:type="dxa"/>
            </w:tcMar>
            <w:vAlign w:val="center"/>
          </w:tcPr>
          <w:p w14:paraId="4F53E8B1" w14:textId="7A7A3D22" w:rsidR="00E275F3" w:rsidRPr="0028085E" w:rsidRDefault="00E275F3" w:rsidP="00B34EF6">
            <w:pPr>
              <w:pStyle w:val="TableText"/>
              <w:keepNext w:val="0"/>
              <w:widowControl w:val="0"/>
              <w:jc w:val="center"/>
            </w:pPr>
            <w:r w:rsidRPr="0028085E">
              <w:t>$</w:t>
            </w:r>
            <w:r w:rsidR="009A7DC1" w:rsidRPr="009A7DC1">
              <w:rPr>
                <w:color w:val="000000"/>
                <w:shd w:val="solid" w:color="000000" w:fill="000000"/>
                <w14:textFill>
                  <w14:solidFill>
                    <w14:srgbClr w14:val="000000">
                      <w14:alpha w14:val="100000"/>
                    </w14:srgbClr>
                  </w14:solidFill>
                </w14:textFill>
              </w:rPr>
              <w:t>|</w:t>
            </w:r>
          </w:p>
        </w:tc>
        <w:tc>
          <w:tcPr>
            <w:tcW w:w="1666" w:type="dxa"/>
            <w:tcMar>
              <w:left w:w="28" w:type="dxa"/>
              <w:right w:w="28" w:type="dxa"/>
            </w:tcMar>
            <w:vAlign w:val="center"/>
          </w:tcPr>
          <w:p w14:paraId="6112AB23" w14:textId="77777777" w:rsidR="00E275F3" w:rsidRPr="0028085E" w:rsidRDefault="00E275F3" w:rsidP="00B34EF6">
            <w:pPr>
              <w:pStyle w:val="TableText"/>
              <w:keepNext w:val="0"/>
              <w:widowControl w:val="0"/>
              <w:jc w:val="center"/>
            </w:pPr>
            <w:r w:rsidRPr="0028085E">
              <w:t>0.0451</w:t>
            </w:r>
          </w:p>
        </w:tc>
        <w:tc>
          <w:tcPr>
            <w:tcW w:w="980" w:type="dxa"/>
            <w:tcMar>
              <w:left w:w="28" w:type="dxa"/>
              <w:right w:w="28" w:type="dxa"/>
            </w:tcMar>
            <w:vAlign w:val="center"/>
          </w:tcPr>
          <w:p w14:paraId="243C3994" w14:textId="2957E493" w:rsidR="00E275F3" w:rsidRPr="0028085E" w:rsidRDefault="00E275F3" w:rsidP="00B34EF6">
            <w:pPr>
              <w:pStyle w:val="TableText"/>
              <w:keepNext w:val="0"/>
              <w:widowControl w:val="0"/>
              <w:jc w:val="center"/>
            </w:pPr>
            <w:r w:rsidRPr="0028085E">
              <w:t>$</w:t>
            </w:r>
            <w:r w:rsidR="009A7DC1" w:rsidRPr="009A7DC1">
              <w:rPr>
                <w:color w:val="000000"/>
                <w:spacing w:val="89"/>
                <w:shd w:val="solid" w:color="000000" w:fill="000000"/>
                <w:fitText w:val="175" w:id="-1435317243"/>
                <w14:textFill>
                  <w14:solidFill>
                    <w14:srgbClr w14:val="000000">
                      <w14:alpha w14:val="100000"/>
                    </w14:srgbClr>
                  </w14:solidFill>
                </w14:textFill>
              </w:rPr>
              <w:t>|</w:t>
            </w:r>
            <w:r w:rsidR="009A7DC1" w:rsidRPr="009A7DC1">
              <w:rPr>
                <w:color w:val="000000"/>
                <w:spacing w:val="1"/>
                <w:shd w:val="solid" w:color="000000" w:fill="000000"/>
                <w:fitText w:val="175" w:id="-1435317243"/>
                <w14:textFill>
                  <w14:solidFill>
                    <w14:srgbClr w14:val="000000">
                      <w14:alpha w14:val="100000"/>
                    </w14:srgbClr>
                  </w14:solidFill>
                </w14:textFill>
              </w:rPr>
              <w:t>|</w:t>
            </w:r>
            <w:r w:rsidR="00FD6605">
              <w:rPr>
                <w:vertAlign w:val="superscript"/>
              </w:rPr>
              <w:t>1</w:t>
            </w:r>
          </w:p>
        </w:tc>
      </w:tr>
      <w:tr w:rsidR="00E275F3" w14:paraId="6726C808" w14:textId="77777777" w:rsidTr="003406B4">
        <w:trPr>
          <w:cantSplit/>
        </w:trPr>
        <w:tc>
          <w:tcPr>
            <w:tcW w:w="9029" w:type="dxa"/>
            <w:gridSpan w:val="4"/>
            <w:tcMar>
              <w:left w:w="28" w:type="dxa"/>
              <w:right w:w="28" w:type="dxa"/>
            </w:tcMar>
            <w:vAlign w:val="center"/>
          </w:tcPr>
          <w:p w14:paraId="663700CE" w14:textId="2A11619B" w:rsidR="00E275F3" w:rsidRPr="0028085E" w:rsidRDefault="00E275F3" w:rsidP="00B34EF6">
            <w:pPr>
              <w:pStyle w:val="TableText"/>
              <w:keepNext w:val="0"/>
              <w:widowControl w:val="0"/>
              <w:rPr>
                <w:vertAlign w:val="superscript"/>
              </w:rPr>
            </w:pPr>
            <w:r w:rsidRPr="0028085E">
              <w:rPr>
                <w:b/>
                <w:bCs w:val="0"/>
              </w:rPr>
              <w:t>Mortality multipliers (base case severe osteoporosis: 1.41; 0-5 years after a fracture: 2.21)</w:t>
            </w:r>
            <w:r w:rsidR="0028085E" w:rsidRPr="0028085E">
              <w:rPr>
                <w:b/>
                <w:bCs w:val="0"/>
                <w:vertAlign w:val="superscript"/>
              </w:rPr>
              <w:t>a</w:t>
            </w:r>
          </w:p>
        </w:tc>
      </w:tr>
      <w:tr w:rsidR="00E275F3" w14:paraId="384D8CFC" w14:textId="77777777" w:rsidTr="003406B4">
        <w:trPr>
          <w:cantSplit/>
        </w:trPr>
        <w:tc>
          <w:tcPr>
            <w:tcW w:w="4732" w:type="dxa"/>
            <w:tcMar>
              <w:left w:w="28" w:type="dxa"/>
              <w:right w:w="28" w:type="dxa"/>
            </w:tcMar>
            <w:vAlign w:val="center"/>
          </w:tcPr>
          <w:p w14:paraId="55D4DC02" w14:textId="77777777" w:rsidR="00E275F3" w:rsidRDefault="00E275F3" w:rsidP="00B34EF6">
            <w:pPr>
              <w:pStyle w:val="TableText"/>
              <w:keepNext w:val="0"/>
              <w:widowControl w:val="0"/>
            </w:pPr>
            <w:r>
              <w:t>No multipliers (i.e. no survival benefit with romosozumab)</w:t>
            </w:r>
          </w:p>
        </w:tc>
        <w:tc>
          <w:tcPr>
            <w:tcW w:w="1651" w:type="dxa"/>
            <w:tcMar>
              <w:left w:w="28" w:type="dxa"/>
              <w:right w:w="28" w:type="dxa"/>
            </w:tcMar>
            <w:vAlign w:val="center"/>
          </w:tcPr>
          <w:p w14:paraId="6209114A" w14:textId="11EB4AB9" w:rsidR="00E275F3" w:rsidRPr="0028085E" w:rsidRDefault="00E275F3" w:rsidP="00B34EF6">
            <w:pPr>
              <w:pStyle w:val="TableText"/>
              <w:keepNext w:val="0"/>
              <w:widowControl w:val="0"/>
              <w:jc w:val="center"/>
            </w:pPr>
            <w:r w:rsidRPr="0028085E">
              <w:t>$</w:t>
            </w:r>
            <w:r w:rsidR="009A7DC1" w:rsidRPr="009A7DC1">
              <w:rPr>
                <w:color w:val="000000"/>
                <w:shd w:val="solid" w:color="000000" w:fill="000000"/>
                <w14:textFill>
                  <w14:solidFill>
                    <w14:srgbClr w14:val="000000">
                      <w14:alpha w14:val="100000"/>
                    </w14:srgbClr>
                  </w14:solidFill>
                </w14:textFill>
              </w:rPr>
              <w:t>|</w:t>
            </w:r>
          </w:p>
        </w:tc>
        <w:tc>
          <w:tcPr>
            <w:tcW w:w="1666" w:type="dxa"/>
            <w:tcMar>
              <w:left w:w="28" w:type="dxa"/>
              <w:right w:w="28" w:type="dxa"/>
            </w:tcMar>
            <w:vAlign w:val="center"/>
          </w:tcPr>
          <w:p w14:paraId="10E9388D" w14:textId="77777777" w:rsidR="00E275F3" w:rsidRPr="0028085E" w:rsidRDefault="00E275F3" w:rsidP="00B34EF6">
            <w:pPr>
              <w:pStyle w:val="TableText"/>
              <w:keepNext w:val="0"/>
              <w:widowControl w:val="0"/>
              <w:jc w:val="center"/>
            </w:pPr>
            <w:r w:rsidRPr="0028085E">
              <w:t>0.0321</w:t>
            </w:r>
          </w:p>
        </w:tc>
        <w:tc>
          <w:tcPr>
            <w:tcW w:w="980" w:type="dxa"/>
            <w:tcMar>
              <w:left w:w="28" w:type="dxa"/>
              <w:right w:w="28" w:type="dxa"/>
            </w:tcMar>
            <w:vAlign w:val="center"/>
          </w:tcPr>
          <w:p w14:paraId="5E2B2594" w14:textId="2779B98D" w:rsidR="00E275F3" w:rsidRPr="0028085E" w:rsidRDefault="00E275F3" w:rsidP="00B34EF6">
            <w:pPr>
              <w:pStyle w:val="TableText"/>
              <w:keepNext w:val="0"/>
              <w:widowControl w:val="0"/>
              <w:jc w:val="center"/>
            </w:pPr>
            <w:r w:rsidRPr="0028085E">
              <w:t>$</w:t>
            </w:r>
            <w:r w:rsidR="009A7DC1" w:rsidRPr="009A7DC1">
              <w:rPr>
                <w:color w:val="000000"/>
                <w:spacing w:val="89"/>
                <w:shd w:val="solid" w:color="000000" w:fill="000000"/>
                <w:fitText w:val="175" w:id="-1435317242"/>
                <w14:textFill>
                  <w14:solidFill>
                    <w14:srgbClr w14:val="000000">
                      <w14:alpha w14:val="100000"/>
                    </w14:srgbClr>
                  </w14:solidFill>
                </w14:textFill>
              </w:rPr>
              <w:t>|</w:t>
            </w:r>
            <w:r w:rsidR="009A7DC1" w:rsidRPr="009A7DC1">
              <w:rPr>
                <w:color w:val="000000"/>
                <w:spacing w:val="1"/>
                <w:shd w:val="solid" w:color="000000" w:fill="000000"/>
                <w:fitText w:val="175" w:id="-1435317242"/>
                <w14:textFill>
                  <w14:solidFill>
                    <w14:srgbClr w14:val="000000">
                      <w14:alpha w14:val="100000"/>
                    </w14:srgbClr>
                  </w14:solidFill>
                </w14:textFill>
              </w:rPr>
              <w:t>|</w:t>
            </w:r>
            <w:r w:rsidR="004722AE">
              <w:rPr>
                <w:vertAlign w:val="superscript"/>
              </w:rPr>
              <w:t>5</w:t>
            </w:r>
          </w:p>
        </w:tc>
      </w:tr>
      <w:tr w:rsidR="00E275F3" w14:paraId="22A7870E" w14:textId="77777777" w:rsidTr="003406B4">
        <w:trPr>
          <w:cantSplit/>
        </w:trPr>
        <w:tc>
          <w:tcPr>
            <w:tcW w:w="4732" w:type="dxa"/>
            <w:tcMar>
              <w:left w:w="28" w:type="dxa"/>
              <w:right w:w="28" w:type="dxa"/>
            </w:tcMar>
            <w:vAlign w:val="center"/>
          </w:tcPr>
          <w:p w14:paraId="122680CF" w14:textId="77777777" w:rsidR="00E275F3" w:rsidRDefault="00E275F3" w:rsidP="00B34EF6">
            <w:pPr>
              <w:pStyle w:val="TableText"/>
              <w:keepNext w:val="0"/>
              <w:widowControl w:val="0"/>
            </w:pPr>
            <w:r>
              <w:t>Lower multiplier for 0-5 years after a fracture: 1.81</w:t>
            </w:r>
          </w:p>
        </w:tc>
        <w:tc>
          <w:tcPr>
            <w:tcW w:w="1651" w:type="dxa"/>
            <w:tcMar>
              <w:left w:w="28" w:type="dxa"/>
              <w:right w:w="28" w:type="dxa"/>
            </w:tcMar>
            <w:vAlign w:val="center"/>
          </w:tcPr>
          <w:p w14:paraId="6A282FD5" w14:textId="3075999A" w:rsidR="00E275F3" w:rsidRPr="0028085E" w:rsidRDefault="00E275F3" w:rsidP="00B34EF6">
            <w:pPr>
              <w:pStyle w:val="TableText"/>
              <w:keepNext w:val="0"/>
              <w:widowControl w:val="0"/>
              <w:jc w:val="center"/>
            </w:pPr>
            <w:r w:rsidRPr="0028085E">
              <w:t>$</w:t>
            </w:r>
            <w:r w:rsidR="009A7DC1" w:rsidRPr="009A7DC1">
              <w:rPr>
                <w:color w:val="000000"/>
                <w:shd w:val="solid" w:color="000000" w:fill="000000"/>
                <w14:textFill>
                  <w14:solidFill>
                    <w14:srgbClr w14:val="000000">
                      <w14:alpha w14:val="100000"/>
                    </w14:srgbClr>
                  </w14:solidFill>
                </w14:textFill>
              </w:rPr>
              <w:t>|</w:t>
            </w:r>
          </w:p>
        </w:tc>
        <w:tc>
          <w:tcPr>
            <w:tcW w:w="1666" w:type="dxa"/>
            <w:tcMar>
              <w:left w:w="28" w:type="dxa"/>
              <w:right w:w="28" w:type="dxa"/>
            </w:tcMar>
            <w:vAlign w:val="center"/>
          </w:tcPr>
          <w:p w14:paraId="22BFE5C8" w14:textId="77777777" w:rsidR="00E275F3" w:rsidRPr="0028085E" w:rsidRDefault="00E275F3" w:rsidP="00B34EF6">
            <w:pPr>
              <w:pStyle w:val="TableText"/>
              <w:keepNext w:val="0"/>
              <w:widowControl w:val="0"/>
              <w:jc w:val="center"/>
            </w:pPr>
            <w:r w:rsidRPr="0028085E">
              <w:t>0.0365</w:t>
            </w:r>
          </w:p>
        </w:tc>
        <w:tc>
          <w:tcPr>
            <w:tcW w:w="980" w:type="dxa"/>
            <w:tcMar>
              <w:left w:w="28" w:type="dxa"/>
              <w:right w:w="28" w:type="dxa"/>
            </w:tcMar>
            <w:vAlign w:val="center"/>
          </w:tcPr>
          <w:p w14:paraId="36DEF69C" w14:textId="7F8256C9" w:rsidR="00E275F3" w:rsidRPr="0028085E" w:rsidRDefault="00E275F3" w:rsidP="00B34EF6">
            <w:pPr>
              <w:pStyle w:val="TableText"/>
              <w:keepNext w:val="0"/>
              <w:widowControl w:val="0"/>
              <w:jc w:val="center"/>
            </w:pPr>
            <w:r w:rsidRPr="0028085E">
              <w:t>$</w:t>
            </w:r>
            <w:r w:rsidR="009A7DC1" w:rsidRPr="009A7DC1">
              <w:rPr>
                <w:color w:val="000000"/>
                <w:spacing w:val="89"/>
                <w:shd w:val="solid" w:color="000000" w:fill="000000"/>
                <w:fitText w:val="175" w:id="-1435317241"/>
                <w14:textFill>
                  <w14:solidFill>
                    <w14:srgbClr w14:val="000000">
                      <w14:alpha w14:val="100000"/>
                    </w14:srgbClr>
                  </w14:solidFill>
                </w14:textFill>
              </w:rPr>
              <w:t>|</w:t>
            </w:r>
            <w:r w:rsidR="009A7DC1" w:rsidRPr="009A7DC1">
              <w:rPr>
                <w:color w:val="000000"/>
                <w:spacing w:val="1"/>
                <w:shd w:val="solid" w:color="000000" w:fill="000000"/>
                <w:fitText w:val="175" w:id="-1435317241"/>
                <w14:textFill>
                  <w14:solidFill>
                    <w14:srgbClr w14:val="000000">
                      <w14:alpha w14:val="100000"/>
                    </w14:srgbClr>
                  </w14:solidFill>
                </w14:textFill>
              </w:rPr>
              <w:t>|</w:t>
            </w:r>
            <w:r w:rsidR="00FD6605">
              <w:rPr>
                <w:vertAlign w:val="superscript"/>
              </w:rPr>
              <w:t>1</w:t>
            </w:r>
          </w:p>
        </w:tc>
      </w:tr>
      <w:tr w:rsidR="00E275F3" w14:paraId="41AAA234" w14:textId="77777777" w:rsidTr="003406B4">
        <w:trPr>
          <w:cantSplit/>
        </w:trPr>
        <w:tc>
          <w:tcPr>
            <w:tcW w:w="9029" w:type="dxa"/>
            <w:gridSpan w:val="4"/>
            <w:tcMar>
              <w:left w:w="28" w:type="dxa"/>
              <w:right w:w="28" w:type="dxa"/>
            </w:tcMar>
            <w:vAlign w:val="center"/>
          </w:tcPr>
          <w:p w14:paraId="0FF4E966" w14:textId="77DA4D66" w:rsidR="00E275F3" w:rsidRPr="0028085E" w:rsidRDefault="00E275F3" w:rsidP="00B34EF6">
            <w:pPr>
              <w:pStyle w:val="TableText"/>
              <w:keepNext w:val="0"/>
              <w:widowControl w:val="0"/>
              <w:rPr>
                <w:b/>
                <w:bCs w:val="0"/>
                <w:vertAlign w:val="superscript"/>
              </w:rPr>
            </w:pPr>
            <w:r w:rsidRPr="0028085E">
              <w:rPr>
                <w:b/>
                <w:bCs w:val="0"/>
              </w:rPr>
              <w:t>Magnitude of treatment effect (base case hazard ratios for hip 0.62, vertebral 0.41 and other 0.92)</w:t>
            </w:r>
            <w:r w:rsidR="0028085E" w:rsidRPr="0028085E">
              <w:rPr>
                <w:b/>
                <w:bCs w:val="0"/>
                <w:vertAlign w:val="superscript"/>
              </w:rPr>
              <w:t>a</w:t>
            </w:r>
          </w:p>
        </w:tc>
      </w:tr>
      <w:tr w:rsidR="00E275F3" w14:paraId="54FE99F0" w14:textId="77777777" w:rsidTr="003406B4">
        <w:trPr>
          <w:cantSplit/>
        </w:trPr>
        <w:tc>
          <w:tcPr>
            <w:tcW w:w="4732" w:type="dxa"/>
            <w:tcMar>
              <w:left w:w="28" w:type="dxa"/>
              <w:right w:w="28" w:type="dxa"/>
            </w:tcMar>
            <w:vAlign w:val="center"/>
          </w:tcPr>
          <w:p w14:paraId="4A1D8EEA" w14:textId="77777777" w:rsidR="00E275F3" w:rsidRDefault="00E275F3" w:rsidP="00B34EF6">
            <w:pPr>
              <w:pStyle w:val="TableText"/>
              <w:keepNext w:val="0"/>
              <w:widowControl w:val="0"/>
            </w:pPr>
            <w:r>
              <w:t>No impact on hip fracture (HR: 1.00)</w:t>
            </w:r>
          </w:p>
        </w:tc>
        <w:tc>
          <w:tcPr>
            <w:tcW w:w="1651" w:type="dxa"/>
            <w:tcMar>
              <w:left w:w="28" w:type="dxa"/>
              <w:right w:w="28" w:type="dxa"/>
            </w:tcMar>
            <w:vAlign w:val="center"/>
          </w:tcPr>
          <w:p w14:paraId="6B0081AB" w14:textId="20F7688C" w:rsidR="00E275F3" w:rsidRPr="0028085E" w:rsidRDefault="00E275F3" w:rsidP="00B34EF6">
            <w:pPr>
              <w:pStyle w:val="TableText"/>
              <w:keepNext w:val="0"/>
              <w:widowControl w:val="0"/>
              <w:jc w:val="center"/>
            </w:pPr>
            <w:r w:rsidRPr="0028085E">
              <w:t>$</w:t>
            </w:r>
            <w:r w:rsidR="009A7DC1" w:rsidRPr="009A7DC1">
              <w:rPr>
                <w:color w:val="000000"/>
                <w:shd w:val="solid" w:color="000000" w:fill="000000"/>
                <w14:textFill>
                  <w14:solidFill>
                    <w14:srgbClr w14:val="000000">
                      <w14:alpha w14:val="100000"/>
                    </w14:srgbClr>
                  </w14:solidFill>
                </w14:textFill>
              </w:rPr>
              <w:t>|</w:t>
            </w:r>
          </w:p>
        </w:tc>
        <w:tc>
          <w:tcPr>
            <w:tcW w:w="1666" w:type="dxa"/>
            <w:tcMar>
              <w:left w:w="28" w:type="dxa"/>
              <w:right w:w="28" w:type="dxa"/>
            </w:tcMar>
            <w:vAlign w:val="center"/>
          </w:tcPr>
          <w:p w14:paraId="0D7B7516" w14:textId="77777777" w:rsidR="00E275F3" w:rsidRPr="0028085E" w:rsidRDefault="00E275F3" w:rsidP="00B34EF6">
            <w:pPr>
              <w:pStyle w:val="TableText"/>
              <w:keepNext w:val="0"/>
              <w:widowControl w:val="0"/>
              <w:jc w:val="center"/>
            </w:pPr>
            <w:r w:rsidRPr="0028085E">
              <w:t>0.0224</w:t>
            </w:r>
          </w:p>
        </w:tc>
        <w:tc>
          <w:tcPr>
            <w:tcW w:w="980" w:type="dxa"/>
            <w:tcMar>
              <w:left w:w="28" w:type="dxa"/>
              <w:right w:w="28" w:type="dxa"/>
            </w:tcMar>
            <w:vAlign w:val="center"/>
          </w:tcPr>
          <w:p w14:paraId="54477920" w14:textId="18746F54" w:rsidR="00E275F3" w:rsidRPr="0028085E" w:rsidRDefault="00E275F3" w:rsidP="00B34EF6">
            <w:pPr>
              <w:pStyle w:val="TableText"/>
              <w:keepNext w:val="0"/>
              <w:widowControl w:val="0"/>
              <w:jc w:val="center"/>
            </w:pPr>
            <w:r w:rsidRPr="0028085E">
              <w:t>$</w:t>
            </w:r>
            <w:r w:rsidR="009A7DC1" w:rsidRPr="009A7DC1">
              <w:rPr>
                <w:color w:val="000000"/>
                <w:spacing w:val="89"/>
                <w:shd w:val="solid" w:color="000000" w:fill="000000"/>
                <w:fitText w:val="175" w:id="-1435317240"/>
                <w14:textFill>
                  <w14:solidFill>
                    <w14:srgbClr w14:val="000000">
                      <w14:alpha w14:val="100000"/>
                    </w14:srgbClr>
                  </w14:solidFill>
                </w14:textFill>
              </w:rPr>
              <w:t>|</w:t>
            </w:r>
            <w:r w:rsidR="009A7DC1" w:rsidRPr="009A7DC1">
              <w:rPr>
                <w:color w:val="000000"/>
                <w:spacing w:val="1"/>
                <w:shd w:val="solid" w:color="000000" w:fill="000000"/>
                <w:fitText w:val="175" w:id="-1435317240"/>
                <w14:textFill>
                  <w14:solidFill>
                    <w14:srgbClr w14:val="000000">
                      <w14:alpha w14:val="100000"/>
                    </w14:srgbClr>
                  </w14:solidFill>
                </w14:textFill>
              </w:rPr>
              <w:t>|</w:t>
            </w:r>
            <w:r w:rsidR="004722AE">
              <w:rPr>
                <w:vertAlign w:val="superscript"/>
              </w:rPr>
              <w:t>4</w:t>
            </w:r>
          </w:p>
        </w:tc>
      </w:tr>
      <w:tr w:rsidR="00E275F3" w14:paraId="3F9684D4" w14:textId="77777777" w:rsidTr="003406B4">
        <w:trPr>
          <w:cantSplit/>
        </w:trPr>
        <w:tc>
          <w:tcPr>
            <w:tcW w:w="4732" w:type="dxa"/>
            <w:tcMar>
              <w:left w:w="28" w:type="dxa"/>
              <w:right w:w="28" w:type="dxa"/>
            </w:tcMar>
            <w:vAlign w:val="center"/>
          </w:tcPr>
          <w:p w14:paraId="466479CF" w14:textId="77777777" w:rsidR="00E275F3" w:rsidRDefault="00E275F3" w:rsidP="00B34EF6">
            <w:pPr>
              <w:pStyle w:val="TableText"/>
              <w:keepNext w:val="0"/>
              <w:widowControl w:val="0"/>
            </w:pPr>
            <w:r>
              <w:t>Smaller hip fracture risk reduction (HR: 0.92)</w:t>
            </w:r>
          </w:p>
        </w:tc>
        <w:tc>
          <w:tcPr>
            <w:tcW w:w="1651" w:type="dxa"/>
            <w:tcMar>
              <w:left w:w="28" w:type="dxa"/>
              <w:right w:w="28" w:type="dxa"/>
            </w:tcMar>
            <w:vAlign w:val="center"/>
          </w:tcPr>
          <w:p w14:paraId="17A1CA13" w14:textId="14B75909" w:rsidR="00E275F3" w:rsidRPr="0028085E" w:rsidRDefault="00E275F3" w:rsidP="00B34EF6">
            <w:pPr>
              <w:pStyle w:val="TableText"/>
              <w:keepNext w:val="0"/>
              <w:widowControl w:val="0"/>
              <w:jc w:val="center"/>
            </w:pPr>
            <w:r w:rsidRPr="0028085E">
              <w:t>$</w:t>
            </w:r>
            <w:r w:rsidR="009A7DC1" w:rsidRPr="009A7DC1">
              <w:rPr>
                <w:color w:val="000000"/>
                <w:shd w:val="solid" w:color="000000" w:fill="000000"/>
                <w14:textFill>
                  <w14:solidFill>
                    <w14:srgbClr w14:val="000000">
                      <w14:alpha w14:val="100000"/>
                    </w14:srgbClr>
                  </w14:solidFill>
                </w14:textFill>
              </w:rPr>
              <w:t>|</w:t>
            </w:r>
          </w:p>
        </w:tc>
        <w:tc>
          <w:tcPr>
            <w:tcW w:w="1666" w:type="dxa"/>
            <w:tcMar>
              <w:left w:w="28" w:type="dxa"/>
              <w:right w:w="28" w:type="dxa"/>
            </w:tcMar>
            <w:vAlign w:val="center"/>
          </w:tcPr>
          <w:p w14:paraId="34D20682" w14:textId="77777777" w:rsidR="00E275F3" w:rsidRPr="0028085E" w:rsidRDefault="00E275F3" w:rsidP="00B34EF6">
            <w:pPr>
              <w:pStyle w:val="TableText"/>
              <w:keepNext w:val="0"/>
              <w:widowControl w:val="0"/>
              <w:jc w:val="center"/>
            </w:pPr>
            <w:r w:rsidRPr="0028085E">
              <w:t>0.0266</w:t>
            </w:r>
          </w:p>
        </w:tc>
        <w:tc>
          <w:tcPr>
            <w:tcW w:w="980" w:type="dxa"/>
            <w:tcMar>
              <w:left w:w="28" w:type="dxa"/>
              <w:right w:w="28" w:type="dxa"/>
            </w:tcMar>
            <w:vAlign w:val="center"/>
          </w:tcPr>
          <w:p w14:paraId="78506744" w14:textId="7EA2705F" w:rsidR="00E275F3" w:rsidRPr="0028085E" w:rsidRDefault="00E275F3" w:rsidP="00B34EF6">
            <w:pPr>
              <w:pStyle w:val="TableText"/>
              <w:keepNext w:val="0"/>
              <w:widowControl w:val="0"/>
              <w:jc w:val="center"/>
            </w:pPr>
            <w:r w:rsidRPr="0028085E">
              <w:t>$</w:t>
            </w:r>
            <w:r w:rsidR="009A7DC1" w:rsidRPr="009A7DC1">
              <w:rPr>
                <w:color w:val="000000"/>
                <w:spacing w:val="89"/>
                <w:shd w:val="solid" w:color="000000" w:fill="000000"/>
                <w:fitText w:val="175" w:id="-1435317239"/>
                <w14:textFill>
                  <w14:solidFill>
                    <w14:srgbClr w14:val="000000">
                      <w14:alpha w14:val="100000"/>
                    </w14:srgbClr>
                  </w14:solidFill>
                </w14:textFill>
              </w:rPr>
              <w:t>|</w:t>
            </w:r>
            <w:r w:rsidR="009A7DC1" w:rsidRPr="009A7DC1">
              <w:rPr>
                <w:color w:val="000000"/>
                <w:spacing w:val="1"/>
                <w:shd w:val="solid" w:color="000000" w:fill="000000"/>
                <w:fitText w:val="175" w:id="-1435317239"/>
                <w14:textFill>
                  <w14:solidFill>
                    <w14:srgbClr w14:val="000000">
                      <w14:alpha w14:val="100000"/>
                    </w14:srgbClr>
                  </w14:solidFill>
                </w14:textFill>
              </w:rPr>
              <w:t>|</w:t>
            </w:r>
            <w:r w:rsidR="004722AE">
              <w:rPr>
                <w:vertAlign w:val="superscript"/>
              </w:rPr>
              <w:t>8</w:t>
            </w:r>
          </w:p>
        </w:tc>
      </w:tr>
      <w:tr w:rsidR="00E275F3" w14:paraId="219102F9" w14:textId="77777777" w:rsidTr="003406B4">
        <w:trPr>
          <w:cantSplit/>
        </w:trPr>
        <w:tc>
          <w:tcPr>
            <w:tcW w:w="4732" w:type="dxa"/>
            <w:tcMar>
              <w:left w:w="28" w:type="dxa"/>
              <w:right w:w="28" w:type="dxa"/>
            </w:tcMar>
            <w:vAlign w:val="center"/>
          </w:tcPr>
          <w:p w14:paraId="0C728CDD" w14:textId="77777777" w:rsidR="00E275F3" w:rsidRDefault="00E275F3" w:rsidP="00B34EF6">
            <w:pPr>
              <w:pStyle w:val="TableText"/>
              <w:keepNext w:val="0"/>
              <w:widowControl w:val="0"/>
            </w:pPr>
            <w:r>
              <w:t>Larger hip fracture risk reduction (HR: 0.42)</w:t>
            </w:r>
          </w:p>
        </w:tc>
        <w:tc>
          <w:tcPr>
            <w:tcW w:w="1651" w:type="dxa"/>
            <w:tcMar>
              <w:left w:w="28" w:type="dxa"/>
              <w:right w:w="28" w:type="dxa"/>
            </w:tcMar>
            <w:vAlign w:val="center"/>
          </w:tcPr>
          <w:p w14:paraId="2192B794" w14:textId="1D104479" w:rsidR="00E275F3" w:rsidRPr="0028085E" w:rsidRDefault="00E275F3" w:rsidP="00B34EF6">
            <w:pPr>
              <w:pStyle w:val="TableText"/>
              <w:keepNext w:val="0"/>
              <w:widowControl w:val="0"/>
              <w:jc w:val="center"/>
            </w:pPr>
            <w:r w:rsidRPr="0028085E">
              <w:t>$</w:t>
            </w:r>
            <w:r w:rsidR="009A7DC1" w:rsidRPr="009A7DC1">
              <w:rPr>
                <w:color w:val="000000"/>
                <w:shd w:val="solid" w:color="000000" w:fill="000000"/>
                <w14:textFill>
                  <w14:solidFill>
                    <w14:srgbClr w14:val="000000">
                      <w14:alpha w14:val="100000"/>
                    </w14:srgbClr>
                  </w14:solidFill>
                </w14:textFill>
              </w:rPr>
              <w:t>|</w:t>
            </w:r>
          </w:p>
        </w:tc>
        <w:tc>
          <w:tcPr>
            <w:tcW w:w="1666" w:type="dxa"/>
            <w:tcMar>
              <w:left w:w="28" w:type="dxa"/>
              <w:right w:w="28" w:type="dxa"/>
            </w:tcMar>
            <w:vAlign w:val="center"/>
          </w:tcPr>
          <w:p w14:paraId="14997293" w14:textId="77777777" w:rsidR="00E275F3" w:rsidRPr="0028085E" w:rsidRDefault="00E275F3" w:rsidP="00B34EF6">
            <w:pPr>
              <w:pStyle w:val="TableText"/>
              <w:keepNext w:val="0"/>
              <w:widowControl w:val="0"/>
              <w:jc w:val="center"/>
            </w:pPr>
            <w:r w:rsidRPr="0028085E">
              <w:t>0.0535</w:t>
            </w:r>
          </w:p>
        </w:tc>
        <w:tc>
          <w:tcPr>
            <w:tcW w:w="980" w:type="dxa"/>
            <w:tcMar>
              <w:left w:w="28" w:type="dxa"/>
              <w:right w:w="28" w:type="dxa"/>
            </w:tcMar>
            <w:vAlign w:val="center"/>
          </w:tcPr>
          <w:p w14:paraId="5DCD21A8" w14:textId="71DF25F1" w:rsidR="00E275F3" w:rsidRPr="0028085E" w:rsidRDefault="00E275F3" w:rsidP="00B34EF6">
            <w:pPr>
              <w:pStyle w:val="TableText"/>
              <w:keepNext w:val="0"/>
              <w:widowControl w:val="0"/>
              <w:jc w:val="center"/>
            </w:pPr>
            <w:r w:rsidRPr="0028085E">
              <w:t>$</w:t>
            </w:r>
            <w:r w:rsidR="009A7DC1" w:rsidRPr="009A7DC1">
              <w:rPr>
                <w:color w:val="000000"/>
                <w:spacing w:val="89"/>
                <w:shd w:val="solid" w:color="000000" w:fill="000000"/>
                <w:fitText w:val="175" w:id="-1435317238"/>
                <w14:textFill>
                  <w14:solidFill>
                    <w14:srgbClr w14:val="000000">
                      <w14:alpha w14:val="100000"/>
                    </w14:srgbClr>
                  </w14:solidFill>
                </w14:textFill>
              </w:rPr>
              <w:t>|</w:t>
            </w:r>
            <w:r w:rsidR="009A7DC1" w:rsidRPr="009A7DC1">
              <w:rPr>
                <w:color w:val="000000"/>
                <w:spacing w:val="1"/>
                <w:shd w:val="solid" w:color="000000" w:fill="000000"/>
                <w:fitText w:val="175" w:id="-1435317238"/>
                <w14:textFill>
                  <w14:solidFill>
                    <w14:srgbClr w14:val="000000">
                      <w14:alpha w14:val="100000"/>
                    </w14:srgbClr>
                  </w14:solidFill>
                </w14:textFill>
              </w:rPr>
              <w:t>|</w:t>
            </w:r>
            <w:r w:rsidR="004722AE">
              <w:rPr>
                <w:vertAlign w:val="superscript"/>
              </w:rPr>
              <w:t>6</w:t>
            </w:r>
          </w:p>
        </w:tc>
      </w:tr>
      <w:tr w:rsidR="00E275F3" w14:paraId="4B3B2B94" w14:textId="77777777" w:rsidTr="003406B4">
        <w:trPr>
          <w:cantSplit/>
        </w:trPr>
        <w:tc>
          <w:tcPr>
            <w:tcW w:w="4732" w:type="dxa"/>
            <w:tcMar>
              <w:left w:w="28" w:type="dxa"/>
              <w:right w:w="28" w:type="dxa"/>
            </w:tcMar>
            <w:vAlign w:val="center"/>
          </w:tcPr>
          <w:p w14:paraId="532BD53C" w14:textId="77777777" w:rsidR="00E275F3" w:rsidRDefault="00E275F3" w:rsidP="00B34EF6">
            <w:pPr>
              <w:pStyle w:val="TableText"/>
              <w:keepNext w:val="0"/>
              <w:widowControl w:val="0"/>
            </w:pPr>
            <w:r>
              <w:t>Smaller vertebral fracture risk reduction (HR: 0.71)</w:t>
            </w:r>
          </w:p>
        </w:tc>
        <w:tc>
          <w:tcPr>
            <w:tcW w:w="1651" w:type="dxa"/>
            <w:tcMar>
              <w:left w:w="28" w:type="dxa"/>
              <w:right w:w="28" w:type="dxa"/>
            </w:tcMar>
            <w:vAlign w:val="center"/>
          </w:tcPr>
          <w:p w14:paraId="53A04346" w14:textId="33F64672" w:rsidR="00E275F3" w:rsidRPr="0028085E" w:rsidRDefault="00E275F3" w:rsidP="00B34EF6">
            <w:pPr>
              <w:pStyle w:val="TableText"/>
              <w:keepNext w:val="0"/>
              <w:widowControl w:val="0"/>
              <w:jc w:val="center"/>
            </w:pPr>
            <w:r w:rsidRPr="0028085E">
              <w:t>$</w:t>
            </w:r>
            <w:r w:rsidR="009A7DC1" w:rsidRPr="009A7DC1">
              <w:rPr>
                <w:color w:val="000000"/>
                <w:shd w:val="solid" w:color="000000" w:fill="000000"/>
                <w14:textFill>
                  <w14:solidFill>
                    <w14:srgbClr w14:val="000000">
                      <w14:alpha w14:val="100000"/>
                    </w14:srgbClr>
                  </w14:solidFill>
                </w14:textFill>
              </w:rPr>
              <w:t>|</w:t>
            </w:r>
          </w:p>
        </w:tc>
        <w:tc>
          <w:tcPr>
            <w:tcW w:w="1666" w:type="dxa"/>
            <w:tcMar>
              <w:left w:w="28" w:type="dxa"/>
              <w:right w:w="28" w:type="dxa"/>
            </w:tcMar>
            <w:vAlign w:val="center"/>
          </w:tcPr>
          <w:p w14:paraId="4641C486" w14:textId="77777777" w:rsidR="00E275F3" w:rsidRPr="0028085E" w:rsidRDefault="00E275F3" w:rsidP="00B34EF6">
            <w:pPr>
              <w:pStyle w:val="TableText"/>
              <w:keepNext w:val="0"/>
              <w:widowControl w:val="0"/>
              <w:jc w:val="center"/>
            </w:pPr>
            <w:r w:rsidRPr="0028085E">
              <w:t>0.0301</w:t>
            </w:r>
          </w:p>
        </w:tc>
        <w:tc>
          <w:tcPr>
            <w:tcW w:w="980" w:type="dxa"/>
            <w:tcMar>
              <w:left w:w="28" w:type="dxa"/>
              <w:right w:w="28" w:type="dxa"/>
            </w:tcMar>
            <w:vAlign w:val="center"/>
          </w:tcPr>
          <w:p w14:paraId="641D1854" w14:textId="3AEA096A" w:rsidR="00E275F3" w:rsidRPr="0028085E" w:rsidRDefault="00E275F3" w:rsidP="00B34EF6">
            <w:pPr>
              <w:pStyle w:val="TableText"/>
              <w:keepNext w:val="0"/>
              <w:widowControl w:val="0"/>
              <w:jc w:val="center"/>
            </w:pPr>
            <w:r w:rsidRPr="0028085E">
              <w:t>$</w:t>
            </w:r>
            <w:r w:rsidR="009A7DC1" w:rsidRPr="009A7DC1">
              <w:rPr>
                <w:color w:val="000000"/>
                <w:spacing w:val="89"/>
                <w:shd w:val="solid" w:color="000000" w:fill="000000"/>
                <w:fitText w:val="175" w:id="-1435317237"/>
                <w14:textFill>
                  <w14:solidFill>
                    <w14:srgbClr w14:val="000000">
                      <w14:alpha w14:val="100000"/>
                    </w14:srgbClr>
                  </w14:solidFill>
                </w14:textFill>
              </w:rPr>
              <w:t>|</w:t>
            </w:r>
            <w:r w:rsidR="009A7DC1" w:rsidRPr="009A7DC1">
              <w:rPr>
                <w:color w:val="000000"/>
                <w:spacing w:val="1"/>
                <w:shd w:val="solid" w:color="000000" w:fill="000000"/>
                <w:fitText w:val="175" w:id="-1435317237"/>
                <w14:textFill>
                  <w14:solidFill>
                    <w14:srgbClr w14:val="000000">
                      <w14:alpha w14:val="100000"/>
                    </w14:srgbClr>
                  </w14:solidFill>
                </w14:textFill>
              </w:rPr>
              <w:t>|</w:t>
            </w:r>
            <w:r w:rsidR="004722AE">
              <w:rPr>
                <w:vertAlign w:val="superscript"/>
              </w:rPr>
              <w:t>9</w:t>
            </w:r>
          </w:p>
        </w:tc>
      </w:tr>
      <w:tr w:rsidR="00E275F3" w14:paraId="26CD421A" w14:textId="77777777" w:rsidTr="003406B4">
        <w:trPr>
          <w:cantSplit/>
        </w:trPr>
        <w:tc>
          <w:tcPr>
            <w:tcW w:w="4732" w:type="dxa"/>
            <w:tcMar>
              <w:left w:w="28" w:type="dxa"/>
              <w:right w:w="28" w:type="dxa"/>
            </w:tcMar>
            <w:vAlign w:val="center"/>
          </w:tcPr>
          <w:p w14:paraId="3803972C" w14:textId="77777777" w:rsidR="00E275F3" w:rsidRDefault="00E275F3" w:rsidP="00B34EF6">
            <w:pPr>
              <w:pStyle w:val="TableText"/>
              <w:keepNext w:val="0"/>
              <w:widowControl w:val="0"/>
            </w:pPr>
            <w:r>
              <w:t>Larger vertebral fracture risk reduction (HR: 0.24)</w:t>
            </w:r>
          </w:p>
        </w:tc>
        <w:tc>
          <w:tcPr>
            <w:tcW w:w="1651" w:type="dxa"/>
            <w:tcMar>
              <w:left w:w="28" w:type="dxa"/>
              <w:right w:w="28" w:type="dxa"/>
            </w:tcMar>
            <w:vAlign w:val="center"/>
          </w:tcPr>
          <w:p w14:paraId="7CCB349E" w14:textId="7BB6AB94" w:rsidR="00E275F3" w:rsidRPr="0028085E" w:rsidRDefault="00E275F3" w:rsidP="00B34EF6">
            <w:pPr>
              <w:pStyle w:val="TableText"/>
              <w:keepNext w:val="0"/>
              <w:widowControl w:val="0"/>
              <w:jc w:val="center"/>
            </w:pPr>
            <w:r w:rsidRPr="0028085E">
              <w:t>$</w:t>
            </w:r>
            <w:r w:rsidR="009A7DC1" w:rsidRPr="009A7DC1">
              <w:rPr>
                <w:color w:val="000000"/>
                <w:shd w:val="solid" w:color="000000" w:fill="000000"/>
                <w14:textFill>
                  <w14:solidFill>
                    <w14:srgbClr w14:val="000000">
                      <w14:alpha w14:val="100000"/>
                    </w14:srgbClr>
                  </w14:solidFill>
                </w14:textFill>
              </w:rPr>
              <w:t>|</w:t>
            </w:r>
          </w:p>
        </w:tc>
        <w:tc>
          <w:tcPr>
            <w:tcW w:w="1666" w:type="dxa"/>
            <w:tcMar>
              <w:left w:w="28" w:type="dxa"/>
              <w:right w:w="28" w:type="dxa"/>
            </w:tcMar>
            <w:vAlign w:val="center"/>
          </w:tcPr>
          <w:p w14:paraId="1AAE9619" w14:textId="77777777" w:rsidR="00E275F3" w:rsidRPr="0028085E" w:rsidRDefault="00E275F3" w:rsidP="00B34EF6">
            <w:pPr>
              <w:pStyle w:val="TableText"/>
              <w:keepNext w:val="0"/>
              <w:widowControl w:val="0"/>
              <w:jc w:val="center"/>
            </w:pPr>
            <w:r w:rsidRPr="0028085E">
              <w:t>0.0499</w:t>
            </w:r>
          </w:p>
        </w:tc>
        <w:tc>
          <w:tcPr>
            <w:tcW w:w="980" w:type="dxa"/>
            <w:tcMar>
              <w:left w:w="28" w:type="dxa"/>
              <w:right w:w="28" w:type="dxa"/>
            </w:tcMar>
            <w:vAlign w:val="center"/>
          </w:tcPr>
          <w:p w14:paraId="36C10AEF" w14:textId="0B51086C" w:rsidR="00E275F3" w:rsidRPr="0028085E" w:rsidRDefault="00E275F3" w:rsidP="00B34EF6">
            <w:pPr>
              <w:pStyle w:val="TableText"/>
              <w:keepNext w:val="0"/>
              <w:widowControl w:val="0"/>
              <w:jc w:val="center"/>
            </w:pPr>
            <w:r w:rsidRPr="0028085E">
              <w:t>$</w:t>
            </w:r>
            <w:r w:rsidR="009A7DC1" w:rsidRPr="009A7DC1">
              <w:rPr>
                <w:color w:val="000000"/>
                <w:spacing w:val="89"/>
                <w:shd w:val="solid" w:color="000000" w:fill="000000"/>
                <w:fitText w:val="175" w:id="-1435317236"/>
                <w14:textFill>
                  <w14:solidFill>
                    <w14:srgbClr w14:val="000000">
                      <w14:alpha w14:val="100000"/>
                    </w14:srgbClr>
                  </w14:solidFill>
                </w14:textFill>
              </w:rPr>
              <w:t>|</w:t>
            </w:r>
            <w:r w:rsidR="009A7DC1" w:rsidRPr="009A7DC1">
              <w:rPr>
                <w:color w:val="000000"/>
                <w:spacing w:val="1"/>
                <w:shd w:val="solid" w:color="000000" w:fill="000000"/>
                <w:fitText w:val="175" w:id="-1435317236"/>
                <w14:textFill>
                  <w14:solidFill>
                    <w14:srgbClr w14:val="000000">
                      <w14:alpha w14:val="100000"/>
                    </w14:srgbClr>
                  </w14:solidFill>
                </w14:textFill>
              </w:rPr>
              <w:t>|</w:t>
            </w:r>
            <w:r w:rsidR="00FD6605">
              <w:rPr>
                <w:vertAlign w:val="superscript"/>
              </w:rPr>
              <w:t>2</w:t>
            </w:r>
          </w:p>
        </w:tc>
      </w:tr>
      <w:tr w:rsidR="00E275F3" w14:paraId="72F1EC94" w14:textId="77777777" w:rsidTr="003406B4">
        <w:trPr>
          <w:cantSplit/>
        </w:trPr>
        <w:tc>
          <w:tcPr>
            <w:tcW w:w="4732" w:type="dxa"/>
            <w:tcMar>
              <w:left w:w="28" w:type="dxa"/>
              <w:right w:w="28" w:type="dxa"/>
            </w:tcMar>
            <w:vAlign w:val="center"/>
          </w:tcPr>
          <w:p w14:paraId="2B6D99AB" w14:textId="77777777" w:rsidR="00E275F3" w:rsidRDefault="00E275F3" w:rsidP="00B34EF6">
            <w:pPr>
              <w:pStyle w:val="TableText"/>
              <w:keepNext w:val="0"/>
              <w:widowControl w:val="0"/>
            </w:pPr>
            <w:r>
              <w:t>No impact on other fracture (HR: 1.00)</w:t>
            </w:r>
          </w:p>
        </w:tc>
        <w:tc>
          <w:tcPr>
            <w:tcW w:w="1651" w:type="dxa"/>
            <w:tcMar>
              <w:left w:w="28" w:type="dxa"/>
              <w:right w:w="28" w:type="dxa"/>
            </w:tcMar>
            <w:vAlign w:val="center"/>
          </w:tcPr>
          <w:p w14:paraId="26ACEDC5" w14:textId="3F86A796" w:rsidR="00E275F3" w:rsidRPr="0028085E" w:rsidRDefault="00E275F3" w:rsidP="00B34EF6">
            <w:pPr>
              <w:pStyle w:val="TableText"/>
              <w:keepNext w:val="0"/>
              <w:widowControl w:val="0"/>
              <w:jc w:val="center"/>
            </w:pPr>
            <w:r w:rsidRPr="0028085E">
              <w:t>$</w:t>
            </w:r>
            <w:r w:rsidR="009A7DC1" w:rsidRPr="009A7DC1">
              <w:rPr>
                <w:color w:val="000000"/>
                <w:shd w:val="solid" w:color="000000" w:fill="000000"/>
                <w14:textFill>
                  <w14:solidFill>
                    <w14:srgbClr w14:val="000000">
                      <w14:alpha w14:val="100000"/>
                    </w14:srgbClr>
                  </w14:solidFill>
                </w14:textFill>
              </w:rPr>
              <w:t>|</w:t>
            </w:r>
          </w:p>
        </w:tc>
        <w:tc>
          <w:tcPr>
            <w:tcW w:w="1666" w:type="dxa"/>
            <w:tcMar>
              <w:left w:w="28" w:type="dxa"/>
              <w:right w:w="28" w:type="dxa"/>
            </w:tcMar>
            <w:vAlign w:val="center"/>
          </w:tcPr>
          <w:p w14:paraId="532A5E54" w14:textId="77777777" w:rsidR="00E275F3" w:rsidRPr="0028085E" w:rsidRDefault="00E275F3" w:rsidP="00B34EF6">
            <w:pPr>
              <w:pStyle w:val="TableText"/>
              <w:keepNext w:val="0"/>
              <w:widowControl w:val="0"/>
              <w:jc w:val="center"/>
            </w:pPr>
            <w:r w:rsidRPr="0028085E">
              <w:t>0.0418</w:t>
            </w:r>
          </w:p>
        </w:tc>
        <w:tc>
          <w:tcPr>
            <w:tcW w:w="980" w:type="dxa"/>
            <w:tcMar>
              <w:left w:w="28" w:type="dxa"/>
              <w:right w:w="28" w:type="dxa"/>
            </w:tcMar>
            <w:vAlign w:val="center"/>
          </w:tcPr>
          <w:p w14:paraId="1B71AC76" w14:textId="4520862F" w:rsidR="00E275F3" w:rsidRPr="0028085E" w:rsidRDefault="00E275F3" w:rsidP="00B34EF6">
            <w:pPr>
              <w:pStyle w:val="TableText"/>
              <w:keepNext w:val="0"/>
              <w:widowControl w:val="0"/>
              <w:jc w:val="center"/>
            </w:pPr>
            <w:r w:rsidRPr="0028085E">
              <w:t>$</w:t>
            </w:r>
            <w:r w:rsidR="009A7DC1" w:rsidRPr="009A7DC1">
              <w:rPr>
                <w:color w:val="000000"/>
                <w:spacing w:val="89"/>
                <w:shd w:val="solid" w:color="000000" w:fill="000000"/>
                <w:fitText w:val="175" w:id="-1435317235"/>
                <w14:textFill>
                  <w14:solidFill>
                    <w14:srgbClr w14:val="000000">
                      <w14:alpha w14:val="100000"/>
                    </w14:srgbClr>
                  </w14:solidFill>
                </w14:textFill>
              </w:rPr>
              <w:t>|</w:t>
            </w:r>
            <w:r w:rsidR="009A7DC1" w:rsidRPr="009A7DC1">
              <w:rPr>
                <w:color w:val="000000"/>
                <w:spacing w:val="1"/>
                <w:shd w:val="solid" w:color="000000" w:fill="000000"/>
                <w:fitText w:val="175" w:id="-1435317235"/>
                <w14:textFill>
                  <w14:solidFill>
                    <w14:srgbClr w14:val="000000">
                      <w14:alpha w14:val="100000"/>
                    </w14:srgbClr>
                  </w14:solidFill>
                </w14:textFill>
              </w:rPr>
              <w:t>|</w:t>
            </w:r>
            <w:r w:rsidR="00FD6605">
              <w:rPr>
                <w:vertAlign w:val="superscript"/>
              </w:rPr>
              <w:t>1</w:t>
            </w:r>
          </w:p>
        </w:tc>
      </w:tr>
      <w:tr w:rsidR="00E275F3" w14:paraId="1ACDAF32" w14:textId="77777777" w:rsidTr="003406B4">
        <w:trPr>
          <w:cantSplit/>
        </w:trPr>
        <w:tc>
          <w:tcPr>
            <w:tcW w:w="9029" w:type="dxa"/>
            <w:gridSpan w:val="4"/>
            <w:tcMar>
              <w:left w:w="28" w:type="dxa"/>
              <w:right w:w="28" w:type="dxa"/>
            </w:tcMar>
            <w:vAlign w:val="center"/>
          </w:tcPr>
          <w:p w14:paraId="460DCF12" w14:textId="0CD836F2" w:rsidR="00E275F3" w:rsidRPr="0028085E" w:rsidRDefault="00E275F3" w:rsidP="00B34EF6">
            <w:pPr>
              <w:pStyle w:val="TableText"/>
              <w:keepNext w:val="0"/>
              <w:widowControl w:val="0"/>
              <w:rPr>
                <w:b/>
                <w:bCs w:val="0"/>
                <w:vertAlign w:val="superscript"/>
              </w:rPr>
            </w:pPr>
            <w:r w:rsidRPr="0028085E">
              <w:rPr>
                <w:b/>
                <w:bCs w:val="0"/>
              </w:rPr>
              <w:t>Treatment effect duration (base case fixed for 3 years then linear decrease until convergence by 6 years)</w:t>
            </w:r>
            <w:r w:rsidR="0028085E" w:rsidRPr="0028085E">
              <w:rPr>
                <w:b/>
                <w:bCs w:val="0"/>
                <w:vertAlign w:val="superscript"/>
              </w:rPr>
              <w:t>a</w:t>
            </w:r>
          </w:p>
        </w:tc>
      </w:tr>
      <w:tr w:rsidR="00E275F3" w14:paraId="6506EA03" w14:textId="77777777" w:rsidTr="003406B4">
        <w:trPr>
          <w:cantSplit/>
        </w:trPr>
        <w:tc>
          <w:tcPr>
            <w:tcW w:w="4732" w:type="dxa"/>
            <w:tcMar>
              <w:left w:w="28" w:type="dxa"/>
              <w:right w:w="28" w:type="dxa"/>
            </w:tcMar>
            <w:vAlign w:val="center"/>
          </w:tcPr>
          <w:p w14:paraId="5FC6D9D8" w14:textId="77777777" w:rsidR="00E275F3" w:rsidRDefault="00E275F3" w:rsidP="00B34EF6">
            <w:pPr>
              <w:pStyle w:val="TableText"/>
              <w:keepNext w:val="0"/>
              <w:widowControl w:val="0"/>
            </w:pPr>
            <w:r>
              <w:t>Fixed for 3 years, convergence by 4 years</w:t>
            </w:r>
          </w:p>
        </w:tc>
        <w:tc>
          <w:tcPr>
            <w:tcW w:w="1651" w:type="dxa"/>
            <w:tcMar>
              <w:left w:w="28" w:type="dxa"/>
              <w:right w:w="28" w:type="dxa"/>
            </w:tcMar>
            <w:vAlign w:val="center"/>
          </w:tcPr>
          <w:p w14:paraId="6AA014A6" w14:textId="53424906" w:rsidR="00E275F3" w:rsidRPr="0028085E" w:rsidRDefault="00E275F3" w:rsidP="00B34EF6">
            <w:pPr>
              <w:pStyle w:val="TableText"/>
              <w:keepNext w:val="0"/>
              <w:widowControl w:val="0"/>
              <w:jc w:val="center"/>
            </w:pPr>
            <w:r w:rsidRPr="0028085E">
              <w:t>$</w:t>
            </w:r>
            <w:r w:rsidR="009A7DC1" w:rsidRPr="009A7DC1">
              <w:rPr>
                <w:color w:val="000000"/>
                <w:shd w:val="solid" w:color="000000" w:fill="000000"/>
                <w14:textFill>
                  <w14:solidFill>
                    <w14:srgbClr w14:val="000000">
                      <w14:alpha w14:val="100000"/>
                    </w14:srgbClr>
                  </w14:solidFill>
                </w14:textFill>
              </w:rPr>
              <w:t>|</w:t>
            </w:r>
          </w:p>
        </w:tc>
        <w:tc>
          <w:tcPr>
            <w:tcW w:w="1666" w:type="dxa"/>
            <w:tcMar>
              <w:left w:w="28" w:type="dxa"/>
              <w:right w:w="28" w:type="dxa"/>
            </w:tcMar>
            <w:vAlign w:val="center"/>
          </w:tcPr>
          <w:p w14:paraId="1A4514B3" w14:textId="77777777" w:rsidR="00E275F3" w:rsidRPr="0028085E" w:rsidRDefault="00E275F3" w:rsidP="00B34EF6">
            <w:pPr>
              <w:pStyle w:val="TableText"/>
              <w:keepNext w:val="0"/>
              <w:widowControl w:val="0"/>
              <w:jc w:val="center"/>
            </w:pPr>
            <w:r w:rsidRPr="0028085E">
              <w:t>0.0340</w:t>
            </w:r>
          </w:p>
        </w:tc>
        <w:tc>
          <w:tcPr>
            <w:tcW w:w="980" w:type="dxa"/>
            <w:tcMar>
              <w:left w:w="28" w:type="dxa"/>
              <w:right w:w="28" w:type="dxa"/>
            </w:tcMar>
            <w:vAlign w:val="center"/>
          </w:tcPr>
          <w:p w14:paraId="6737DC2F" w14:textId="4831F4BA" w:rsidR="00E275F3" w:rsidRPr="0028085E" w:rsidRDefault="00E275F3" w:rsidP="00B34EF6">
            <w:pPr>
              <w:pStyle w:val="TableText"/>
              <w:keepNext w:val="0"/>
              <w:widowControl w:val="0"/>
              <w:jc w:val="center"/>
            </w:pPr>
            <w:r w:rsidRPr="0028085E">
              <w:t>$</w:t>
            </w:r>
            <w:r w:rsidR="009A7DC1" w:rsidRPr="009A7DC1">
              <w:rPr>
                <w:color w:val="000000"/>
                <w:spacing w:val="89"/>
                <w:shd w:val="solid" w:color="000000" w:fill="000000"/>
                <w:fitText w:val="175" w:id="-1435317234"/>
                <w14:textFill>
                  <w14:solidFill>
                    <w14:srgbClr w14:val="000000">
                      <w14:alpha w14:val="100000"/>
                    </w14:srgbClr>
                  </w14:solidFill>
                </w14:textFill>
              </w:rPr>
              <w:t>|</w:t>
            </w:r>
            <w:r w:rsidR="009A7DC1" w:rsidRPr="009A7DC1">
              <w:rPr>
                <w:color w:val="000000"/>
                <w:spacing w:val="1"/>
                <w:shd w:val="solid" w:color="000000" w:fill="000000"/>
                <w:fitText w:val="175" w:id="-1435317234"/>
                <w14:textFill>
                  <w14:solidFill>
                    <w14:srgbClr w14:val="000000">
                      <w14:alpha w14:val="100000"/>
                    </w14:srgbClr>
                  </w14:solidFill>
                </w14:textFill>
              </w:rPr>
              <w:t>|</w:t>
            </w:r>
            <w:r w:rsidR="004722AE">
              <w:rPr>
                <w:vertAlign w:val="superscript"/>
              </w:rPr>
              <w:t>5</w:t>
            </w:r>
          </w:p>
        </w:tc>
      </w:tr>
      <w:tr w:rsidR="00E275F3" w14:paraId="0CF7A32B" w14:textId="77777777" w:rsidTr="003406B4">
        <w:trPr>
          <w:cantSplit/>
        </w:trPr>
        <w:tc>
          <w:tcPr>
            <w:tcW w:w="4732" w:type="dxa"/>
            <w:tcMar>
              <w:left w:w="28" w:type="dxa"/>
              <w:right w:w="28" w:type="dxa"/>
            </w:tcMar>
            <w:vAlign w:val="center"/>
          </w:tcPr>
          <w:p w14:paraId="554C675B" w14:textId="77777777" w:rsidR="00E275F3" w:rsidRDefault="00E275F3" w:rsidP="00B34EF6">
            <w:pPr>
              <w:pStyle w:val="TableText"/>
              <w:keepNext w:val="0"/>
              <w:widowControl w:val="0"/>
            </w:pPr>
            <w:r>
              <w:t>Fixed for 3 years, convergence by 5 years</w:t>
            </w:r>
          </w:p>
        </w:tc>
        <w:tc>
          <w:tcPr>
            <w:tcW w:w="1651" w:type="dxa"/>
            <w:tcMar>
              <w:left w:w="28" w:type="dxa"/>
              <w:right w:w="28" w:type="dxa"/>
            </w:tcMar>
            <w:vAlign w:val="center"/>
          </w:tcPr>
          <w:p w14:paraId="6F25E7F8" w14:textId="18EBF357" w:rsidR="00E275F3" w:rsidRPr="0028085E" w:rsidRDefault="00E275F3" w:rsidP="00B34EF6">
            <w:pPr>
              <w:pStyle w:val="TableText"/>
              <w:keepNext w:val="0"/>
              <w:widowControl w:val="0"/>
              <w:jc w:val="center"/>
            </w:pPr>
            <w:r w:rsidRPr="0028085E">
              <w:t>$</w:t>
            </w:r>
            <w:r w:rsidR="009A7DC1" w:rsidRPr="009A7DC1">
              <w:rPr>
                <w:color w:val="000000"/>
                <w:shd w:val="solid" w:color="000000" w:fill="000000"/>
                <w14:textFill>
                  <w14:solidFill>
                    <w14:srgbClr w14:val="000000">
                      <w14:alpha w14:val="100000"/>
                    </w14:srgbClr>
                  </w14:solidFill>
                </w14:textFill>
              </w:rPr>
              <w:t>|</w:t>
            </w:r>
          </w:p>
        </w:tc>
        <w:tc>
          <w:tcPr>
            <w:tcW w:w="1666" w:type="dxa"/>
            <w:tcMar>
              <w:left w:w="28" w:type="dxa"/>
              <w:right w:w="28" w:type="dxa"/>
            </w:tcMar>
            <w:vAlign w:val="center"/>
          </w:tcPr>
          <w:p w14:paraId="1C41141A" w14:textId="77777777" w:rsidR="00E275F3" w:rsidRPr="0028085E" w:rsidRDefault="00E275F3" w:rsidP="00B34EF6">
            <w:pPr>
              <w:pStyle w:val="TableText"/>
              <w:keepNext w:val="0"/>
              <w:widowControl w:val="0"/>
              <w:jc w:val="center"/>
            </w:pPr>
            <w:r w:rsidRPr="0028085E">
              <w:t>0.0386</w:t>
            </w:r>
          </w:p>
        </w:tc>
        <w:tc>
          <w:tcPr>
            <w:tcW w:w="980" w:type="dxa"/>
            <w:tcMar>
              <w:left w:w="28" w:type="dxa"/>
              <w:right w:w="28" w:type="dxa"/>
            </w:tcMar>
            <w:vAlign w:val="center"/>
          </w:tcPr>
          <w:p w14:paraId="07ACD86E" w14:textId="39653413" w:rsidR="00E275F3" w:rsidRPr="0028085E" w:rsidRDefault="00E275F3" w:rsidP="00B34EF6">
            <w:pPr>
              <w:pStyle w:val="TableText"/>
              <w:keepNext w:val="0"/>
              <w:widowControl w:val="0"/>
              <w:jc w:val="center"/>
            </w:pPr>
            <w:r w:rsidRPr="0028085E">
              <w:t>$</w:t>
            </w:r>
            <w:r w:rsidR="009A7DC1" w:rsidRPr="009A7DC1">
              <w:rPr>
                <w:color w:val="000000"/>
                <w:spacing w:val="89"/>
                <w:shd w:val="solid" w:color="000000" w:fill="000000"/>
                <w:fitText w:val="175" w:id="-1435317233"/>
                <w14:textFill>
                  <w14:solidFill>
                    <w14:srgbClr w14:val="000000">
                      <w14:alpha w14:val="100000"/>
                    </w14:srgbClr>
                  </w14:solidFill>
                </w14:textFill>
              </w:rPr>
              <w:t>|</w:t>
            </w:r>
            <w:r w:rsidR="009A7DC1" w:rsidRPr="009A7DC1">
              <w:rPr>
                <w:color w:val="000000"/>
                <w:spacing w:val="1"/>
                <w:shd w:val="solid" w:color="000000" w:fill="000000"/>
                <w:fitText w:val="175" w:id="-1435317233"/>
                <w14:textFill>
                  <w14:solidFill>
                    <w14:srgbClr w14:val="000000">
                      <w14:alpha w14:val="100000"/>
                    </w14:srgbClr>
                  </w14:solidFill>
                </w14:textFill>
              </w:rPr>
              <w:t>|</w:t>
            </w:r>
            <w:r w:rsidR="00FD6605">
              <w:rPr>
                <w:vertAlign w:val="superscript"/>
              </w:rPr>
              <w:t>1</w:t>
            </w:r>
          </w:p>
        </w:tc>
      </w:tr>
      <w:tr w:rsidR="00E275F3" w14:paraId="5CF35206" w14:textId="77777777" w:rsidTr="003406B4">
        <w:trPr>
          <w:cantSplit/>
        </w:trPr>
        <w:tc>
          <w:tcPr>
            <w:tcW w:w="4732" w:type="dxa"/>
            <w:tcMar>
              <w:left w:w="28" w:type="dxa"/>
              <w:right w:w="28" w:type="dxa"/>
            </w:tcMar>
            <w:vAlign w:val="center"/>
          </w:tcPr>
          <w:p w14:paraId="133B6CBC" w14:textId="77777777" w:rsidR="00E275F3" w:rsidRDefault="00E275F3" w:rsidP="00B34EF6">
            <w:pPr>
              <w:pStyle w:val="TableText"/>
              <w:keepNext w:val="0"/>
              <w:widowControl w:val="0"/>
            </w:pPr>
            <w:r>
              <w:t>Fixed for 4 years, convergence by 5 years</w:t>
            </w:r>
          </w:p>
        </w:tc>
        <w:tc>
          <w:tcPr>
            <w:tcW w:w="1651" w:type="dxa"/>
            <w:tcMar>
              <w:left w:w="28" w:type="dxa"/>
              <w:right w:w="28" w:type="dxa"/>
            </w:tcMar>
            <w:vAlign w:val="center"/>
          </w:tcPr>
          <w:p w14:paraId="69C7200B" w14:textId="6D557B22" w:rsidR="00E275F3" w:rsidRPr="0028085E" w:rsidRDefault="00E275F3" w:rsidP="00B34EF6">
            <w:pPr>
              <w:pStyle w:val="TableText"/>
              <w:keepNext w:val="0"/>
              <w:widowControl w:val="0"/>
              <w:jc w:val="center"/>
            </w:pPr>
            <w:r w:rsidRPr="0028085E">
              <w:t>$</w:t>
            </w:r>
            <w:r w:rsidR="009A7DC1" w:rsidRPr="009A7DC1">
              <w:rPr>
                <w:color w:val="000000"/>
                <w:shd w:val="solid" w:color="000000" w:fill="000000"/>
                <w14:textFill>
                  <w14:solidFill>
                    <w14:srgbClr w14:val="000000">
                      <w14:alpha w14:val="100000"/>
                    </w14:srgbClr>
                  </w14:solidFill>
                </w14:textFill>
              </w:rPr>
              <w:t>|</w:t>
            </w:r>
          </w:p>
        </w:tc>
        <w:tc>
          <w:tcPr>
            <w:tcW w:w="1666" w:type="dxa"/>
            <w:tcMar>
              <w:left w:w="28" w:type="dxa"/>
              <w:right w:w="28" w:type="dxa"/>
            </w:tcMar>
            <w:vAlign w:val="center"/>
          </w:tcPr>
          <w:p w14:paraId="1725253C" w14:textId="77777777" w:rsidR="00E275F3" w:rsidRPr="0028085E" w:rsidRDefault="00E275F3" w:rsidP="00B34EF6">
            <w:pPr>
              <w:pStyle w:val="TableText"/>
              <w:keepNext w:val="0"/>
              <w:widowControl w:val="0"/>
              <w:jc w:val="center"/>
            </w:pPr>
            <w:r w:rsidRPr="0028085E">
              <w:t>0.0433</w:t>
            </w:r>
          </w:p>
        </w:tc>
        <w:tc>
          <w:tcPr>
            <w:tcW w:w="980" w:type="dxa"/>
            <w:tcMar>
              <w:left w:w="28" w:type="dxa"/>
              <w:right w:w="28" w:type="dxa"/>
            </w:tcMar>
            <w:vAlign w:val="center"/>
          </w:tcPr>
          <w:p w14:paraId="07121D1B" w14:textId="75C0AB13" w:rsidR="00E275F3" w:rsidRPr="0028085E" w:rsidRDefault="00E275F3" w:rsidP="00B34EF6">
            <w:pPr>
              <w:pStyle w:val="TableText"/>
              <w:keepNext w:val="0"/>
              <w:widowControl w:val="0"/>
              <w:jc w:val="center"/>
            </w:pPr>
            <w:r w:rsidRPr="0028085E">
              <w:t>$</w:t>
            </w:r>
            <w:r w:rsidR="009A7DC1" w:rsidRPr="009A7DC1">
              <w:rPr>
                <w:color w:val="000000"/>
                <w:spacing w:val="89"/>
                <w:shd w:val="solid" w:color="000000" w:fill="000000"/>
                <w:fitText w:val="175" w:id="-1435317232"/>
                <w14:textFill>
                  <w14:solidFill>
                    <w14:srgbClr w14:val="000000">
                      <w14:alpha w14:val="100000"/>
                    </w14:srgbClr>
                  </w14:solidFill>
                </w14:textFill>
              </w:rPr>
              <w:t>|</w:t>
            </w:r>
            <w:r w:rsidR="009A7DC1" w:rsidRPr="009A7DC1">
              <w:rPr>
                <w:color w:val="000000"/>
                <w:spacing w:val="1"/>
                <w:shd w:val="solid" w:color="000000" w:fill="000000"/>
                <w:fitText w:val="175" w:id="-1435317232"/>
                <w14:textFill>
                  <w14:solidFill>
                    <w14:srgbClr w14:val="000000">
                      <w14:alpha w14:val="100000"/>
                    </w14:srgbClr>
                  </w14:solidFill>
                </w14:textFill>
              </w:rPr>
              <w:t>|</w:t>
            </w:r>
            <w:r w:rsidR="00FD6605">
              <w:rPr>
                <w:vertAlign w:val="superscript"/>
              </w:rPr>
              <w:t>1</w:t>
            </w:r>
          </w:p>
        </w:tc>
      </w:tr>
      <w:tr w:rsidR="00E275F3" w14:paraId="707DE050" w14:textId="77777777" w:rsidTr="003406B4">
        <w:trPr>
          <w:cantSplit/>
        </w:trPr>
        <w:tc>
          <w:tcPr>
            <w:tcW w:w="4732" w:type="dxa"/>
            <w:tcMar>
              <w:left w:w="28" w:type="dxa"/>
              <w:right w:w="28" w:type="dxa"/>
            </w:tcMar>
            <w:vAlign w:val="center"/>
          </w:tcPr>
          <w:p w14:paraId="7D9E9960" w14:textId="77777777" w:rsidR="00E275F3" w:rsidRDefault="00E275F3" w:rsidP="00B34EF6">
            <w:pPr>
              <w:pStyle w:val="TableText"/>
              <w:keepNext w:val="0"/>
              <w:widowControl w:val="0"/>
            </w:pPr>
            <w:r>
              <w:t>Fixed for 4 years, convergence by 6 years</w:t>
            </w:r>
          </w:p>
        </w:tc>
        <w:tc>
          <w:tcPr>
            <w:tcW w:w="1651" w:type="dxa"/>
            <w:tcMar>
              <w:left w:w="28" w:type="dxa"/>
              <w:right w:w="28" w:type="dxa"/>
            </w:tcMar>
            <w:vAlign w:val="center"/>
          </w:tcPr>
          <w:p w14:paraId="486EF8FA" w14:textId="473FB55E" w:rsidR="00E275F3" w:rsidRPr="0028085E" w:rsidRDefault="00E275F3" w:rsidP="00B34EF6">
            <w:pPr>
              <w:pStyle w:val="TableText"/>
              <w:keepNext w:val="0"/>
              <w:widowControl w:val="0"/>
              <w:jc w:val="center"/>
            </w:pPr>
            <w:r w:rsidRPr="0028085E">
              <w:t>$</w:t>
            </w:r>
            <w:r w:rsidR="009A7DC1" w:rsidRPr="009A7DC1">
              <w:rPr>
                <w:color w:val="000000"/>
                <w:shd w:val="solid" w:color="000000" w:fill="000000"/>
                <w14:textFill>
                  <w14:solidFill>
                    <w14:srgbClr w14:val="000000">
                      <w14:alpha w14:val="100000"/>
                    </w14:srgbClr>
                  </w14:solidFill>
                </w14:textFill>
              </w:rPr>
              <w:t>|</w:t>
            </w:r>
          </w:p>
        </w:tc>
        <w:tc>
          <w:tcPr>
            <w:tcW w:w="1666" w:type="dxa"/>
            <w:tcMar>
              <w:left w:w="28" w:type="dxa"/>
              <w:right w:w="28" w:type="dxa"/>
            </w:tcMar>
            <w:vAlign w:val="center"/>
          </w:tcPr>
          <w:p w14:paraId="64526775" w14:textId="77777777" w:rsidR="00E275F3" w:rsidRPr="0028085E" w:rsidRDefault="00E275F3" w:rsidP="00B34EF6">
            <w:pPr>
              <w:pStyle w:val="TableText"/>
              <w:keepNext w:val="0"/>
              <w:widowControl w:val="0"/>
              <w:jc w:val="center"/>
            </w:pPr>
            <w:r w:rsidRPr="0028085E">
              <w:t>0.0473</w:t>
            </w:r>
          </w:p>
        </w:tc>
        <w:tc>
          <w:tcPr>
            <w:tcW w:w="980" w:type="dxa"/>
            <w:tcMar>
              <w:left w:w="28" w:type="dxa"/>
              <w:right w:w="28" w:type="dxa"/>
            </w:tcMar>
            <w:vAlign w:val="center"/>
          </w:tcPr>
          <w:p w14:paraId="4857EF23" w14:textId="75B48B29" w:rsidR="00E275F3" w:rsidRPr="0028085E" w:rsidRDefault="00E275F3" w:rsidP="00B34EF6">
            <w:pPr>
              <w:pStyle w:val="TableText"/>
              <w:keepNext w:val="0"/>
              <w:widowControl w:val="0"/>
              <w:jc w:val="center"/>
            </w:pPr>
            <w:r w:rsidRPr="0028085E">
              <w:t>$</w:t>
            </w:r>
            <w:r w:rsidR="009A7DC1" w:rsidRPr="009A7DC1">
              <w:rPr>
                <w:color w:val="000000"/>
                <w:spacing w:val="89"/>
                <w:shd w:val="solid" w:color="000000" w:fill="000000"/>
                <w:fitText w:val="175" w:id="-1435317248"/>
                <w14:textFill>
                  <w14:solidFill>
                    <w14:srgbClr w14:val="000000">
                      <w14:alpha w14:val="100000"/>
                    </w14:srgbClr>
                  </w14:solidFill>
                </w14:textFill>
              </w:rPr>
              <w:t>|</w:t>
            </w:r>
            <w:r w:rsidR="009A7DC1" w:rsidRPr="009A7DC1">
              <w:rPr>
                <w:color w:val="000000"/>
                <w:spacing w:val="1"/>
                <w:shd w:val="solid" w:color="000000" w:fill="000000"/>
                <w:fitText w:val="175" w:id="-1435317248"/>
                <w14:textFill>
                  <w14:solidFill>
                    <w14:srgbClr w14:val="000000">
                      <w14:alpha w14:val="100000"/>
                    </w14:srgbClr>
                  </w14:solidFill>
                </w14:textFill>
              </w:rPr>
              <w:t>|</w:t>
            </w:r>
            <w:r w:rsidR="00FD6605">
              <w:rPr>
                <w:vertAlign w:val="superscript"/>
              </w:rPr>
              <w:t>2</w:t>
            </w:r>
          </w:p>
        </w:tc>
      </w:tr>
      <w:tr w:rsidR="00E275F3" w14:paraId="37841B80" w14:textId="77777777" w:rsidTr="003406B4">
        <w:trPr>
          <w:cantSplit/>
        </w:trPr>
        <w:tc>
          <w:tcPr>
            <w:tcW w:w="4732" w:type="dxa"/>
            <w:tcMar>
              <w:left w:w="28" w:type="dxa"/>
              <w:right w:w="28" w:type="dxa"/>
            </w:tcMar>
            <w:vAlign w:val="center"/>
          </w:tcPr>
          <w:p w14:paraId="28134BA9" w14:textId="77777777" w:rsidR="00E275F3" w:rsidRDefault="00E275F3" w:rsidP="00B34EF6">
            <w:pPr>
              <w:pStyle w:val="TableText"/>
              <w:keepNext w:val="0"/>
              <w:widowControl w:val="0"/>
            </w:pPr>
            <w:r>
              <w:t>Fixed for 5 years, convergence by 6 years</w:t>
            </w:r>
          </w:p>
        </w:tc>
        <w:tc>
          <w:tcPr>
            <w:tcW w:w="1651" w:type="dxa"/>
            <w:tcMar>
              <w:left w:w="28" w:type="dxa"/>
              <w:right w:w="28" w:type="dxa"/>
            </w:tcMar>
            <w:vAlign w:val="center"/>
          </w:tcPr>
          <w:p w14:paraId="074A49C5" w14:textId="1AB0736F" w:rsidR="00E275F3" w:rsidRPr="0028085E" w:rsidRDefault="00E275F3" w:rsidP="00B34EF6">
            <w:pPr>
              <w:pStyle w:val="TableText"/>
              <w:keepNext w:val="0"/>
              <w:widowControl w:val="0"/>
              <w:jc w:val="center"/>
            </w:pPr>
            <w:r w:rsidRPr="0028085E">
              <w:t>$</w:t>
            </w:r>
            <w:r w:rsidR="009A7DC1" w:rsidRPr="009A7DC1">
              <w:rPr>
                <w:color w:val="000000"/>
                <w:shd w:val="solid" w:color="000000" w:fill="000000"/>
                <w14:textFill>
                  <w14:solidFill>
                    <w14:srgbClr w14:val="000000">
                      <w14:alpha w14:val="100000"/>
                    </w14:srgbClr>
                  </w14:solidFill>
                </w14:textFill>
              </w:rPr>
              <w:t>|</w:t>
            </w:r>
          </w:p>
        </w:tc>
        <w:tc>
          <w:tcPr>
            <w:tcW w:w="1666" w:type="dxa"/>
            <w:tcMar>
              <w:left w:w="28" w:type="dxa"/>
              <w:right w:w="28" w:type="dxa"/>
            </w:tcMar>
            <w:vAlign w:val="center"/>
          </w:tcPr>
          <w:p w14:paraId="47FCC6F5" w14:textId="77777777" w:rsidR="00E275F3" w:rsidRPr="0028085E" w:rsidRDefault="00E275F3" w:rsidP="00B34EF6">
            <w:pPr>
              <w:pStyle w:val="TableText"/>
              <w:keepNext w:val="0"/>
              <w:widowControl w:val="0"/>
              <w:jc w:val="center"/>
            </w:pPr>
            <w:r w:rsidRPr="0028085E">
              <w:t>0.0513</w:t>
            </w:r>
          </w:p>
        </w:tc>
        <w:tc>
          <w:tcPr>
            <w:tcW w:w="980" w:type="dxa"/>
            <w:tcMar>
              <w:left w:w="28" w:type="dxa"/>
              <w:right w:w="28" w:type="dxa"/>
            </w:tcMar>
            <w:vAlign w:val="center"/>
          </w:tcPr>
          <w:p w14:paraId="47698E47" w14:textId="471E0553" w:rsidR="00E275F3" w:rsidRPr="0028085E" w:rsidRDefault="00E275F3" w:rsidP="00B34EF6">
            <w:pPr>
              <w:pStyle w:val="TableText"/>
              <w:keepNext w:val="0"/>
              <w:widowControl w:val="0"/>
              <w:jc w:val="center"/>
            </w:pPr>
            <w:r w:rsidRPr="0028085E">
              <w:t>$</w:t>
            </w:r>
            <w:r w:rsidR="009A7DC1" w:rsidRPr="009A7DC1">
              <w:rPr>
                <w:color w:val="000000"/>
                <w:spacing w:val="89"/>
                <w:shd w:val="solid" w:color="000000" w:fill="000000"/>
                <w:fitText w:val="175" w:id="-1435317247"/>
                <w14:textFill>
                  <w14:solidFill>
                    <w14:srgbClr w14:val="000000">
                      <w14:alpha w14:val="100000"/>
                    </w14:srgbClr>
                  </w14:solidFill>
                </w14:textFill>
              </w:rPr>
              <w:t>|</w:t>
            </w:r>
            <w:r w:rsidR="009A7DC1" w:rsidRPr="009A7DC1">
              <w:rPr>
                <w:color w:val="000000"/>
                <w:spacing w:val="1"/>
                <w:shd w:val="solid" w:color="000000" w:fill="000000"/>
                <w:fitText w:val="175" w:id="-1435317247"/>
                <w14:textFill>
                  <w14:solidFill>
                    <w14:srgbClr w14:val="000000">
                      <w14:alpha w14:val="100000"/>
                    </w14:srgbClr>
                  </w14:solidFill>
                </w14:textFill>
              </w:rPr>
              <w:t>|</w:t>
            </w:r>
            <w:r w:rsidR="00FD6605">
              <w:rPr>
                <w:vertAlign w:val="superscript"/>
              </w:rPr>
              <w:t>2</w:t>
            </w:r>
          </w:p>
        </w:tc>
      </w:tr>
      <w:tr w:rsidR="00EF6AE4" w:rsidRPr="005E2E4D" w14:paraId="79DBC62D" w14:textId="77777777" w:rsidTr="00A66B0D">
        <w:trPr>
          <w:cantSplit/>
        </w:trPr>
        <w:tc>
          <w:tcPr>
            <w:tcW w:w="9029" w:type="dxa"/>
            <w:gridSpan w:val="4"/>
            <w:tcMar>
              <w:left w:w="28" w:type="dxa"/>
              <w:right w:w="28" w:type="dxa"/>
            </w:tcMar>
            <w:vAlign w:val="center"/>
          </w:tcPr>
          <w:p w14:paraId="2C9C0E42" w14:textId="79DE4C95" w:rsidR="00EF6AE4" w:rsidRPr="005E2E4D" w:rsidRDefault="00EF6AE4" w:rsidP="00EF6AE4">
            <w:pPr>
              <w:pStyle w:val="TableText"/>
              <w:keepNext w:val="0"/>
              <w:widowControl w:val="0"/>
              <w:rPr>
                <w:vertAlign w:val="superscript"/>
              </w:rPr>
            </w:pPr>
            <w:r w:rsidRPr="005E2E4D">
              <w:rPr>
                <w:b/>
                <w:bCs w:val="0"/>
              </w:rPr>
              <w:t>Multivariate analysis</w:t>
            </w:r>
            <w:r w:rsidR="00C03ECA" w:rsidRPr="005E2E4D">
              <w:rPr>
                <w:vertAlign w:val="superscript"/>
              </w:rPr>
              <w:t>b</w:t>
            </w:r>
          </w:p>
        </w:tc>
      </w:tr>
      <w:tr w:rsidR="00EF6AE4" w:rsidRPr="005E2E4D" w14:paraId="2DB98FD5" w14:textId="77777777" w:rsidTr="00A66B0D">
        <w:trPr>
          <w:cantSplit/>
        </w:trPr>
        <w:tc>
          <w:tcPr>
            <w:tcW w:w="9029" w:type="dxa"/>
            <w:gridSpan w:val="4"/>
            <w:tcMar>
              <w:left w:w="28" w:type="dxa"/>
              <w:right w:w="28" w:type="dxa"/>
            </w:tcMar>
            <w:vAlign w:val="center"/>
          </w:tcPr>
          <w:p w14:paraId="644B0988" w14:textId="1D625542" w:rsidR="00EF6AE4" w:rsidRPr="005E2E4D" w:rsidRDefault="00EF6AE4" w:rsidP="00EF6AE4">
            <w:pPr>
              <w:pStyle w:val="TableText"/>
              <w:keepNext w:val="0"/>
              <w:widowControl w:val="0"/>
              <w:rPr>
                <w:b/>
                <w:bCs w:val="0"/>
              </w:rPr>
            </w:pPr>
            <w:r w:rsidRPr="005E2E4D">
              <w:rPr>
                <w:b/>
                <w:bCs w:val="0"/>
              </w:rPr>
              <w:t>Treatment discontinuation and treatment effect duration (base case 5% per year in both arms with treatment effect duration fixed for 3 years then linear decrease until convergence by 6 years)</w:t>
            </w:r>
          </w:p>
        </w:tc>
      </w:tr>
      <w:tr w:rsidR="00EF6AE4" w:rsidRPr="005E2E4D" w14:paraId="3E06EA18" w14:textId="77777777" w:rsidTr="003406B4">
        <w:trPr>
          <w:cantSplit/>
        </w:trPr>
        <w:tc>
          <w:tcPr>
            <w:tcW w:w="4732" w:type="dxa"/>
            <w:tcMar>
              <w:left w:w="28" w:type="dxa"/>
              <w:right w:w="28" w:type="dxa"/>
            </w:tcMar>
            <w:vAlign w:val="center"/>
          </w:tcPr>
          <w:p w14:paraId="1C0D6290" w14:textId="1150BD63" w:rsidR="00EF6AE4" w:rsidRPr="005E2E4D" w:rsidRDefault="00EF6AE4" w:rsidP="00EF6AE4">
            <w:pPr>
              <w:pStyle w:val="TableText"/>
              <w:keepNext w:val="0"/>
              <w:widowControl w:val="0"/>
            </w:pPr>
            <w:r w:rsidRPr="005E2E4D">
              <w:rPr>
                <w:rFonts w:eastAsiaTheme="minorHAnsi"/>
              </w:rPr>
              <w:t>Treatment discontinuation 20% per year, both arms; treatment effect duration fixed for 3 years, convergence by 4 years.</w:t>
            </w:r>
          </w:p>
        </w:tc>
        <w:tc>
          <w:tcPr>
            <w:tcW w:w="1651" w:type="dxa"/>
            <w:tcMar>
              <w:left w:w="28" w:type="dxa"/>
              <w:right w:w="28" w:type="dxa"/>
            </w:tcMar>
            <w:vAlign w:val="center"/>
          </w:tcPr>
          <w:p w14:paraId="488AFB7D" w14:textId="4739C12B" w:rsidR="00EF6AE4" w:rsidRPr="005E2E4D" w:rsidRDefault="00EF6AE4" w:rsidP="00EF6AE4">
            <w:pPr>
              <w:pStyle w:val="TableText"/>
              <w:keepNext w:val="0"/>
              <w:widowControl w:val="0"/>
              <w:jc w:val="center"/>
            </w:pPr>
            <w:r w:rsidRPr="005E2E4D">
              <w:rPr>
                <w:rFonts w:eastAsiaTheme="minorHAnsi"/>
              </w:rPr>
              <w:t>$</w:t>
            </w:r>
            <w:r w:rsidR="009A7DC1" w:rsidRPr="009A7DC1">
              <w:rPr>
                <w:rFonts w:eastAsiaTheme="minorHAnsi"/>
                <w:color w:val="000000"/>
                <w:shd w:val="solid" w:color="000000" w:fill="000000"/>
                <w14:textFill>
                  <w14:solidFill>
                    <w14:srgbClr w14:val="000000">
                      <w14:alpha w14:val="100000"/>
                    </w14:srgbClr>
                  </w14:solidFill>
                </w14:textFill>
              </w:rPr>
              <w:t>|</w:t>
            </w:r>
          </w:p>
        </w:tc>
        <w:tc>
          <w:tcPr>
            <w:tcW w:w="1666" w:type="dxa"/>
            <w:tcMar>
              <w:left w:w="28" w:type="dxa"/>
              <w:right w:w="28" w:type="dxa"/>
            </w:tcMar>
            <w:vAlign w:val="center"/>
          </w:tcPr>
          <w:p w14:paraId="16DEC7B3" w14:textId="430597D7" w:rsidR="00EF6AE4" w:rsidRPr="005E2E4D" w:rsidRDefault="00EF6AE4" w:rsidP="00EF6AE4">
            <w:pPr>
              <w:pStyle w:val="TableText"/>
              <w:keepNext w:val="0"/>
              <w:widowControl w:val="0"/>
              <w:jc w:val="center"/>
            </w:pPr>
            <w:r w:rsidRPr="005E2E4D">
              <w:rPr>
                <w:rFonts w:eastAsiaTheme="minorHAnsi"/>
              </w:rPr>
              <w:t>0.0282</w:t>
            </w:r>
          </w:p>
        </w:tc>
        <w:tc>
          <w:tcPr>
            <w:tcW w:w="980" w:type="dxa"/>
            <w:tcMar>
              <w:left w:w="28" w:type="dxa"/>
              <w:right w:w="28" w:type="dxa"/>
            </w:tcMar>
            <w:vAlign w:val="center"/>
          </w:tcPr>
          <w:p w14:paraId="7B9FD6F8" w14:textId="70670CF5" w:rsidR="00EF6AE4" w:rsidRPr="005E2E4D" w:rsidRDefault="00EF6AE4" w:rsidP="00EF6AE4">
            <w:pPr>
              <w:pStyle w:val="TableText"/>
              <w:keepNext w:val="0"/>
              <w:widowControl w:val="0"/>
              <w:jc w:val="center"/>
            </w:pPr>
            <w:r w:rsidRPr="005E2E4D">
              <w:rPr>
                <w:rFonts w:eastAsiaTheme="minorHAnsi"/>
              </w:rPr>
              <w:t>$</w:t>
            </w:r>
            <w:r w:rsidR="009A7DC1" w:rsidRPr="009A7DC1">
              <w:rPr>
                <w:rFonts w:eastAsiaTheme="minorHAnsi"/>
                <w:color w:val="000000"/>
                <w:spacing w:val="89"/>
                <w:shd w:val="solid" w:color="000000" w:fill="000000"/>
                <w:fitText w:val="175" w:id="-1435317246"/>
                <w14:textFill>
                  <w14:solidFill>
                    <w14:srgbClr w14:val="000000">
                      <w14:alpha w14:val="100000"/>
                    </w14:srgbClr>
                  </w14:solidFill>
                </w14:textFill>
              </w:rPr>
              <w:t>|</w:t>
            </w:r>
            <w:r w:rsidR="009A7DC1" w:rsidRPr="009A7DC1">
              <w:rPr>
                <w:rFonts w:eastAsiaTheme="minorHAnsi"/>
                <w:color w:val="000000"/>
                <w:spacing w:val="1"/>
                <w:shd w:val="solid" w:color="000000" w:fill="000000"/>
                <w:fitText w:val="175" w:id="-1435317246"/>
                <w14:textFill>
                  <w14:solidFill>
                    <w14:srgbClr w14:val="000000">
                      <w14:alpha w14:val="100000"/>
                    </w14:srgbClr>
                  </w14:solidFill>
                </w14:textFill>
              </w:rPr>
              <w:t>|</w:t>
            </w:r>
            <w:r w:rsidR="004722AE">
              <w:rPr>
                <w:vertAlign w:val="superscript"/>
              </w:rPr>
              <w:t>9</w:t>
            </w:r>
          </w:p>
        </w:tc>
      </w:tr>
    </w:tbl>
    <w:p w14:paraId="5A1BFAB8" w14:textId="77777777" w:rsidR="00E275F3" w:rsidRPr="005E2E4D" w:rsidRDefault="00E275F3" w:rsidP="00E275F3">
      <w:pPr>
        <w:pStyle w:val="TableFigureFooter"/>
      </w:pPr>
      <w:r w:rsidRPr="005E2E4D">
        <w:t>Source: constructed during the evaluation using the ‘Evenity_CEA_Mar22’ Excel economic model of the resubmission</w:t>
      </w:r>
    </w:p>
    <w:p w14:paraId="7E6E4280" w14:textId="7CA313E8" w:rsidR="00E275F3" w:rsidRPr="005E2E4D" w:rsidRDefault="00E275F3" w:rsidP="00E275F3">
      <w:pPr>
        <w:pStyle w:val="TableFigureFooter"/>
      </w:pPr>
      <w:r w:rsidRPr="005E2E4D">
        <w:t>Abbreviation: HR, hazard ratio; QALY, quality adjusted life year</w:t>
      </w:r>
    </w:p>
    <w:p w14:paraId="66FA2AA6" w14:textId="034C56E5" w:rsidR="00E275F3" w:rsidRPr="005E2E4D" w:rsidRDefault="0028085E" w:rsidP="00E275F3">
      <w:pPr>
        <w:pStyle w:val="TableFigureFooter"/>
      </w:pPr>
      <w:r w:rsidRPr="005E2E4D">
        <w:rPr>
          <w:vertAlign w:val="superscript"/>
        </w:rPr>
        <w:t xml:space="preserve">a </w:t>
      </w:r>
      <w:r w:rsidRPr="005E2E4D">
        <w:t>E</w:t>
      </w:r>
      <w:r w:rsidR="00E275F3" w:rsidRPr="005E2E4D">
        <w:t>stimates were calculated during the evaluation</w:t>
      </w:r>
    </w:p>
    <w:p w14:paraId="22AE4DC3" w14:textId="3BE89ED7" w:rsidR="00C03ECA" w:rsidRDefault="00C03ECA" w:rsidP="00D80EF5">
      <w:pPr>
        <w:pStyle w:val="TableFigureFooter"/>
        <w:spacing w:after="0"/>
      </w:pPr>
      <w:r w:rsidRPr="005E2E4D">
        <w:rPr>
          <w:vertAlign w:val="superscript"/>
        </w:rPr>
        <w:t xml:space="preserve">b </w:t>
      </w:r>
      <w:r w:rsidRPr="005E2E4D">
        <w:t>Estimates were calculated during the preparation of the ESC Advice</w:t>
      </w:r>
    </w:p>
    <w:p w14:paraId="52635BF7" w14:textId="77777777" w:rsidR="00D80EF5" w:rsidRPr="009A6D58" w:rsidRDefault="00D80EF5" w:rsidP="00D80EF5">
      <w:pPr>
        <w:rPr>
          <w:rFonts w:ascii="Arial Narrow" w:hAnsi="Arial Narrow"/>
          <w:i/>
          <w:sz w:val="18"/>
          <w:szCs w:val="18"/>
        </w:rPr>
      </w:pPr>
      <w:r w:rsidRPr="009A6D58">
        <w:rPr>
          <w:rFonts w:ascii="Arial Narrow" w:hAnsi="Arial Narrow"/>
          <w:i/>
          <w:sz w:val="18"/>
          <w:szCs w:val="18"/>
        </w:rPr>
        <w:t xml:space="preserve">The redacted values correspond to the following ranges: </w:t>
      </w:r>
    </w:p>
    <w:p w14:paraId="48CBFD81" w14:textId="28049769" w:rsidR="00D80EF5" w:rsidRPr="009A6D58" w:rsidRDefault="00D80EF5" w:rsidP="00D80EF5">
      <w:pPr>
        <w:rPr>
          <w:rFonts w:ascii="Arial Narrow" w:hAnsi="Arial Narrow"/>
          <w:i/>
          <w:sz w:val="18"/>
          <w:szCs w:val="18"/>
        </w:rPr>
      </w:pPr>
      <w:r w:rsidRPr="009A6D58">
        <w:rPr>
          <w:rFonts w:ascii="Arial Narrow" w:hAnsi="Arial Narrow"/>
          <w:i/>
          <w:sz w:val="18"/>
          <w:szCs w:val="18"/>
          <w:vertAlign w:val="superscript"/>
        </w:rPr>
        <w:t>1</w:t>
      </w:r>
      <w:r>
        <w:rPr>
          <w:rFonts w:ascii="Arial Narrow" w:hAnsi="Arial Narrow"/>
          <w:i/>
          <w:sz w:val="18"/>
          <w:szCs w:val="18"/>
        </w:rPr>
        <w:t xml:space="preserve"> </w:t>
      </w:r>
      <w:r w:rsidR="00FD6605" w:rsidRPr="00FD6605">
        <w:rPr>
          <w:rFonts w:ascii="Arial Narrow" w:hAnsi="Arial Narrow"/>
          <w:i/>
          <w:sz w:val="18"/>
          <w:szCs w:val="18"/>
        </w:rPr>
        <w:t>$35,000 to &lt; $45,000</w:t>
      </w:r>
    </w:p>
    <w:p w14:paraId="54C9117B" w14:textId="2E924579" w:rsidR="00D80EF5" w:rsidRPr="009A6D58" w:rsidRDefault="00D80EF5" w:rsidP="00D80EF5">
      <w:pPr>
        <w:rPr>
          <w:rFonts w:ascii="Arial Narrow" w:hAnsi="Arial Narrow"/>
          <w:i/>
          <w:sz w:val="18"/>
          <w:szCs w:val="18"/>
        </w:rPr>
      </w:pPr>
      <w:r w:rsidRPr="009A6D58">
        <w:rPr>
          <w:rFonts w:ascii="Arial Narrow" w:hAnsi="Arial Narrow"/>
          <w:i/>
          <w:sz w:val="18"/>
          <w:szCs w:val="18"/>
          <w:vertAlign w:val="superscript"/>
        </w:rPr>
        <w:t>2</w:t>
      </w:r>
      <w:r>
        <w:rPr>
          <w:rFonts w:ascii="Arial Narrow" w:hAnsi="Arial Narrow"/>
          <w:i/>
          <w:sz w:val="18"/>
          <w:szCs w:val="18"/>
        </w:rPr>
        <w:t xml:space="preserve"> </w:t>
      </w:r>
      <w:r w:rsidR="00FD6605" w:rsidRPr="00FD6605">
        <w:rPr>
          <w:rFonts w:ascii="Arial Narrow" w:hAnsi="Arial Narrow"/>
          <w:i/>
          <w:sz w:val="18"/>
          <w:szCs w:val="18"/>
        </w:rPr>
        <w:t>$25,000 to &lt; $35,000</w:t>
      </w:r>
    </w:p>
    <w:p w14:paraId="40B090CC" w14:textId="342380D2" w:rsidR="00D80EF5" w:rsidRDefault="00D80EF5" w:rsidP="00D80EF5">
      <w:pPr>
        <w:rPr>
          <w:rFonts w:ascii="Arial Narrow" w:hAnsi="Arial Narrow"/>
          <w:i/>
          <w:sz w:val="18"/>
          <w:szCs w:val="18"/>
        </w:rPr>
      </w:pPr>
      <w:r w:rsidRPr="009A6D58">
        <w:rPr>
          <w:rFonts w:ascii="Arial Narrow" w:hAnsi="Arial Narrow"/>
          <w:i/>
          <w:sz w:val="18"/>
          <w:szCs w:val="18"/>
          <w:vertAlign w:val="superscript"/>
        </w:rPr>
        <w:t>3</w:t>
      </w:r>
      <w:r>
        <w:rPr>
          <w:rFonts w:ascii="Arial Narrow" w:hAnsi="Arial Narrow"/>
          <w:i/>
          <w:sz w:val="18"/>
          <w:szCs w:val="18"/>
        </w:rPr>
        <w:t xml:space="preserve"> </w:t>
      </w:r>
      <w:r w:rsidR="00FD6605" w:rsidRPr="00FD6605">
        <w:rPr>
          <w:rFonts w:ascii="Arial Narrow" w:hAnsi="Arial Narrow"/>
          <w:i/>
          <w:sz w:val="18"/>
          <w:szCs w:val="18"/>
        </w:rPr>
        <w:t>$155,000 to &lt; $255,000</w:t>
      </w:r>
    </w:p>
    <w:p w14:paraId="50AFB847" w14:textId="567C9EF7" w:rsidR="00D80EF5" w:rsidRDefault="00D80EF5" w:rsidP="00D80EF5">
      <w:pPr>
        <w:rPr>
          <w:rFonts w:ascii="Arial Narrow" w:hAnsi="Arial Narrow"/>
          <w:i/>
          <w:sz w:val="18"/>
          <w:szCs w:val="18"/>
        </w:rPr>
      </w:pPr>
      <w:r>
        <w:rPr>
          <w:rFonts w:ascii="Arial Narrow" w:hAnsi="Arial Narrow"/>
          <w:i/>
          <w:sz w:val="18"/>
          <w:szCs w:val="18"/>
          <w:vertAlign w:val="superscript"/>
        </w:rPr>
        <w:t>4</w:t>
      </w:r>
      <w:r>
        <w:rPr>
          <w:rFonts w:ascii="Arial Narrow" w:hAnsi="Arial Narrow"/>
          <w:i/>
          <w:sz w:val="18"/>
          <w:szCs w:val="18"/>
        </w:rPr>
        <w:t xml:space="preserve"> </w:t>
      </w:r>
      <w:r w:rsidR="00FD6605" w:rsidRPr="00FD6605">
        <w:rPr>
          <w:rFonts w:ascii="Arial Narrow" w:hAnsi="Arial Narrow"/>
          <w:i/>
          <w:sz w:val="18"/>
          <w:szCs w:val="18"/>
        </w:rPr>
        <w:t>$95,000 to &lt; $115,000</w:t>
      </w:r>
    </w:p>
    <w:p w14:paraId="003D514A" w14:textId="108F00B3" w:rsidR="00D80EF5" w:rsidRDefault="00D80EF5" w:rsidP="00D80EF5">
      <w:pPr>
        <w:rPr>
          <w:rFonts w:ascii="Arial Narrow" w:hAnsi="Arial Narrow"/>
          <w:i/>
          <w:sz w:val="18"/>
          <w:szCs w:val="18"/>
        </w:rPr>
      </w:pPr>
      <w:r>
        <w:rPr>
          <w:rFonts w:ascii="Arial Narrow" w:hAnsi="Arial Narrow"/>
          <w:i/>
          <w:sz w:val="18"/>
          <w:szCs w:val="18"/>
          <w:vertAlign w:val="superscript"/>
        </w:rPr>
        <w:t>5</w:t>
      </w:r>
      <w:r>
        <w:rPr>
          <w:rFonts w:ascii="Arial Narrow" w:hAnsi="Arial Narrow"/>
          <w:i/>
          <w:sz w:val="18"/>
          <w:szCs w:val="18"/>
        </w:rPr>
        <w:t xml:space="preserve"> </w:t>
      </w:r>
      <w:r w:rsidR="004722AE" w:rsidRPr="004722AE">
        <w:rPr>
          <w:rFonts w:ascii="Arial Narrow" w:hAnsi="Arial Narrow"/>
          <w:i/>
          <w:sz w:val="18"/>
          <w:szCs w:val="18"/>
        </w:rPr>
        <w:t>$45,000 to &lt; $55,000</w:t>
      </w:r>
    </w:p>
    <w:p w14:paraId="4B644106" w14:textId="3B12F4C5" w:rsidR="00D80EF5" w:rsidRDefault="00D80EF5" w:rsidP="00D80EF5">
      <w:pPr>
        <w:rPr>
          <w:rFonts w:ascii="Arial Narrow" w:hAnsi="Arial Narrow"/>
          <w:i/>
          <w:sz w:val="18"/>
          <w:szCs w:val="18"/>
        </w:rPr>
      </w:pPr>
      <w:r>
        <w:rPr>
          <w:rFonts w:ascii="Arial Narrow" w:hAnsi="Arial Narrow"/>
          <w:i/>
          <w:sz w:val="18"/>
          <w:szCs w:val="18"/>
          <w:vertAlign w:val="superscript"/>
        </w:rPr>
        <w:t>6</w:t>
      </w:r>
      <w:r>
        <w:rPr>
          <w:rFonts w:ascii="Arial Narrow" w:hAnsi="Arial Narrow"/>
          <w:i/>
          <w:sz w:val="18"/>
          <w:szCs w:val="18"/>
        </w:rPr>
        <w:t xml:space="preserve"> </w:t>
      </w:r>
      <w:r w:rsidR="004722AE" w:rsidRPr="004722AE">
        <w:rPr>
          <w:rFonts w:ascii="Arial Narrow" w:hAnsi="Arial Narrow"/>
          <w:i/>
          <w:sz w:val="18"/>
          <w:szCs w:val="18"/>
        </w:rPr>
        <w:t>$15,000 to &lt; $25,000</w:t>
      </w:r>
    </w:p>
    <w:p w14:paraId="601F6569" w14:textId="575130FC" w:rsidR="00D80EF5" w:rsidRPr="009A6D58" w:rsidRDefault="00D80EF5" w:rsidP="00D80EF5">
      <w:pPr>
        <w:rPr>
          <w:rFonts w:ascii="Arial Narrow" w:hAnsi="Arial Narrow"/>
          <w:i/>
          <w:sz w:val="18"/>
          <w:szCs w:val="18"/>
        </w:rPr>
      </w:pPr>
      <w:r>
        <w:rPr>
          <w:rFonts w:ascii="Arial Narrow" w:hAnsi="Arial Narrow"/>
          <w:i/>
          <w:sz w:val="18"/>
          <w:szCs w:val="18"/>
          <w:vertAlign w:val="superscript"/>
        </w:rPr>
        <w:t>7</w:t>
      </w:r>
      <w:r>
        <w:rPr>
          <w:rFonts w:ascii="Arial Narrow" w:hAnsi="Arial Narrow"/>
          <w:i/>
          <w:sz w:val="18"/>
          <w:szCs w:val="18"/>
        </w:rPr>
        <w:t xml:space="preserve"> </w:t>
      </w:r>
      <w:r w:rsidR="004722AE" w:rsidRPr="004722AE">
        <w:rPr>
          <w:rFonts w:ascii="Arial Narrow" w:hAnsi="Arial Narrow"/>
          <w:i/>
          <w:sz w:val="18"/>
          <w:szCs w:val="18"/>
        </w:rPr>
        <w:t>$115,000 to &lt; $135,000</w:t>
      </w:r>
    </w:p>
    <w:p w14:paraId="2F825A64" w14:textId="55FE39B2" w:rsidR="00D80EF5" w:rsidRPr="009A6D58" w:rsidRDefault="00D80EF5" w:rsidP="00D80EF5">
      <w:pPr>
        <w:rPr>
          <w:rFonts w:ascii="Arial Narrow" w:hAnsi="Arial Narrow"/>
          <w:i/>
          <w:sz w:val="18"/>
          <w:szCs w:val="18"/>
        </w:rPr>
      </w:pPr>
      <w:r>
        <w:rPr>
          <w:rFonts w:ascii="Arial Narrow" w:hAnsi="Arial Narrow"/>
          <w:i/>
          <w:sz w:val="18"/>
          <w:szCs w:val="18"/>
          <w:vertAlign w:val="superscript"/>
        </w:rPr>
        <w:t>8</w:t>
      </w:r>
      <w:r>
        <w:rPr>
          <w:rFonts w:ascii="Arial Narrow" w:hAnsi="Arial Narrow"/>
          <w:i/>
          <w:sz w:val="18"/>
          <w:szCs w:val="18"/>
        </w:rPr>
        <w:t xml:space="preserve"> </w:t>
      </w:r>
      <w:r w:rsidR="004722AE" w:rsidRPr="004722AE">
        <w:rPr>
          <w:rFonts w:ascii="Arial Narrow" w:hAnsi="Arial Narrow"/>
          <w:i/>
          <w:sz w:val="18"/>
          <w:szCs w:val="18"/>
        </w:rPr>
        <w:t>$75,000 to &lt; $95,000</w:t>
      </w:r>
    </w:p>
    <w:p w14:paraId="36D281B9" w14:textId="5B54B500" w:rsidR="00D80EF5" w:rsidRDefault="00D80EF5" w:rsidP="004722AE">
      <w:pPr>
        <w:spacing w:after="120"/>
        <w:rPr>
          <w:rFonts w:ascii="Arial Narrow" w:hAnsi="Arial Narrow"/>
          <w:i/>
          <w:sz w:val="18"/>
          <w:szCs w:val="18"/>
        </w:rPr>
      </w:pPr>
      <w:r>
        <w:rPr>
          <w:rFonts w:ascii="Arial Narrow" w:hAnsi="Arial Narrow"/>
          <w:i/>
          <w:sz w:val="18"/>
          <w:szCs w:val="18"/>
          <w:vertAlign w:val="superscript"/>
        </w:rPr>
        <w:t>9</w:t>
      </w:r>
      <w:r>
        <w:rPr>
          <w:rFonts w:ascii="Arial Narrow" w:hAnsi="Arial Narrow"/>
          <w:i/>
          <w:sz w:val="18"/>
          <w:szCs w:val="18"/>
        </w:rPr>
        <w:t xml:space="preserve"> </w:t>
      </w:r>
      <w:r w:rsidR="004722AE" w:rsidRPr="004722AE">
        <w:rPr>
          <w:rFonts w:ascii="Arial Narrow" w:hAnsi="Arial Narrow"/>
          <w:i/>
          <w:sz w:val="18"/>
          <w:szCs w:val="18"/>
        </w:rPr>
        <w:t>$55,000 to &lt; $75,000</w:t>
      </w:r>
    </w:p>
    <w:p w14:paraId="7C1D0A0D" w14:textId="37523F7F" w:rsidR="00C25D9C" w:rsidRDefault="00B67998" w:rsidP="00BB732D">
      <w:pPr>
        <w:pStyle w:val="ExecSumBodyText"/>
      </w:pPr>
      <w:r w:rsidRPr="00B67998">
        <w:t xml:space="preserve">Results of the sensitivity analyses indicated that the model was most sensitive to the magnitude of treatment benefit, the extrapolation of treatment benefits beyond the trial duration and treatment discontinuation assumptions.  </w:t>
      </w:r>
    </w:p>
    <w:p w14:paraId="6D538FF6" w14:textId="4218171E" w:rsidR="00A54AE5" w:rsidRPr="005E2E4D" w:rsidRDefault="00A54AE5" w:rsidP="00044C86">
      <w:pPr>
        <w:pStyle w:val="ExecSumBodyText"/>
      </w:pPr>
      <w:r w:rsidRPr="0028085E">
        <w:t xml:space="preserve">The impact of treatment discontinuation using time-varying persistence estimates could not be adequately assessed due to model structure. Results of alternative scenarios (fixed persistence followed by 100% discontinuation) suggest that perfect persistence for 5 years is needed to achieve an incremental cost per QALY gained of less than </w:t>
      </w:r>
      <w:r w:rsidR="00044C86" w:rsidRPr="00044C86">
        <w:t>$35,000 to &lt; $45,000</w:t>
      </w:r>
      <w:r w:rsidRPr="0028085E">
        <w:t>. The model was also sensitive to any differences in treatment persistence between arms.</w:t>
      </w:r>
      <w:r w:rsidR="00417FC5">
        <w:t xml:space="preserve"> </w:t>
      </w:r>
      <w:r w:rsidR="00417FC5" w:rsidRPr="005E2E4D">
        <w:t xml:space="preserve">The ESC noted that </w:t>
      </w:r>
      <w:r w:rsidR="00CC7D7F" w:rsidRPr="005E2E4D">
        <w:t>a</w:t>
      </w:r>
      <w:r w:rsidR="00417FC5" w:rsidRPr="005E2E4D">
        <w:t xml:space="preserve"> treatment discontinuation rate </w:t>
      </w:r>
      <w:r w:rsidR="00CC7D7F" w:rsidRPr="005E2E4D">
        <w:t>of</w:t>
      </w:r>
      <w:r w:rsidR="00417FC5" w:rsidRPr="005E2E4D">
        <w:t xml:space="preserve"> 20% per year, in both arms, increased the ICER from </w:t>
      </w:r>
      <w:r w:rsidR="00044C86" w:rsidRPr="00044C86">
        <w:t>$35,000 to &lt; $45,000</w:t>
      </w:r>
      <w:r w:rsidR="00044C86">
        <w:t xml:space="preserve"> </w:t>
      </w:r>
      <w:r w:rsidR="00850CCB" w:rsidRPr="005E2E4D">
        <w:t xml:space="preserve">per </w:t>
      </w:r>
      <w:r w:rsidR="00417FC5" w:rsidRPr="005E2E4D">
        <w:t xml:space="preserve">QALY </w:t>
      </w:r>
      <w:r w:rsidR="00850CCB" w:rsidRPr="005E2E4D">
        <w:t xml:space="preserve">gained </w:t>
      </w:r>
      <w:r w:rsidR="00417FC5" w:rsidRPr="005E2E4D">
        <w:t xml:space="preserve">in the base case to </w:t>
      </w:r>
      <w:r w:rsidR="00044C86" w:rsidRPr="00044C86">
        <w:t>$45,000 to &lt; $55,000</w:t>
      </w:r>
      <w:r w:rsidR="00044C86">
        <w:t xml:space="preserve"> </w:t>
      </w:r>
      <w:r w:rsidR="00850CCB" w:rsidRPr="005E2E4D">
        <w:t xml:space="preserve">per </w:t>
      </w:r>
      <w:r w:rsidR="00417FC5" w:rsidRPr="005E2E4D">
        <w:t>QALY</w:t>
      </w:r>
      <w:r w:rsidR="00850CCB" w:rsidRPr="005E2E4D">
        <w:t xml:space="preserve"> gained. The ESC considered that, given the poor persistence with anti-resorptive therapy evident in the March 2022 DUSC Secretariat analysis (see paragraph </w:t>
      </w:r>
      <w:r w:rsidR="00850CCB" w:rsidRPr="005E2E4D">
        <w:fldChar w:fldCharType="begin"/>
      </w:r>
      <w:r w:rsidR="00850CCB" w:rsidRPr="005E2E4D">
        <w:instrText xml:space="preserve"> REF _Ref106096252 \r \h </w:instrText>
      </w:r>
      <w:r w:rsidR="005E2E4D">
        <w:instrText xml:space="preserve"> \* MERGEFORMAT </w:instrText>
      </w:r>
      <w:r w:rsidR="00850CCB" w:rsidRPr="005E2E4D">
        <w:fldChar w:fldCharType="separate"/>
      </w:r>
      <w:r w:rsidR="00F57113">
        <w:t>6.28</w:t>
      </w:r>
      <w:r w:rsidR="00850CCB" w:rsidRPr="005E2E4D">
        <w:fldChar w:fldCharType="end"/>
      </w:r>
      <w:r w:rsidR="00850CCB" w:rsidRPr="005E2E4D">
        <w:t xml:space="preserve">), a 20% treatment discontinuation rate would likely be the minimum discontinuation rate anticipated in clinical practice.   </w:t>
      </w:r>
    </w:p>
    <w:p w14:paraId="38A15269" w14:textId="5C9E91FC" w:rsidR="00CC7D7F" w:rsidRPr="005E2E4D" w:rsidRDefault="00CC7D7F" w:rsidP="00044C86">
      <w:pPr>
        <w:pStyle w:val="ExecSumBodyText"/>
      </w:pPr>
      <w:r w:rsidRPr="005E2E4D">
        <w:t xml:space="preserve">As outlined in paragraph </w:t>
      </w:r>
      <w:r w:rsidRPr="005E2E4D">
        <w:fldChar w:fldCharType="begin"/>
      </w:r>
      <w:r w:rsidRPr="005E2E4D">
        <w:instrText xml:space="preserve"> REF _Ref106184947 \r \h </w:instrText>
      </w:r>
      <w:r w:rsidR="005E2E4D">
        <w:instrText xml:space="preserve"> \* MERGEFORMAT </w:instrText>
      </w:r>
      <w:r w:rsidRPr="005E2E4D">
        <w:fldChar w:fldCharType="separate"/>
      </w:r>
      <w:r w:rsidR="003A029A">
        <w:t>6.29</w:t>
      </w:r>
      <w:r w:rsidRPr="005E2E4D">
        <w:fldChar w:fldCharType="end"/>
      </w:r>
      <w:r w:rsidRPr="005E2E4D">
        <w:t>, the ESC considered that convergence by 4 years would be more likely in clinical practice. The ESC noted that assuming the treatment effect was fixed for 3 years, with convergence by 4 years, increased the ICER to</w:t>
      </w:r>
      <w:r w:rsidR="00044C86">
        <w:t xml:space="preserve"> </w:t>
      </w:r>
      <w:r w:rsidR="00044C86" w:rsidRPr="00044C86">
        <w:t>$45,000 to &lt; $55,000</w:t>
      </w:r>
      <w:r w:rsidR="00044C86">
        <w:t xml:space="preserve"> </w:t>
      </w:r>
      <w:r w:rsidRPr="005E2E4D">
        <w:t>per QALY gained.</w:t>
      </w:r>
    </w:p>
    <w:p w14:paraId="6257690F" w14:textId="77F7CE08" w:rsidR="00AA4D6B" w:rsidRPr="005E2E4D" w:rsidRDefault="00AA4D6B" w:rsidP="00044C86">
      <w:pPr>
        <w:pStyle w:val="ExecSumBodyText"/>
      </w:pPr>
      <w:r w:rsidRPr="005E2E4D">
        <w:t xml:space="preserve">Adjustment of both discontinuation and convergence increased the ICER to </w:t>
      </w:r>
      <w:r w:rsidR="00044C86" w:rsidRPr="00044C86">
        <w:t>$55,000 to &lt; $75,000</w:t>
      </w:r>
      <w:r w:rsidRPr="005E2E4D">
        <w:t xml:space="preserve"> per QALY gained. </w:t>
      </w:r>
    </w:p>
    <w:p w14:paraId="41A717ED" w14:textId="78A7FB52" w:rsidR="00A54AE5" w:rsidRPr="005E2E4D" w:rsidRDefault="00A54AE5" w:rsidP="00BB732D">
      <w:pPr>
        <w:pStyle w:val="ExecSumBodyText"/>
      </w:pPr>
      <w:bookmarkStart w:id="52" w:name="_Ref106191482"/>
      <w:r w:rsidRPr="005E2E4D">
        <w:t xml:space="preserve">The </w:t>
      </w:r>
      <w:r w:rsidR="00417FC5" w:rsidRPr="005E2E4D">
        <w:t xml:space="preserve">ESC noted the </w:t>
      </w:r>
      <w:r w:rsidRPr="005E2E4D">
        <w:t>structure of the economic model did not allow sensitivity analyses to assess the impact of fatal cardiovascular events.</w:t>
      </w:r>
      <w:r w:rsidR="00E80033" w:rsidRPr="005E2E4D">
        <w:t xml:space="preserve"> The ESC considered a model that allowed a mortality impact associated with cardiovascular events would be more consistent with the clinical trial evidence.</w:t>
      </w:r>
      <w:bookmarkEnd w:id="52"/>
      <w:r w:rsidR="001B760B">
        <w:t xml:space="preserve"> The pre-PBAC response argued that cardiovascular deaths were reported in a similar proportion of patients in both treatment arms in the ARCH trial (see paragraph </w:t>
      </w:r>
      <w:r w:rsidR="001B760B">
        <w:fldChar w:fldCharType="begin"/>
      </w:r>
      <w:r w:rsidR="001B760B">
        <w:instrText xml:space="preserve"> REF _Ref110454408 \r \h </w:instrText>
      </w:r>
      <w:r w:rsidR="001B760B">
        <w:fldChar w:fldCharType="separate"/>
      </w:r>
      <w:r w:rsidR="00F57113">
        <w:t>6.74</w:t>
      </w:r>
      <w:r w:rsidR="001B760B">
        <w:fldChar w:fldCharType="end"/>
      </w:r>
      <w:r w:rsidR="001B760B">
        <w:t xml:space="preserve">). </w:t>
      </w:r>
    </w:p>
    <w:p w14:paraId="0EE7215E" w14:textId="38BC4BAD" w:rsidR="00417FC5" w:rsidRDefault="00417FC5" w:rsidP="00417FC5">
      <w:pPr>
        <w:pStyle w:val="ExecSumBodyText"/>
      </w:pPr>
      <w:r w:rsidRPr="0028085E">
        <w:t>The impact of second line use of romosozumab under the existing listing could not be adequately assessed due to lack of data informing the proportion of patients who would progress to second line romosozumab, underlying fracture risk and fracture outcomes associated with romosozumab in patients previously treated with anti-resorptive therapy.</w:t>
      </w:r>
      <w:bookmarkStart w:id="53" w:name="_Ref106191519"/>
    </w:p>
    <w:bookmarkEnd w:id="53"/>
    <w:p w14:paraId="446DFAA7" w14:textId="2D82D30B" w:rsidR="00033EEA" w:rsidRPr="0028085E" w:rsidRDefault="00033EEA" w:rsidP="00033EEA">
      <w:pPr>
        <w:pStyle w:val="ExecSumBodyText"/>
      </w:pPr>
      <w:r w:rsidRPr="0028085E">
        <w:t>The resubmission presented a sensitivity analysis using denosumab as an alternative comparator. Annual fracture risks were based on the estimates derived for the alendronate arm in the base case, with an adjustment to vertebral fracture risk based on improved treatment efficacy associated with denosumab compared to alendronate. Hip and other fracture risks were unadjusted. The resubmission assumed the same relative treatment benefit of romosozumab versus alendronate would be applicable to the comparison between romosozumab and denosumab. No data were provided in support of this assumption.</w:t>
      </w:r>
    </w:p>
    <w:p w14:paraId="472842D7" w14:textId="3ADC1AF0" w:rsidR="00C25D9C" w:rsidRPr="00262BDA" w:rsidRDefault="00C25D9C" w:rsidP="00BB732D">
      <w:pPr>
        <w:pStyle w:val="3-SubsectionHeading"/>
      </w:pPr>
      <w:bookmarkStart w:id="54" w:name="_Toc22897646"/>
      <w:bookmarkStart w:id="55" w:name="_Toc103610479"/>
      <w:r w:rsidRPr="00262BDA">
        <w:t>Drug</w:t>
      </w:r>
      <w:r w:rsidR="0040098E">
        <w:t xml:space="preserve"> </w:t>
      </w:r>
      <w:r w:rsidRPr="00262BDA">
        <w:t>cost/patient/</w:t>
      </w:r>
      <w:bookmarkEnd w:id="54"/>
      <w:r w:rsidR="0040098E">
        <w:t>year</w:t>
      </w:r>
      <w:bookmarkEnd w:id="55"/>
    </w:p>
    <w:p w14:paraId="59683964" w14:textId="032535DF" w:rsidR="00181D6D" w:rsidRDefault="00181D6D" w:rsidP="00B20A1F">
      <w:pPr>
        <w:pStyle w:val="TableHeading"/>
      </w:pPr>
      <w:r>
        <w:t xml:space="preserve">Table </w:t>
      </w:r>
      <w:fldSimple w:instr=" SEQ Table \* ARABIC ">
        <w:r w:rsidR="00016A98">
          <w:rPr>
            <w:noProof/>
          </w:rPr>
          <w:t>14</w:t>
        </w:r>
      </w:fldSimple>
      <w:r w:rsidR="00B20A1F">
        <w:t>: Drug cost per patient for romosozumab/alendronate</w:t>
      </w:r>
    </w:p>
    <w:tbl>
      <w:tblPr>
        <w:tblStyle w:val="TableGrid"/>
        <w:tblW w:w="0" w:type="auto"/>
        <w:tblLook w:val="04A0" w:firstRow="1" w:lastRow="0" w:firstColumn="1" w:lastColumn="0" w:noHBand="0" w:noVBand="1"/>
      </w:tblPr>
      <w:tblGrid>
        <w:gridCol w:w="1955"/>
        <w:gridCol w:w="2354"/>
        <w:gridCol w:w="2354"/>
        <w:gridCol w:w="2354"/>
      </w:tblGrid>
      <w:tr w:rsidR="004F4963" w:rsidRPr="0039214A" w14:paraId="43FC0B93" w14:textId="77777777" w:rsidTr="0074053C">
        <w:tc>
          <w:tcPr>
            <w:tcW w:w="1955" w:type="dxa"/>
          </w:tcPr>
          <w:p w14:paraId="20052570" w14:textId="77777777" w:rsidR="004F4963" w:rsidRPr="0039214A" w:rsidRDefault="004F4963" w:rsidP="00727173">
            <w:pPr>
              <w:pStyle w:val="TableText"/>
              <w:rPr>
                <w:b/>
                <w:bCs w:val="0"/>
              </w:rPr>
            </w:pPr>
          </w:p>
        </w:tc>
        <w:tc>
          <w:tcPr>
            <w:tcW w:w="2354" w:type="dxa"/>
            <w:vAlign w:val="center"/>
          </w:tcPr>
          <w:p w14:paraId="0079FFE6" w14:textId="3BC44F88" w:rsidR="004F4963" w:rsidRPr="0039214A" w:rsidRDefault="004F4963" w:rsidP="0074053C">
            <w:pPr>
              <w:pStyle w:val="TableText"/>
              <w:jc w:val="center"/>
              <w:rPr>
                <w:b/>
                <w:bCs w:val="0"/>
              </w:rPr>
            </w:pPr>
            <w:r w:rsidRPr="0039214A">
              <w:rPr>
                <w:b/>
                <w:bCs w:val="0"/>
              </w:rPr>
              <w:t>ARCH trial</w:t>
            </w:r>
          </w:p>
        </w:tc>
        <w:tc>
          <w:tcPr>
            <w:tcW w:w="2354" w:type="dxa"/>
            <w:vAlign w:val="center"/>
          </w:tcPr>
          <w:p w14:paraId="635AD599" w14:textId="01B63450" w:rsidR="004F4963" w:rsidRPr="0039214A" w:rsidRDefault="00F4463E" w:rsidP="0074053C">
            <w:pPr>
              <w:pStyle w:val="TableText"/>
              <w:jc w:val="center"/>
              <w:rPr>
                <w:b/>
                <w:bCs w:val="0"/>
              </w:rPr>
            </w:pPr>
            <w:r w:rsidRPr="0039214A">
              <w:rPr>
                <w:b/>
                <w:bCs w:val="0"/>
              </w:rPr>
              <w:t>Economic model</w:t>
            </w:r>
          </w:p>
        </w:tc>
        <w:tc>
          <w:tcPr>
            <w:tcW w:w="2354" w:type="dxa"/>
            <w:vAlign w:val="center"/>
          </w:tcPr>
          <w:p w14:paraId="2EC12D85" w14:textId="2A34B447" w:rsidR="004F4963" w:rsidRPr="0039214A" w:rsidRDefault="00F4463E" w:rsidP="0074053C">
            <w:pPr>
              <w:pStyle w:val="TableText"/>
              <w:jc w:val="center"/>
              <w:rPr>
                <w:b/>
                <w:bCs w:val="0"/>
              </w:rPr>
            </w:pPr>
            <w:r w:rsidRPr="0039214A">
              <w:rPr>
                <w:b/>
                <w:bCs w:val="0"/>
              </w:rPr>
              <w:t>Financial estimates</w:t>
            </w:r>
          </w:p>
        </w:tc>
      </w:tr>
      <w:tr w:rsidR="004F4963" w14:paraId="4081BA79" w14:textId="77777777" w:rsidTr="0074053C">
        <w:tc>
          <w:tcPr>
            <w:tcW w:w="1955" w:type="dxa"/>
            <w:vAlign w:val="center"/>
          </w:tcPr>
          <w:p w14:paraId="4CD298AB" w14:textId="458E68B2" w:rsidR="004F4963" w:rsidRDefault="00F167CA" w:rsidP="0074053C">
            <w:pPr>
              <w:pStyle w:val="TableText"/>
            </w:pPr>
            <w:r>
              <w:t>Treatment a</w:t>
            </w:r>
            <w:r w:rsidR="003C2E6E">
              <w:t>dherence</w:t>
            </w:r>
          </w:p>
        </w:tc>
        <w:tc>
          <w:tcPr>
            <w:tcW w:w="2354" w:type="dxa"/>
            <w:vAlign w:val="center"/>
          </w:tcPr>
          <w:p w14:paraId="4637B3D5" w14:textId="30A2E4C2" w:rsidR="004F4963" w:rsidRPr="00143D12" w:rsidRDefault="003C2E6E" w:rsidP="0074053C">
            <w:pPr>
              <w:pStyle w:val="TableText"/>
              <w:jc w:val="center"/>
              <w:rPr>
                <w:vertAlign w:val="superscript"/>
              </w:rPr>
            </w:pPr>
            <w:r>
              <w:t>Not reported</w:t>
            </w:r>
            <w:r w:rsidR="00143D12">
              <w:t xml:space="preserve"> </w:t>
            </w:r>
            <w:r w:rsidR="00143D12">
              <w:rPr>
                <w:vertAlign w:val="superscript"/>
              </w:rPr>
              <w:t>a</w:t>
            </w:r>
          </w:p>
        </w:tc>
        <w:tc>
          <w:tcPr>
            <w:tcW w:w="2354" w:type="dxa"/>
            <w:vAlign w:val="center"/>
          </w:tcPr>
          <w:p w14:paraId="61FAD8CE" w14:textId="40C592E6" w:rsidR="004F4963" w:rsidRPr="00143D12" w:rsidRDefault="00296D01" w:rsidP="0074053C">
            <w:pPr>
              <w:pStyle w:val="TableText"/>
              <w:jc w:val="center"/>
            </w:pPr>
            <w:r>
              <w:t>90%</w:t>
            </w:r>
            <w:r w:rsidR="002942B8">
              <w:t xml:space="preserve"> </w:t>
            </w:r>
            <w:r w:rsidR="00143D12">
              <w:rPr>
                <w:vertAlign w:val="superscript"/>
              </w:rPr>
              <w:t>b</w:t>
            </w:r>
          </w:p>
        </w:tc>
        <w:tc>
          <w:tcPr>
            <w:tcW w:w="2354" w:type="dxa"/>
            <w:vAlign w:val="center"/>
          </w:tcPr>
          <w:p w14:paraId="6F5C3C49" w14:textId="480D935B" w:rsidR="004F4963" w:rsidRDefault="00296D01" w:rsidP="0074053C">
            <w:pPr>
              <w:pStyle w:val="TableText"/>
              <w:jc w:val="center"/>
            </w:pPr>
            <w:r>
              <w:t>90%</w:t>
            </w:r>
          </w:p>
        </w:tc>
      </w:tr>
      <w:tr w:rsidR="00832C8E" w14:paraId="45D69A08" w14:textId="77777777" w:rsidTr="0074053C">
        <w:tc>
          <w:tcPr>
            <w:tcW w:w="1955" w:type="dxa"/>
            <w:vAlign w:val="center"/>
          </w:tcPr>
          <w:p w14:paraId="28AC20F6" w14:textId="03534D3C" w:rsidR="00832C8E" w:rsidRDefault="00F167CA" w:rsidP="0074053C">
            <w:pPr>
              <w:pStyle w:val="TableText"/>
            </w:pPr>
            <w:r>
              <w:t>Treatment p</w:t>
            </w:r>
            <w:r w:rsidR="00832C8E">
              <w:t xml:space="preserve">ersistence </w:t>
            </w:r>
          </w:p>
        </w:tc>
        <w:tc>
          <w:tcPr>
            <w:tcW w:w="2354" w:type="dxa"/>
            <w:vAlign w:val="center"/>
          </w:tcPr>
          <w:p w14:paraId="6E794C44" w14:textId="2DC69EBC" w:rsidR="00832C8E" w:rsidRDefault="00084B59" w:rsidP="0074053C">
            <w:pPr>
              <w:pStyle w:val="TableText"/>
              <w:jc w:val="center"/>
            </w:pPr>
            <w:r>
              <w:t xml:space="preserve">Not reported; </w:t>
            </w:r>
            <w:r w:rsidR="000378F6">
              <w:t xml:space="preserve">approximately 90% </w:t>
            </w:r>
            <w:r w:rsidR="00AA495C">
              <w:t xml:space="preserve">of patients </w:t>
            </w:r>
            <w:r w:rsidR="000378F6">
              <w:t xml:space="preserve">remained </w:t>
            </w:r>
            <w:r w:rsidR="00F167CA">
              <w:t>in the study at 1 year</w:t>
            </w:r>
          </w:p>
        </w:tc>
        <w:tc>
          <w:tcPr>
            <w:tcW w:w="2354" w:type="dxa"/>
            <w:vAlign w:val="center"/>
          </w:tcPr>
          <w:p w14:paraId="3E6FB0CF" w14:textId="4DB0A4F5" w:rsidR="00832C8E" w:rsidRPr="00D94131" w:rsidRDefault="00832C8E" w:rsidP="0074053C">
            <w:pPr>
              <w:pStyle w:val="TableText"/>
              <w:jc w:val="center"/>
            </w:pPr>
            <w:r>
              <w:t>95%</w:t>
            </w:r>
            <w:r w:rsidR="00D94131">
              <w:t xml:space="preserve"> </w:t>
            </w:r>
            <w:r w:rsidR="00D94131">
              <w:rPr>
                <w:vertAlign w:val="superscript"/>
              </w:rPr>
              <w:t>c</w:t>
            </w:r>
          </w:p>
        </w:tc>
        <w:tc>
          <w:tcPr>
            <w:tcW w:w="2354" w:type="dxa"/>
            <w:vAlign w:val="center"/>
          </w:tcPr>
          <w:p w14:paraId="5DDEC273" w14:textId="5D8E9924" w:rsidR="00832C8E" w:rsidRDefault="00296D01" w:rsidP="0074053C">
            <w:pPr>
              <w:pStyle w:val="TableText"/>
              <w:jc w:val="center"/>
            </w:pPr>
            <w:r>
              <w:t>Not included</w:t>
            </w:r>
          </w:p>
        </w:tc>
      </w:tr>
      <w:tr w:rsidR="00444F4D" w14:paraId="28466E9B" w14:textId="77777777" w:rsidTr="003406B4">
        <w:tc>
          <w:tcPr>
            <w:tcW w:w="1955" w:type="dxa"/>
            <w:vAlign w:val="center"/>
          </w:tcPr>
          <w:p w14:paraId="223CA221" w14:textId="77777777" w:rsidR="00444F4D" w:rsidRDefault="00444F4D" w:rsidP="003406B4">
            <w:pPr>
              <w:pStyle w:val="TableText"/>
            </w:pPr>
            <w:r>
              <w:t>Romosozumab doses/scripts</w:t>
            </w:r>
          </w:p>
        </w:tc>
        <w:tc>
          <w:tcPr>
            <w:tcW w:w="2354" w:type="dxa"/>
            <w:vAlign w:val="center"/>
          </w:tcPr>
          <w:p w14:paraId="0B24A216" w14:textId="77777777" w:rsidR="00444F4D" w:rsidRDefault="00444F4D" w:rsidP="003406B4">
            <w:pPr>
              <w:pStyle w:val="TableText"/>
              <w:jc w:val="center"/>
            </w:pPr>
            <w:r w:rsidRPr="00035DE5">
              <w:t>Mean 10.8</w:t>
            </w:r>
            <w:r>
              <w:t xml:space="preserve"> doses over 1 year</w:t>
            </w:r>
          </w:p>
        </w:tc>
        <w:tc>
          <w:tcPr>
            <w:tcW w:w="2354" w:type="dxa"/>
            <w:vAlign w:val="center"/>
          </w:tcPr>
          <w:p w14:paraId="176ACE28" w14:textId="37C46505" w:rsidR="00444F4D" w:rsidRPr="00035DE5" w:rsidRDefault="00444F4D" w:rsidP="003406B4">
            <w:pPr>
              <w:pStyle w:val="TableText"/>
              <w:jc w:val="center"/>
              <w:rPr>
                <w:vertAlign w:val="superscript"/>
              </w:rPr>
            </w:pPr>
            <w:r w:rsidRPr="00035DE5">
              <w:t xml:space="preserve">10.26 doses in Year 1 </w:t>
            </w:r>
            <w:r w:rsidR="008232CF" w:rsidRPr="00035DE5">
              <w:rPr>
                <w:vertAlign w:val="superscript"/>
              </w:rPr>
              <w:t>d</w:t>
            </w:r>
          </w:p>
        </w:tc>
        <w:tc>
          <w:tcPr>
            <w:tcW w:w="2354" w:type="dxa"/>
            <w:vAlign w:val="center"/>
          </w:tcPr>
          <w:p w14:paraId="777395CA" w14:textId="04644FAE" w:rsidR="00444F4D" w:rsidRPr="00035DE5" w:rsidRDefault="00444F4D" w:rsidP="003406B4">
            <w:pPr>
              <w:pStyle w:val="TableText"/>
              <w:jc w:val="center"/>
            </w:pPr>
            <w:r w:rsidRPr="00035DE5">
              <w:t xml:space="preserve">10.8 scripts over a year </w:t>
            </w:r>
            <w:r w:rsidR="008232CF" w:rsidRPr="00035DE5">
              <w:rPr>
                <w:vertAlign w:val="superscript"/>
              </w:rPr>
              <w:t>e</w:t>
            </w:r>
          </w:p>
        </w:tc>
      </w:tr>
      <w:tr w:rsidR="00444F4D" w14:paraId="7D65B20B" w14:textId="77777777" w:rsidTr="003406B4">
        <w:tc>
          <w:tcPr>
            <w:tcW w:w="1955" w:type="dxa"/>
            <w:vAlign w:val="center"/>
          </w:tcPr>
          <w:p w14:paraId="6CC098FB" w14:textId="77777777" w:rsidR="00444F4D" w:rsidRDefault="00444F4D" w:rsidP="003406B4">
            <w:pPr>
              <w:pStyle w:val="TableText"/>
            </w:pPr>
            <w:r>
              <w:t>Follow-up alendronate</w:t>
            </w:r>
          </w:p>
        </w:tc>
        <w:tc>
          <w:tcPr>
            <w:tcW w:w="2354" w:type="dxa"/>
            <w:vAlign w:val="center"/>
          </w:tcPr>
          <w:p w14:paraId="33B9B578" w14:textId="77777777" w:rsidR="00444F4D" w:rsidRDefault="00444F4D" w:rsidP="003406B4">
            <w:pPr>
              <w:pStyle w:val="TableText"/>
              <w:jc w:val="center"/>
            </w:pPr>
            <w:r>
              <w:t>Not reported</w:t>
            </w:r>
          </w:p>
        </w:tc>
        <w:tc>
          <w:tcPr>
            <w:tcW w:w="2354" w:type="dxa"/>
            <w:vAlign w:val="center"/>
          </w:tcPr>
          <w:p w14:paraId="76737FCD" w14:textId="2B76E975" w:rsidR="00444F4D" w:rsidRPr="00035DE5" w:rsidRDefault="00444F4D" w:rsidP="003406B4">
            <w:pPr>
              <w:pStyle w:val="TableText"/>
              <w:jc w:val="center"/>
            </w:pPr>
            <w:r w:rsidRPr="00035DE5">
              <w:t xml:space="preserve">11.7 </w:t>
            </w:r>
            <w:r w:rsidR="008B6046" w:rsidRPr="00035DE5">
              <w:t xml:space="preserve">scripts </w:t>
            </w:r>
            <w:r w:rsidR="00737A51" w:rsidRPr="00035DE5">
              <w:t>per year</w:t>
            </w:r>
            <w:r w:rsidRPr="00035DE5">
              <w:t xml:space="preserve"> in patients remaining on treatment in subsequent years</w:t>
            </w:r>
          </w:p>
        </w:tc>
        <w:tc>
          <w:tcPr>
            <w:tcW w:w="2354" w:type="dxa"/>
            <w:vAlign w:val="center"/>
          </w:tcPr>
          <w:p w14:paraId="47FAD90D" w14:textId="77777777" w:rsidR="00444F4D" w:rsidRPr="00035DE5" w:rsidRDefault="00444F4D" w:rsidP="003406B4">
            <w:pPr>
              <w:pStyle w:val="TableText"/>
              <w:jc w:val="center"/>
            </w:pPr>
            <w:r w:rsidRPr="00035DE5">
              <w:t>Not included</w:t>
            </w:r>
          </w:p>
        </w:tc>
      </w:tr>
      <w:tr w:rsidR="00296D01" w14:paraId="1DD0FC13" w14:textId="77777777" w:rsidTr="0074053C">
        <w:tc>
          <w:tcPr>
            <w:tcW w:w="1955" w:type="dxa"/>
            <w:vAlign w:val="center"/>
          </w:tcPr>
          <w:p w14:paraId="2C38A6E3" w14:textId="0EC2CEB4" w:rsidR="00296D01" w:rsidRDefault="00296D01" w:rsidP="0074053C">
            <w:pPr>
              <w:pStyle w:val="TableText"/>
            </w:pPr>
            <w:r>
              <w:t xml:space="preserve">Romosozumab drug cost per patient </w:t>
            </w:r>
          </w:p>
        </w:tc>
        <w:tc>
          <w:tcPr>
            <w:tcW w:w="2354" w:type="dxa"/>
            <w:vAlign w:val="center"/>
          </w:tcPr>
          <w:p w14:paraId="14670FD6" w14:textId="054BF482" w:rsidR="00296D01" w:rsidRDefault="00C23C82" w:rsidP="0074053C">
            <w:pPr>
              <w:pStyle w:val="TableText"/>
              <w:jc w:val="center"/>
            </w:pPr>
            <w:r>
              <w:t>-</w:t>
            </w:r>
          </w:p>
        </w:tc>
        <w:tc>
          <w:tcPr>
            <w:tcW w:w="2354" w:type="dxa"/>
            <w:vAlign w:val="center"/>
          </w:tcPr>
          <w:p w14:paraId="50D72F27" w14:textId="375A9E52" w:rsidR="00296D01" w:rsidRPr="00601EC4" w:rsidRDefault="00601EC4" w:rsidP="0074053C">
            <w:pPr>
              <w:pStyle w:val="TableText"/>
              <w:jc w:val="center"/>
              <w:rPr>
                <w:vertAlign w:val="superscript"/>
              </w:rPr>
            </w:pPr>
            <w:r>
              <w:t>$</w:t>
            </w:r>
            <w:r w:rsidR="009A7DC1" w:rsidRPr="009A7DC1">
              <w:rPr>
                <w:color w:val="000000"/>
                <w:shd w:val="solid" w:color="000000" w:fill="000000"/>
                <w14:textFill>
                  <w14:solidFill>
                    <w14:srgbClr w14:val="000000">
                      <w14:alpha w14:val="100000"/>
                    </w14:srgbClr>
                  </w14:solidFill>
                </w14:textFill>
              </w:rPr>
              <w:t>|</w:t>
            </w:r>
            <w:r>
              <w:t xml:space="preserve"> in Year 1 </w:t>
            </w:r>
            <w:r w:rsidR="00033D30">
              <w:rPr>
                <w:vertAlign w:val="superscript"/>
              </w:rPr>
              <w:t>f</w:t>
            </w:r>
          </w:p>
        </w:tc>
        <w:tc>
          <w:tcPr>
            <w:tcW w:w="2354" w:type="dxa"/>
            <w:vAlign w:val="center"/>
          </w:tcPr>
          <w:p w14:paraId="6A38BDA9" w14:textId="2E0997EB" w:rsidR="00296D01" w:rsidRPr="002D0004" w:rsidRDefault="004C4D03" w:rsidP="0074053C">
            <w:pPr>
              <w:pStyle w:val="TableText"/>
              <w:jc w:val="center"/>
              <w:rPr>
                <w:vertAlign w:val="superscript"/>
              </w:rPr>
            </w:pPr>
            <w:r>
              <w:t>$</w:t>
            </w:r>
            <w:r w:rsidR="009A7DC1" w:rsidRPr="00EC16BE">
              <w:rPr>
                <w:rFonts w:hint="eastAsia"/>
                <w:color w:val="000000"/>
                <w:w w:val="15"/>
                <w:shd w:val="solid" w:color="000000" w:fill="000000"/>
                <w:fitText w:val="13" w:id="-1435317245"/>
                <w14:textFill>
                  <w14:solidFill>
                    <w14:srgbClr w14:val="000000">
                      <w14:alpha w14:val="100000"/>
                    </w14:srgbClr>
                  </w14:solidFill>
                </w14:textFill>
              </w:rPr>
              <w:t xml:space="preserve">　</w:t>
            </w:r>
            <w:r w:rsidR="009A7DC1" w:rsidRPr="00EC16BE">
              <w:rPr>
                <w:color w:val="000000"/>
                <w:w w:val="15"/>
                <w:shd w:val="solid" w:color="000000" w:fill="000000"/>
                <w:fitText w:val="13" w:id="-1435317245"/>
                <w14:textFill>
                  <w14:solidFill>
                    <w14:srgbClr w14:val="000000">
                      <w14:alpha w14:val="100000"/>
                    </w14:srgbClr>
                  </w14:solidFill>
                </w14:textFill>
              </w:rPr>
              <w:t>|</w:t>
            </w:r>
            <w:r w:rsidR="009A7DC1" w:rsidRPr="00EC16BE">
              <w:rPr>
                <w:rFonts w:hint="eastAsia"/>
                <w:color w:val="000000"/>
                <w:spacing w:val="-52"/>
                <w:w w:val="15"/>
                <w:shd w:val="solid" w:color="000000" w:fill="000000"/>
                <w:fitText w:val="13" w:id="-1435317245"/>
                <w14:textFill>
                  <w14:solidFill>
                    <w14:srgbClr w14:val="000000">
                      <w14:alpha w14:val="100000"/>
                    </w14:srgbClr>
                  </w14:solidFill>
                </w14:textFill>
              </w:rPr>
              <w:t xml:space="preserve">　</w:t>
            </w:r>
            <w:r>
              <w:t xml:space="preserve"> over a year</w:t>
            </w:r>
            <w:r w:rsidR="002D0004">
              <w:t xml:space="preserve"> </w:t>
            </w:r>
            <w:r w:rsidR="00033D30">
              <w:rPr>
                <w:vertAlign w:val="superscript"/>
              </w:rPr>
              <w:t>g</w:t>
            </w:r>
          </w:p>
        </w:tc>
      </w:tr>
      <w:tr w:rsidR="002B4A59" w14:paraId="777B338A" w14:textId="77777777" w:rsidTr="0074053C">
        <w:tc>
          <w:tcPr>
            <w:tcW w:w="1955" w:type="dxa"/>
            <w:vAlign w:val="center"/>
          </w:tcPr>
          <w:p w14:paraId="3AF2FFB2" w14:textId="6FAE72B2" w:rsidR="002B4A59" w:rsidRDefault="00181D6D" w:rsidP="0074053C">
            <w:pPr>
              <w:pStyle w:val="TableText"/>
            </w:pPr>
            <w:r>
              <w:t>Follow-up a</w:t>
            </w:r>
            <w:r w:rsidR="004C4D03">
              <w:t>lendronate drug cost per patient</w:t>
            </w:r>
          </w:p>
        </w:tc>
        <w:tc>
          <w:tcPr>
            <w:tcW w:w="2354" w:type="dxa"/>
            <w:vAlign w:val="center"/>
          </w:tcPr>
          <w:p w14:paraId="17482F93" w14:textId="4F2B50BA" w:rsidR="002B4A59" w:rsidRDefault="004C4D03" w:rsidP="0074053C">
            <w:pPr>
              <w:pStyle w:val="TableText"/>
              <w:jc w:val="center"/>
            </w:pPr>
            <w:r>
              <w:t>-</w:t>
            </w:r>
          </w:p>
        </w:tc>
        <w:tc>
          <w:tcPr>
            <w:tcW w:w="2354" w:type="dxa"/>
            <w:vAlign w:val="center"/>
          </w:tcPr>
          <w:p w14:paraId="4755E10F" w14:textId="75FD1CFF" w:rsidR="002B4A59" w:rsidRDefault="004E684C" w:rsidP="0074053C">
            <w:pPr>
              <w:pStyle w:val="TableText"/>
              <w:jc w:val="center"/>
            </w:pPr>
            <w:r>
              <w:t>$</w:t>
            </w:r>
            <w:r w:rsidRPr="00035DE5">
              <w:t>189</w:t>
            </w:r>
            <w:r w:rsidR="006F7C57">
              <w:t xml:space="preserve"> </w:t>
            </w:r>
            <w:r w:rsidR="00033D30">
              <w:rPr>
                <w:vertAlign w:val="superscript"/>
              </w:rPr>
              <w:t>h</w:t>
            </w:r>
            <w:r w:rsidR="00033D30">
              <w:t xml:space="preserve"> </w:t>
            </w:r>
            <w:r w:rsidR="00737A51">
              <w:t xml:space="preserve">per year </w:t>
            </w:r>
            <w:r>
              <w:t>in patients remaining on treatment in subsequent years</w:t>
            </w:r>
          </w:p>
        </w:tc>
        <w:tc>
          <w:tcPr>
            <w:tcW w:w="2354" w:type="dxa"/>
            <w:vAlign w:val="center"/>
          </w:tcPr>
          <w:p w14:paraId="44A7E14E" w14:textId="394BF4B1" w:rsidR="002B4A59" w:rsidRDefault="0074053C" w:rsidP="0074053C">
            <w:pPr>
              <w:pStyle w:val="TableText"/>
              <w:jc w:val="center"/>
            </w:pPr>
            <w:r>
              <w:t>Not included</w:t>
            </w:r>
          </w:p>
        </w:tc>
      </w:tr>
    </w:tbl>
    <w:p w14:paraId="6542B514" w14:textId="0F8B284D" w:rsidR="00727173" w:rsidRDefault="004F4963" w:rsidP="00581419">
      <w:pPr>
        <w:pStyle w:val="TableFigureFooter"/>
        <w:spacing w:after="0"/>
      </w:pPr>
      <w:r w:rsidRPr="00581419">
        <w:t>Source:</w:t>
      </w:r>
      <w:r w:rsidR="00581419" w:rsidRPr="00581419">
        <w:t xml:space="preserve"> Section 3.6, pp94-97 of the resubmission; Financial </w:t>
      </w:r>
      <w:r w:rsidR="00E664BE" w:rsidRPr="00581419">
        <w:t>analysis final</w:t>
      </w:r>
      <w:r w:rsidR="00581419" w:rsidRPr="00581419">
        <w:t xml:space="preserve"> Excel workbook of the resubmission</w:t>
      </w:r>
    </w:p>
    <w:p w14:paraId="18FA246A" w14:textId="2262ED43" w:rsidR="00143D12" w:rsidRDefault="002942B8" w:rsidP="00581419">
      <w:pPr>
        <w:pStyle w:val="TableFigureFooter"/>
        <w:spacing w:after="0"/>
      </w:pPr>
      <w:r>
        <w:rPr>
          <w:vertAlign w:val="superscript"/>
        </w:rPr>
        <w:t>a</w:t>
      </w:r>
      <w:r w:rsidR="00143D12">
        <w:rPr>
          <w:vertAlign w:val="superscript"/>
        </w:rPr>
        <w:t xml:space="preserve"> </w:t>
      </w:r>
      <w:r w:rsidR="00143D12">
        <w:t xml:space="preserve">Drug exposure data (i.e. reported as mean doses administered) did not differentiate between adherence and persistence </w:t>
      </w:r>
      <w:r>
        <w:t xml:space="preserve"> </w:t>
      </w:r>
    </w:p>
    <w:p w14:paraId="4E6ADB9B" w14:textId="05BD60D0" w:rsidR="002942B8" w:rsidRDefault="00143D12" w:rsidP="00581419">
      <w:pPr>
        <w:pStyle w:val="TableFigureFooter"/>
        <w:spacing w:after="0"/>
      </w:pPr>
      <w:r w:rsidRPr="00143D12">
        <w:rPr>
          <w:vertAlign w:val="superscript"/>
        </w:rPr>
        <w:t>b</w:t>
      </w:r>
      <w:r>
        <w:t xml:space="preserve"> </w:t>
      </w:r>
      <w:r w:rsidR="002942B8" w:rsidRPr="00143D12">
        <w:t>Calculated</w:t>
      </w:r>
      <w:r w:rsidR="002942B8">
        <w:t xml:space="preserve"> using drug exposure data</w:t>
      </w:r>
      <w:r>
        <w:t xml:space="preserve"> from the ARCH trial</w:t>
      </w:r>
      <w:r w:rsidR="00CF657A">
        <w:t xml:space="preserve">, </w:t>
      </w:r>
      <w:r w:rsidR="00CF657A" w:rsidRPr="00035DE5">
        <w:t>mean 10.8</w:t>
      </w:r>
      <w:r w:rsidR="00CF657A">
        <w:t xml:space="preserve"> doses divided by expected number of doses at full adherence </w:t>
      </w:r>
      <w:r w:rsidR="00072B61">
        <w:t xml:space="preserve">and </w:t>
      </w:r>
      <w:r w:rsidR="00072B61" w:rsidRPr="00035DE5">
        <w:t xml:space="preserve">persistence </w:t>
      </w:r>
      <w:r w:rsidR="00CF657A" w:rsidRPr="00035DE5">
        <w:t>(12 doses)</w:t>
      </w:r>
      <w:r w:rsidR="002942B8">
        <w:t xml:space="preserve"> </w:t>
      </w:r>
    </w:p>
    <w:p w14:paraId="4D37AFD4" w14:textId="0B0537FF" w:rsidR="00071E06" w:rsidRPr="00071E06" w:rsidRDefault="00071E06" w:rsidP="00581419">
      <w:pPr>
        <w:pStyle w:val="TableFigureFooter"/>
        <w:spacing w:after="0"/>
      </w:pPr>
      <w:r>
        <w:rPr>
          <w:vertAlign w:val="superscript"/>
        </w:rPr>
        <w:t>c</w:t>
      </w:r>
      <w:r>
        <w:t xml:space="preserve"> Assumption</w:t>
      </w:r>
    </w:p>
    <w:p w14:paraId="069122F4" w14:textId="7CD39C9B" w:rsidR="00307EC6" w:rsidRPr="00035DE5" w:rsidRDefault="00CB67EC" w:rsidP="004F4963">
      <w:pPr>
        <w:pStyle w:val="TableFooter"/>
      </w:pPr>
      <w:r>
        <w:rPr>
          <w:vertAlign w:val="superscript"/>
        </w:rPr>
        <w:t>d</w:t>
      </w:r>
      <w:r>
        <w:t xml:space="preserve"> </w:t>
      </w:r>
      <w:r w:rsidR="00B33C91">
        <w:t>A</w:t>
      </w:r>
      <w:r w:rsidR="00F274F6">
        <w:t xml:space="preserve">ssuming 90% adherence and 95% </w:t>
      </w:r>
      <w:r w:rsidR="00F274F6" w:rsidRPr="00035DE5">
        <w:t>persistence</w:t>
      </w:r>
      <w:r w:rsidR="00A02F68" w:rsidRPr="00035DE5">
        <w:t>, applied to 12 doses</w:t>
      </w:r>
    </w:p>
    <w:p w14:paraId="60D69BAF" w14:textId="791A1731" w:rsidR="00B33C91" w:rsidRDefault="00CB67EC" w:rsidP="004F4963">
      <w:pPr>
        <w:pStyle w:val="TableFooter"/>
      </w:pPr>
      <w:r w:rsidRPr="00035DE5">
        <w:rPr>
          <w:vertAlign w:val="superscript"/>
        </w:rPr>
        <w:t>e</w:t>
      </w:r>
      <w:r w:rsidRPr="00035DE5">
        <w:t xml:space="preserve"> </w:t>
      </w:r>
      <w:r w:rsidR="00B33C91" w:rsidRPr="00035DE5">
        <w:t>Assuming 90% adherence</w:t>
      </w:r>
      <w:r w:rsidR="00022B17" w:rsidRPr="00035DE5">
        <w:t>, applied to 12 doses</w:t>
      </w:r>
    </w:p>
    <w:p w14:paraId="65C1D235" w14:textId="581F2793" w:rsidR="00A02F68" w:rsidRPr="00035DE5" w:rsidRDefault="00CB67EC" w:rsidP="004F4963">
      <w:pPr>
        <w:pStyle w:val="TableFooter"/>
      </w:pPr>
      <w:r>
        <w:rPr>
          <w:vertAlign w:val="superscript"/>
        </w:rPr>
        <w:t>f</w:t>
      </w:r>
      <w:r>
        <w:t xml:space="preserve"> </w:t>
      </w:r>
      <w:r w:rsidR="00022B17" w:rsidRPr="00022B17">
        <w:t>$</w:t>
      </w:r>
      <w:r w:rsidR="009A7DC1" w:rsidRPr="009A7DC1">
        <w:rPr>
          <w:color w:val="000000"/>
          <w:spacing w:val="36"/>
          <w:shd w:val="solid" w:color="000000" w:fill="000000"/>
          <w:fitText w:val="268" w:id="-1435317244"/>
          <w14:textFill>
            <w14:solidFill>
              <w14:srgbClr w14:val="000000">
                <w14:alpha w14:val="100000"/>
              </w14:srgbClr>
            </w14:solidFill>
          </w14:textFill>
        </w:rPr>
        <w:t xml:space="preserve">|  </w:t>
      </w:r>
      <w:r w:rsidR="009A7DC1" w:rsidRPr="009A7DC1">
        <w:rPr>
          <w:color w:val="000000"/>
          <w:spacing w:val="2"/>
          <w:shd w:val="solid" w:color="000000" w:fill="000000"/>
          <w:fitText w:val="268" w:id="-1435317244"/>
          <w14:textFill>
            <w14:solidFill>
              <w14:srgbClr w14:val="000000">
                <w14:alpha w14:val="100000"/>
              </w14:srgbClr>
            </w14:solidFill>
          </w14:textFill>
        </w:rPr>
        <w:t>|</w:t>
      </w:r>
      <w:r w:rsidR="00022B17" w:rsidRPr="00022B17">
        <w:t xml:space="preserve"> (proposed effective DPMQ) x </w:t>
      </w:r>
      <w:r w:rsidR="00022B17" w:rsidRPr="00035DE5">
        <w:t>10.</w:t>
      </w:r>
      <w:r w:rsidR="008166BC" w:rsidRPr="00035DE5">
        <w:t xml:space="preserve">26 </w:t>
      </w:r>
      <w:r w:rsidR="00022B17" w:rsidRPr="00035DE5">
        <w:t xml:space="preserve">scripts </w:t>
      </w:r>
    </w:p>
    <w:p w14:paraId="6FF1A8E5" w14:textId="1FEE2072" w:rsidR="002D0004" w:rsidRDefault="00CB67EC" w:rsidP="004F4963">
      <w:pPr>
        <w:pStyle w:val="TableFooter"/>
      </w:pPr>
      <w:r w:rsidRPr="00035DE5">
        <w:rPr>
          <w:vertAlign w:val="superscript"/>
        </w:rPr>
        <w:t>g</w:t>
      </w:r>
      <w:r w:rsidRPr="00035DE5">
        <w:t xml:space="preserve"> </w:t>
      </w:r>
      <w:r w:rsidR="002D0004" w:rsidRPr="00035DE5">
        <w:t>$</w:t>
      </w:r>
      <w:r w:rsidR="009A7DC1" w:rsidRPr="009A7DC1">
        <w:rPr>
          <w:color w:val="000000"/>
          <w:spacing w:val="9"/>
          <w:shd w:val="solid" w:color="000000" w:fill="000000"/>
          <w:fitText w:val="281" w:id="-1435317243"/>
          <w14:textFill>
            <w14:solidFill>
              <w14:srgbClr w14:val="000000">
                <w14:alpha w14:val="100000"/>
              </w14:srgbClr>
            </w14:solidFill>
          </w14:textFill>
        </w:rPr>
        <w:t>||  |</w:t>
      </w:r>
      <w:r w:rsidR="009A7DC1" w:rsidRPr="009A7DC1">
        <w:rPr>
          <w:color w:val="000000"/>
          <w:spacing w:val="1"/>
          <w:shd w:val="solid" w:color="000000" w:fill="000000"/>
          <w:fitText w:val="281" w:id="-1435317243"/>
          <w14:textFill>
            <w14:solidFill>
              <w14:srgbClr w14:val="000000">
                <w14:alpha w14:val="100000"/>
              </w14:srgbClr>
            </w14:solidFill>
          </w14:textFill>
        </w:rPr>
        <w:t>|</w:t>
      </w:r>
      <w:r w:rsidR="002D0004" w:rsidRPr="00035DE5">
        <w:t xml:space="preserve"> (proposed effective DPMQ) x 10.8 scripts/year</w:t>
      </w:r>
      <w:r w:rsidR="002D0004" w:rsidRPr="002D0004">
        <w:t xml:space="preserve"> </w:t>
      </w:r>
    </w:p>
    <w:p w14:paraId="3B478188" w14:textId="4521CEC3" w:rsidR="006F7C57" w:rsidRPr="006F7C57" w:rsidRDefault="00CB67EC" w:rsidP="004F4963">
      <w:pPr>
        <w:pStyle w:val="TableFooter"/>
        <w:rPr>
          <w:snapToGrid/>
        </w:rPr>
      </w:pPr>
      <w:r>
        <w:rPr>
          <w:vertAlign w:val="superscript"/>
        </w:rPr>
        <w:t>h</w:t>
      </w:r>
      <w:r>
        <w:t xml:space="preserve"> </w:t>
      </w:r>
      <w:r w:rsidR="006F7C57" w:rsidRPr="006F7C57">
        <w:t xml:space="preserve">$16.13 (March 2022 DPMQ, PBS Item 8511Y) </w:t>
      </w:r>
      <w:r w:rsidR="006F7C57" w:rsidRPr="00035DE5">
        <w:t xml:space="preserve">x </w:t>
      </w:r>
      <w:r w:rsidR="00893580" w:rsidRPr="00035DE5">
        <w:t>11.7</w:t>
      </w:r>
      <w:r w:rsidR="00893580">
        <w:t xml:space="preserve"> scripts/year</w:t>
      </w:r>
    </w:p>
    <w:p w14:paraId="268768EF" w14:textId="3626F292" w:rsidR="00B60939" w:rsidRPr="00262BDA" w:rsidRDefault="00B60939" w:rsidP="002B05A1">
      <w:pPr>
        <w:pStyle w:val="3-SubsectionHeading"/>
      </w:pPr>
      <w:bookmarkStart w:id="56" w:name="_Toc22897647"/>
      <w:bookmarkStart w:id="57" w:name="_Toc103610480"/>
      <w:r w:rsidRPr="00262BDA">
        <w:t>Estimated PBS usage &amp; financial implications</w:t>
      </w:r>
      <w:bookmarkEnd w:id="56"/>
      <w:bookmarkEnd w:id="57"/>
    </w:p>
    <w:p w14:paraId="37A45A2E" w14:textId="100869E6" w:rsidR="00D0378E" w:rsidRPr="00D0378E" w:rsidRDefault="00C25D9C" w:rsidP="000C266F">
      <w:pPr>
        <w:pStyle w:val="ExecSumBodyText"/>
        <w:spacing w:after="0"/>
        <w:rPr>
          <w:color w:val="0066FF"/>
        </w:rPr>
      </w:pPr>
      <w:r w:rsidRPr="00262BDA">
        <w:t xml:space="preserve">This </w:t>
      </w:r>
      <w:r w:rsidR="00CE54BC">
        <w:t>re</w:t>
      </w:r>
      <w:r w:rsidRPr="00262BDA">
        <w:t xml:space="preserve">submission </w:t>
      </w:r>
      <w:r w:rsidR="00B201A4" w:rsidRPr="00262BDA">
        <w:t>w</w:t>
      </w:r>
      <w:r w:rsidR="00B5602A">
        <w:t>as</w:t>
      </w:r>
      <w:r w:rsidRPr="00262BDA">
        <w:t xml:space="preserve"> </w:t>
      </w:r>
      <w:r w:rsidRPr="000345E5">
        <w:t>not</w:t>
      </w:r>
      <w:r w:rsidR="00D23D11" w:rsidRPr="00262BDA">
        <w:t xml:space="preserve"> </w:t>
      </w:r>
      <w:r w:rsidRPr="00262BDA">
        <w:t>considered by DUSC</w:t>
      </w:r>
      <w:r w:rsidRPr="00262BDA">
        <w:rPr>
          <w:color w:val="0070C0"/>
        </w:rPr>
        <w:t>.</w:t>
      </w:r>
      <w:r w:rsidR="00BC591F" w:rsidRPr="00262BDA">
        <w:rPr>
          <w:color w:val="0070C0"/>
        </w:rPr>
        <w:t xml:space="preserve"> </w:t>
      </w:r>
      <w:r w:rsidR="00CE54BC" w:rsidRPr="00D0378E">
        <w:t>The resubmission used a</w:t>
      </w:r>
      <w:r w:rsidR="00D936F5">
        <w:t xml:space="preserve"> mixed </w:t>
      </w:r>
      <w:r w:rsidR="009A3BEC" w:rsidRPr="00D0378E">
        <w:t>epidemiological</w:t>
      </w:r>
      <w:r w:rsidR="00D936F5">
        <w:t>/market share</w:t>
      </w:r>
      <w:r w:rsidR="009A3BEC" w:rsidRPr="00D0378E">
        <w:t xml:space="preserve"> approach to estimate the utilisation and financial impact of romosozumab</w:t>
      </w:r>
      <w:r w:rsidR="00200E3E" w:rsidRPr="00D0378E">
        <w:t xml:space="preserve">, based on the following additional subpopulations excluding </w:t>
      </w:r>
      <w:r w:rsidR="00D0378E" w:rsidRPr="00D0378E">
        <w:t>patients already eligible for romosozumab under the existing listing:</w:t>
      </w:r>
    </w:p>
    <w:p w14:paraId="1F432DD3" w14:textId="6AF32D0C" w:rsidR="00D0378E" w:rsidRPr="00BF2DE4" w:rsidRDefault="00D0378E" w:rsidP="006215FA">
      <w:pPr>
        <w:pStyle w:val="ListParagraph"/>
        <w:numPr>
          <w:ilvl w:val="0"/>
          <w:numId w:val="6"/>
        </w:numPr>
      </w:pPr>
      <w:r w:rsidRPr="00BF2DE4">
        <w:t>First line population who have received less than 12 months anti-resorptive therapy with multiple clinical fractures or a single hip</w:t>
      </w:r>
      <w:r w:rsidR="000C266F">
        <w:t>/</w:t>
      </w:r>
      <w:r w:rsidRPr="00BF2DE4">
        <w:t xml:space="preserve">clinical vertebral fracture, and BMD T-score </w:t>
      </w:r>
      <w:r w:rsidRPr="00BF2DE4">
        <w:rPr>
          <w:rFonts w:cs="Calibri"/>
        </w:rPr>
        <w:t>≤</w:t>
      </w:r>
      <w:r w:rsidR="00035DE5">
        <w:rPr>
          <w:rFonts w:cs="Calibri"/>
        </w:rPr>
        <w:t> </w:t>
      </w:r>
      <w:r w:rsidRPr="00BF2DE4">
        <w:t>-2.5</w:t>
      </w:r>
    </w:p>
    <w:p w14:paraId="6F41A98D" w14:textId="3498E694" w:rsidR="00D0378E" w:rsidRPr="00BF2DE4" w:rsidRDefault="00D0378E" w:rsidP="006215FA">
      <w:pPr>
        <w:pStyle w:val="ListParagraph"/>
        <w:numPr>
          <w:ilvl w:val="0"/>
          <w:numId w:val="6"/>
        </w:numPr>
      </w:pPr>
      <w:r w:rsidRPr="00BF2DE4">
        <w:t xml:space="preserve">Second line population with multiple fractures including </w:t>
      </w:r>
      <w:r w:rsidR="0083297E">
        <w:rPr>
          <w:rFonts w:cs="Calibri"/>
        </w:rPr>
        <w:t xml:space="preserve">at least one </w:t>
      </w:r>
      <w:r w:rsidRPr="00BF2DE4">
        <w:t xml:space="preserve">symptomatic fracture after 12 months anti-resorptive therapy, and BMD T-score </w:t>
      </w:r>
      <w:r w:rsidRPr="00BF2DE4">
        <w:rPr>
          <w:rFonts w:cs="Calibri"/>
        </w:rPr>
        <w:t>≤</w:t>
      </w:r>
      <w:r w:rsidR="00035DE5">
        <w:rPr>
          <w:rFonts w:cs="Calibri"/>
        </w:rPr>
        <w:t> </w:t>
      </w:r>
      <w:r w:rsidRPr="00BF2DE4">
        <w:t xml:space="preserve">-2.5 and </w:t>
      </w:r>
      <w:r w:rsidR="000345E5">
        <w:br/>
      </w:r>
      <w:r w:rsidRPr="00BF2DE4">
        <w:t>&gt;</w:t>
      </w:r>
      <w:r w:rsidR="00035DE5">
        <w:t> </w:t>
      </w:r>
      <w:r w:rsidRPr="00BF2DE4">
        <w:t>-3.0.</w:t>
      </w:r>
    </w:p>
    <w:p w14:paraId="10C159DE" w14:textId="68D297ED" w:rsidR="00D020DD" w:rsidRPr="0083297E" w:rsidRDefault="00D0378E" w:rsidP="006215FA">
      <w:pPr>
        <w:pStyle w:val="ListParagraph"/>
        <w:numPr>
          <w:ilvl w:val="0"/>
          <w:numId w:val="6"/>
        </w:numPr>
        <w:spacing w:after="120"/>
        <w:ind w:left="1077" w:hanging="357"/>
      </w:pPr>
      <w:r w:rsidRPr="00BF2DE4">
        <w:t xml:space="preserve">Second line population with a single symptomatic fracture after 12 months anti-resorptive therapy, and BMD T-score </w:t>
      </w:r>
      <w:r w:rsidRPr="00BF2DE4">
        <w:rPr>
          <w:rFonts w:cs="Calibri"/>
        </w:rPr>
        <w:t>≤</w:t>
      </w:r>
      <w:r w:rsidR="00035DE5">
        <w:rPr>
          <w:rFonts w:cs="Calibri"/>
        </w:rPr>
        <w:t> </w:t>
      </w:r>
      <w:r w:rsidRPr="00BF2DE4">
        <w:t>-2.5.</w:t>
      </w:r>
    </w:p>
    <w:p w14:paraId="7A60D980" w14:textId="0FABF7D6" w:rsidR="00D020DD" w:rsidRPr="0028085E" w:rsidRDefault="00D020DD" w:rsidP="00B505C8">
      <w:pPr>
        <w:pStyle w:val="ExecSumBodyText"/>
      </w:pPr>
      <w:r w:rsidRPr="0028085E">
        <w:t>The definition of the first line population was agnostic to fracture timing, which was inconsistent with the proposed restriction that required at least 1 fracture to be recent (within previous 24 months).</w:t>
      </w:r>
    </w:p>
    <w:p w14:paraId="534F7E92" w14:textId="10F85879" w:rsidR="000F50A1" w:rsidRPr="000F50A1" w:rsidRDefault="000F50A1" w:rsidP="00B505C8">
      <w:pPr>
        <w:pStyle w:val="ExecSumBodyText"/>
      </w:pPr>
      <w:r w:rsidRPr="000F50A1">
        <w:t>The</w:t>
      </w:r>
      <w:r w:rsidR="001B43F0">
        <w:t xml:space="preserve"> </w:t>
      </w:r>
      <w:r w:rsidR="001B43F0" w:rsidRPr="001B43F0">
        <w:t>resubmission used similar data sources and assumptions to those used in the March 2020 submission to derive the size of the eligible populations in the following order: treated osteoporosis patients; patients treated for less than 12 months and at least 12 months; patients with or without a prior fracture</w:t>
      </w:r>
      <w:r w:rsidR="001B43F0">
        <w:t>.</w:t>
      </w:r>
    </w:p>
    <w:p w14:paraId="0729D8A5" w14:textId="74BF49E9" w:rsidR="00D020DD" w:rsidRPr="005E2E4D" w:rsidRDefault="00D020DD" w:rsidP="00B505C8">
      <w:pPr>
        <w:pStyle w:val="ExecSumBodyText"/>
      </w:pPr>
      <w:r w:rsidRPr="00D020DD">
        <w:t xml:space="preserve">All eligible population estimates </w:t>
      </w:r>
      <w:r w:rsidR="00AA2178" w:rsidRPr="00D020DD">
        <w:t xml:space="preserve">including the population eligible for first line therapy </w:t>
      </w:r>
      <w:r w:rsidRPr="00D020DD">
        <w:t>were based on treated osteoporosis patients only.</w:t>
      </w:r>
      <w:r w:rsidRPr="00D020DD">
        <w:rPr>
          <w:i/>
          <w:iCs/>
        </w:rPr>
        <w:t xml:space="preserve"> </w:t>
      </w:r>
      <w:r w:rsidRPr="0028085E">
        <w:t>The requirement that patients should receive prior anti-resorptive therapy (for less than 12 months) in order to be eligible for romosozumab treatment was inconsistent with the proposed place in therapy of romosozumab as initial treatment in treatment-naïve patients. This criterion is also part of the proposed PBS restriction; however, the intent of this criterion was uncertain with no justification provided in the resubmission</w:t>
      </w:r>
      <w:r w:rsidR="001D1C33" w:rsidRPr="0028085E">
        <w:t>.</w:t>
      </w:r>
      <w:r w:rsidR="00216E2F">
        <w:t xml:space="preserve"> </w:t>
      </w:r>
      <w:r w:rsidR="001A7BCC" w:rsidRPr="005E2E4D">
        <w:t xml:space="preserve">The PSCR </w:t>
      </w:r>
      <w:r w:rsidR="00B657D2" w:rsidRPr="005E2E4D">
        <w:t xml:space="preserve">stated the </w:t>
      </w:r>
      <w:r w:rsidR="001A7BCC" w:rsidRPr="005E2E4D">
        <w:t xml:space="preserve">proposed ‘first-line’ listing </w:t>
      </w:r>
      <w:r w:rsidR="00B657D2" w:rsidRPr="005E2E4D">
        <w:t>wa</w:t>
      </w:r>
      <w:r w:rsidR="001A7BCC" w:rsidRPr="005E2E4D">
        <w:t>s intentionally worded to allow access to romosozumab in the complementary population of patients who have either not yet started osteoporosis therapy or have received an anti</w:t>
      </w:r>
      <w:r w:rsidR="00A90F34">
        <w:t>-</w:t>
      </w:r>
      <w:r w:rsidR="001A7BCC" w:rsidRPr="005E2E4D">
        <w:t xml:space="preserve">resorptive agent for a very short time </w:t>
      </w:r>
      <w:r w:rsidR="00035DE5" w:rsidRPr="005E2E4D">
        <w:t>(&lt;</w:t>
      </w:r>
      <w:r w:rsidR="00035DE5">
        <w:t> </w:t>
      </w:r>
      <w:r w:rsidR="001A7BCC" w:rsidRPr="005E2E4D">
        <w:t xml:space="preserve">12 months) and have the necessary fracture and BMD profile that would indicate treatment with romosozumab would be the better clinical approach to address imminent fracture risk. The ESC agreed with the evaluation that as the estimates were based on treated osteoporosis patients only they were inconsistent with the intent outlined in the PSCR to allow use of romosozumab in treatment-naïve patients. </w:t>
      </w:r>
    </w:p>
    <w:p w14:paraId="5AB6FD67" w14:textId="73D16AAF" w:rsidR="001D1C33" w:rsidRDefault="00934487" w:rsidP="00B505C8">
      <w:pPr>
        <w:pStyle w:val="ExecSumBodyText"/>
        <w:rPr>
          <w:i/>
          <w:iCs/>
        </w:rPr>
      </w:pPr>
      <w:r w:rsidRPr="00934487">
        <w:t>The resubmission used a 10% PBS sample analysis to estimate the number of patients receiving osteoporosis treatments in November 2021, extrapolated to 2022-2027 assuming 3.4% annual growth.</w:t>
      </w:r>
      <w:r w:rsidRPr="00934487">
        <w:rPr>
          <w:i/>
          <w:iCs/>
        </w:rPr>
        <w:t xml:space="preserve"> </w:t>
      </w:r>
      <w:r w:rsidRPr="0028085E">
        <w:t>The treated population estimates could not be validated due to poor documentation in the resubmission. The applied growth rate was based on relatively old data (2014-2015 PBS utilisation data from the DUSC 2016 osteoporosis report) and was lower than growth rates of 5.6-5.8% per year from 2019-2021 reported in the 10% PBS sample analysis of the resubmission.</w:t>
      </w:r>
    </w:p>
    <w:p w14:paraId="43F6BFF9" w14:textId="58BB5E31" w:rsidR="002D78EA" w:rsidRDefault="00AD090B" w:rsidP="00B505C8">
      <w:pPr>
        <w:pStyle w:val="ExecSumBodyText"/>
      </w:pPr>
      <w:r w:rsidRPr="00AD090B">
        <w:t>The proportions of patients meeting PBS eligibility criteria were estimated from fracture history and BMD T-scores of female patients in the Geelong Osteoporosis Study and assumptions.</w:t>
      </w:r>
      <w:r w:rsidR="00D77B7F" w:rsidRPr="00AD090B">
        <w:t xml:space="preserve"> </w:t>
      </w:r>
      <w:r w:rsidRPr="00AD090B">
        <w:t xml:space="preserve">The Geelong Osteoporosis Study is a longitudinal population-based cohort study to investigate the epidemiology of osteoporosis in Australia. The study enrolled an age-stratified sample of adult women (recruited in 1993-1997) and men (recruited between 2001-2006) from the regional city of Geelong, Australia. </w:t>
      </w:r>
    </w:p>
    <w:p w14:paraId="130DDE3C" w14:textId="3C407758" w:rsidR="00D66B45" w:rsidRPr="0028085E" w:rsidRDefault="00D66B45" w:rsidP="00D66B45">
      <w:pPr>
        <w:pStyle w:val="ExecSumBodyText"/>
        <w:spacing w:after="0"/>
      </w:pPr>
      <w:r w:rsidRPr="0028085E">
        <w:t xml:space="preserve">The applicability </w:t>
      </w:r>
      <w:r w:rsidR="00000E04" w:rsidRPr="0028085E">
        <w:t xml:space="preserve">of </w:t>
      </w:r>
      <w:r w:rsidRPr="0028085E">
        <w:t>the Geelong Osteoporosis Study to the PBS population may be limited for the following reasons:</w:t>
      </w:r>
    </w:p>
    <w:p w14:paraId="3691AAA5" w14:textId="77777777" w:rsidR="009F66B2" w:rsidRPr="0028085E" w:rsidRDefault="00D66B45" w:rsidP="006215FA">
      <w:pPr>
        <w:pStyle w:val="ExecSumBodyText"/>
        <w:numPr>
          <w:ilvl w:val="0"/>
          <w:numId w:val="16"/>
        </w:numPr>
        <w:spacing w:after="0"/>
        <w:ind w:left="1077" w:hanging="357"/>
      </w:pPr>
      <w:r w:rsidRPr="0028085E">
        <w:t xml:space="preserve">Patient characteristics (e.g. BMD T-scores) and fracture histories were derived from estimates that are nearly 30 years old and may not be representative of current clinical practice (with widespread use of newer osteoporosis treatments). </w:t>
      </w:r>
    </w:p>
    <w:p w14:paraId="01C04821" w14:textId="4EA209DC" w:rsidR="00D66B45" w:rsidRPr="0028085E" w:rsidRDefault="009F66B2" w:rsidP="006215FA">
      <w:pPr>
        <w:pStyle w:val="ExecSumBodyText"/>
        <w:numPr>
          <w:ilvl w:val="0"/>
          <w:numId w:val="16"/>
        </w:numPr>
        <w:spacing w:after="0"/>
        <w:ind w:left="1077" w:hanging="357"/>
      </w:pPr>
      <w:r w:rsidRPr="0028085E">
        <w:t>D</w:t>
      </w:r>
      <w:r w:rsidR="00D66B45" w:rsidRPr="0028085E">
        <w:t xml:space="preserve">ata used to derive key inputs for financial estimates were based on a sample of the general population </w:t>
      </w:r>
      <w:r w:rsidRPr="0028085E">
        <w:t>that</w:t>
      </w:r>
      <w:r w:rsidR="00D66B45" w:rsidRPr="0028085E">
        <w:t xml:space="preserve"> may not be representative of patients seeking care for osteoporosis</w:t>
      </w:r>
    </w:p>
    <w:p w14:paraId="66221158" w14:textId="4D6AF20B" w:rsidR="00D66B45" w:rsidRPr="0028085E" w:rsidRDefault="00D66B45" w:rsidP="006215FA">
      <w:pPr>
        <w:pStyle w:val="ListParagraph"/>
        <w:numPr>
          <w:ilvl w:val="0"/>
          <w:numId w:val="16"/>
        </w:numPr>
        <w:spacing w:after="120"/>
        <w:ind w:left="1077" w:hanging="357"/>
        <w:rPr>
          <w:rFonts w:asciiTheme="minorHAnsi" w:hAnsiTheme="minorHAnsi"/>
          <w:snapToGrid w:val="0"/>
        </w:rPr>
      </w:pPr>
      <w:r w:rsidRPr="0028085E">
        <w:rPr>
          <w:rFonts w:asciiTheme="minorHAnsi" w:hAnsiTheme="minorHAnsi"/>
          <w:snapToGrid w:val="0"/>
        </w:rPr>
        <w:t xml:space="preserve">It was unclear whether estimates from the female cohort of the Geelong Osteoporosis Study are representative of males with osteoporosis. </w:t>
      </w:r>
    </w:p>
    <w:p w14:paraId="3ED0E1F0" w14:textId="7A33ECD8" w:rsidR="00705A3B" w:rsidRDefault="00705A3B" w:rsidP="00B505C8">
      <w:pPr>
        <w:pStyle w:val="ExecSumBodyText"/>
      </w:pPr>
      <w:r w:rsidRPr="00705A3B">
        <w:t>The derivation of the proportion of patients meeting the fracture criteria in each subpopulation was complex, based on multiple sources and assumptions (summarised in the table below).</w:t>
      </w:r>
    </w:p>
    <w:p w14:paraId="687AA17A" w14:textId="728EA02D" w:rsidR="00705A3B" w:rsidRDefault="00705A3B" w:rsidP="00994973">
      <w:pPr>
        <w:pStyle w:val="TableFigureCaption"/>
        <w:keepLines/>
      </w:pPr>
      <w:r>
        <w:t xml:space="preserve">Table </w:t>
      </w:r>
      <w:fldSimple w:instr=" SEQ Table \* ARABIC ">
        <w:r w:rsidR="00016A98">
          <w:rPr>
            <w:noProof/>
          </w:rPr>
          <w:t>15</w:t>
        </w:r>
      </w:fldSimple>
      <w:r>
        <w:t xml:space="preserve">: </w:t>
      </w:r>
      <w:r>
        <w:rPr>
          <w:szCs w:val="20"/>
        </w:rPr>
        <w:t>Proportions of patients meeting the fracture criteria in each subpopulation</w:t>
      </w:r>
    </w:p>
    <w:tbl>
      <w:tblPr>
        <w:tblW w:w="5007"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1435"/>
        <w:gridCol w:w="4844"/>
        <w:gridCol w:w="2738"/>
        <w:gridCol w:w="13"/>
      </w:tblGrid>
      <w:tr w:rsidR="00705A3B" w:rsidRPr="009E7965" w14:paraId="3C5D026F" w14:textId="77777777" w:rsidTr="00994973">
        <w:trPr>
          <w:gridAfter w:val="1"/>
          <w:wAfter w:w="7" w:type="pct"/>
          <w:tblHeader/>
        </w:trPr>
        <w:tc>
          <w:tcPr>
            <w:tcW w:w="795" w:type="pct"/>
            <w:shd w:val="clear" w:color="auto" w:fill="auto"/>
            <w:vAlign w:val="center"/>
          </w:tcPr>
          <w:p w14:paraId="59CDB64B" w14:textId="77777777" w:rsidR="00705A3B" w:rsidRPr="009E7965" w:rsidRDefault="00705A3B" w:rsidP="00994973">
            <w:pPr>
              <w:pStyle w:val="Tableheadingrow"/>
              <w:keepLines/>
              <w:widowControl w:val="0"/>
              <w:rPr>
                <w:szCs w:val="20"/>
                <w:lang w:val="en-AU"/>
              </w:rPr>
            </w:pPr>
            <w:r w:rsidRPr="009E7965">
              <w:rPr>
                <w:szCs w:val="20"/>
                <w:lang w:val="en-AU"/>
              </w:rPr>
              <w:t>Parameter</w:t>
            </w:r>
          </w:p>
        </w:tc>
        <w:tc>
          <w:tcPr>
            <w:tcW w:w="2682" w:type="pct"/>
            <w:shd w:val="clear" w:color="auto" w:fill="auto"/>
            <w:vAlign w:val="center"/>
          </w:tcPr>
          <w:p w14:paraId="43D73C6E" w14:textId="77777777" w:rsidR="00705A3B" w:rsidRPr="009E7965" w:rsidRDefault="00705A3B" w:rsidP="00994973">
            <w:pPr>
              <w:pStyle w:val="Tableheadingrow"/>
              <w:keepLines/>
              <w:widowControl w:val="0"/>
              <w:rPr>
                <w:szCs w:val="20"/>
                <w:lang w:val="en-AU"/>
              </w:rPr>
            </w:pPr>
            <w:r w:rsidRPr="009E7965">
              <w:rPr>
                <w:szCs w:val="20"/>
                <w:lang w:val="en-AU"/>
              </w:rPr>
              <w:t>Value applied and source</w:t>
            </w:r>
          </w:p>
        </w:tc>
        <w:tc>
          <w:tcPr>
            <w:tcW w:w="1516" w:type="pct"/>
            <w:shd w:val="clear" w:color="auto" w:fill="auto"/>
            <w:vAlign w:val="center"/>
          </w:tcPr>
          <w:p w14:paraId="333611FE" w14:textId="77777777" w:rsidR="00705A3B" w:rsidRPr="0028085E" w:rsidRDefault="00705A3B" w:rsidP="00994973">
            <w:pPr>
              <w:pStyle w:val="Tableheadingrow"/>
              <w:keepLines/>
              <w:widowControl w:val="0"/>
              <w:jc w:val="center"/>
              <w:rPr>
                <w:szCs w:val="20"/>
                <w:lang w:val="en-AU"/>
              </w:rPr>
            </w:pPr>
            <w:r w:rsidRPr="0028085E">
              <w:rPr>
                <w:szCs w:val="20"/>
                <w:lang w:val="en-AU"/>
              </w:rPr>
              <w:t>Comment</w:t>
            </w:r>
          </w:p>
        </w:tc>
      </w:tr>
      <w:tr w:rsidR="00705A3B" w:rsidRPr="009E7965" w14:paraId="60B4F1D2" w14:textId="77777777" w:rsidTr="00994973">
        <w:trPr>
          <w:gridAfter w:val="1"/>
          <w:wAfter w:w="7" w:type="pct"/>
        </w:trPr>
        <w:tc>
          <w:tcPr>
            <w:tcW w:w="4993" w:type="pct"/>
            <w:gridSpan w:val="3"/>
            <w:shd w:val="clear" w:color="auto" w:fill="auto"/>
            <w:vAlign w:val="center"/>
          </w:tcPr>
          <w:p w14:paraId="573328E6" w14:textId="77777777" w:rsidR="00705A3B" w:rsidRPr="0028085E" w:rsidRDefault="00705A3B" w:rsidP="00994973">
            <w:pPr>
              <w:pStyle w:val="Tableheadingrow"/>
              <w:keepLines/>
              <w:widowControl w:val="0"/>
              <w:rPr>
                <w:szCs w:val="20"/>
                <w:lang w:val="en-AU"/>
              </w:rPr>
            </w:pPr>
            <w:r w:rsidRPr="0028085E">
              <w:rPr>
                <w:szCs w:val="20"/>
                <w:lang w:val="en-AU"/>
              </w:rPr>
              <w:t>First line population</w:t>
            </w:r>
          </w:p>
        </w:tc>
      </w:tr>
      <w:tr w:rsidR="00705A3B" w:rsidRPr="009E7965" w14:paraId="1F63AF73" w14:textId="77777777" w:rsidTr="00994973">
        <w:trPr>
          <w:gridAfter w:val="1"/>
          <w:wAfter w:w="7" w:type="pct"/>
          <w:tblHeader/>
        </w:trPr>
        <w:tc>
          <w:tcPr>
            <w:tcW w:w="795" w:type="pct"/>
            <w:shd w:val="clear" w:color="auto" w:fill="auto"/>
            <w:vAlign w:val="center"/>
          </w:tcPr>
          <w:p w14:paraId="2445DC97" w14:textId="77777777" w:rsidR="00035DE5" w:rsidRDefault="00705A3B" w:rsidP="003406B4">
            <w:pPr>
              <w:pStyle w:val="Tabletext0"/>
            </w:pPr>
            <w:r>
              <w:t xml:space="preserve">Patients with a prior fracture and BMD less than </w:t>
            </w:r>
          </w:p>
          <w:p w14:paraId="18ADDF35" w14:textId="1F448F9A" w:rsidR="00705A3B" w:rsidRDefault="00705A3B" w:rsidP="003406B4">
            <w:pPr>
              <w:pStyle w:val="Tabletext0"/>
            </w:pPr>
            <w:r>
              <w:t>-2.5</w:t>
            </w:r>
          </w:p>
        </w:tc>
        <w:tc>
          <w:tcPr>
            <w:tcW w:w="2682" w:type="pct"/>
            <w:shd w:val="clear" w:color="auto" w:fill="auto"/>
            <w:vAlign w:val="center"/>
          </w:tcPr>
          <w:p w14:paraId="6158A687" w14:textId="77777777" w:rsidR="00705A3B" w:rsidRDefault="00705A3B" w:rsidP="003406B4">
            <w:pPr>
              <w:pStyle w:val="Tabletext0"/>
            </w:pPr>
            <w:r>
              <w:t xml:space="preserve">32.5%. </w:t>
            </w:r>
            <w:r w:rsidRPr="004F1FEF">
              <w:t>Analysis of a sample from the Geelong Osteoporosis Study. In the subgroup with fracture, 5.3% of those age ≤ 69 years and 41.5% of those age ≥70 years had BMD ≤-2.5. A weighted proportion was calculated assuming 25% were age ≤ 69 years and 75% were age ≥70 years.</w:t>
            </w:r>
          </w:p>
        </w:tc>
        <w:tc>
          <w:tcPr>
            <w:tcW w:w="1516" w:type="pct"/>
            <w:shd w:val="clear" w:color="auto" w:fill="auto"/>
            <w:vAlign w:val="center"/>
          </w:tcPr>
          <w:p w14:paraId="20F984AD" w14:textId="77777777" w:rsidR="00705A3B" w:rsidRPr="0028085E" w:rsidRDefault="00705A3B" w:rsidP="003406B4">
            <w:pPr>
              <w:pStyle w:val="Tabletext0"/>
            </w:pPr>
            <w:r w:rsidRPr="0028085E">
              <w:t>Estimates from the Geelong Osteoporosis Study (GOS) are nearly 30 years old and may not be applicable to current practice. The resubmission did not justify the application of data that included untreated patients from the GOS to treated population estimates.</w:t>
            </w:r>
          </w:p>
        </w:tc>
      </w:tr>
      <w:tr w:rsidR="00705A3B" w:rsidRPr="009E7965" w14:paraId="1729C61B" w14:textId="77777777" w:rsidTr="00994973">
        <w:trPr>
          <w:gridAfter w:val="1"/>
          <w:wAfter w:w="7" w:type="pct"/>
          <w:tblHeader/>
        </w:trPr>
        <w:tc>
          <w:tcPr>
            <w:tcW w:w="795" w:type="pct"/>
            <w:shd w:val="clear" w:color="auto" w:fill="auto"/>
            <w:vAlign w:val="center"/>
          </w:tcPr>
          <w:p w14:paraId="4E4E9702" w14:textId="77777777" w:rsidR="00705A3B" w:rsidRPr="004E5972" w:rsidRDefault="00705A3B" w:rsidP="003406B4">
            <w:pPr>
              <w:pStyle w:val="Tabletext0"/>
            </w:pPr>
            <w:r>
              <w:t>Patients with multiple fractures or a single hip/clinical vertebral fracture</w:t>
            </w:r>
          </w:p>
        </w:tc>
        <w:tc>
          <w:tcPr>
            <w:tcW w:w="2682" w:type="pct"/>
            <w:shd w:val="clear" w:color="auto" w:fill="auto"/>
            <w:vAlign w:val="center"/>
          </w:tcPr>
          <w:p w14:paraId="38040576" w14:textId="77777777" w:rsidR="00705A3B" w:rsidRDefault="00705A3B" w:rsidP="003406B4">
            <w:pPr>
              <w:pStyle w:val="Tabletext0"/>
            </w:pPr>
            <w:r>
              <w:t xml:space="preserve">57%. Midpoint based on estimates from the ARCH trial (58%) and analysis using data from the Geelong Osteoporosis Study and AusICUROS study (56%). </w:t>
            </w:r>
          </w:p>
          <w:p w14:paraId="0D5262A0" w14:textId="77777777" w:rsidR="00705A3B" w:rsidRDefault="00705A3B" w:rsidP="003406B4">
            <w:pPr>
              <w:pStyle w:val="Tabletext0"/>
            </w:pPr>
          </w:p>
          <w:p w14:paraId="2C9E570A" w14:textId="0C096EC6" w:rsidR="00705A3B" w:rsidRDefault="00705A3B" w:rsidP="003406B4">
            <w:pPr>
              <w:pStyle w:val="Tabletext0"/>
            </w:pPr>
            <w:r>
              <w:t xml:space="preserve">A post-hoc analysis of the ARCH trial was conducted, stratifying patients by baseline BMD and fracture history. Of the subgroup with BMD ≤-2.5, 58% of patients had a history of either multiple clinical fractures or a single hip/clinical vertebral fracture. </w:t>
            </w:r>
          </w:p>
          <w:p w14:paraId="517DD5FA" w14:textId="77777777" w:rsidR="00705A3B" w:rsidRDefault="00705A3B" w:rsidP="003406B4">
            <w:pPr>
              <w:pStyle w:val="Tabletext0"/>
            </w:pPr>
          </w:p>
          <w:p w14:paraId="6386AC43" w14:textId="77777777" w:rsidR="00705A3B" w:rsidRPr="009E7965" w:rsidRDefault="00705A3B" w:rsidP="003406B4">
            <w:pPr>
              <w:pStyle w:val="Tabletext0"/>
            </w:pPr>
            <w:r>
              <w:t xml:space="preserve">Based on a subgroup analysis of patients with a prior fracture in the Geelong Osteoporosis Study (stratified by age groups with age distribution assumption), the resubmission estimated 27.9% of patients had multiple fractures. The resubmission estimated 28.6% of patients had a single hip/vertebral fracture by applying the incidence of hip/vertebral fractures from the AusICUROS study (39.6%) to the proportion of patients without multiple fractures (calculated as 100%-27.9% = 72.1%). The final estimate was calculated as the sum of the proportion with multiple fractures and the proportion with a single hip/vertebral fracture (27.9% + 28.6% = 56.5%). </w:t>
            </w:r>
          </w:p>
        </w:tc>
        <w:tc>
          <w:tcPr>
            <w:tcW w:w="1516" w:type="pct"/>
            <w:shd w:val="clear" w:color="auto" w:fill="auto"/>
            <w:vAlign w:val="center"/>
          </w:tcPr>
          <w:p w14:paraId="408B7B61" w14:textId="77777777" w:rsidR="00705A3B" w:rsidRPr="0028085E" w:rsidRDefault="00705A3B" w:rsidP="003406B4">
            <w:pPr>
              <w:pStyle w:val="Tabletext0"/>
            </w:pPr>
            <w:r w:rsidRPr="0028085E">
              <w:t xml:space="preserve">Neither analysis considered recency of fracture, which was inconsistent with the proposed PBS restriction. </w:t>
            </w:r>
          </w:p>
          <w:p w14:paraId="42090770" w14:textId="77777777" w:rsidR="00705A3B" w:rsidRPr="0028085E" w:rsidRDefault="00705A3B" w:rsidP="003406B4">
            <w:pPr>
              <w:pStyle w:val="Tabletext0"/>
            </w:pPr>
          </w:p>
          <w:p w14:paraId="6F6F2D4D" w14:textId="77777777" w:rsidR="00705A3B" w:rsidRPr="0028085E" w:rsidRDefault="00705A3B" w:rsidP="003406B4">
            <w:pPr>
              <w:pStyle w:val="Tabletext0"/>
            </w:pPr>
            <w:r w:rsidRPr="0028085E">
              <w:t xml:space="preserve">Estimates based on the Geelong Osteoporosis Study are relatively old and may not be applicable to current practice. </w:t>
            </w:r>
          </w:p>
        </w:tc>
      </w:tr>
      <w:tr w:rsidR="00705A3B" w:rsidRPr="00610826" w14:paraId="2F4D8680" w14:textId="77777777" w:rsidTr="00994973">
        <w:tc>
          <w:tcPr>
            <w:tcW w:w="5000" w:type="pct"/>
            <w:gridSpan w:val="4"/>
            <w:vAlign w:val="center"/>
          </w:tcPr>
          <w:p w14:paraId="38A1B946" w14:textId="77777777" w:rsidR="00705A3B" w:rsidRPr="0028085E" w:rsidRDefault="00705A3B" w:rsidP="003C2839">
            <w:pPr>
              <w:pStyle w:val="TableText"/>
              <w:widowControl w:val="0"/>
              <w:rPr>
                <w:b/>
                <w:bCs w:val="0"/>
              </w:rPr>
            </w:pPr>
            <w:r w:rsidRPr="0028085E">
              <w:rPr>
                <w:b/>
                <w:bCs w:val="0"/>
              </w:rPr>
              <w:t>Second line population with multiple fractures, BMD ≤-2.5 and &gt;3.0</w:t>
            </w:r>
          </w:p>
        </w:tc>
      </w:tr>
      <w:tr w:rsidR="00705A3B" w:rsidRPr="009E7965" w14:paraId="31D91431" w14:textId="77777777" w:rsidTr="00994973">
        <w:trPr>
          <w:gridAfter w:val="1"/>
          <w:wAfter w:w="7" w:type="pct"/>
          <w:tblHeader/>
        </w:trPr>
        <w:tc>
          <w:tcPr>
            <w:tcW w:w="795" w:type="pct"/>
            <w:shd w:val="clear" w:color="auto" w:fill="auto"/>
            <w:vAlign w:val="center"/>
          </w:tcPr>
          <w:p w14:paraId="6B3645D0" w14:textId="77777777" w:rsidR="00035DE5" w:rsidRDefault="00705A3B" w:rsidP="003406B4">
            <w:pPr>
              <w:pStyle w:val="Tabletext0"/>
            </w:pPr>
            <w:r>
              <w:t xml:space="preserve">Patients with a prior fracture and BMD ≤-2.5 and </w:t>
            </w:r>
          </w:p>
          <w:p w14:paraId="4C2DAEB2" w14:textId="272C57EF" w:rsidR="00705A3B" w:rsidRPr="003F55B0" w:rsidRDefault="00705A3B" w:rsidP="003406B4">
            <w:pPr>
              <w:pStyle w:val="Tabletext0"/>
            </w:pPr>
            <w:r>
              <w:t>&gt;-3.0</w:t>
            </w:r>
          </w:p>
        </w:tc>
        <w:tc>
          <w:tcPr>
            <w:tcW w:w="2682" w:type="pct"/>
            <w:shd w:val="clear" w:color="auto" w:fill="auto"/>
            <w:vAlign w:val="center"/>
          </w:tcPr>
          <w:p w14:paraId="0F93C679" w14:textId="76207628" w:rsidR="00705A3B" w:rsidRDefault="00705A3B" w:rsidP="003406B4">
            <w:pPr>
              <w:pStyle w:val="Tabletext0"/>
            </w:pPr>
            <w:r>
              <w:t xml:space="preserve">12.9%. Based </w:t>
            </w:r>
            <w:r w:rsidR="00F028C7">
              <w:t xml:space="preserve">on </w:t>
            </w:r>
            <w:r>
              <w:t>data from the Geelong Osteoporosis Study</w:t>
            </w:r>
            <w:r w:rsidR="00F37BA9">
              <w:t xml:space="preserve"> (GOS)</w:t>
            </w:r>
            <w:r w:rsidR="007563AD">
              <w:t xml:space="preserve"> and </w:t>
            </w:r>
            <w:r>
              <w:t xml:space="preserve">denosumab FREEDOM extension </w:t>
            </w:r>
            <w:r w:rsidR="001B6E4D">
              <w:t>study.</w:t>
            </w:r>
            <w:r>
              <w:t xml:space="preserve"> </w:t>
            </w:r>
          </w:p>
          <w:p w14:paraId="3331C156" w14:textId="77777777" w:rsidR="00705A3B" w:rsidRDefault="00705A3B" w:rsidP="003406B4">
            <w:pPr>
              <w:pStyle w:val="Tabletext0"/>
            </w:pPr>
          </w:p>
          <w:p w14:paraId="2355CD71" w14:textId="5FB64C29" w:rsidR="001B6E4D" w:rsidRDefault="001B6E4D" w:rsidP="001B6E4D">
            <w:pPr>
              <w:pStyle w:val="Tabletext0"/>
            </w:pPr>
            <w:r>
              <w:t xml:space="preserve">The resubmission estimated the proportion of patients with a prior fracture and BMD ≤-3 as 17.2% and the corresponding proportion with BMD ≤-2.5 and &gt;-3 as 15.3%, based on a subgroup analysis of patients with fracture from the </w:t>
            </w:r>
            <w:r w:rsidR="00F37BA9">
              <w:t>GOS</w:t>
            </w:r>
            <w:r>
              <w:t xml:space="preserve">. The resubmission claimed adjustments to these estimates were necessary to </w:t>
            </w:r>
            <w:r w:rsidR="003700DE">
              <w:t>account for BMD treatment effects</w:t>
            </w:r>
            <w:r w:rsidR="00C018AE">
              <w:t>, estimated from</w:t>
            </w:r>
            <w:r>
              <w:t xml:space="preserve"> on an ad-hoc analysis of lumbar spine BMD T-scores in the cross-over arm (placebo to denosumab) from an open-label extension study of denosumab (extension of FREEDOM trial). The analysis indicated that 57% of placebo patients with BMD ≤-3 achieved a BMD &gt;-3 after 24 months of treatment with denosumab. </w:t>
            </w:r>
          </w:p>
          <w:p w14:paraId="2DB73F0B" w14:textId="77777777" w:rsidR="001B6E4D" w:rsidRDefault="001B6E4D" w:rsidP="001B6E4D">
            <w:pPr>
              <w:pStyle w:val="Tabletext0"/>
            </w:pPr>
          </w:p>
          <w:p w14:paraId="69FA5E6A" w14:textId="57DB1F8E" w:rsidR="001B6E4D" w:rsidRDefault="001B6E4D" w:rsidP="001B6E4D">
            <w:pPr>
              <w:pStyle w:val="Tabletext0"/>
            </w:pPr>
            <w:r>
              <w:t>Of the 17.2% of patients with a prior fracture and BMD ≤-3, the resubmission estimated that 9.7% would have a BMD ≤-3 despite treatment (57% x 17.2%) and the remaining 7.5% would achieve a BMD &gt;-3. The resubmission assumed that 57% of these patients would have a BMD of ≤-2.5 and &gt;-3 and the remainder would have a BMD &gt;-2.5</w:t>
            </w:r>
            <w:r w:rsidR="008A58EB">
              <w:t>, yielding 4.2% of treated patients with BMD of ≤-2.5 and &gt;-3</w:t>
            </w:r>
            <w:r w:rsidR="00F72250">
              <w:t xml:space="preserve"> (</w:t>
            </w:r>
            <w:r>
              <w:t>calculated as 57% x 7.5%</w:t>
            </w:r>
            <w:r w:rsidR="00F72250">
              <w:t>).</w:t>
            </w:r>
          </w:p>
          <w:p w14:paraId="4504E50B" w14:textId="77777777" w:rsidR="001B6E4D" w:rsidRDefault="001B6E4D" w:rsidP="001B6E4D">
            <w:pPr>
              <w:pStyle w:val="Tabletext0"/>
            </w:pPr>
          </w:p>
          <w:p w14:paraId="67D3BD59" w14:textId="3914BF6C" w:rsidR="001B6E4D" w:rsidRDefault="001B6E4D" w:rsidP="001B6E4D">
            <w:pPr>
              <w:pStyle w:val="Tabletext0"/>
            </w:pPr>
            <w:r>
              <w:t>Of the 15.3% of patients with a prior fracture and BMD ≤-2.5 and &gt;-3, the resubmission estimated that 57% of patients would remain with BMD ≤-2.5 and &gt;-3 despite treatment</w:t>
            </w:r>
            <w:r w:rsidR="00F72250">
              <w:t>, yielding 8.7% of</w:t>
            </w:r>
            <w:r>
              <w:t xml:space="preserve"> treated patients </w:t>
            </w:r>
            <w:r w:rsidR="002865E6">
              <w:t>with</w:t>
            </w:r>
            <w:r>
              <w:t xml:space="preserve"> BMD of ≤-2.5 and &gt;-3 </w:t>
            </w:r>
            <w:r w:rsidR="00F72250">
              <w:t>(</w:t>
            </w:r>
            <w:r>
              <w:t>calculated as 57% x 15.3%</w:t>
            </w:r>
            <w:r w:rsidR="00F72250">
              <w:t>).</w:t>
            </w:r>
            <w:r>
              <w:t xml:space="preserve"> </w:t>
            </w:r>
          </w:p>
          <w:p w14:paraId="4113DDD1" w14:textId="77777777" w:rsidR="001B6E4D" w:rsidRDefault="001B6E4D" w:rsidP="001B6E4D">
            <w:pPr>
              <w:pStyle w:val="Tabletext0"/>
            </w:pPr>
          </w:p>
          <w:p w14:paraId="67361562" w14:textId="323176A4" w:rsidR="00705A3B" w:rsidRDefault="001B6E4D" w:rsidP="001B6E4D">
            <w:pPr>
              <w:pStyle w:val="Tabletext0"/>
            </w:pPr>
            <w:r>
              <w:t>The total proportion of treated patients with a prior fracture and BMD ≤-2.5 and &gt;-3.0 was calculated as 4.2% + 8.7% = 12.9%.</w:t>
            </w:r>
          </w:p>
        </w:tc>
        <w:tc>
          <w:tcPr>
            <w:tcW w:w="1516" w:type="pct"/>
            <w:shd w:val="clear" w:color="auto" w:fill="auto"/>
            <w:vAlign w:val="center"/>
          </w:tcPr>
          <w:p w14:paraId="4214F839" w14:textId="77777777" w:rsidR="00A51D5F" w:rsidRPr="0028085E" w:rsidRDefault="00A51D5F" w:rsidP="00A51D5F">
            <w:pPr>
              <w:pStyle w:val="TableText"/>
              <w:keepNext w:val="0"/>
              <w:widowControl w:val="0"/>
            </w:pPr>
            <w:r w:rsidRPr="0028085E">
              <w:t>This estimate was synthesised using sources of data that were not exchangeable (Geelong Osteoporosis Study of the general population and FREEDOM trial population) and may not be applicable to the PBS population.</w:t>
            </w:r>
          </w:p>
          <w:p w14:paraId="39837A4D" w14:textId="77777777" w:rsidR="00A51D5F" w:rsidRPr="0028085E" w:rsidRDefault="00A51D5F" w:rsidP="00A51D5F">
            <w:pPr>
              <w:pStyle w:val="TableText"/>
              <w:keepNext w:val="0"/>
              <w:widowControl w:val="0"/>
            </w:pPr>
          </w:p>
          <w:p w14:paraId="03F79C6A" w14:textId="77777777" w:rsidR="00A51D5F" w:rsidRPr="0028085E" w:rsidRDefault="00A51D5F" w:rsidP="00A51D5F">
            <w:pPr>
              <w:pStyle w:val="TableText"/>
              <w:keepNext w:val="0"/>
              <w:widowControl w:val="0"/>
            </w:pPr>
            <w:r w:rsidRPr="0028085E">
              <w:t xml:space="preserve">The resubmission appears to have misinterpreted the results of the ad-hoc analysis of the FREEDOM extension study that reported a 57% relative reduction in the proportion of patients with BMD ≤-3 (i.e. those who achieved a BMD &gt;-3). Based on these results, 43% of patients have BMD ≤-3 despite treatment, not 57% of patients.  </w:t>
            </w:r>
          </w:p>
          <w:p w14:paraId="4D384A13" w14:textId="77777777" w:rsidR="00A51D5F" w:rsidRPr="0028085E" w:rsidRDefault="00A51D5F" w:rsidP="00A51D5F">
            <w:pPr>
              <w:pStyle w:val="TableText"/>
              <w:keepNext w:val="0"/>
              <w:widowControl w:val="0"/>
            </w:pPr>
          </w:p>
          <w:p w14:paraId="037EA441" w14:textId="77777777" w:rsidR="00A51D5F" w:rsidRPr="0028085E" w:rsidRDefault="00A51D5F" w:rsidP="00A51D5F">
            <w:pPr>
              <w:pStyle w:val="TableText"/>
              <w:keepNext w:val="0"/>
              <w:widowControl w:val="0"/>
            </w:pPr>
            <w:r w:rsidRPr="0028085E">
              <w:t xml:space="preserve">The calculations were complex and difficult to follow, with multiple adjustments to account for BMD treatment effects based on assumptions that were inadequately justified.  </w:t>
            </w:r>
          </w:p>
          <w:p w14:paraId="7D6F4C8F" w14:textId="77777777" w:rsidR="00705A3B" w:rsidRPr="0028085E" w:rsidRDefault="00705A3B" w:rsidP="003406B4">
            <w:pPr>
              <w:pStyle w:val="Tabletext0"/>
            </w:pPr>
          </w:p>
        </w:tc>
      </w:tr>
      <w:tr w:rsidR="00705A3B" w:rsidRPr="009E7965" w14:paraId="345A04DC" w14:textId="77777777" w:rsidTr="00994973">
        <w:trPr>
          <w:gridAfter w:val="1"/>
          <w:wAfter w:w="7" w:type="pct"/>
          <w:tblHeader/>
        </w:trPr>
        <w:tc>
          <w:tcPr>
            <w:tcW w:w="795" w:type="pct"/>
            <w:shd w:val="clear" w:color="auto" w:fill="auto"/>
            <w:vAlign w:val="center"/>
          </w:tcPr>
          <w:p w14:paraId="6FE87A95" w14:textId="77777777" w:rsidR="00705A3B" w:rsidRPr="009E7965" w:rsidRDefault="00705A3B" w:rsidP="003406B4">
            <w:pPr>
              <w:pStyle w:val="Tabletext0"/>
            </w:pPr>
            <w:r w:rsidRPr="003F55B0">
              <w:t>Patients with an on-treatment fracture</w:t>
            </w:r>
          </w:p>
        </w:tc>
        <w:tc>
          <w:tcPr>
            <w:tcW w:w="2682" w:type="pct"/>
            <w:shd w:val="clear" w:color="auto" w:fill="auto"/>
            <w:vAlign w:val="center"/>
          </w:tcPr>
          <w:p w14:paraId="44B39DB7" w14:textId="77777777" w:rsidR="00705A3B" w:rsidRDefault="00705A3B" w:rsidP="003406B4">
            <w:pPr>
              <w:pStyle w:val="Tabletext0"/>
            </w:pPr>
            <w:r>
              <w:t xml:space="preserve">20.94%. Calculated using an estimated risk of fracture of 29.3% presented in the March 2020 submission, adjusted using a relative risk ratio of 0.715 derived from ARCH trial data. </w:t>
            </w:r>
          </w:p>
          <w:p w14:paraId="39B64B6D" w14:textId="77777777" w:rsidR="00705A3B" w:rsidRDefault="00705A3B" w:rsidP="003406B4">
            <w:pPr>
              <w:pStyle w:val="Tabletext0"/>
            </w:pPr>
          </w:p>
          <w:p w14:paraId="21785530" w14:textId="65FD8FEB" w:rsidR="00705A3B" w:rsidRDefault="00705A3B" w:rsidP="003406B4">
            <w:pPr>
              <w:pStyle w:val="Tabletext0"/>
            </w:pPr>
            <w:r>
              <w:t xml:space="preserve">This 29.3% fracture risk estimate was derived using 4 individual 5-year fracture risk estimates (42%, 55%, 61%, 84%) using the Garvan Fracture risk calculator. </w:t>
            </w:r>
            <w:r w:rsidRPr="004544ED">
              <w:t xml:space="preserve">A flat annual fracture rate </w:t>
            </w:r>
            <w:r>
              <w:t xml:space="preserve">of 7.7% </w:t>
            </w:r>
            <w:r w:rsidRPr="004544ED">
              <w:t xml:space="preserve">was calculated using the midpoint of this range, weighted by gender distribution (80% women). </w:t>
            </w:r>
            <w:r>
              <w:t>A 30%</w:t>
            </w:r>
            <w:r w:rsidRPr="004544ED">
              <w:t xml:space="preserve"> downward adjustment</w:t>
            </w:r>
            <w:r>
              <w:t xml:space="preserve"> was applied</w:t>
            </w:r>
            <w:r w:rsidRPr="004544ED">
              <w:t xml:space="preserve"> to the estimate </w:t>
            </w:r>
            <w:r>
              <w:t xml:space="preserve">to account for osteoporosis treatment effects. An average duration of therapy for patients on at least 12 months continuous therapy was estimated as 4.8 years based on a 10% PBS sample analysis. Excluding the first year of therapy, the calculated duration of therapy was 3.8 years. The annual fracture rate of 7.7% was multiplied by 3.8 years to yield </w:t>
            </w:r>
            <w:r w:rsidR="00A8461F">
              <w:t xml:space="preserve">a proportion of patients </w:t>
            </w:r>
            <w:r w:rsidR="00ED6E43">
              <w:t xml:space="preserve">with fracture of 29.3%. </w:t>
            </w:r>
          </w:p>
          <w:p w14:paraId="2068DBF2" w14:textId="77777777" w:rsidR="00705A3B" w:rsidRDefault="00705A3B" w:rsidP="003406B4">
            <w:pPr>
              <w:pStyle w:val="Tabletext0"/>
            </w:pPr>
          </w:p>
          <w:p w14:paraId="71CA8DA8" w14:textId="77777777" w:rsidR="00705A3B" w:rsidRPr="00CE2205" w:rsidRDefault="00705A3B" w:rsidP="003406B4">
            <w:pPr>
              <w:pStyle w:val="Tabletext0"/>
            </w:pPr>
            <w:r>
              <w:t xml:space="preserve">The resubmission conducted a post-hoc analysis of clinical fracture in the alendronate arm of the ARCH trial, with subgroups stratified by baseline lumbar spine BMD T-scores and number of any prior fracture. </w:t>
            </w:r>
            <w:r w:rsidRPr="002A5CE2">
              <w:t>The risk ratio was calculated using the cumulative incidence of clinical fracture (over median follow-up of 2.75 years) in patients with multiple fractures and a BMD T-score of ≤-2.5 to &gt;-3 and those with a BMD T-score of ≤-3 in the ARCH trial (calculated as 0.111/0.155 = 0.715).</w:t>
            </w:r>
          </w:p>
        </w:tc>
        <w:tc>
          <w:tcPr>
            <w:tcW w:w="1516" w:type="pct"/>
            <w:shd w:val="clear" w:color="auto" w:fill="auto"/>
            <w:vAlign w:val="center"/>
          </w:tcPr>
          <w:p w14:paraId="02A94F76" w14:textId="77777777" w:rsidR="00705A3B" w:rsidRPr="0028085E" w:rsidRDefault="00705A3B" w:rsidP="003406B4">
            <w:pPr>
              <w:pStyle w:val="Tabletext0"/>
              <w:rPr>
                <w:szCs w:val="20"/>
              </w:rPr>
            </w:pPr>
            <w:r w:rsidRPr="0028085E">
              <w:t>The ESC previously raised concerns with the incident fracture rate that was inappropriately derived from an individual risk calculator and assumed patient characteristics (para 6.81, romosozumab PSD, March 2020 PBAC meeting). This was not addressed in the resubmission. The estimated incident fracture risk should not be considered reliable as it was based on the same approach with further adjustments using an additional data source and assumptions to derive the fracture risk in the target population.</w:t>
            </w:r>
          </w:p>
        </w:tc>
      </w:tr>
      <w:tr w:rsidR="00705A3B" w:rsidRPr="00610826" w14:paraId="52765E06" w14:textId="77777777" w:rsidTr="00994973">
        <w:tc>
          <w:tcPr>
            <w:tcW w:w="5000" w:type="pct"/>
            <w:gridSpan w:val="4"/>
            <w:vAlign w:val="center"/>
          </w:tcPr>
          <w:p w14:paraId="7C793F17" w14:textId="77777777" w:rsidR="00705A3B" w:rsidRPr="0028085E" w:rsidRDefault="00705A3B" w:rsidP="003406B4">
            <w:pPr>
              <w:pStyle w:val="TableText"/>
              <w:keepNext w:val="0"/>
              <w:widowControl w:val="0"/>
              <w:rPr>
                <w:b/>
                <w:bCs w:val="0"/>
              </w:rPr>
            </w:pPr>
            <w:r w:rsidRPr="0028085E">
              <w:rPr>
                <w:b/>
                <w:bCs w:val="0"/>
              </w:rPr>
              <w:t>Second line population with a single fracture and BMD ≤-2.5</w:t>
            </w:r>
          </w:p>
        </w:tc>
      </w:tr>
      <w:tr w:rsidR="00705A3B" w:rsidRPr="009E7965" w14:paraId="5DBBC224" w14:textId="77777777" w:rsidTr="00994973">
        <w:trPr>
          <w:gridAfter w:val="1"/>
          <w:wAfter w:w="7" w:type="pct"/>
          <w:tblHeader/>
        </w:trPr>
        <w:tc>
          <w:tcPr>
            <w:tcW w:w="795" w:type="pct"/>
            <w:shd w:val="clear" w:color="auto" w:fill="auto"/>
            <w:vAlign w:val="center"/>
          </w:tcPr>
          <w:p w14:paraId="2201F202" w14:textId="77777777" w:rsidR="00705A3B" w:rsidRPr="003F55B0" w:rsidRDefault="00705A3B" w:rsidP="003406B4">
            <w:pPr>
              <w:pStyle w:val="Tabletext0"/>
            </w:pPr>
            <w:r>
              <w:t>Patients without a prior fracture and BMD ≤-2.5</w:t>
            </w:r>
          </w:p>
        </w:tc>
        <w:tc>
          <w:tcPr>
            <w:tcW w:w="2682" w:type="pct"/>
            <w:shd w:val="clear" w:color="auto" w:fill="auto"/>
            <w:vAlign w:val="center"/>
          </w:tcPr>
          <w:p w14:paraId="3FAE0ACC" w14:textId="77777777" w:rsidR="00705A3B" w:rsidRDefault="00705A3B" w:rsidP="003406B4">
            <w:pPr>
              <w:pStyle w:val="Tabletext0"/>
            </w:pPr>
            <w:r>
              <w:t>22.6%. In treated patients with a prior fracture, the resubmission estimated 9.7% have BMD ≤-3.0, and 12.9% have BMD ≤-2.5 and &gt;-3.0 (source and derivation described above for patients with a prior fracture and BMD ≤-2.5 and &gt;-3.0).</w:t>
            </w:r>
          </w:p>
        </w:tc>
        <w:tc>
          <w:tcPr>
            <w:tcW w:w="1516" w:type="pct"/>
            <w:shd w:val="clear" w:color="auto" w:fill="auto"/>
            <w:vAlign w:val="center"/>
          </w:tcPr>
          <w:p w14:paraId="12E1064F" w14:textId="77777777" w:rsidR="00705A3B" w:rsidRPr="0028085E" w:rsidRDefault="00705A3B" w:rsidP="003406B4">
            <w:pPr>
              <w:pStyle w:val="Tabletext0"/>
            </w:pPr>
            <w:r w:rsidRPr="0028085E">
              <w:t>The resubmission inappropriately assumed that BMD T-scores based on patients with a prior fracture would be generalisable to patients without a prior fracture.</w:t>
            </w:r>
          </w:p>
        </w:tc>
      </w:tr>
      <w:tr w:rsidR="00705A3B" w:rsidRPr="009E7965" w14:paraId="55F56942" w14:textId="77777777" w:rsidTr="00994973">
        <w:trPr>
          <w:gridAfter w:val="1"/>
          <w:wAfter w:w="7" w:type="pct"/>
          <w:tblHeader/>
        </w:trPr>
        <w:tc>
          <w:tcPr>
            <w:tcW w:w="795" w:type="pct"/>
            <w:shd w:val="clear" w:color="auto" w:fill="auto"/>
            <w:vAlign w:val="center"/>
          </w:tcPr>
          <w:p w14:paraId="0713B6D3" w14:textId="77777777" w:rsidR="00705A3B" w:rsidRPr="009E7965" w:rsidRDefault="00705A3B" w:rsidP="003406B4">
            <w:pPr>
              <w:pStyle w:val="Tabletext0"/>
            </w:pPr>
            <w:r w:rsidRPr="003F55B0">
              <w:t>Patients with an on-treatment fracture</w:t>
            </w:r>
          </w:p>
        </w:tc>
        <w:tc>
          <w:tcPr>
            <w:tcW w:w="2682" w:type="pct"/>
            <w:shd w:val="clear" w:color="auto" w:fill="auto"/>
            <w:vAlign w:val="center"/>
          </w:tcPr>
          <w:p w14:paraId="1A5964AB" w14:textId="77777777" w:rsidR="00705A3B" w:rsidRDefault="00705A3B" w:rsidP="003406B4">
            <w:pPr>
              <w:pStyle w:val="Tabletext0"/>
            </w:pPr>
            <w:r>
              <w:t>15.59%. Calculated using an estimated risk of fracture of 29.3% presented in the March 2020 submission (described above), adjusted using a relative risk ratio of 0.5328 derived from ARCH trial data.</w:t>
            </w:r>
          </w:p>
          <w:p w14:paraId="7277A772" w14:textId="77777777" w:rsidR="00705A3B" w:rsidRDefault="00705A3B" w:rsidP="003406B4">
            <w:pPr>
              <w:pStyle w:val="Tabletext0"/>
            </w:pPr>
          </w:p>
          <w:p w14:paraId="735FAA82" w14:textId="77777777" w:rsidR="00705A3B" w:rsidRPr="009E7965" w:rsidRDefault="00705A3B" w:rsidP="003406B4">
            <w:pPr>
              <w:pStyle w:val="TableText"/>
              <w:keepNext w:val="0"/>
              <w:widowControl w:val="0"/>
            </w:pPr>
            <w:r w:rsidRPr="00FE0BF2">
              <w:t xml:space="preserve">The resubmission estimated the cumulative incidence of clinical fracture (over median follow-up of 33 months) in patients with a single fracture and BMD score of ≤-2.5 to &gt;-3.0 and ≤-3.0 (combined) as 8.28% (27/326) based </w:t>
            </w:r>
            <w:r>
              <w:t>on a post-hoc subgroup analysis of ARCH trial data</w:t>
            </w:r>
            <w:r w:rsidRPr="00FE0BF2">
              <w:t>. A risk ratio was calculated using the cumulative incidence of clinical fracture in this subgroup versus patients with multiple fractures and BMD T-score of ≤-3 (calculated as 0.0828/0.155 = 0.5328).</w:t>
            </w:r>
          </w:p>
        </w:tc>
        <w:tc>
          <w:tcPr>
            <w:tcW w:w="1516" w:type="pct"/>
            <w:shd w:val="clear" w:color="auto" w:fill="auto"/>
            <w:vAlign w:val="center"/>
          </w:tcPr>
          <w:p w14:paraId="381D4539" w14:textId="77777777" w:rsidR="00705A3B" w:rsidRPr="0028085E" w:rsidRDefault="00705A3B" w:rsidP="003406B4">
            <w:pPr>
              <w:pStyle w:val="Tabletext0"/>
            </w:pPr>
            <w:r w:rsidRPr="0028085E">
              <w:t xml:space="preserve">The estimated incident fracture rate should not be considered reliable as it was based on an inappropriately derived risk estimate (see above). </w:t>
            </w:r>
          </w:p>
        </w:tc>
      </w:tr>
    </w:tbl>
    <w:p w14:paraId="42D3E2BE" w14:textId="58709429" w:rsidR="00705A3B" w:rsidRDefault="00705A3B" w:rsidP="00705A3B">
      <w:pPr>
        <w:pStyle w:val="TableFigureFooter"/>
      </w:pPr>
      <w:r>
        <w:t xml:space="preserve">Source: Section 4, pp110-118 of the resubmission; Financial </w:t>
      </w:r>
      <w:r w:rsidR="00E664BE">
        <w:t>analysis final</w:t>
      </w:r>
      <w:r>
        <w:t xml:space="preserve"> Excel workbook of the resubmission</w:t>
      </w:r>
    </w:p>
    <w:p w14:paraId="642B1B49" w14:textId="50C6275A" w:rsidR="004F0C4E" w:rsidRPr="0028085E" w:rsidRDefault="004F0C4E" w:rsidP="00B505C8">
      <w:pPr>
        <w:pStyle w:val="ExecSumBodyText"/>
      </w:pPr>
      <w:r w:rsidRPr="004F0C4E">
        <w:t>The incident fracture rate applied to the restricted second line population requested in the March 2020 submission was used as the basis of on-treatment fracture risks estimated in the expanded second line populations.</w:t>
      </w:r>
      <w:r w:rsidR="007B57F0">
        <w:t xml:space="preserve"> </w:t>
      </w:r>
      <w:r w:rsidR="007B57F0" w:rsidRPr="0028085E">
        <w:t>The ESC previously considered the following as issues of concern (para 6.81, romosozumab PSD, March 2020 PBAC meeting):</w:t>
      </w:r>
    </w:p>
    <w:p w14:paraId="22DD26B2" w14:textId="4E075A69" w:rsidR="007B57F0" w:rsidRPr="0028085E" w:rsidRDefault="007B57F0" w:rsidP="006215FA">
      <w:pPr>
        <w:pStyle w:val="ListParagraph"/>
        <w:numPr>
          <w:ilvl w:val="0"/>
          <w:numId w:val="14"/>
        </w:numPr>
        <w:rPr>
          <w:rFonts w:asciiTheme="minorHAnsi" w:hAnsiTheme="minorHAnsi"/>
          <w:snapToGrid w:val="0"/>
        </w:rPr>
      </w:pPr>
      <w:r w:rsidRPr="0028085E">
        <w:rPr>
          <w:rFonts w:asciiTheme="minorHAnsi" w:hAnsiTheme="minorHAnsi"/>
          <w:snapToGrid w:val="0"/>
        </w:rPr>
        <w:t>assuming the qualifying BMD T-score must only be measure</w:t>
      </w:r>
      <w:r w:rsidR="002D006C" w:rsidRPr="0028085E">
        <w:rPr>
          <w:rFonts w:asciiTheme="minorHAnsi" w:hAnsiTheme="minorHAnsi"/>
          <w:snapToGrid w:val="0"/>
        </w:rPr>
        <w:t>d</w:t>
      </w:r>
      <w:r w:rsidRPr="0028085E">
        <w:rPr>
          <w:rFonts w:asciiTheme="minorHAnsi" w:hAnsiTheme="minorHAnsi"/>
          <w:snapToGrid w:val="0"/>
        </w:rPr>
        <w:t xml:space="preserve"> while the patient is on treatment;</w:t>
      </w:r>
    </w:p>
    <w:p w14:paraId="15573794" w14:textId="77777777" w:rsidR="007B57F0" w:rsidRPr="0028085E" w:rsidRDefault="007B57F0" w:rsidP="006215FA">
      <w:pPr>
        <w:pStyle w:val="ListParagraph"/>
        <w:numPr>
          <w:ilvl w:val="0"/>
          <w:numId w:val="14"/>
        </w:numPr>
        <w:rPr>
          <w:rFonts w:asciiTheme="minorHAnsi" w:hAnsiTheme="minorHAnsi"/>
          <w:snapToGrid w:val="0"/>
        </w:rPr>
      </w:pPr>
      <w:r w:rsidRPr="0028085E">
        <w:rPr>
          <w:rFonts w:asciiTheme="minorHAnsi" w:hAnsiTheme="minorHAnsi"/>
          <w:snapToGrid w:val="0"/>
        </w:rPr>
        <w:t>the use of an incident fracture rate from an individual risk calculator (Garvan Fracture risk) based on assumed individual patient characteristics to estimate population-level risk; and</w:t>
      </w:r>
    </w:p>
    <w:p w14:paraId="5CE09816" w14:textId="663DD5BC" w:rsidR="007B57F0" w:rsidRPr="0028085E" w:rsidRDefault="007B57F0" w:rsidP="006215FA">
      <w:pPr>
        <w:pStyle w:val="ListParagraph"/>
        <w:numPr>
          <w:ilvl w:val="0"/>
          <w:numId w:val="14"/>
        </w:numPr>
        <w:spacing w:after="120"/>
        <w:ind w:left="1077" w:hanging="357"/>
        <w:rPr>
          <w:rFonts w:asciiTheme="minorHAnsi" w:hAnsiTheme="minorHAnsi"/>
          <w:snapToGrid w:val="0"/>
        </w:rPr>
      </w:pPr>
      <w:r w:rsidRPr="0028085E">
        <w:rPr>
          <w:rFonts w:asciiTheme="minorHAnsi" w:hAnsiTheme="minorHAnsi"/>
          <w:snapToGrid w:val="0"/>
        </w:rPr>
        <w:t>the adjustment used to approximate a prevalent fracture rate from the incident fracture rate (based on average duration of therapy) could not be validated due to inadequate documentation and appeared to have anomalous results.</w:t>
      </w:r>
    </w:p>
    <w:p w14:paraId="2A9195C8" w14:textId="316A29D7" w:rsidR="004F0C4E" w:rsidRPr="0028085E" w:rsidRDefault="00617C61" w:rsidP="00B505C8">
      <w:pPr>
        <w:pStyle w:val="ExecSumBodyText"/>
      </w:pPr>
      <w:r w:rsidRPr="0028085E">
        <w:t xml:space="preserve">The concerns previously raised </w:t>
      </w:r>
      <w:r w:rsidR="003364C3">
        <w:t>in March 2020</w:t>
      </w:r>
      <w:r w:rsidRPr="0028085E">
        <w:t xml:space="preserve"> were not addressed in the resubmission. The resubmission used the same estimate with further adjustments using ARCH trial data and additional assumptions to derive the fracture risk in the target populations.</w:t>
      </w:r>
    </w:p>
    <w:p w14:paraId="26FB6670" w14:textId="0B2448D0" w:rsidR="00B505C8" w:rsidRPr="008F36E6" w:rsidRDefault="004D7948" w:rsidP="00B505C8">
      <w:pPr>
        <w:pStyle w:val="ExecSumBodyText"/>
      </w:pPr>
      <w:r w:rsidRPr="008F36E6">
        <w:t xml:space="preserve">The table below presents the estimated use and financial </w:t>
      </w:r>
      <w:r w:rsidR="008F36E6" w:rsidRPr="008F36E6">
        <w:t>impact of romosozumab to the PBS/RPBS.</w:t>
      </w:r>
    </w:p>
    <w:p w14:paraId="1CD8C9BB" w14:textId="1B3A1C97" w:rsidR="009E5A41" w:rsidRDefault="009E5A41" w:rsidP="009E5A41">
      <w:pPr>
        <w:pStyle w:val="TableFigureCaption"/>
      </w:pPr>
      <w:r>
        <w:t xml:space="preserve">Table </w:t>
      </w:r>
      <w:fldSimple w:instr=" SEQ Table \* ARABIC ">
        <w:r w:rsidR="00016A98">
          <w:rPr>
            <w:noProof/>
          </w:rPr>
          <w:t>16</w:t>
        </w:r>
      </w:fldSimple>
      <w:r>
        <w:t xml:space="preserve">: </w:t>
      </w:r>
      <w:r w:rsidRPr="00262BDA">
        <w:t>Estimated use and financial implications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2838"/>
        <w:gridCol w:w="1026"/>
        <w:gridCol w:w="1030"/>
        <w:gridCol w:w="1030"/>
        <w:gridCol w:w="1030"/>
        <w:gridCol w:w="1030"/>
        <w:gridCol w:w="1033"/>
      </w:tblGrid>
      <w:tr w:rsidR="00694509" w:rsidRPr="003455D2" w14:paraId="71D44639" w14:textId="77777777" w:rsidTr="003406B4">
        <w:trPr>
          <w:tblHeader/>
        </w:trPr>
        <w:tc>
          <w:tcPr>
            <w:tcW w:w="1574" w:type="pct"/>
            <w:shd w:val="clear" w:color="auto" w:fill="auto"/>
            <w:vAlign w:val="center"/>
          </w:tcPr>
          <w:p w14:paraId="29A52240" w14:textId="77777777" w:rsidR="00694509" w:rsidRPr="003455D2" w:rsidRDefault="00694509" w:rsidP="003406B4">
            <w:pPr>
              <w:pStyle w:val="Tableheadingrow"/>
            </w:pPr>
          </w:p>
        </w:tc>
        <w:tc>
          <w:tcPr>
            <w:tcW w:w="569" w:type="pct"/>
            <w:shd w:val="clear" w:color="auto" w:fill="auto"/>
            <w:vAlign w:val="center"/>
          </w:tcPr>
          <w:p w14:paraId="3CB17D39" w14:textId="233289B0" w:rsidR="00694509" w:rsidRPr="003455D2" w:rsidRDefault="00694509" w:rsidP="002D006C">
            <w:pPr>
              <w:pStyle w:val="Tableheadingrow"/>
              <w:jc w:val="center"/>
            </w:pPr>
            <w:r w:rsidRPr="003455D2">
              <w:t>Year 1</w:t>
            </w:r>
          </w:p>
        </w:tc>
        <w:tc>
          <w:tcPr>
            <w:tcW w:w="571" w:type="pct"/>
            <w:shd w:val="clear" w:color="auto" w:fill="auto"/>
            <w:vAlign w:val="center"/>
          </w:tcPr>
          <w:p w14:paraId="14462FCF" w14:textId="0AC284FA" w:rsidR="00694509" w:rsidRPr="003455D2" w:rsidRDefault="00694509" w:rsidP="002D006C">
            <w:pPr>
              <w:pStyle w:val="Tableheadingrow"/>
              <w:jc w:val="center"/>
            </w:pPr>
            <w:r w:rsidRPr="003455D2">
              <w:t>Year 2</w:t>
            </w:r>
          </w:p>
        </w:tc>
        <w:tc>
          <w:tcPr>
            <w:tcW w:w="571" w:type="pct"/>
            <w:shd w:val="clear" w:color="auto" w:fill="auto"/>
            <w:vAlign w:val="center"/>
          </w:tcPr>
          <w:p w14:paraId="43D04FC4" w14:textId="6ADDD1E7" w:rsidR="00694509" w:rsidRPr="003455D2" w:rsidRDefault="00694509" w:rsidP="002D006C">
            <w:pPr>
              <w:pStyle w:val="Tableheadingrow"/>
              <w:jc w:val="center"/>
            </w:pPr>
            <w:r w:rsidRPr="003455D2">
              <w:t>Year 3</w:t>
            </w:r>
          </w:p>
        </w:tc>
        <w:tc>
          <w:tcPr>
            <w:tcW w:w="571" w:type="pct"/>
            <w:shd w:val="clear" w:color="auto" w:fill="auto"/>
            <w:vAlign w:val="center"/>
          </w:tcPr>
          <w:p w14:paraId="39688066" w14:textId="1A662D9F" w:rsidR="00694509" w:rsidRPr="003455D2" w:rsidRDefault="00694509" w:rsidP="002D006C">
            <w:pPr>
              <w:pStyle w:val="Tableheadingrow"/>
              <w:jc w:val="center"/>
            </w:pPr>
            <w:r w:rsidRPr="003455D2">
              <w:t>Year 4</w:t>
            </w:r>
          </w:p>
        </w:tc>
        <w:tc>
          <w:tcPr>
            <w:tcW w:w="571" w:type="pct"/>
            <w:shd w:val="clear" w:color="auto" w:fill="auto"/>
            <w:vAlign w:val="center"/>
          </w:tcPr>
          <w:p w14:paraId="5AE61E07" w14:textId="2EE1E61A" w:rsidR="00694509" w:rsidRPr="003455D2" w:rsidRDefault="00694509" w:rsidP="002D006C">
            <w:pPr>
              <w:pStyle w:val="Tableheadingrow"/>
              <w:jc w:val="center"/>
            </w:pPr>
            <w:r w:rsidRPr="003455D2">
              <w:t>Year 5</w:t>
            </w:r>
          </w:p>
        </w:tc>
        <w:tc>
          <w:tcPr>
            <w:tcW w:w="573" w:type="pct"/>
            <w:shd w:val="clear" w:color="auto" w:fill="auto"/>
            <w:vAlign w:val="center"/>
          </w:tcPr>
          <w:p w14:paraId="23E0601F" w14:textId="45F34393" w:rsidR="00694509" w:rsidRPr="003455D2" w:rsidRDefault="00694509" w:rsidP="002D006C">
            <w:pPr>
              <w:pStyle w:val="Tableheadingrow"/>
              <w:jc w:val="center"/>
            </w:pPr>
            <w:r w:rsidRPr="003455D2">
              <w:t>Year 6</w:t>
            </w:r>
          </w:p>
        </w:tc>
      </w:tr>
      <w:tr w:rsidR="00694509" w:rsidRPr="003455D2" w14:paraId="1799307D" w14:textId="77777777" w:rsidTr="003406B4">
        <w:tc>
          <w:tcPr>
            <w:tcW w:w="1574" w:type="pct"/>
            <w:shd w:val="clear" w:color="auto" w:fill="auto"/>
            <w:vAlign w:val="center"/>
          </w:tcPr>
          <w:p w14:paraId="7796E50D" w14:textId="77777777" w:rsidR="00694509" w:rsidRPr="003455D2" w:rsidRDefault="00694509" w:rsidP="003406B4">
            <w:pPr>
              <w:pStyle w:val="TableText"/>
            </w:pPr>
            <w:r>
              <w:t>Treated osteoporosis patients</w:t>
            </w:r>
          </w:p>
        </w:tc>
        <w:tc>
          <w:tcPr>
            <w:tcW w:w="569" w:type="pct"/>
            <w:shd w:val="clear" w:color="auto" w:fill="auto"/>
            <w:vAlign w:val="center"/>
          </w:tcPr>
          <w:p w14:paraId="72DE16BC" w14:textId="72954243" w:rsidR="00694509" w:rsidRPr="00821887" w:rsidRDefault="009A7DC1" w:rsidP="003406B4">
            <w:pPr>
              <w:pStyle w:val="TableText"/>
              <w:jc w:val="center"/>
              <w:rPr>
                <w:highlight w:val="darkGray"/>
                <w:vertAlign w:val="superscript"/>
              </w:rPr>
            </w:pPr>
            <w:r w:rsidRPr="009A7DC1">
              <w:rPr>
                <w:rFonts w:hint="eastAsia"/>
                <w:color w:val="000000"/>
                <w:w w:val="19"/>
                <w:shd w:val="solid" w:color="000000" w:fill="000000"/>
                <w:fitText w:val="88" w:id="-1435317242"/>
                <w14:textFill>
                  <w14:solidFill>
                    <w14:srgbClr w14:val="000000">
                      <w14:alpha w14:val="100000"/>
                    </w14:srgbClr>
                  </w14:solidFill>
                </w14:textFill>
              </w:rPr>
              <w:t xml:space="preserve">　</w:t>
            </w:r>
            <w:r w:rsidRPr="009A7DC1">
              <w:rPr>
                <w:color w:val="000000"/>
                <w:w w:val="19"/>
                <w:shd w:val="solid" w:color="000000" w:fill="000000"/>
                <w:fitText w:val="88" w:id="-1435317242"/>
                <w14:textFill>
                  <w14:solidFill>
                    <w14:srgbClr w14:val="000000">
                      <w14:alpha w14:val="100000"/>
                    </w14:srgbClr>
                  </w14:solidFill>
                </w14:textFill>
              </w:rPr>
              <w:t>|</w:t>
            </w:r>
            <w:r w:rsidRPr="009A7DC1">
              <w:rPr>
                <w:rFonts w:hint="eastAsia"/>
                <w:color w:val="000000"/>
                <w:spacing w:val="4"/>
                <w:w w:val="19"/>
                <w:shd w:val="solid" w:color="000000" w:fill="000000"/>
                <w:fitText w:val="88" w:id="-1435317242"/>
                <w14:textFill>
                  <w14:solidFill>
                    <w14:srgbClr w14:val="000000">
                      <w14:alpha w14:val="100000"/>
                    </w14:srgbClr>
                  </w14:solidFill>
                </w14:textFill>
              </w:rPr>
              <w:t xml:space="preserve">　</w:t>
            </w:r>
            <w:r w:rsidR="00821887" w:rsidRPr="00821887">
              <w:rPr>
                <w:vertAlign w:val="superscript"/>
              </w:rPr>
              <w:t>1</w:t>
            </w:r>
          </w:p>
        </w:tc>
        <w:tc>
          <w:tcPr>
            <w:tcW w:w="571" w:type="pct"/>
            <w:shd w:val="clear" w:color="auto" w:fill="auto"/>
            <w:vAlign w:val="center"/>
          </w:tcPr>
          <w:p w14:paraId="4D1B239B" w14:textId="766C50BA" w:rsidR="00694509" w:rsidRPr="006A5352" w:rsidRDefault="009A7DC1" w:rsidP="003406B4">
            <w:pPr>
              <w:pStyle w:val="TableText"/>
              <w:jc w:val="center"/>
              <w:rPr>
                <w:highlight w:val="darkGray"/>
              </w:rPr>
            </w:pPr>
            <w:r w:rsidRPr="009A7DC1">
              <w:rPr>
                <w:rFonts w:hint="eastAsia"/>
                <w:color w:val="000000"/>
                <w:w w:val="28"/>
                <w:shd w:val="solid" w:color="000000" w:fill="000000"/>
                <w:fitText w:val="126" w:id="-1435317241"/>
                <w14:textFill>
                  <w14:solidFill>
                    <w14:srgbClr w14:val="000000">
                      <w14:alpha w14:val="100000"/>
                    </w14:srgbClr>
                  </w14:solidFill>
                </w14:textFill>
              </w:rPr>
              <w:t xml:space="preserve">　</w:t>
            </w:r>
            <w:r w:rsidRPr="009A7DC1">
              <w:rPr>
                <w:color w:val="000000"/>
                <w:w w:val="28"/>
                <w:shd w:val="solid" w:color="000000" w:fill="000000"/>
                <w:fitText w:val="126" w:id="-1435317241"/>
                <w14:textFill>
                  <w14:solidFill>
                    <w14:srgbClr w14:val="000000">
                      <w14:alpha w14:val="100000"/>
                    </w14:srgbClr>
                  </w14:solidFill>
                </w14:textFill>
              </w:rPr>
              <w:t>|</w:t>
            </w:r>
            <w:r w:rsidRPr="009A7DC1">
              <w:rPr>
                <w:rFonts w:hint="eastAsia"/>
                <w:color w:val="000000"/>
                <w:spacing w:val="4"/>
                <w:w w:val="28"/>
                <w:shd w:val="solid" w:color="000000" w:fill="000000"/>
                <w:fitText w:val="126" w:id="-1435317241"/>
                <w14:textFill>
                  <w14:solidFill>
                    <w14:srgbClr w14:val="000000">
                      <w14:alpha w14:val="100000"/>
                    </w14:srgbClr>
                  </w14:solidFill>
                </w14:textFill>
              </w:rPr>
              <w:t xml:space="preserve">　</w:t>
            </w:r>
            <w:r w:rsidR="00540BA2">
              <w:rPr>
                <w:vertAlign w:val="superscript"/>
              </w:rPr>
              <w:t>16</w:t>
            </w:r>
          </w:p>
        </w:tc>
        <w:tc>
          <w:tcPr>
            <w:tcW w:w="571" w:type="pct"/>
            <w:shd w:val="clear" w:color="auto" w:fill="auto"/>
            <w:vAlign w:val="center"/>
          </w:tcPr>
          <w:p w14:paraId="2531CE26" w14:textId="411B287F" w:rsidR="00694509" w:rsidRPr="006A5352" w:rsidRDefault="009A7DC1" w:rsidP="003406B4">
            <w:pPr>
              <w:pStyle w:val="TableText"/>
              <w:jc w:val="center"/>
              <w:rPr>
                <w:highlight w:val="darkGray"/>
              </w:rPr>
            </w:pPr>
            <w:r w:rsidRPr="009A7DC1">
              <w:rPr>
                <w:rFonts w:hint="eastAsia"/>
                <w:color w:val="000000"/>
                <w:w w:val="28"/>
                <w:shd w:val="solid" w:color="000000" w:fill="000000"/>
                <w:fitText w:val="125" w:id="-1435317240"/>
                <w14:textFill>
                  <w14:solidFill>
                    <w14:srgbClr w14:val="000000">
                      <w14:alpha w14:val="100000"/>
                    </w14:srgbClr>
                  </w14:solidFill>
                </w14:textFill>
              </w:rPr>
              <w:t xml:space="preserve">　</w:t>
            </w:r>
            <w:r w:rsidRPr="009A7DC1">
              <w:rPr>
                <w:color w:val="000000"/>
                <w:w w:val="28"/>
                <w:shd w:val="solid" w:color="000000" w:fill="000000"/>
                <w:fitText w:val="125" w:id="-1435317240"/>
                <w14:textFill>
                  <w14:solidFill>
                    <w14:srgbClr w14:val="000000">
                      <w14:alpha w14:val="100000"/>
                    </w14:srgbClr>
                  </w14:solidFill>
                </w14:textFill>
              </w:rPr>
              <w:t>|</w:t>
            </w:r>
            <w:r w:rsidRPr="009A7DC1">
              <w:rPr>
                <w:rFonts w:hint="eastAsia"/>
                <w:color w:val="000000"/>
                <w:spacing w:val="3"/>
                <w:w w:val="28"/>
                <w:shd w:val="solid" w:color="000000" w:fill="000000"/>
                <w:fitText w:val="125" w:id="-1435317240"/>
                <w14:textFill>
                  <w14:solidFill>
                    <w14:srgbClr w14:val="000000">
                      <w14:alpha w14:val="100000"/>
                    </w14:srgbClr>
                  </w14:solidFill>
                </w14:textFill>
              </w:rPr>
              <w:t xml:space="preserve">　</w:t>
            </w:r>
            <w:r w:rsidR="00540BA2">
              <w:rPr>
                <w:vertAlign w:val="superscript"/>
              </w:rPr>
              <w:t>16</w:t>
            </w:r>
          </w:p>
        </w:tc>
        <w:tc>
          <w:tcPr>
            <w:tcW w:w="571" w:type="pct"/>
            <w:shd w:val="clear" w:color="auto" w:fill="auto"/>
            <w:vAlign w:val="center"/>
          </w:tcPr>
          <w:p w14:paraId="02BE3D4F" w14:textId="06BD820A" w:rsidR="00694509" w:rsidRPr="006A5352" w:rsidRDefault="009A7DC1" w:rsidP="003406B4">
            <w:pPr>
              <w:pStyle w:val="TableText"/>
              <w:jc w:val="center"/>
              <w:rPr>
                <w:highlight w:val="darkGray"/>
              </w:rPr>
            </w:pPr>
            <w:r w:rsidRPr="009A7DC1">
              <w:rPr>
                <w:rFonts w:hint="eastAsia"/>
                <w:color w:val="000000"/>
                <w:w w:val="28"/>
                <w:shd w:val="solid" w:color="000000" w:fill="000000"/>
                <w:fitText w:val="126" w:id="-1435317239"/>
                <w14:textFill>
                  <w14:solidFill>
                    <w14:srgbClr w14:val="000000">
                      <w14:alpha w14:val="100000"/>
                    </w14:srgbClr>
                  </w14:solidFill>
                </w14:textFill>
              </w:rPr>
              <w:t xml:space="preserve">　</w:t>
            </w:r>
            <w:r w:rsidRPr="009A7DC1">
              <w:rPr>
                <w:color w:val="000000"/>
                <w:w w:val="28"/>
                <w:shd w:val="solid" w:color="000000" w:fill="000000"/>
                <w:fitText w:val="126" w:id="-1435317239"/>
                <w14:textFill>
                  <w14:solidFill>
                    <w14:srgbClr w14:val="000000">
                      <w14:alpha w14:val="100000"/>
                    </w14:srgbClr>
                  </w14:solidFill>
                </w14:textFill>
              </w:rPr>
              <w:t>|</w:t>
            </w:r>
            <w:r w:rsidRPr="009A7DC1">
              <w:rPr>
                <w:rFonts w:hint="eastAsia"/>
                <w:color w:val="000000"/>
                <w:spacing w:val="4"/>
                <w:w w:val="28"/>
                <w:shd w:val="solid" w:color="000000" w:fill="000000"/>
                <w:fitText w:val="126" w:id="-1435317239"/>
                <w14:textFill>
                  <w14:solidFill>
                    <w14:srgbClr w14:val="000000">
                      <w14:alpha w14:val="100000"/>
                    </w14:srgbClr>
                  </w14:solidFill>
                </w14:textFill>
              </w:rPr>
              <w:t xml:space="preserve">　</w:t>
            </w:r>
            <w:r w:rsidR="00540BA2">
              <w:rPr>
                <w:vertAlign w:val="superscript"/>
              </w:rPr>
              <w:t>16</w:t>
            </w:r>
          </w:p>
        </w:tc>
        <w:tc>
          <w:tcPr>
            <w:tcW w:w="571" w:type="pct"/>
            <w:shd w:val="clear" w:color="auto" w:fill="auto"/>
            <w:vAlign w:val="center"/>
          </w:tcPr>
          <w:p w14:paraId="5742A756" w14:textId="5BF815D8" w:rsidR="00694509" w:rsidRPr="006A5352" w:rsidRDefault="009A7DC1" w:rsidP="003406B4">
            <w:pPr>
              <w:pStyle w:val="TableText"/>
              <w:jc w:val="center"/>
              <w:rPr>
                <w:highlight w:val="darkGray"/>
              </w:rPr>
            </w:pPr>
            <w:r w:rsidRPr="009A7DC1">
              <w:rPr>
                <w:rFonts w:hint="eastAsia"/>
                <w:color w:val="000000"/>
                <w:w w:val="28"/>
                <w:shd w:val="solid" w:color="000000" w:fill="000000"/>
                <w:fitText w:val="125" w:id="-1435317238"/>
                <w14:textFill>
                  <w14:solidFill>
                    <w14:srgbClr w14:val="000000">
                      <w14:alpha w14:val="100000"/>
                    </w14:srgbClr>
                  </w14:solidFill>
                </w14:textFill>
              </w:rPr>
              <w:t xml:space="preserve">　</w:t>
            </w:r>
            <w:r w:rsidRPr="009A7DC1">
              <w:rPr>
                <w:color w:val="000000"/>
                <w:w w:val="28"/>
                <w:shd w:val="solid" w:color="000000" w:fill="000000"/>
                <w:fitText w:val="125" w:id="-1435317238"/>
                <w14:textFill>
                  <w14:solidFill>
                    <w14:srgbClr w14:val="000000">
                      <w14:alpha w14:val="100000"/>
                    </w14:srgbClr>
                  </w14:solidFill>
                </w14:textFill>
              </w:rPr>
              <w:t>|</w:t>
            </w:r>
            <w:r w:rsidRPr="009A7DC1">
              <w:rPr>
                <w:rFonts w:hint="eastAsia"/>
                <w:color w:val="000000"/>
                <w:spacing w:val="3"/>
                <w:w w:val="28"/>
                <w:shd w:val="solid" w:color="000000" w:fill="000000"/>
                <w:fitText w:val="125" w:id="-1435317238"/>
                <w14:textFill>
                  <w14:solidFill>
                    <w14:srgbClr w14:val="000000">
                      <w14:alpha w14:val="100000"/>
                    </w14:srgbClr>
                  </w14:solidFill>
                </w14:textFill>
              </w:rPr>
              <w:t xml:space="preserve">　</w:t>
            </w:r>
            <w:r w:rsidR="00540BA2">
              <w:rPr>
                <w:vertAlign w:val="superscript"/>
              </w:rPr>
              <w:t>16</w:t>
            </w:r>
          </w:p>
        </w:tc>
        <w:tc>
          <w:tcPr>
            <w:tcW w:w="573" w:type="pct"/>
            <w:shd w:val="clear" w:color="auto" w:fill="auto"/>
            <w:vAlign w:val="center"/>
          </w:tcPr>
          <w:p w14:paraId="331A6B75" w14:textId="58F02B8E" w:rsidR="00694509" w:rsidRPr="006A5352" w:rsidRDefault="009A7DC1" w:rsidP="003406B4">
            <w:pPr>
              <w:pStyle w:val="TableText"/>
              <w:jc w:val="center"/>
              <w:rPr>
                <w:highlight w:val="darkGray"/>
              </w:rPr>
            </w:pPr>
            <w:r w:rsidRPr="009A7DC1">
              <w:rPr>
                <w:rFonts w:hint="eastAsia"/>
                <w:color w:val="000000"/>
                <w:w w:val="25"/>
                <w:shd w:val="solid" w:color="000000" w:fill="000000"/>
                <w:fitText w:val="113" w:id="-1435317237"/>
                <w14:textFill>
                  <w14:solidFill>
                    <w14:srgbClr w14:val="000000">
                      <w14:alpha w14:val="100000"/>
                    </w14:srgbClr>
                  </w14:solidFill>
                </w14:textFill>
              </w:rPr>
              <w:t xml:space="preserve">　</w:t>
            </w:r>
            <w:r w:rsidRPr="009A7DC1">
              <w:rPr>
                <w:color w:val="000000"/>
                <w:w w:val="25"/>
                <w:shd w:val="solid" w:color="000000" w:fill="000000"/>
                <w:fitText w:val="113" w:id="-1435317237"/>
                <w14:textFill>
                  <w14:solidFill>
                    <w14:srgbClr w14:val="000000">
                      <w14:alpha w14:val="100000"/>
                    </w14:srgbClr>
                  </w14:solidFill>
                </w14:textFill>
              </w:rPr>
              <w:t>|</w:t>
            </w:r>
            <w:r w:rsidRPr="009A7DC1">
              <w:rPr>
                <w:rFonts w:hint="eastAsia"/>
                <w:color w:val="000000"/>
                <w:spacing w:val="2"/>
                <w:w w:val="25"/>
                <w:shd w:val="solid" w:color="000000" w:fill="000000"/>
                <w:fitText w:val="113" w:id="-1435317237"/>
                <w14:textFill>
                  <w14:solidFill>
                    <w14:srgbClr w14:val="000000">
                      <w14:alpha w14:val="100000"/>
                    </w14:srgbClr>
                  </w14:solidFill>
                </w14:textFill>
              </w:rPr>
              <w:t xml:space="preserve">　</w:t>
            </w:r>
            <w:r w:rsidR="00F84AA0">
              <w:rPr>
                <w:vertAlign w:val="superscript"/>
              </w:rPr>
              <w:t>24</w:t>
            </w:r>
          </w:p>
        </w:tc>
      </w:tr>
      <w:tr w:rsidR="00694509" w:rsidRPr="003455D2" w14:paraId="0F2BC192" w14:textId="77777777" w:rsidTr="003406B4">
        <w:tc>
          <w:tcPr>
            <w:tcW w:w="5000" w:type="pct"/>
            <w:gridSpan w:val="7"/>
            <w:shd w:val="clear" w:color="auto" w:fill="auto"/>
            <w:vAlign w:val="center"/>
          </w:tcPr>
          <w:p w14:paraId="6AE5DBBD" w14:textId="77777777" w:rsidR="00694509" w:rsidRPr="007210DD" w:rsidRDefault="00694509" w:rsidP="003406B4">
            <w:pPr>
              <w:pStyle w:val="TableText"/>
              <w:rPr>
                <w:b/>
                <w:bCs w:val="0"/>
              </w:rPr>
            </w:pPr>
            <w:r>
              <w:rPr>
                <w:b/>
                <w:bCs w:val="0"/>
              </w:rPr>
              <w:t xml:space="preserve">First line population </w:t>
            </w:r>
          </w:p>
        </w:tc>
      </w:tr>
      <w:tr w:rsidR="00694509" w:rsidRPr="003455D2" w14:paraId="43A4658C" w14:textId="77777777" w:rsidTr="003406B4">
        <w:tc>
          <w:tcPr>
            <w:tcW w:w="1574" w:type="pct"/>
            <w:shd w:val="clear" w:color="auto" w:fill="auto"/>
            <w:vAlign w:val="center"/>
          </w:tcPr>
          <w:p w14:paraId="1CADC4B3" w14:textId="77777777" w:rsidR="00694509" w:rsidRPr="003455D2" w:rsidRDefault="00694509" w:rsidP="003406B4">
            <w:pPr>
              <w:pStyle w:val="TableText"/>
            </w:pPr>
            <w:r>
              <w:t>Received &lt;12M treatment (32.79%)</w:t>
            </w:r>
          </w:p>
        </w:tc>
        <w:tc>
          <w:tcPr>
            <w:tcW w:w="569" w:type="pct"/>
            <w:shd w:val="clear" w:color="auto" w:fill="auto"/>
          </w:tcPr>
          <w:p w14:paraId="515FC584" w14:textId="092EC781" w:rsidR="00694509" w:rsidRPr="006A5352" w:rsidRDefault="009A7DC1" w:rsidP="003406B4">
            <w:pPr>
              <w:pStyle w:val="TableText"/>
              <w:jc w:val="center"/>
              <w:rPr>
                <w:highlight w:val="darkGray"/>
              </w:rPr>
            </w:pPr>
            <w:r w:rsidRPr="009A7DC1">
              <w:rPr>
                <w:rFonts w:hint="eastAsia"/>
                <w:color w:val="000000"/>
                <w:w w:val="19"/>
                <w:shd w:val="solid" w:color="000000" w:fill="000000"/>
                <w:fitText w:val="88" w:id="-1435317236"/>
                <w14:textFill>
                  <w14:solidFill>
                    <w14:srgbClr w14:val="000000">
                      <w14:alpha w14:val="100000"/>
                    </w14:srgbClr>
                  </w14:solidFill>
                </w14:textFill>
              </w:rPr>
              <w:t xml:space="preserve">　</w:t>
            </w:r>
            <w:r w:rsidRPr="009A7DC1">
              <w:rPr>
                <w:color w:val="000000"/>
                <w:w w:val="19"/>
                <w:shd w:val="solid" w:color="000000" w:fill="000000"/>
                <w:fitText w:val="88" w:id="-1435317236"/>
                <w14:textFill>
                  <w14:solidFill>
                    <w14:srgbClr w14:val="000000">
                      <w14:alpha w14:val="100000"/>
                    </w14:srgbClr>
                  </w14:solidFill>
                </w14:textFill>
              </w:rPr>
              <w:t>|</w:t>
            </w:r>
            <w:r w:rsidRPr="009A7DC1">
              <w:rPr>
                <w:rFonts w:hint="eastAsia"/>
                <w:color w:val="000000"/>
                <w:spacing w:val="4"/>
                <w:w w:val="19"/>
                <w:shd w:val="solid" w:color="000000" w:fill="000000"/>
                <w:fitText w:val="88" w:id="-1435317236"/>
                <w14:textFill>
                  <w14:solidFill>
                    <w14:srgbClr w14:val="000000">
                      <w14:alpha w14:val="100000"/>
                    </w14:srgbClr>
                  </w14:solidFill>
                </w14:textFill>
              </w:rPr>
              <w:t xml:space="preserve">　</w:t>
            </w:r>
            <w:r w:rsidR="00821887">
              <w:rPr>
                <w:vertAlign w:val="superscript"/>
              </w:rPr>
              <w:t>2</w:t>
            </w:r>
          </w:p>
        </w:tc>
        <w:tc>
          <w:tcPr>
            <w:tcW w:w="571" w:type="pct"/>
            <w:shd w:val="clear" w:color="auto" w:fill="auto"/>
          </w:tcPr>
          <w:p w14:paraId="62294586" w14:textId="3D94FDA0" w:rsidR="00694509" w:rsidRPr="006A5352" w:rsidRDefault="009A7DC1" w:rsidP="003406B4">
            <w:pPr>
              <w:pStyle w:val="TableText"/>
              <w:jc w:val="center"/>
              <w:rPr>
                <w:highlight w:val="darkGray"/>
              </w:rPr>
            </w:pPr>
            <w:r w:rsidRPr="009A7DC1">
              <w:rPr>
                <w:rFonts w:hint="eastAsia"/>
                <w:color w:val="000000"/>
                <w:w w:val="19"/>
                <w:shd w:val="solid" w:color="000000" w:fill="000000"/>
                <w:fitText w:val="88" w:id="-1435317235"/>
                <w14:textFill>
                  <w14:solidFill>
                    <w14:srgbClr w14:val="000000">
                      <w14:alpha w14:val="100000"/>
                    </w14:srgbClr>
                  </w14:solidFill>
                </w14:textFill>
              </w:rPr>
              <w:t xml:space="preserve">　</w:t>
            </w:r>
            <w:r w:rsidRPr="009A7DC1">
              <w:rPr>
                <w:color w:val="000000"/>
                <w:w w:val="19"/>
                <w:shd w:val="solid" w:color="000000" w:fill="000000"/>
                <w:fitText w:val="88" w:id="-1435317235"/>
                <w14:textFill>
                  <w14:solidFill>
                    <w14:srgbClr w14:val="000000">
                      <w14:alpha w14:val="100000"/>
                    </w14:srgbClr>
                  </w14:solidFill>
                </w14:textFill>
              </w:rPr>
              <w:t>|</w:t>
            </w:r>
            <w:r w:rsidRPr="009A7DC1">
              <w:rPr>
                <w:rFonts w:hint="eastAsia"/>
                <w:color w:val="000000"/>
                <w:spacing w:val="4"/>
                <w:w w:val="19"/>
                <w:shd w:val="solid" w:color="000000" w:fill="000000"/>
                <w:fitText w:val="88" w:id="-1435317235"/>
                <w14:textFill>
                  <w14:solidFill>
                    <w14:srgbClr w14:val="000000">
                      <w14:alpha w14:val="100000"/>
                    </w14:srgbClr>
                  </w14:solidFill>
                </w14:textFill>
              </w:rPr>
              <w:t xml:space="preserve">　</w:t>
            </w:r>
            <w:r w:rsidR="00821887">
              <w:rPr>
                <w:vertAlign w:val="superscript"/>
              </w:rPr>
              <w:t>2</w:t>
            </w:r>
          </w:p>
        </w:tc>
        <w:tc>
          <w:tcPr>
            <w:tcW w:w="571" w:type="pct"/>
            <w:shd w:val="clear" w:color="auto" w:fill="auto"/>
          </w:tcPr>
          <w:p w14:paraId="645D0716" w14:textId="722B608D" w:rsidR="00694509" w:rsidRPr="006A5352" w:rsidRDefault="009A7DC1" w:rsidP="003406B4">
            <w:pPr>
              <w:pStyle w:val="TableText"/>
              <w:jc w:val="center"/>
              <w:rPr>
                <w:highlight w:val="darkGray"/>
              </w:rPr>
            </w:pPr>
            <w:r w:rsidRPr="009A7DC1">
              <w:rPr>
                <w:rFonts w:hint="eastAsia"/>
                <w:color w:val="000000"/>
                <w:w w:val="19"/>
                <w:shd w:val="solid" w:color="000000" w:fill="000000"/>
                <w:fitText w:val="87" w:id="-1435317234"/>
                <w14:textFill>
                  <w14:solidFill>
                    <w14:srgbClr w14:val="000000">
                      <w14:alpha w14:val="100000"/>
                    </w14:srgbClr>
                  </w14:solidFill>
                </w14:textFill>
              </w:rPr>
              <w:t xml:space="preserve">　</w:t>
            </w:r>
            <w:r w:rsidRPr="009A7DC1">
              <w:rPr>
                <w:color w:val="000000"/>
                <w:w w:val="19"/>
                <w:shd w:val="solid" w:color="000000" w:fill="000000"/>
                <w:fitText w:val="87" w:id="-1435317234"/>
                <w14:textFill>
                  <w14:solidFill>
                    <w14:srgbClr w14:val="000000">
                      <w14:alpha w14:val="100000"/>
                    </w14:srgbClr>
                  </w14:solidFill>
                </w14:textFill>
              </w:rPr>
              <w:t>|</w:t>
            </w:r>
            <w:r w:rsidRPr="009A7DC1">
              <w:rPr>
                <w:rFonts w:hint="eastAsia"/>
                <w:color w:val="000000"/>
                <w:spacing w:val="3"/>
                <w:w w:val="19"/>
                <w:shd w:val="solid" w:color="000000" w:fill="000000"/>
                <w:fitText w:val="87" w:id="-1435317234"/>
                <w14:textFill>
                  <w14:solidFill>
                    <w14:srgbClr w14:val="000000">
                      <w14:alpha w14:val="100000"/>
                    </w14:srgbClr>
                  </w14:solidFill>
                </w14:textFill>
              </w:rPr>
              <w:t xml:space="preserve">　</w:t>
            </w:r>
            <w:r w:rsidR="00821887">
              <w:rPr>
                <w:vertAlign w:val="superscript"/>
              </w:rPr>
              <w:t>2</w:t>
            </w:r>
          </w:p>
        </w:tc>
        <w:tc>
          <w:tcPr>
            <w:tcW w:w="571" w:type="pct"/>
            <w:shd w:val="clear" w:color="auto" w:fill="auto"/>
          </w:tcPr>
          <w:p w14:paraId="5FE5B5ED" w14:textId="76A546CC" w:rsidR="00694509" w:rsidRPr="006A5352" w:rsidRDefault="009A7DC1" w:rsidP="003406B4">
            <w:pPr>
              <w:pStyle w:val="TableText"/>
              <w:jc w:val="center"/>
              <w:rPr>
                <w:highlight w:val="darkGray"/>
              </w:rPr>
            </w:pPr>
            <w:r w:rsidRPr="009A7DC1">
              <w:rPr>
                <w:rFonts w:hint="eastAsia"/>
                <w:color w:val="000000"/>
                <w:w w:val="19"/>
                <w:shd w:val="solid" w:color="000000" w:fill="000000"/>
                <w:fitText w:val="88" w:id="-1435317233"/>
                <w14:textFill>
                  <w14:solidFill>
                    <w14:srgbClr w14:val="000000">
                      <w14:alpha w14:val="100000"/>
                    </w14:srgbClr>
                  </w14:solidFill>
                </w14:textFill>
              </w:rPr>
              <w:t xml:space="preserve">　</w:t>
            </w:r>
            <w:r w:rsidRPr="009A7DC1">
              <w:rPr>
                <w:color w:val="000000"/>
                <w:w w:val="19"/>
                <w:shd w:val="solid" w:color="000000" w:fill="000000"/>
                <w:fitText w:val="88" w:id="-1435317233"/>
                <w14:textFill>
                  <w14:solidFill>
                    <w14:srgbClr w14:val="000000">
                      <w14:alpha w14:val="100000"/>
                    </w14:srgbClr>
                  </w14:solidFill>
                </w14:textFill>
              </w:rPr>
              <w:t>|</w:t>
            </w:r>
            <w:r w:rsidRPr="009A7DC1">
              <w:rPr>
                <w:rFonts w:hint="eastAsia"/>
                <w:color w:val="000000"/>
                <w:spacing w:val="4"/>
                <w:w w:val="19"/>
                <w:shd w:val="solid" w:color="000000" w:fill="000000"/>
                <w:fitText w:val="88" w:id="-1435317233"/>
                <w14:textFill>
                  <w14:solidFill>
                    <w14:srgbClr w14:val="000000">
                      <w14:alpha w14:val="100000"/>
                    </w14:srgbClr>
                  </w14:solidFill>
                </w14:textFill>
              </w:rPr>
              <w:t xml:space="preserve">　</w:t>
            </w:r>
            <w:r w:rsidR="00821887">
              <w:rPr>
                <w:vertAlign w:val="superscript"/>
              </w:rPr>
              <w:t>2</w:t>
            </w:r>
          </w:p>
        </w:tc>
        <w:tc>
          <w:tcPr>
            <w:tcW w:w="571" w:type="pct"/>
            <w:shd w:val="clear" w:color="auto" w:fill="auto"/>
          </w:tcPr>
          <w:p w14:paraId="0A812443" w14:textId="62E443AA" w:rsidR="00694509" w:rsidRPr="006A5352" w:rsidRDefault="009A7DC1" w:rsidP="003406B4">
            <w:pPr>
              <w:pStyle w:val="TableText"/>
              <w:jc w:val="center"/>
              <w:rPr>
                <w:highlight w:val="darkGray"/>
              </w:rPr>
            </w:pPr>
            <w:r w:rsidRPr="009A7DC1">
              <w:rPr>
                <w:rFonts w:hint="eastAsia"/>
                <w:color w:val="000000"/>
                <w:w w:val="19"/>
                <w:shd w:val="solid" w:color="000000" w:fill="000000"/>
                <w:fitText w:val="87" w:id="-1435317232"/>
                <w14:textFill>
                  <w14:solidFill>
                    <w14:srgbClr w14:val="000000">
                      <w14:alpha w14:val="100000"/>
                    </w14:srgbClr>
                  </w14:solidFill>
                </w14:textFill>
              </w:rPr>
              <w:t xml:space="preserve">　</w:t>
            </w:r>
            <w:r w:rsidRPr="009A7DC1">
              <w:rPr>
                <w:color w:val="000000"/>
                <w:w w:val="19"/>
                <w:shd w:val="solid" w:color="000000" w:fill="000000"/>
                <w:fitText w:val="87" w:id="-1435317232"/>
                <w14:textFill>
                  <w14:solidFill>
                    <w14:srgbClr w14:val="000000">
                      <w14:alpha w14:val="100000"/>
                    </w14:srgbClr>
                  </w14:solidFill>
                </w14:textFill>
              </w:rPr>
              <w:t>|</w:t>
            </w:r>
            <w:r w:rsidRPr="009A7DC1">
              <w:rPr>
                <w:rFonts w:hint="eastAsia"/>
                <w:color w:val="000000"/>
                <w:spacing w:val="3"/>
                <w:w w:val="19"/>
                <w:shd w:val="solid" w:color="000000" w:fill="000000"/>
                <w:fitText w:val="87" w:id="-1435317232"/>
                <w14:textFill>
                  <w14:solidFill>
                    <w14:srgbClr w14:val="000000">
                      <w14:alpha w14:val="100000"/>
                    </w14:srgbClr>
                  </w14:solidFill>
                </w14:textFill>
              </w:rPr>
              <w:t xml:space="preserve">　</w:t>
            </w:r>
            <w:r w:rsidR="00821887">
              <w:rPr>
                <w:vertAlign w:val="superscript"/>
              </w:rPr>
              <w:t>2</w:t>
            </w:r>
          </w:p>
        </w:tc>
        <w:tc>
          <w:tcPr>
            <w:tcW w:w="573" w:type="pct"/>
            <w:shd w:val="clear" w:color="auto" w:fill="auto"/>
          </w:tcPr>
          <w:p w14:paraId="1758C5AE" w14:textId="54B62FE1" w:rsidR="00694509" w:rsidRPr="006A5352" w:rsidRDefault="009A7DC1" w:rsidP="003406B4">
            <w:pPr>
              <w:pStyle w:val="TableText"/>
              <w:jc w:val="center"/>
              <w:rPr>
                <w:highlight w:val="darkGray"/>
              </w:rPr>
            </w:pPr>
            <w:r w:rsidRPr="009A7DC1">
              <w:rPr>
                <w:rFonts w:hint="eastAsia"/>
                <w:color w:val="000000"/>
                <w:w w:val="19"/>
                <w:shd w:val="solid" w:color="000000" w:fill="000000"/>
                <w:fitText w:val="87" w:id="-1435317248"/>
                <w14:textFill>
                  <w14:solidFill>
                    <w14:srgbClr w14:val="000000">
                      <w14:alpha w14:val="100000"/>
                    </w14:srgbClr>
                  </w14:solidFill>
                </w14:textFill>
              </w:rPr>
              <w:t xml:space="preserve">　</w:t>
            </w:r>
            <w:r w:rsidRPr="009A7DC1">
              <w:rPr>
                <w:color w:val="000000"/>
                <w:w w:val="19"/>
                <w:shd w:val="solid" w:color="000000" w:fill="000000"/>
                <w:fitText w:val="87" w:id="-1435317248"/>
                <w14:textFill>
                  <w14:solidFill>
                    <w14:srgbClr w14:val="000000">
                      <w14:alpha w14:val="100000"/>
                    </w14:srgbClr>
                  </w14:solidFill>
                </w14:textFill>
              </w:rPr>
              <w:t>|</w:t>
            </w:r>
            <w:r w:rsidRPr="009A7DC1">
              <w:rPr>
                <w:rFonts w:hint="eastAsia"/>
                <w:color w:val="000000"/>
                <w:spacing w:val="3"/>
                <w:w w:val="19"/>
                <w:shd w:val="solid" w:color="000000" w:fill="000000"/>
                <w:fitText w:val="87" w:id="-1435317248"/>
                <w14:textFill>
                  <w14:solidFill>
                    <w14:srgbClr w14:val="000000">
                      <w14:alpha w14:val="100000"/>
                    </w14:srgbClr>
                  </w14:solidFill>
                </w14:textFill>
              </w:rPr>
              <w:t xml:space="preserve">　</w:t>
            </w:r>
            <w:r w:rsidR="00821887">
              <w:rPr>
                <w:vertAlign w:val="superscript"/>
              </w:rPr>
              <w:t>2</w:t>
            </w:r>
          </w:p>
        </w:tc>
      </w:tr>
      <w:tr w:rsidR="00694509" w:rsidRPr="003455D2" w14:paraId="09B47AB7" w14:textId="77777777" w:rsidTr="003406B4">
        <w:tc>
          <w:tcPr>
            <w:tcW w:w="1574" w:type="pct"/>
            <w:shd w:val="clear" w:color="auto" w:fill="auto"/>
            <w:vAlign w:val="center"/>
          </w:tcPr>
          <w:p w14:paraId="14D894B0" w14:textId="77777777" w:rsidR="00694509" w:rsidRPr="003455D2" w:rsidRDefault="00694509" w:rsidP="003406B4">
            <w:pPr>
              <w:pStyle w:val="TableText"/>
            </w:pPr>
            <w:r>
              <w:t>Patients with prior fracture (75%)</w:t>
            </w:r>
          </w:p>
        </w:tc>
        <w:tc>
          <w:tcPr>
            <w:tcW w:w="569" w:type="pct"/>
            <w:shd w:val="clear" w:color="auto" w:fill="auto"/>
          </w:tcPr>
          <w:p w14:paraId="53CCDBD5" w14:textId="2664F6E9" w:rsidR="00694509" w:rsidRPr="006A5352" w:rsidRDefault="009A7DC1" w:rsidP="003406B4">
            <w:pPr>
              <w:pStyle w:val="TableText"/>
              <w:jc w:val="center"/>
              <w:rPr>
                <w:highlight w:val="darkGray"/>
              </w:rPr>
            </w:pPr>
            <w:r w:rsidRPr="009A7DC1">
              <w:rPr>
                <w:rFonts w:hint="eastAsia"/>
                <w:color w:val="000000"/>
                <w:w w:val="19"/>
                <w:shd w:val="solid" w:color="000000" w:fill="000000"/>
                <w:fitText w:val="88" w:id="-1435317247"/>
                <w14:textFill>
                  <w14:solidFill>
                    <w14:srgbClr w14:val="000000">
                      <w14:alpha w14:val="100000"/>
                    </w14:srgbClr>
                  </w14:solidFill>
                </w14:textFill>
              </w:rPr>
              <w:t xml:space="preserve">　</w:t>
            </w:r>
            <w:r w:rsidRPr="009A7DC1">
              <w:rPr>
                <w:color w:val="000000"/>
                <w:w w:val="19"/>
                <w:shd w:val="solid" w:color="000000" w:fill="000000"/>
                <w:fitText w:val="88" w:id="-1435317247"/>
                <w14:textFill>
                  <w14:solidFill>
                    <w14:srgbClr w14:val="000000">
                      <w14:alpha w14:val="100000"/>
                    </w14:srgbClr>
                  </w14:solidFill>
                </w14:textFill>
              </w:rPr>
              <w:t>|</w:t>
            </w:r>
            <w:r w:rsidRPr="009A7DC1">
              <w:rPr>
                <w:rFonts w:hint="eastAsia"/>
                <w:color w:val="000000"/>
                <w:spacing w:val="4"/>
                <w:w w:val="19"/>
                <w:shd w:val="solid" w:color="000000" w:fill="000000"/>
                <w:fitText w:val="88" w:id="-1435317247"/>
                <w14:textFill>
                  <w14:solidFill>
                    <w14:srgbClr w14:val="000000">
                      <w14:alpha w14:val="100000"/>
                    </w14:srgbClr>
                  </w14:solidFill>
                </w14:textFill>
              </w:rPr>
              <w:t xml:space="preserve">　</w:t>
            </w:r>
            <w:r w:rsidR="00821887">
              <w:rPr>
                <w:vertAlign w:val="superscript"/>
              </w:rPr>
              <w:t>3</w:t>
            </w:r>
          </w:p>
        </w:tc>
        <w:tc>
          <w:tcPr>
            <w:tcW w:w="571" w:type="pct"/>
            <w:shd w:val="clear" w:color="auto" w:fill="auto"/>
          </w:tcPr>
          <w:p w14:paraId="751A678C" w14:textId="2CEE8807" w:rsidR="00694509" w:rsidRPr="006A5352" w:rsidRDefault="009A7DC1" w:rsidP="003406B4">
            <w:pPr>
              <w:pStyle w:val="TableText"/>
              <w:jc w:val="center"/>
              <w:rPr>
                <w:highlight w:val="darkGray"/>
              </w:rPr>
            </w:pPr>
            <w:r w:rsidRPr="009A7DC1">
              <w:rPr>
                <w:rFonts w:hint="eastAsia"/>
                <w:color w:val="000000"/>
                <w:w w:val="19"/>
                <w:shd w:val="solid" w:color="000000" w:fill="000000"/>
                <w:fitText w:val="88" w:id="-1435317246"/>
                <w14:textFill>
                  <w14:solidFill>
                    <w14:srgbClr w14:val="000000">
                      <w14:alpha w14:val="100000"/>
                    </w14:srgbClr>
                  </w14:solidFill>
                </w14:textFill>
              </w:rPr>
              <w:t xml:space="preserve">　</w:t>
            </w:r>
            <w:r w:rsidRPr="009A7DC1">
              <w:rPr>
                <w:color w:val="000000"/>
                <w:w w:val="19"/>
                <w:shd w:val="solid" w:color="000000" w:fill="000000"/>
                <w:fitText w:val="88" w:id="-1435317246"/>
                <w14:textFill>
                  <w14:solidFill>
                    <w14:srgbClr w14:val="000000">
                      <w14:alpha w14:val="100000"/>
                    </w14:srgbClr>
                  </w14:solidFill>
                </w14:textFill>
              </w:rPr>
              <w:t>|</w:t>
            </w:r>
            <w:r w:rsidRPr="009A7DC1">
              <w:rPr>
                <w:rFonts w:hint="eastAsia"/>
                <w:color w:val="000000"/>
                <w:spacing w:val="4"/>
                <w:w w:val="19"/>
                <w:shd w:val="solid" w:color="000000" w:fill="000000"/>
                <w:fitText w:val="88" w:id="-1435317246"/>
                <w14:textFill>
                  <w14:solidFill>
                    <w14:srgbClr w14:val="000000">
                      <w14:alpha w14:val="100000"/>
                    </w14:srgbClr>
                  </w14:solidFill>
                </w14:textFill>
              </w:rPr>
              <w:t xml:space="preserve">　</w:t>
            </w:r>
            <w:r w:rsidR="00821887">
              <w:rPr>
                <w:vertAlign w:val="superscript"/>
              </w:rPr>
              <w:t>3</w:t>
            </w:r>
          </w:p>
        </w:tc>
        <w:tc>
          <w:tcPr>
            <w:tcW w:w="571" w:type="pct"/>
            <w:shd w:val="clear" w:color="auto" w:fill="auto"/>
          </w:tcPr>
          <w:p w14:paraId="110358A7" w14:textId="1D67AAAC" w:rsidR="00694509" w:rsidRPr="006A5352" w:rsidRDefault="009A7DC1" w:rsidP="003406B4">
            <w:pPr>
              <w:pStyle w:val="TableText"/>
              <w:jc w:val="center"/>
              <w:rPr>
                <w:highlight w:val="darkGray"/>
              </w:rPr>
            </w:pPr>
            <w:r w:rsidRPr="009A7DC1">
              <w:rPr>
                <w:rFonts w:hint="eastAsia"/>
                <w:color w:val="000000"/>
                <w:w w:val="19"/>
                <w:shd w:val="solid" w:color="000000" w:fill="000000"/>
                <w:fitText w:val="87" w:id="-1435317245"/>
                <w14:textFill>
                  <w14:solidFill>
                    <w14:srgbClr w14:val="000000">
                      <w14:alpha w14:val="100000"/>
                    </w14:srgbClr>
                  </w14:solidFill>
                </w14:textFill>
              </w:rPr>
              <w:t xml:space="preserve">　</w:t>
            </w:r>
            <w:r w:rsidRPr="009A7DC1">
              <w:rPr>
                <w:color w:val="000000"/>
                <w:w w:val="19"/>
                <w:shd w:val="solid" w:color="000000" w:fill="000000"/>
                <w:fitText w:val="87" w:id="-1435317245"/>
                <w14:textFill>
                  <w14:solidFill>
                    <w14:srgbClr w14:val="000000">
                      <w14:alpha w14:val="100000"/>
                    </w14:srgbClr>
                  </w14:solidFill>
                </w14:textFill>
              </w:rPr>
              <w:t>|</w:t>
            </w:r>
            <w:r w:rsidRPr="009A7DC1">
              <w:rPr>
                <w:rFonts w:hint="eastAsia"/>
                <w:color w:val="000000"/>
                <w:spacing w:val="3"/>
                <w:w w:val="19"/>
                <w:shd w:val="solid" w:color="000000" w:fill="000000"/>
                <w:fitText w:val="87" w:id="-1435317245"/>
                <w14:textFill>
                  <w14:solidFill>
                    <w14:srgbClr w14:val="000000">
                      <w14:alpha w14:val="100000"/>
                    </w14:srgbClr>
                  </w14:solidFill>
                </w14:textFill>
              </w:rPr>
              <w:t xml:space="preserve">　</w:t>
            </w:r>
            <w:r w:rsidR="00821887">
              <w:rPr>
                <w:vertAlign w:val="superscript"/>
              </w:rPr>
              <w:t>3</w:t>
            </w:r>
          </w:p>
        </w:tc>
        <w:tc>
          <w:tcPr>
            <w:tcW w:w="571" w:type="pct"/>
            <w:shd w:val="clear" w:color="auto" w:fill="auto"/>
          </w:tcPr>
          <w:p w14:paraId="486CBCA2" w14:textId="70084B56" w:rsidR="00694509" w:rsidRPr="006A5352" w:rsidRDefault="009A7DC1" w:rsidP="003406B4">
            <w:pPr>
              <w:pStyle w:val="TableText"/>
              <w:jc w:val="center"/>
              <w:rPr>
                <w:highlight w:val="darkGray"/>
              </w:rPr>
            </w:pPr>
            <w:r w:rsidRPr="009A7DC1">
              <w:rPr>
                <w:rFonts w:hint="eastAsia"/>
                <w:color w:val="000000"/>
                <w:w w:val="19"/>
                <w:shd w:val="solid" w:color="000000" w:fill="000000"/>
                <w:fitText w:val="88" w:id="-1435317244"/>
                <w14:textFill>
                  <w14:solidFill>
                    <w14:srgbClr w14:val="000000">
                      <w14:alpha w14:val="100000"/>
                    </w14:srgbClr>
                  </w14:solidFill>
                </w14:textFill>
              </w:rPr>
              <w:t xml:space="preserve">　</w:t>
            </w:r>
            <w:r w:rsidRPr="009A7DC1">
              <w:rPr>
                <w:color w:val="000000"/>
                <w:w w:val="19"/>
                <w:shd w:val="solid" w:color="000000" w:fill="000000"/>
                <w:fitText w:val="88" w:id="-1435317244"/>
                <w14:textFill>
                  <w14:solidFill>
                    <w14:srgbClr w14:val="000000">
                      <w14:alpha w14:val="100000"/>
                    </w14:srgbClr>
                  </w14:solidFill>
                </w14:textFill>
              </w:rPr>
              <w:t>|</w:t>
            </w:r>
            <w:r w:rsidRPr="009A7DC1">
              <w:rPr>
                <w:rFonts w:hint="eastAsia"/>
                <w:color w:val="000000"/>
                <w:spacing w:val="4"/>
                <w:w w:val="19"/>
                <w:shd w:val="solid" w:color="000000" w:fill="000000"/>
                <w:fitText w:val="88" w:id="-1435317244"/>
                <w14:textFill>
                  <w14:solidFill>
                    <w14:srgbClr w14:val="000000">
                      <w14:alpha w14:val="100000"/>
                    </w14:srgbClr>
                  </w14:solidFill>
                </w14:textFill>
              </w:rPr>
              <w:t xml:space="preserve">　</w:t>
            </w:r>
            <w:r w:rsidR="00821887">
              <w:rPr>
                <w:vertAlign w:val="superscript"/>
              </w:rPr>
              <w:t>3</w:t>
            </w:r>
          </w:p>
        </w:tc>
        <w:tc>
          <w:tcPr>
            <w:tcW w:w="571" w:type="pct"/>
            <w:shd w:val="clear" w:color="auto" w:fill="auto"/>
          </w:tcPr>
          <w:p w14:paraId="0E8D7503" w14:textId="4872F89F" w:rsidR="00694509" w:rsidRPr="006A5352" w:rsidRDefault="009A7DC1" w:rsidP="003406B4">
            <w:pPr>
              <w:pStyle w:val="TableText"/>
              <w:jc w:val="center"/>
              <w:rPr>
                <w:highlight w:val="darkGray"/>
              </w:rPr>
            </w:pPr>
            <w:r w:rsidRPr="009A7DC1">
              <w:rPr>
                <w:rFonts w:hint="eastAsia"/>
                <w:color w:val="000000"/>
                <w:w w:val="19"/>
                <w:shd w:val="solid" w:color="000000" w:fill="000000"/>
                <w:fitText w:val="87" w:id="-1435317243"/>
                <w14:textFill>
                  <w14:solidFill>
                    <w14:srgbClr w14:val="000000">
                      <w14:alpha w14:val="100000"/>
                    </w14:srgbClr>
                  </w14:solidFill>
                </w14:textFill>
              </w:rPr>
              <w:t xml:space="preserve">　</w:t>
            </w:r>
            <w:r w:rsidRPr="009A7DC1">
              <w:rPr>
                <w:color w:val="000000"/>
                <w:w w:val="19"/>
                <w:shd w:val="solid" w:color="000000" w:fill="000000"/>
                <w:fitText w:val="87" w:id="-1435317243"/>
                <w14:textFill>
                  <w14:solidFill>
                    <w14:srgbClr w14:val="000000">
                      <w14:alpha w14:val="100000"/>
                    </w14:srgbClr>
                  </w14:solidFill>
                </w14:textFill>
              </w:rPr>
              <w:t>|</w:t>
            </w:r>
            <w:r w:rsidRPr="009A7DC1">
              <w:rPr>
                <w:rFonts w:hint="eastAsia"/>
                <w:color w:val="000000"/>
                <w:spacing w:val="3"/>
                <w:w w:val="19"/>
                <w:shd w:val="solid" w:color="000000" w:fill="000000"/>
                <w:fitText w:val="87" w:id="-1435317243"/>
                <w14:textFill>
                  <w14:solidFill>
                    <w14:srgbClr w14:val="000000">
                      <w14:alpha w14:val="100000"/>
                    </w14:srgbClr>
                  </w14:solidFill>
                </w14:textFill>
              </w:rPr>
              <w:t xml:space="preserve">　</w:t>
            </w:r>
            <w:r w:rsidR="00821887">
              <w:rPr>
                <w:vertAlign w:val="superscript"/>
              </w:rPr>
              <w:t>3</w:t>
            </w:r>
          </w:p>
        </w:tc>
        <w:tc>
          <w:tcPr>
            <w:tcW w:w="573" w:type="pct"/>
            <w:shd w:val="clear" w:color="auto" w:fill="auto"/>
          </w:tcPr>
          <w:p w14:paraId="63CEA59E" w14:textId="14AFAA46" w:rsidR="00694509" w:rsidRPr="006A5352" w:rsidRDefault="009A7DC1" w:rsidP="003406B4">
            <w:pPr>
              <w:pStyle w:val="TableText"/>
              <w:jc w:val="center"/>
              <w:rPr>
                <w:highlight w:val="darkGray"/>
              </w:rPr>
            </w:pPr>
            <w:r w:rsidRPr="009A7DC1">
              <w:rPr>
                <w:rFonts w:hint="eastAsia"/>
                <w:color w:val="000000"/>
                <w:w w:val="19"/>
                <w:shd w:val="solid" w:color="000000" w:fill="000000"/>
                <w:fitText w:val="87" w:id="-1435317242"/>
                <w14:textFill>
                  <w14:solidFill>
                    <w14:srgbClr w14:val="000000">
                      <w14:alpha w14:val="100000"/>
                    </w14:srgbClr>
                  </w14:solidFill>
                </w14:textFill>
              </w:rPr>
              <w:t xml:space="preserve">　</w:t>
            </w:r>
            <w:r w:rsidRPr="009A7DC1">
              <w:rPr>
                <w:color w:val="000000"/>
                <w:w w:val="19"/>
                <w:shd w:val="solid" w:color="000000" w:fill="000000"/>
                <w:fitText w:val="87" w:id="-1435317242"/>
                <w14:textFill>
                  <w14:solidFill>
                    <w14:srgbClr w14:val="000000">
                      <w14:alpha w14:val="100000"/>
                    </w14:srgbClr>
                  </w14:solidFill>
                </w14:textFill>
              </w:rPr>
              <w:t>|</w:t>
            </w:r>
            <w:r w:rsidRPr="009A7DC1">
              <w:rPr>
                <w:rFonts w:hint="eastAsia"/>
                <w:color w:val="000000"/>
                <w:spacing w:val="3"/>
                <w:w w:val="19"/>
                <w:shd w:val="solid" w:color="000000" w:fill="000000"/>
                <w:fitText w:val="87" w:id="-1435317242"/>
                <w14:textFill>
                  <w14:solidFill>
                    <w14:srgbClr w14:val="000000">
                      <w14:alpha w14:val="100000"/>
                    </w14:srgbClr>
                  </w14:solidFill>
                </w14:textFill>
              </w:rPr>
              <w:t xml:space="preserve">　</w:t>
            </w:r>
            <w:r w:rsidR="00821887">
              <w:rPr>
                <w:vertAlign w:val="superscript"/>
              </w:rPr>
              <w:t>2</w:t>
            </w:r>
          </w:p>
        </w:tc>
      </w:tr>
      <w:tr w:rsidR="00694509" w:rsidRPr="003455D2" w14:paraId="32F8FFEE" w14:textId="77777777" w:rsidTr="003406B4">
        <w:tc>
          <w:tcPr>
            <w:tcW w:w="1574" w:type="pct"/>
            <w:shd w:val="clear" w:color="auto" w:fill="auto"/>
            <w:vAlign w:val="center"/>
          </w:tcPr>
          <w:p w14:paraId="6BD46990" w14:textId="77777777" w:rsidR="00694509" w:rsidRPr="003455D2" w:rsidRDefault="00694509" w:rsidP="003406B4">
            <w:pPr>
              <w:pStyle w:val="TableText"/>
            </w:pPr>
            <w:r>
              <w:t>BMD ≤-2.5 (32.5%)</w:t>
            </w:r>
          </w:p>
        </w:tc>
        <w:tc>
          <w:tcPr>
            <w:tcW w:w="569" w:type="pct"/>
            <w:shd w:val="clear" w:color="auto" w:fill="auto"/>
          </w:tcPr>
          <w:p w14:paraId="4EE2A429" w14:textId="71F2DB0D" w:rsidR="00694509" w:rsidRPr="006A5352" w:rsidRDefault="009A7DC1" w:rsidP="003406B4">
            <w:pPr>
              <w:pStyle w:val="TableText"/>
              <w:jc w:val="center"/>
              <w:rPr>
                <w:highlight w:val="darkGray"/>
              </w:rPr>
            </w:pPr>
            <w:r w:rsidRPr="009A7DC1">
              <w:rPr>
                <w:rFonts w:hint="eastAsia"/>
                <w:color w:val="000000"/>
                <w:w w:val="19"/>
                <w:shd w:val="solid" w:color="000000" w:fill="000000"/>
                <w:fitText w:val="88" w:id="-1435317241"/>
                <w14:textFill>
                  <w14:solidFill>
                    <w14:srgbClr w14:val="000000">
                      <w14:alpha w14:val="100000"/>
                    </w14:srgbClr>
                  </w14:solidFill>
                </w14:textFill>
              </w:rPr>
              <w:t xml:space="preserve">　</w:t>
            </w:r>
            <w:r w:rsidRPr="009A7DC1">
              <w:rPr>
                <w:color w:val="000000"/>
                <w:w w:val="19"/>
                <w:shd w:val="solid" w:color="000000" w:fill="000000"/>
                <w:fitText w:val="88" w:id="-1435317241"/>
                <w14:textFill>
                  <w14:solidFill>
                    <w14:srgbClr w14:val="000000">
                      <w14:alpha w14:val="100000"/>
                    </w14:srgbClr>
                  </w14:solidFill>
                </w14:textFill>
              </w:rPr>
              <w:t>|</w:t>
            </w:r>
            <w:r w:rsidRPr="009A7DC1">
              <w:rPr>
                <w:rFonts w:hint="eastAsia"/>
                <w:color w:val="000000"/>
                <w:spacing w:val="4"/>
                <w:w w:val="19"/>
                <w:shd w:val="solid" w:color="000000" w:fill="000000"/>
                <w:fitText w:val="88" w:id="-1435317241"/>
                <w14:textFill>
                  <w14:solidFill>
                    <w14:srgbClr w14:val="000000">
                      <w14:alpha w14:val="100000"/>
                    </w14:srgbClr>
                  </w14:solidFill>
                </w14:textFill>
              </w:rPr>
              <w:t xml:space="preserve">　</w:t>
            </w:r>
            <w:r w:rsidR="00821887">
              <w:rPr>
                <w:vertAlign w:val="superscript"/>
              </w:rPr>
              <w:t>4</w:t>
            </w:r>
          </w:p>
        </w:tc>
        <w:tc>
          <w:tcPr>
            <w:tcW w:w="571" w:type="pct"/>
            <w:shd w:val="clear" w:color="auto" w:fill="auto"/>
          </w:tcPr>
          <w:p w14:paraId="67C093A1" w14:textId="65A00B7A" w:rsidR="00694509" w:rsidRPr="006A5352" w:rsidRDefault="009A7DC1" w:rsidP="003406B4">
            <w:pPr>
              <w:pStyle w:val="TableText"/>
              <w:jc w:val="center"/>
              <w:rPr>
                <w:highlight w:val="darkGray"/>
              </w:rPr>
            </w:pPr>
            <w:r w:rsidRPr="009A7DC1">
              <w:rPr>
                <w:rFonts w:hint="eastAsia"/>
                <w:color w:val="000000"/>
                <w:w w:val="19"/>
                <w:shd w:val="solid" w:color="000000" w:fill="000000"/>
                <w:fitText w:val="88" w:id="-1435317240"/>
                <w14:textFill>
                  <w14:solidFill>
                    <w14:srgbClr w14:val="000000">
                      <w14:alpha w14:val="100000"/>
                    </w14:srgbClr>
                  </w14:solidFill>
                </w14:textFill>
              </w:rPr>
              <w:t xml:space="preserve">　</w:t>
            </w:r>
            <w:r w:rsidRPr="009A7DC1">
              <w:rPr>
                <w:color w:val="000000"/>
                <w:w w:val="19"/>
                <w:shd w:val="solid" w:color="000000" w:fill="000000"/>
                <w:fitText w:val="88" w:id="-1435317240"/>
                <w14:textFill>
                  <w14:solidFill>
                    <w14:srgbClr w14:val="000000">
                      <w14:alpha w14:val="100000"/>
                    </w14:srgbClr>
                  </w14:solidFill>
                </w14:textFill>
              </w:rPr>
              <w:t>|</w:t>
            </w:r>
            <w:r w:rsidRPr="009A7DC1">
              <w:rPr>
                <w:rFonts w:hint="eastAsia"/>
                <w:color w:val="000000"/>
                <w:spacing w:val="4"/>
                <w:w w:val="19"/>
                <w:shd w:val="solid" w:color="000000" w:fill="000000"/>
                <w:fitText w:val="88" w:id="-1435317240"/>
                <w14:textFill>
                  <w14:solidFill>
                    <w14:srgbClr w14:val="000000">
                      <w14:alpha w14:val="100000"/>
                    </w14:srgbClr>
                  </w14:solidFill>
                </w14:textFill>
              </w:rPr>
              <w:t xml:space="preserve">　</w:t>
            </w:r>
            <w:r w:rsidR="00821887">
              <w:rPr>
                <w:vertAlign w:val="superscript"/>
              </w:rPr>
              <w:t>4</w:t>
            </w:r>
          </w:p>
        </w:tc>
        <w:tc>
          <w:tcPr>
            <w:tcW w:w="571" w:type="pct"/>
            <w:shd w:val="clear" w:color="auto" w:fill="auto"/>
          </w:tcPr>
          <w:p w14:paraId="61EC866A" w14:textId="40586563" w:rsidR="00694509" w:rsidRPr="006A5352" w:rsidRDefault="009A7DC1" w:rsidP="003406B4">
            <w:pPr>
              <w:pStyle w:val="TableText"/>
              <w:jc w:val="center"/>
              <w:rPr>
                <w:highlight w:val="darkGray"/>
              </w:rPr>
            </w:pPr>
            <w:r w:rsidRPr="009A7DC1">
              <w:rPr>
                <w:rFonts w:hint="eastAsia"/>
                <w:color w:val="000000"/>
                <w:w w:val="19"/>
                <w:shd w:val="solid" w:color="000000" w:fill="000000"/>
                <w:fitText w:val="87" w:id="-1435317239"/>
                <w14:textFill>
                  <w14:solidFill>
                    <w14:srgbClr w14:val="000000">
                      <w14:alpha w14:val="100000"/>
                    </w14:srgbClr>
                  </w14:solidFill>
                </w14:textFill>
              </w:rPr>
              <w:t xml:space="preserve">　</w:t>
            </w:r>
            <w:r w:rsidRPr="009A7DC1">
              <w:rPr>
                <w:color w:val="000000"/>
                <w:w w:val="19"/>
                <w:shd w:val="solid" w:color="000000" w:fill="000000"/>
                <w:fitText w:val="87" w:id="-1435317239"/>
                <w14:textFill>
                  <w14:solidFill>
                    <w14:srgbClr w14:val="000000">
                      <w14:alpha w14:val="100000"/>
                    </w14:srgbClr>
                  </w14:solidFill>
                </w14:textFill>
              </w:rPr>
              <w:t>|</w:t>
            </w:r>
            <w:r w:rsidRPr="009A7DC1">
              <w:rPr>
                <w:rFonts w:hint="eastAsia"/>
                <w:color w:val="000000"/>
                <w:spacing w:val="3"/>
                <w:w w:val="19"/>
                <w:shd w:val="solid" w:color="000000" w:fill="000000"/>
                <w:fitText w:val="87" w:id="-1435317239"/>
                <w14:textFill>
                  <w14:solidFill>
                    <w14:srgbClr w14:val="000000">
                      <w14:alpha w14:val="100000"/>
                    </w14:srgbClr>
                  </w14:solidFill>
                </w14:textFill>
              </w:rPr>
              <w:t xml:space="preserve">　</w:t>
            </w:r>
            <w:r w:rsidR="00821887">
              <w:rPr>
                <w:vertAlign w:val="superscript"/>
              </w:rPr>
              <w:t>4</w:t>
            </w:r>
          </w:p>
        </w:tc>
        <w:tc>
          <w:tcPr>
            <w:tcW w:w="571" w:type="pct"/>
            <w:shd w:val="clear" w:color="auto" w:fill="auto"/>
          </w:tcPr>
          <w:p w14:paraId="49ED852C" w14:textId="67B8B54D" w:rsidR="00694509" w:rsidRPr="006A5352" w:rsidRDefault="009A7DC1" w:rsidP="003406B4">
            <w:pPr>
              <w:pStyle w:val="TableText"/>
              <w:jc w:val="center"/>
              <w:rPr>
                <w:highlight w:val="darkGray"/>
              </w:rPr>
            </w:pPr>
            <w:r w:rsidRPr="009A7DC1">
              <w:rPr>
                <w:rFonts w:hint="eastAsia"/>
                <w:color w:val="000000"/>
                <w:w w:val="28"/>
                <w:shd w:val="solid" w:color="000000" w:fill="000000"/>
                <w:fitText w:val="126" w:id="-1435317238"/>
                <w14:textFill>
                  <w14:solidFill>
                    <w14:srgbClr w14:val="000000">
                      <w14:alpha w14:val="100000"/>
                    </w14:srgbClr>
                  </w14:solidFill>
                </w14:textFill>
              </w:rPr>
              <w:t xml:space="preserve">　</w:t>
            </w:r>
            <w:r w:rsidRPr="009A7DC1">
              <w:rPr>
                <w:color w:val="000000"/>
                <w:w w:val="28"/>
                <w:shd w:val="solid" w:color="000000" w:fill="000000"/>
                <w:fitText w:val="126" w:id="-1435317238"/>
                <w14:textFill>
                  <w14:solidFill>
                    <w14:srgbClr w14:val="000000">
                      <w14:alpha w14:val="100000"/>
                    </w14:srgbClr>
                  </w14:solidFill>
                </w14:textFill>
              </w:rPr>
              <w:t>|</w:t>
            </w:r>
            <w:r w:rsidRPr="009A7DC1">
              <w:rPr>
                <w:rFonts w:hint="eastAsia"/>
                <w:color w:val="000000"/>
                <w:spacing w:val="4"/>
                <w:w w:val="28"/>
                <w:shd w:val="solid" w:color="000000" w:fill="000000"/>
                <w:fitText w:val="126" w:id="-1435317238"/>
                <w14:textFill>
                  <w14:solidFill>
                    <w14:srgbClr w14:val="000000">
                      <w14:alpha w14:val="100000"/>
                    </w14:srgbClr>
                  </w14:solidFill>
                </w14:textFill>
              </w:rPr>
              <w:t xml:space="preserve">　</w:t>
            </w:r>
            <w:r w:rsidR="00F84AA0">
              <w:rPr>
                <w:vertAlign w:val="superscript"/>
              </w:rPr>
              <w:t>21</w:t>
            </w:r>
          </w:p>
        </w:tc>
        <w:tc>
          <w:tcPr>
            <w:tcW w:w="571" w:type="pct"/>
            <w:shd w:val="clear" w:color="auto" w:fill="auto"/>
          </w:tcPr>
          <w:p w14:paraId="381ABBB5" w14:textId="0345009B" w:rsidR="00694509" w:rsidRPr="006A5352" w:rsidRDefault="009A7DC1" w:rsidP="003406B4">
            <w:pPr>
              <w:pStyle w:val="TableText"/>
              <w:jc w:val="center"/>
              <w:rPr>
                <w:highlight w:val="darkGray"/>
              </w:rPr>
            </w:pPr>
            <w:r w:rsidRPr="009A7DC1">
              <w:rPr>
                <w:rFonts w:hint="eastAsia"/>
                <w:color w:val="000000"/>
                <w:w w:val="28"/>
                <w:shd w:val="solid" w:color="000000" w:fill="000000"/>
                <w:fitText w:val="125" w:id="-1435316992"/>
                <w14:textFill>
                  <w14:solidFill>
                    <w14:srgbClr w14:val="000000">
                      <w14:alpha w14:val="100000"/>
                    </w14:srgbClr>
                  </w14:solidFill>
                </w14:textFill>
              </w:rPr>
              <w:t xml:space="preserve">　</w:t>
            </w:r>
            <w:r w:rsidRPr="009A7DC1">
              <w:rPr>
                <w:color w:val="000000"/>
                <w:w w:val="28"/>
                <w:shd w:val="solid" w:color="000000" w:fill="000000"/>
                <w:fitText w:val="125" w:id="-1435316992"/>
                <w14:textFill>
                  <w14:solidFill>
                    <w14:srgbClr w14:val="000000">
                      <w14:alpha w14:val="100000"/>
                    </w14:srgbClr>
                  </w14:solidFill>
                </w14:textFill>
              </w:rPr>
              <w:t>|</w:t>
            </w:r>
            <w:r w:rsidRPr="009A7DC1">
              <w:rPr>
                <w:rFonts w:hint="eastAsia"/>
                <w:color w:val="000000"/>
                <w:spacing w:val="3"/>
                <w:w w:val="28"/>
                <w:shd w:val="solid" w:color="000000" w:fill="000000"/>
                <w:fitText w:val="125" w:id="-1435316992"/>
                <w14:textFill>
                  <w14:solidFill>
                    <w14:srgbClr w14:val="000000">
                      <w14:alpha w14:val="100000"/>
                    </w14:srgbClr>
                  </w14:solidFill>
                </w14:textFill>
              </w:rPr>
              <w:t xml:space="preserve">　</w:t>
            </w:r>
            <w:r w:rsidR="00F84AA0">
              <w:rPr>
                <w:vertAlign w:val="superscript"/>
              </w:rPr>
              <w:t>21</w:t>
            </w:r>
          </w:p>
        </w:tc>
        <w:tc>
          <w:tcPr>
            <w:tcW w:w="573" w:type="pct"/>
            <w:shd w:val="clear" w:color="auto" w:fill="auto"/>
          </w:tcPr>
          <w:p w14:paraId="749FD69B" w14:textId="63800E93" w:rsidR="00694509" w:rsidRPr="006A5352" w:rsidRDefault="009A7DC1" w:rsidP="003406B4">
            <w:pPr>
              <w:pStyle w:val="TableText"/>
              <w:jc w:val="center"/>
              <w:rPr>
                <w:highlight w:val="darkGray"/>
              </w:rPr>
            </w:pPr>
            <w:r w:rsidRPr="009A7DC1">
              <w:rPr>
                <w:rFonts w:hint="eastAsia"/>
                <w:color w:val="000000"/>
                <w:w w:val="25"/>
                <w:shd w:val="solid" w:color="000000" w:fill="000000"/>
                <w:fitText w:val="113" w:id="-1435316991"/>
                <w14:textFill>
                  <w14:solidFill>
                    <w14:srgbClr w14:val="000000">
                      <w14:alpha w14:val="100000"/>
                    </w14:srgbClr>
                  </w14:solidFill>
                </w14:textFill>
              </w:rPr>
              <w:t xml:space="preserve">　</w:t>
            </w:r>
            <w:r w:rsidRPr="009A7DC1">
              <w:rPr>
                <w:color w:val="000000"/>
                <w:w w:val="25"/>
                <w:shd w:val="solid" w:color="000000" w:fill="000000"/>
                <w:fitText w:val="113" w:id="-1435316991"/>
                <w14:textFill>
                  <w14:solidFill>
                    <w14:srgbClr w14:val="000000">
                      <w14:alpha w14:val="100000"/>
                    </w14:srgbClr>
                  </w14:solidFill>
                </w14:textFill>
              </w:rPr>
              <w:t>|</w:t>
            </w:r>
            <w:r w:rsidRPr="009A7DC1">
              <w:rPr>
                <w:rFonts w:hint="eastAsia"/>
                <w:color w:val="000000"/>
                <w:spacing w:val="2"/>
                <w:w w:val="25"/>
                <w:shd w:val="solid" w:color="000000" w:fill="000000"/>
                <w:fitText w:val="113" w:id="-1435316991"/>
                <w14:textFill>
                  <w14:solidFill>
                    <w14:srgbClr w14:val="000000">
                      <w14:alpha w14:val="100000"/>
                    </w14:srgbClr>
                  </w14:solidFill>
                </w14:textFill>
              </w:rPr>
              <w:t xml:space="preserve">　</w:t>
            </w:r>
            <w:r w:rsidR="00F84AA0">
              <w:rPr>
                <w:vertAlign w:val="superscript"/>
              </w:rPr>
              <w:t>21</w:t>
            </w:r>
          </w:p>
        </w:tc>
      </w:tr>
      <w:tr w:rsidR="00694509" w:rsidRPr="003455D2" w14:paraId="52E4CEA4" w14:textId="77777777" w:rsidTr="003406B4">
        <w:tc>
          <w:tcPr>
            <w:tcW w:w="1574" w:type="pct"/>
            <w:shd w:val="clear" w:color="auto" w:fill="auto"/>
            <w:vAlign w:val="center"/>
          </w:tcPr>
          <w:p w14:paraId="157F1E9C" w14:textId="77777777" w:rsidR="00694509" w:rsidRPr="003455D2" w:rsidRDefault="00694509" w:rsidP="003406B4">
            <w:pPr>
              <w:pStyle w:val="TableText"/>
            </w:pPr>
            <w:r>
              <w:t>Multiple clinical fractures or single hip/clinical vertebral fracture (57%)</w:t>
            </w:r>
          </w:p>
        </w:tc>
        <w:tc>
          <w:tcPr>
            <w:tcW w:w="569" w:type="pct"/>
            <w:shd w:val="clear" w:color="auto" w:fill="auto"/>
            <w:vAlign w:val="center"/>
          </w:tcPr>
          <w:p w14:paraId="48C615A5" w14:textId="41DA0391" w:rsidR="00694509" w:rsidRPr="006A5352" w:rsidRDefault="009A7DC1" w:rsidP="003406B4">
            <w:pPr>
              <w:pStyle w:val="TableText"/>
              <w:jc w:val="center"/>
              <w:rPr>
                <w:highlight w:val="darkGray"/>
              </w:rPr>
            </w:pPr>
            <w:r w:rsidRPr="009A7DC1">
              <w:rPr>
                <w:rFonts w:hint="eastAsia"/>
                <w:color w:val="000000"/>
                <w:w w:val="19"/>
                <w:shd w:val="solid" w:color="000000" w:fill="000000"/>
                <w:fitText w:val="88" w:id="-1435316990"/>
                <w14:textFill>
                  <w14:solidFill>
                    <w14:srgbClr w14:val="000000">
                      <w14:alpha w14:val="100000"/>
                    </w14:srgbClr>
                  </w14:solidFill>
                </w14:textFill>
              </w:rPr>
              <w:t xml:space="preserve">　</w:t>
            </w:r>
            <w:r w:rsidRPr="009A7DC1">
              <w:rPr>
                <w:color w:val="000000"/>
                <w:w w:val="19"/>
                <w:shd w:val="solid" w:color="000000" w:fill="000000"/>
                <w:fitText w:val="88" w:id="-1435316990"/>
                <w14:textFill>
                  <w14:solidFill>
                    <w14:srgbClr w14:val="000000">
                      <w14:alpha w14:val="100000"/>
                    </w14:srgbClr>
                  </w14:solidFill>
                </w14:textFill>
              </w:rPr>
              <w:t>|</w:t>
            </w:r>
            <w:r w:rsidRPr="009A7DC1">
              <w:rPr>
                <w:rFonts w:hint="eastAsia"/>
                <w:color w:val="000000"/>
                <w:spacing w:val="4"/>
                <w:w w:val="19"/>
                <w:shd w:val="solid" w:color="000000" w:fill="000000"/>
                <w:fitText w:val="88" w:id="-1435316990"/>
                <w14:textFill>
                  <w14:solidFill>
                    <w14:srgbClr w14:val="000000">
                      <w14:alpha w14:val="100000"/>
                    </w14:srgbClr>
                  </w14:solidFill>
                </w14:textFill>
              </w:rPr>
              <w:t xml:space="preserve">　</w:t>
            </w:r>
            <w:r w:rsidR="00821887">
              <w:rPr>
                <w:vertAlign w:val="superscript"/>
              </w:rPr>
              <w:t>5</w:t>
            </w:r>
          </w:p>
        </w:tc>
        <w:tc>
          <w:tcPr>
            <w:tcW w:w="571" w:type="pct"/>
            <w:shd w:val="clear" w:color="auto" w:fill="auto"/>
            <w:vAlign w:val="center"/>
          </w:tcPr>
          <w:p w14:paraId="72394603" w14:textId="596FAD8C" w:rsidR="00694509" w:rsidRPr="006A5352" w:rsidRDefault="009A7DC1" w:rsidP="003406B4">
            <w:pPr>
              <w:pStyle w:val="TableText"/>
              <w:jc w:val="center"/>
              <w:rPr>
                <w:highlight w:val="darkGray"/>
              </w:rPr>
            </w:pPr>
            <w:r w:rsidRPr="009A7DC1">
              <w:rPr>
                <w:rFonts w:hint="eastAsia"/>
                <w:color w:val="000000"/>
                <w:w w:val="19"/>
                <w:shd w:val="solid" w:color="000000" w:fill="000000"/>
                <w:fitText w:val="88" w:id="-1435316989"/>
                <w14:textFill>
                  <w14:solidFill>
                    <w14:srgbClr w14:val="000000">
                      <w14:alpha w14:val="100000"/>
                    </w14:srgbClr>
                  </w14:solidFill>
                </w14:textFill>
              </w:rPr>
              <w:t xml:space="preserve">　</w:t>
            </w:r>
            <w:r w:rsidRPr="009A7DC1">
              <w:rPr>
                <w:color w:val="000000"/>
                <w:w w:val="19"/>
                <w:shd w:val="solid" w:color="000000" w:fill="000000"/>
                <w:fitText w:val="88" w:id="-1435316989"/>
                <w14:textFill>
                  <w14:solidFill>
                    <w14:srgbClr w14:val="000000">
                      <w14:alpha w14:val="100000"/>
                    </w14:srgbClr>
                  </w14:solidFill>
                </w14:textFill>
              </w:rPr>
              <w:t>|</w:t>
            </w:r>
            <w:r w:rsidRPr="009A7DC1">
              <w:rPr>
                <w:rFonts w:hint="eastAsia"/>
                <w:color w:val="000000"/>
                <w:spacing w:val="4"/>
                <w:w w:val="19"/>
                <w:shd w:val="solid" w:color="000000" w:fill="000000"/>
                <w:fitText w:val="88" w:id="-1435316989"/>
                <w14:textFill>
                  <w14:solidFill>
                    <w14:srgbClr w14:val="000000">
                      <w14:alpha w14:val="100000"/>
                    </w14:srgbClr>
                  </w14:solidFill>
                </w14:textFill>
              </w:rPr>
              <w:t xml:space="preserve">　</w:t>
            </w:r>
            <w:r w:rsidR="00821887">
              <w:rPr>
                <w:vertAlign w:val="superscript"/>
              </w:rPr>
              <w:t>5</w:t>
            </w:r>
          </w:p>
        </w:tc>
        <w:tc>
          <w:tcPr>
            <w:tcW w:w="571" w:type="pct"/>
            <w:shd w:val="clear" w:color="auto" w:fill="auto"/>
            <w:vAlign w:val="center"/>
          </w:tcPr>
          <w:p w14:paraId="1A3FD096" w14:textId="5C4517AE" w:rsidR="00694509" w:rsidRPr="006A5352" w:rsidRDefault="009A7DC1" w:rsidP="003406B4">
            <w:pPr>
              <w:pStyle w:val="TableText"/>
              <w:jc w:val="center"/>
              <w:rPr>
                <w:highlight w:val="darkGray"/>
              </w:rPr>
            </w:pPr>
            <w:r w:rsidRPr="009A7DC1">
              <w:rPr>
                <w:rFonts w:hint="eastAsia"/>
                <w:color w:val="000000"/>
                <w:w w:val="19"/>
                <w:shd w:val="solid" w:color="000000" w:fill="000000"/>
                <w:fitText w:val="87" w:id="-1435316988"/>
                <w14:textFill>
                  <w14:solidFill>
                    <w14:srgbClr w14:val="000000">
                      <w14:alpha w14:val="100000"/>
                    </w14:srgbClr>
                  </w14:solidFill>
                </w14:textFill>
              </w:rPr>
              <w:t xml:space="preserve">　</w:t>
            </w:r>
            <w:r w:rsidRPr="009A7DC1">
              <w:rPr>
                <w:color w:val="000000"/>
                <w:w w:val="19"/>
                <w:shd w:val="solid" w:color="000000" w:fill="000000"/>
                <w:fitText w:val="87" w:id="-1435316988"/>
                <w14:textFill>
                  <w14:solidFill>
                    <w14:srgbClr w14:val="000000">
                      <w14:alpha w14:val="100000"/>
                    </w14:srgbClr>
                  </w14:solidFill>
                </w14:textFill>
              </w:rPr>
              <w:t>|</w:t>
            </w:r>
            <w:r w:rsidRPr="009A7DC1">
              <w:rPr>
                <w:rFonts w:hint="eastAsia"/>
                <w:color w:val="000000"/>
                <w:spacing w:val="3"/>
                <w:w w:val="19"/>
                <w:shd w:val="solid" w:color="000000" w:fill="000000"/>
                <w:fitText w:val="87" w:id="-1435316988"/>
                <w14:textFill>
                  <w14:solidFill>
                    <w14:srgbClr w14:val="000000">
                      <w14:alpha w14:val="100000"/>
                    </w14:srgbClr>
                  </w14:solidFill>
                </w14:textFill>
              </w:rPr>
              <w:t xml:space="preserve">　</w:t>
            </w:r>
            <w:r w:rsidR="00821887">
              <w:rPr>
                <w:vertAlign w:val="superscript"/>
              </w:rPr>
              <w:t>5</w:t>
            </w:r>
          </w:p>
        </w:tc>
        <w:tc>
          <w:tcPr>
            <w:tcW w:w="571" w:type="pct"/>
            <w:shd w:val="clear" w:color="auto" w:fill="auto"/>
            <w:vAlign w:val="center"/>
          </w:tcPr>
          <w:p w14:paraId="1D31C8C3" w14:textId="138A7CA8" w:rsidR="00694509" w:rsidRPr="006A5352" w:rsidRDefault="009A7DC1" w:rsidP="003406B4">
            <w:pPr>
              <w:pStyle w:val="TableText"/>
              <w:jc w:val="center"/>
              <w:rPr>
                <w:highlight w:val="darkGray"/>
              </w:rPr>
            </w:pPr>
            <w:r w:rsidRPr="009A7DC1">
              <w:rPr>
                <w:rFonts w:hint="eastAsia"/>
                <w:color w:val="000000"/>
                <w:w w:val="19"/>
                <w:shd w:val="solid" w:color="000000" w:fill="000000"/>
                <w:fitText w:val="88" w:id="-1435316987"/>
                <w14:textFill>
                  <w14:solidFill>
                    <w14:srgbClr w14:val="000000">
                      <w14:alpha w14:val="100000"/>
                    </w14:srgbClr>
                  </w14:solidFill>
                </w14:textFill>
              </w:rPr>
              <w:t xml:space="preserve">　</w:t>
            </w:r>
            <w:r w:rsidRPr="009A7DC1">
              <w:rPr>
                <w:color w:val="000000"/>
                <w:w w:val="19"/>
                <w:shd w:val="solid" w:color="000000" w:fill="000000"/>
                <w:fitText w:val="88" w:id="-1435316987"/>
                <w14:textFill>
                  <w14:solidFill>
                    <w14:srgbClr w14:val="000000">
                      <w14:alpha w14:val="100000"/>
                    </w14:srgbClr>
                  </w14:solidFill>
                </w14:textFill>
              </w:rPr>
              <w:t>|</w:t>
            </w:r>
            <w:r w:rsidRPr="009A7DC1">
              <w:rPr>
                <w:rFonts w:hint="eastAsia"/>
                <w:color w:val="000000"/>
                <w:spacing w:val="4"/>
                <w:w w:val="19"/>
                <w:shd w:val="solid" w:color="000000" w:fill="000000"/>
                <w:fitText w:val="88" w:id="-1435316987"/>
                <w14:textFill>
                  <w14:solidFill>
                    <w14:srgbClr w14:val="000000">
                      <w14:alpha w14:val="100000"/>
                    </w14:srgbClr>
                  </w14:solidFill>
                </w14:textFill>
              </w:rPr>
              <w:t xml:space="preserve">　</w:t>
            </w:r>
            <w:r w:rsidR="00821887">
              <w:rPr>
                <w:vertAlign w:val="superscript"/>
              </w:rPr>
              <w:t>5</w:t>
            </w:r>
          </w:p>
        </w:tc>
        <w:tc>
          <w:tcPr>
            <w:tcW w:w="571" w:type="pct"/>
            <w:shd w:val="clear" w:color="auto" w:fill="auto"/>
            <w:vAlign w:val="center"/>
          </w:tcPr>
          <w:p w14:paraId="19EF9225" w14:textId="5CBB07E4" w:rsidR="00694509" w:rsidRPr="006A5352" w:rsidRDefault="009A7DC1" w:rsidP="003406B4">
            <w:pPr>
              <w:pStyle w:val="TableText"/>
              <w:jc w:val="center"/>
              <w:rPr>
                <w:highlight w:val="darkGray"/>
              </w:rPr>
            </w:pPr>
            <w:r w:rsidRPr="009A7DC1">
              <w:rPr>
                <w:rFonts w:hint="eastAsia"/>
                <w:color w:val="000000"/>
                <w:w w:val="19"/>
                <w:shd w:val="solid" w:color="000000" w:fill="000000"/>
                <w:fitText w:val="87" w:id="-1435316986"/>
                <w14:textFill>
                  <w14:solidFill>
                    <w14:srgbClr w14:val="000000">
                      <w14:alpha w14:val="100000"/>
                    </w14:srgbClr>
                  </w14:solidFill>
                </w14:textFill>
              </w:rPr>
              <w:t xml:space="preserve">　</w:t>
            </w:r>
            <w:r w:rsidRPr="009A7DC1">
              <w:rPr>
                <w:color w:val="000000"/>
                <w:w w:val="19"/>
                <w:shd w:val="solid" w:color="000000" w:fill="000000"/>
                <w:fitText w:val="87" w:id="-1435316986"/>
                <w14:textFill>
                  <w14:solidFill>
                    <w14:srgbClr w14:val="000000">
                      <w14:alpha w14:val="100000"/>
                    </w14:srgbClr>
                  </w14:solidFill>
                </w14:textFill>
              </w:rPr>
              <w:t>|</w:t>
            </w:r>
            <w:r w:rsidRPr="009A7DC1">
              <w:rPr>
                <w:rFonts w:hint="eastAsia"/>
                <w:color w:val="000000"/>
                <w:spacing w:val="3"/>
                <w:w w:val="19"/>
                <w:shd w:val="solid" w:color="000000" w:fill="000000"/>
                <w:fitText w:val="87" w:id="-1435316986"/>
                <w14:textFill>
                  <w14:solidFill>
                    <w14:srgbClr w14:val="000000">
                      <w14:alpha w14:val="100000"/>
                    </w14:srgbClr>
                  </w14:solidFill>
                </w14:textFill>
              </w:rPr>
              <w:t xml:space="preserve">　</w:t>
            </w:r>
            <w:r w:rsidR="00821887">
              <w:rPr>
                <w:vertAlign w:val="superscript"/>
              </w:rPr>
              <w:t>5</w:t>
            </w:r>
          </w:p>
        </w:tc>
        <w:tc>
          <w:tcPr>
            <w:tcW w:w="573" w:type="pct"/>
            <w:shd w:val="clear" w:color="auto" w:fill="auto"/>
            <w:vAlign w:val="center"/>
          </w:tcPr>
          <w:p w14:paraId="16C65CDA" w14:textId="0C0F9CAB" w:rsidR="00694509" w:rsidRPr="006A5352" w:rsidRDefault="009A7DC1" w:rsidP="003406B4">
            <w:pPr>
              <w:pStyle w:val="TableText"/>
              <w:jc w:val="center"/>
              <w:rPr>
                <w:highlight w:val="darkGray"/>
              </w:rPr>
            </w:pPr>
            <w:r w:rsidRPr="009A7DC1">
              <w:rPr>
                <w:rFonts w:hint="eastAsia"/>
                <w:color w:val="000000"/>
                <w:w w:val="19"/>
                <w:shd w:val="solid" w:color="000000" w:fill="000000"/>
                <w:fitText w:val="87" w:id="-1435316985"/>
                <w14:textFill>
                  <w14:solidFill>
                    <w14:srgbClr w14:val="000000">
                      <w14:alpha w14:val="100000"/>
                    </w14:srgbClr>
                  </w14:solidFill>
                </w14:textFill>
              </w:rPr>
              <w:t xml:space="preserve">　</w:t>
            </w:r>
            <w:r w:rsidRPr="009A7DC1">
              <w:rPr>
                <w:color w:val="000000"/>
                <w:w w:val="19"/>
                <w:shd w:val="solid" w:color="000000" w:fill="000000"/>
                <w:fitText w:val="87" w:id="-1435316985"/>
                <w14:textFill>
                  <w14:solidFill>
                    <w14:srgbClr w14:val="000000">
                      <w14:alpha w14:val="100000"/>
                    </w14:srgbClr>
                  </w14:solidFill>
                </w14:textFill>
              </w:rPr>
              <w:t>|</w:t>
            </w:r>
            <w:r w:rsidRPr="009A7DC1">
              <w:rPr>
                <w:rFonts w:hint="eastAsia"/>
                <w:color w:val="000000"/>
                <w:spacing w:val="3"/>
                <w:w w:val="19"/>
                <w:shd w:val="solid" w:color="000000" w:fill="000000"/>
                <w:fitText w:val="87" w:id="-1435316985"/>
                <w14:textFill>
                  <w14:solidFill>
                    <w14:srgbClr w14:val="000000">
                      <w14:alpha w14:val="100000"/>
                    </w14:srgbClr>
                  </w14:solidFill>
                </w14:textFill>
              </w:rPr>
              <w:t xml:space="preserve">　</w:t>
            </w:r>
            <w:r w:rsidR="00821887">
              <w:rPr>
                <w:vertAlign w:val="superscript"/>
              </w:rPr>
              <w:t>5</w:t>
            </w:r>
          </w:p>
        </w:tc>
      </w:tr>
      <w:tr w:rsidR="00694509" w:rsidRPr="003455D2" w14:paraId="6FF6EDF4" w14:textId="77777777" w:rsidTr="003406B4">
        <w:tc>
          <w:tcPr>
            <w:tcW w:w="1574" w:type="pct"/>
            <w:shd w:val="clear" w:color="auto" w:fill="auto"/>
            <w:vAlign w:val="center"/>
          </w:tcPr>
          <w:p w14:paraId="2ED8534E" w14:textId="77777777" w:rsidR="00694509" w:rsidRPr="003455D2" w:rsidRDefault="00694509" w:rsidP="003406B4">
            <w:pPr>
              <w:pStyle w:val="TableText"/>
            </w:pPr>
            <w:r>
              <w:t>Uptake</w:t>
            </w:r>
          </w:p>
        </w:tc>
        <w:tc>
          <w:tcPr>
            <w:tcW w:w="569" w:type="pct"/>
            <w:shd w:val="clear" w:color="auto" w:fill="auto"/>
            <w:vAlign w:val="center"/>
          </w:tcPr>
          <w:p w14:paraId="3C009620" w14:textId="40F21ABB" w:rsidR="00694509" w:rsidRPr="007E39C0" w:rsidRDefault="009A7DC1" w:rsidP="003406B4">
            <w:pPr>
              <w:pStyle w:val="TableText"/>
              <w:jc w:val="center"/>
            </w:pPr>
            <w:r w:rsidRPr="009A7DC1">
              <w:rPr>
                <w:rFonts w:hint="eastAsia"/>
                <w:color w:val="000000"/>
                <w:w w:val="31"/>
                <w:shd w:val="solid" w:color="000000" w:fill="000000"/>
                <w:fitText w:val="138" w:id="-1435316984"/>
                <w14:textFill>
                  <w14:solidFill>
                    <w14:srgbClr w14:val="000000">
                      <w14:alpha w14:val="100000"/>
                    </w14:srgbClr>
                  </w14:solidFill>
                </w14:textFill>
              </w:rPr>
              <w:t xml:space="preserve">　</w:t>
            </w:r>
            <w:r w:rsidRPr="009A7DC1">
              <w:rPr>
                <w:color w:val="000000"/>
                <w:w w:val="31"/>
                <w:shd w:val="solid" w:color="000000" w:fill="000000"/>
                <w:fitText w:val="138" w:id="-1435316984"/>
                <w14:textFill>
                  <w14:solidFill>
                    <w14:srgbClr w14:val="000000">
                      <w14:alpha w14:val="100000"/>
                    </w14:srgbClr>
                  </w14:solidFill>
                </w14:textFill>
              </w:rPr>
              <w:t>|</w:t>
            </w:r>
            <w:r w:rsidRPr="009A7DC1">
              <w:rPr>
                <w:rFonts w:hint="eastAsia"/>
                <w:color w:val="000000"/>
                <w:spacing w:val="2"/>
                <w:w w:val="31"/>
                <w:shd w:val="solid" w:color="000000" w:fill="000000"/>
                <w:fitText w:val="138" w:id="-1435316984"/>
                <w14:textFill>
                  <w14:solidFill>
                    <w14:srgbClr w14:val="000000">
                      <w14:alpha w14:val="100000"/>
                    </w14:srgbClr>
                  </w14:solidFill>
                </w14:textFill>
              </w:rPr>
              <w:t xml:space="preserve">　</w:t>
            </w:r>
            <w:r w:rsidR="00694509" w:rsidRPr="007E39C0">
              <w:t>%</w:t>
            </w:r>
          </w:p>
        </w:tc>
        <w:tc>
          <w:tcPr>
            <w:tcW w:w="571" w:type="pct"/>
            <w:shd w:val="clear" w:color="auto" w:fill="auto"/>
            <w:vAlign w:val="center"/>
          </w:tcPr>
          <w:p w14:paraId="7D8C2BB4" w14:textId="5151ACA7" w:rsidR="00694509" w:rsidRPr="007E39C0" w:rsidRDefault="009A7DC1" w:rsidP="003406B4">
            <w:pPr>
              <w:pStyle w:val="TableText"/>
              <w:jc w:val="center"/>
            </w:pPr>
            <w:r w:rsidRPr="009A7DC1">
              <w:rPr>
                <w:rFonts w:hint="eastAsia"/>
                <w:color w:val="000000"/>
                <w:w w:val="31"/>
                <w:shd w:val="solid" w:color="000000" w:fill="000000"/>
                <w:fitText w:val="138" w:id="-1435316983"/>
                <w14:textFill>
                  <w14:solidFill>
                    <w14:srgbClr w14:val="000000">
                      <w14:alpha w14:val="100000"/>
                    </w14:srgbClr>
                  </w14:solidFill>
                </w14:textFill>
              </w:rPr>
              <w:t xml:space="preserve">　</w:t>
            </w:r>
            <w:r w:rsidRPr="009A7DC1">
              <w:rPr>
                <w:color w:val="000000"/>
                <w:w w:val="31"/>
                <w:shd w:val="solid" w:color="000000" w:fill="000000"/>
                <w:fitText w:val="138" w:id="-1435316983"/>
                <w14:textFill>
                  <w14:solidFill>
                    <w14:srgbClr w14:val="000000">
                      <w14:alpha w14:val="100000"/>
                    </w14:srgbClr>
                  </w14:solidFill>
                </w14:textFill>
              </w:rPr>
              <w:t>|</w:t>
            </w:r>
            <w:r w:rsidRPr="009A7DC1">
              <w:rPr>
                <w:rFonts w:hint="eastAsia"/>
                <w:color w:val="000000"/>
                <w:spacing w:val="2"/>
                <w:w w:val="31"/>
                <w:shd w:val="solid" w:color="000000" w:fill="000000"/>
                <w:fitText w:val="138" w:id="-1435316983"/>
                <w14:textFill>
                  <w14:solidFill>
                    <w14:srgbClr w14:val="000000">
                      <w14:alpha w14:val="100000"/>
                    </w14:srgbClr>
                  </w14:solidFill>
                </w14:textFill>
              </w:rPr>
              <w:t xml:space="preserve">　</w:t>
            </w:r>
            <w:r w:rsidR="00694509" w:rsidRPr="007E39C0">
              <w:t>%</w:t>
            </w:r>
          </w:p>
        </w:tc>
        <w:tc>
          <w:tcPr>
            <w:tcW w:w="571" w:type="pct"/>
            <w:shd w:val="clear" w:color="auto" w:fill="auto"/>
            <w:vAlign w:val="center"/>
          </w:tcPr>
          <w:p w14:paraId="05758FAE" w14:textId="5460D63F" w:rsidR="00694509" w:rsidRPr="007E39C0" w:rsidRDefault="009A7DC1" w:rsidP="003406B4">
            <w:pPr>
              <w:pStyle w:val="TableText"/>
              <w:jc w:val="center"/>
            </w:pPr>
            <w:r w:rsidRPr="009A7DC1">
              <w:rPr>
                <w:rFonts w:hint="eastAsia"/>
                <w:color w:val="000000"/>
                <w:w w:val="30"/>
                <w:shd w:val="solid" w:color="000000" w:fill="000000"/>
                <w:fitText w:val="137" w:id="-1435316982"/>
                <w14:textFill>
                  <w14:solidFill>
                    <w14:srgbClr w14:val="000000">
                      <w14:alpha w14:val="100000"/>
                    </w14:srgbClr>
                  </w14:solidFill>
                </w14:textFill>
              </w:rPr>
              <w:t xml:space="preserve">　</w:t>
            </w:r>
            <w:r w:rsidRPr="009A7DC1">
              <w:rPr>
                <w:color w:val="000000"/>
                <w:w w:val="30"/>
                <w:shd w:val="solid" w:color="000000" w:fill="000000"/>
                <w:fitText w:val="137" w:id="-1435316982"/>
                <w14:textFill>
                  <w14:solidFill>
                    <w14:srgbClr w14:val="000000">
                      <w14:alpha w14:val="100000"/>
                    </w14:srgbClr>
                  </w14:solidFill>
                </w14:textFill>
              </w:rPr>
              <w:t>|</w:t>
            </w:r>
            <w:r w:rsidRPr="009A7DC1">
              <w:rPr>
                <w:rFonts w:hint="eastAsia"/>
                <w:color w:val="000000"/>
                <w:spacing w:val="5"/>
                <w:w w:val="30"/>
                <w:shd w:val="solid" w:color="000000" w:fill="000000"/>
                <w:fitText w:val="137" w:id="-1435316982"/>
                <w14:textFill>
                  <w14:solidFill>
                    <w14:srgbClr w14:val="000000">
                      <w14:alpha w14:val="100000"/>
                    </w14:srgbClr>
                  </w14:solidFill>
                </w14:textFill>
              </w:rPr>
              <w:t xml:space="preserve">　</w:t>
            </w:r>
            <w:r w:rsidR="00694509" w:rsidRPr="007E39C0">
              <w:t>%</w:t>
            </w:r>
          </w:p>
        </w:tc>
        <w:tc>
          <w:tcPr>
            <w:tcW w:w="571" w:type="pct"/>
            <w:shd w:val="clear" w:color="auto" w:fill="auto"/>
            <w:vAlign w:val="center"/>
          </w:tcPr>
          <w:p w14:paraId="0A15C049" w14:textId="57846484" w:rsidR="00694509" w:rsidRPr="007E39C0" w:rsidRDefault="009A7DC1" w:rsidP="003406B4">
            <w:pPr>
              <w:pStyle w:val="TableText"/>
              <w:jc w:val="center"/>
            </w:pPr>
            <w:r w:rsidRPr="009A7DC1">
              <w:rPr>
                <w:rFonts w:hint="eastAsia"/>
                <w:color w:val="000000"/>
                <w:w w:val="31"/>
                <w:shd w:val="solid" w:color="000000" w:fill="000000"/>
                <w:fitText w:val="138" w:id="-1435316981"/>
                <w14:textFill>
                  <w14:solidFill>
                    <w14:srgbClr w14:val="000000">
                      <w14:alpha w14:val="100000"/>
                    </w14:srgbClr>
                  </w14:solidFill>
                </w14:textFill>
              </w:rPr>
              <w:t xml:space="preserve">　</w:t>
            </w:r>
            <w:r w:rsidRPr="009A7DC1">
              <w:rPr>
                <w:color w:val="000000"/>
                <w:w w:val="31"/>
                <w:shd w:val="solid" w:color="000000" w:fill="000000"/>
                <w:fitText w:val="138" w:id="-1435316981"/>
                <w14:textFill>
                  <w14:solidFill>
                    <w14:srgbClr w14:val="000000">
                      <w14:alpha w14:val="100000"/>
                    </w14:srgbClr>
                  </w14:solidFill>
                </w14:textFill>
              </w:rPr>
              <w:t>|</w:t>
            </w:r>
            <w:r w:rsidRPr="009A7DC1">
              <w:rPr>
                <w:rFonts w:hint="eastAsia"/>
                <w:color w:val="000000"/>
                <w:spacing w:val="2"/>
                <w:w w:val="31"/>
                <w:shd w:val="solid" w:color="000000" w:fill="000000"/>
                <w:fitText w:val="138" w:id="-1435316981"/>
                <w14:textFill>
                  <w14:solidFill>
                    <w14:srgbClr w14:val="000000">
                      <w14:alpha w14:val="100000"/>
                    </w14:srgbClr>
                  </w14:solidFill>
                </w14:textFill>
              </w:rPr>
              <w:t xml:space="preserve">　</w:t>
            </w:r>
            <w:r w:rsidR="00694509" w:rsidRPr="007E39C0">
              <w:t>%</w:t>
            </w:r>
          </w:p>
        </w:tc>
        <w:tc>
          <w:tcPr>
            <w:tcW w:w="571" w:type="pct"/>
            <w:shd w:val="clear" w:color="auto" w:fill="auto"/>
            <w:vAlign w:val="center"/>
          </w:tcPr>
          <w:p w14:paraId="7F7E5B3A" w14:textId="7A657D4B" w:rsidR="00694509" w:rsidRPr="007E39C0" w:rsidRDefault="009A7DC1" w:rsidP="003406B4">
            <w:pPr>
              <w:pStyle w:val="TableText"/>
              <w:jc w:val="center"/>
            </w:pPr>
            <w:r w:rsidRPr="009A7DC1">
              <w:rPr>
                <w:rFonts w:hint="eastAsia"/>
                <w:color w:val="000000"/>
                <w:w w:val="30"/>
                <w:shd w:val="solid" w:color="000000" w:fill="000000"/>
                <w:fitText w:val="137" w:id="-1435316980"/>
                <w14:textFill>
                  <w14:solidFill>
                    <w14:srgbClr w14:val="000000">
                      <w14:alpha w14:val="100000"/>
                    </w14:srgbClr>
                  </w14:solidFill>
                </w14:textFill>
              </w:rPr>
              <w:t xml:space="preserve">　</w:t>
            </w:r>
            <w:r w:rsidRPr="009A7DC1">
              <w:rPr>
                <w:color w:val="000000"/>
                <w:w w:val="30"/>
                <w:shd w:val="solid" w:color="000000" w:fill="000000"/>
                <w:fitText w:val="137" w:id="-1435316980"/>
                <w14:textFill>
                  <w14:solidFill>
                    <w14:srgbClr w14:val="000000">
                      <w14:alpha w14:val="100000"/>
                    </w14:srgbClr>
                  </w14:solidFill>
                </w14:textFill>
              </w:rPr>
              <w:t>|</w:t>
            </w:r>
            <w:r w:rsidRPr="009A7DC1">
              <w:rPr>
                <w:rFonts w:hint="eastAsia"/>
                <w:color w:val="000000"/>
                <w:spacing w:val="5"/>
                <w:w w:val="30"/>
                <w:shd w:val="solid" w:color="000000" w:fill="000000"/>
                <w:fitText w:val="137" w:id="-1435316980"/>
                <w14:textFill>
                  <w14:solidFill>
                    <w14:srgbClr w14:val="000000">
                      <w14:alpha w14:val="100000"/>
                    </w14:srgbClr>
                  </w14:solidFill>
                </w14:textFill>
              </w:rPr>
              <w:t xml:space="preserve">　</w:t>
            </w:r>
            <w:r w:rsidR="00694509" w:rsidRPr="007E39C0">
              <w:t>%</w:t>
            </w:r>
          </w:p>
        </w:tc>
        <w:tc>
          <w:tcPr>
            <w:tcW w:w="573" w:type="pct"/>
            <w:shd w:val="clear" w:color="auto" w:fill="auto"/>
            <w:vAlign w:val="center"/>
          </w:tcPr>
          <w:p w14:paraId="2D7EAE71" w14:textId="7AC7A617" w:rsidR="00694509" w:rsidRPr="007E39C0" w:rsidRDefault="009A7DC1" w:rsidP="003406B4">
            <w:pPr>
              <w:pStyle w:val="TableText"/>
              <w:jc w:val="center"/>
            </w:pPr>
            <w:r w:rsidRPr="009A7DC1">
              <w:rPr>
                <w:rFonts w:hint="eastAsia"/>
                <w:color w:val="000000"/>
                <w:w w:val="31"/>
                <w:shd w:val="solid" w:color="000000" w:fill="000000"/>
                <w:fitText w:val="138" w:id="-1435316979"/>
                <w14:textFill>
                  <w14:solidFill>
                    <w14:srgbClr w14:val="000000">
                      <w14:alpha w14:val="100000"/>
                    </w14:srgbClr>
                  </w14:solidFill>
                </w14:textFill>
              </w:rPr>
              <w:t xml:space="preserve">　</w:t>
            </w:r>
            <w:r w:rsidRPr="009A7DC1">
              <w:rPr>
                <w:color w:val="000000"/>
                <w:w w:val="31"/>
                <w:shd w:val="solid" w:color="000000" w:fill="000000"/>
                <w:fitText w:val="138" w:id="-1435316979"/>
                <w14:textFill>
                  <w14:solidFill>
                    <w14:srgbClr w14:val="000000">
                      <w14:alpha w14:val="100000"/>
                    </w14:srgbClr>
                  </w14:solidFill>
                </w14:textFill>
              </w:rPr>
              <w:t>|</w:t>
            </w:r>
            <w:r w:rsidRPr="009A7DC1">
              <w:rPr>
                <w:rFonts w:hint="eastAsia"/>
                <w:color w:val="000000"/>
                <w:spacing w:val="2"/>
                <w:w w:val="31"/>
                <w:shd w:val="solid" w:color="000000" w:fill="000000"/>
                <w:fitText w:val="138" w:id="-1435316979"/>
                <w14:textFill>
                  <w14:solidFill>
                    <w14:srgbClr w14:val="000000">
                      <w14:alpha w14:val="100000"/>
                    </w14:srgbClr>
                  </w14:solidFill>
                </w14:textFill>
              </w:rPr>
              <w:t xml:space="preserve">　</w:t>
            </w:r>
            <w:r w:rsidR="00694509" w:rsidRPr="007E39C0">
              <w:t>%</w:t>
            </w:r>
          </w:p>
        </w:tc>
      </w:tr>
      <w:tr w:rsidR="00694509" w:rsidRPr="003455D2" w14:paraId="3F18D66A" w14:textId="77777777" w:rsidTr="003406B4">
        <w:tc>
          <w:tcPr>
            <w:tcW w:w="1574" w:type="pct"/>
            <w:shd w:val="clear" w:color="auto" w:fill="auto"/>
            <w:vAlign w:val="center"/>
          </w:tcPr>
          <w:p w14:paraId="6F139FBA" w14:textId="77777777" w:rsidR="00694509" w:rsidRPr="003455D2" w:rsidRDefault="00694509" w:rsidP="003406B4">
            <w:pPr>
              <w:pStyle w:val="TableText"/>
            </w:pPr>
            <w:r>
              <w:t>Patients initiating romosozumab</w:t>
            </w:r>
          </w:p>
        </w:tc>
        <w:tc>
          <w:tcPr>
            <w:tcW w:w="569" w:type="pct"/>
            <w:shd w:val="clear" w:color="auto" w:fill="auto"/>
            <w:vAlign w:val="center"/>
          </w:tcPr>
          <w:p w14:paraId="5EE38699" w14:textId="38D7755D" w:rsidR="00694509" w:rsidRPr="006A5352" w:rsidRDefault="009A7DC1" w:rsidP="003406B4">
            <w:pPr>
              <w:pStyle w:val="TableText"/>
              <w:jc w:val="center"/>
              <w:rPr>
                <w:highlight w:val="darkGray"/>
              </w:rPr>
            </w:pPr>
            <w:r w:rsidRPr="009A7DC1">
              <w:rPr>
                <w:rFonts w:hint="eastAsia"/>
                <w:color w:val="000000"/>
                <w:w w:val="19"/>
                <w:shd w:val="solid" w:color="000000" w:fill="000000"/>
                <w:fitText w:val="88" w:id="-1435316978"/>
                <w14:textFill>
                  <w14:solidFill>
                    <w14:srgbClr w14:val="000000">
                      <w14:alpha w14:val="100000"/>
                    </w14:srgbClr>
                  </w14:solidFill>
                </w14:textFill>
              </w:rPr>
              <w:t xml:space="preserve">　</w:t>
            </w:r>
            <w:r w:rsidRPr="009A7DC1">
              <w:rPr>
                <w:color w:val="000000"/>
                <w:w w:val="19"/>
                <w:shd w:val="solid" w:color="000000" w:fill="000000"/>
                <w:fitText w:val="88" w:id="-1435316978"/>
                <w14:textFill>
                  <w14:solidFill>
                    <w14:srgbClr w14:val="000000">
                      <w14:alpha w14:val="100000"/>
                    </w14:srgbClr>
                  </w14:solidFill>
                </w14:textFill>
              </w:rPr>
              <w:t>|</w:t>
            </w:r>
            <w:r w:rsidRPr="009A7DC1">
              <w:rPr>
                <w:rFonts w:hint="eastAsia"/>
                <w:color w:val="000000"/>
                <w:spacing w:val="4"/>
                <w:w w:val="19"/>
                <w:shd w:val="solid" w:color="000000" w:fill="000000"/>
                <w:fitText w:val="88" w:id="-1435316978"/>
                <w14:textFill>
                  <w14:solidFill>
                    <w14:srgbClr w14:val="000000">
                      <w14:alpha w14:val="100000"/>
                    </w14:srgbClr>
                  </w14:solidFill>
                </w14:textFill>
              </w:rPr>
              <w:t xml:space="preserve">　</w:t>
            </w:r>
            <w:r w:rsidR="00821887">
              <w:rPr>
                <w:vertAlign w:val="superscript"/>
              </w:rPr>
              <w:t>6</w:t>
            </w:r>
          </w:p>
        </w:tc>
        <w:tc>
          <w:tcPr>
            <w:tcW w:w="571" w:type="pct"/>
            <w:shd w:val="clear" w:color="auto" w:fill="auto"/>
            <w:vAlign w:val="center"/>
          </w:tcPr>
          <w:p w14:paraId="59AF884D" w14:textId="4E9169A7" w:rsidR="00694509" w:rsidRPr="006A5352" w:rsidRDefault="009A7DC1" w:rsidP="003406B4">
            <w:pPr>
              <w:pStyle w:val="TableText"/>
              <w:jc w:val="center"/>
              <w:rPr>
                <w:highlight w:val="darkGray"/>
              </w:rPr>
            </w:pPr>
            <w:r w:rsidRPr="009A7DC1">
              <w:rPr>
                <w:rFonts w:hint="eastAsia"/>
                <w:color w:val="000000"/>
                <w:w w:val="19"/>
                <w:shd w:val="solid" w:color="000000" w:fill="000000"/>
                <w:fitText w:val="88" w:id="-1435316977"/>
                <w14:textFill>
                  <w14:solidFill>
                    <w14:srgbClr w14:val="000000">
                      <w14:alpha w14:val="100000"/>
                    </w14:srgbClr>
                  </w14:solidFill>
                </w14:textFill>
              </w:rPr>
              <w:t xml:space="preserve">　</w:t>
            </w:r>
            <w:r w:rsidRPr="009A7DC1">
              <w:rPr>
                <w:color w:val="000000"/>
                <w:w w:val="19"/>
                <w:shd w:val="solid" w:color="000000" w:fill="000000"/>
                <w:fitText w:val="88" w:id="-1435316977"/>
                <w14:textFill>
                  <w14:solidFill>
                    <w14:srgbClr w14:val="000000">
                      <w14:alpha w14:val="100000"/>
                    </w14:srgbClr>
                  </w14:solidFill>
                </w14:textFill>
              </w:rPr>
              <w:t>|</w:t>
            </w:r>
            <w:r w:rsidRPr="009A7DC1">
              <w:rPr>
                <w:rFonts w:hint="eastAsia"/>
                <w:color w:val="000000"/>
                <w:spacing w:val="4"/>
                <w:w w:val="19"/>
                <w:shd w:val="solid" w:color="000000" w:fill="000000"/>
                <w:fitText w:val="88" w:id="-1435316977"/>
                <w14:textFill>
                  <w14:solidFill>
                    <w14:srgbClr w14:val="000000">
                      <w14:alpha w14:val="100000"/>
                    </w14:srgbClr>
                  </w14:solidFill>
                </w14:textFill>
              </w:rPr>
              <w:t xml:space="preserve">　</w:t>
            </w:r>
            <w:r w:rsidR="00821887">
              <w:rPr>
                <w:vertAlign w:val="superscript"/>
              </w:rPr>
              <w:t>6</w:t>
            </w:r>
          </w:p>
        </w:tc>
        <w:tc>
          <w:tcPr>
            <w:tcW w:w="571" w:type="pct"/>
            <w:shd w:val="clear" w:color="auto" w:fill="auto"/>
            <w:vAlign w:val="center"/>
          </w:tcPr>
          <w:p w14:paraId="3E0CE151" w14:textId="0BDB704B" w:rsidR="00694509" w:rsidRPr="006A5352" w:rsidRDefault="009A7DC1" w:rsidP="003406B4">
            <w:pPr>
              <w:pStyle w:val="TableText"/>
              <w:jc w:val="center"/>
              <w:rPr>
                <w:highlight w:val="darkGray"/>
              </w:rPr>
            </w:pPr>
            <w:r w:rsidRPr="009A7DC1">
              <w:rPr>
                <w:rFonts w:hint="eastAsia"/>
                <w:color w:val="000000"/>
                <w:w w:val="28"/>
                <w:shd w:val="solid" w:color="000000" w:fill="000000"/>
                <w:fitText w:val="125" w:id="-1435316976"/>
                <w14:textFill>
                  <w14:solidFill>
                    <w14:srgbClr w14:val="000000">
                      <w14:alpha w14:val="100000"/>
                    </w14:srgbClr>
                  </w14:solidFill>
                </w14:textFill>
              </w:rPr>
              <w:t xml:space="preserve">　</w:t>
            </w:r>
            <w:r w:rsidRPr="009A7DC1">
              <w:rPr>
                <w:color w:val="000000"/>
                <w:w w:val="28"/>
                <w:shd w:val="solid" w:color="000000" w:fill="000000"/>
                <w:fitText w:val="125" w:id="-1435316976"/>
                <w14:textFill>
                  <w14:solidFill>
                    <w14:srgbClr w14:val="000000">
                      <w14:alpha w14:val="100000"/>
                    </w14:srgbClr>
                  </w14:solidFill>
                </w14:textFill>
              </w:rPr>
              <w:t>|</w:t>
            </w:r>
            <w:r w:rsidRPr="009A7DC1">
              <w:rPr>
                <w:rFonts w:hint="eastAsia"/>
                <w:color w:val="000000"/>
                <w:spacing w:val="3"/>
                <w:w w:val="28"/>
                <w:shd w:val="solid" w:color="000000" w:fill="000000"/>
                <w:fitText w:val="125" w:id="-1435316976"/>
                <w14:textFill>
                  <w14:solidFill>
                    <w14:srgbClr w14:val="000000">
                      <w14:alpha w14:val="100000"/>
                    </w14:srgbClr>
                  </w14:solidFill>
                </w14:textFill>
              </w:rPr>
              <w:t xml:space="preserve">　</w:t>
            </w:r>
            <w:r w:rsidR="00540BA2">
              <w:rPr>
                <w:vertAlign w:val="superscript"/>
              </w:rPr>
              <w:t>11</w:t>
            </w:r>
          </w:p>
        </w:tc>
        <w:tc>
          <w:tcPr>
            <w:tcW w:w="571" w:type="pct"/>
            <w:shd w:val="clear" w:color="auto" w:fill="auto"/>
            <w:vAlign w:val="center"/>
          </w:tcPr>
          <w:p w14:paraId="0F2CB71F" w14:textId="20C7392E" w:rsidR="00694509" w:rsidRPr="006A5352" w:rsidRDefault="009A7DC1" w:rsidP="003406B4">
            <w:pPr>
              <w:pStyle w:val="TableText"/>
              <w:jc w:val="center"/>
              <w:rPr>
                <w:highlight w:val="darkGray"/>
              </w:rPr>
            </w:pPr>
            <w:r w:rsidRPr="009A7DC1">
              <w:rPr>
                <w:rFonts w:hint="eastAsia"/>
                <w:color w:val="000000"/>
                <w:w w:val="28"/>
                <w:shd w:val="solid" w:color="000000" w:fill="000000"/>
                <w:fitText w:val="126" w:id="-1435316992"/>
                <w14:textFill>
                  <w14:solidFill>
                    <w14:srgbClr w14:val="000000">
                      <w14:alpha w14:val="100000"/>
                    </w14:srgbClr>
                  </w14:solidFill>
                </w14:textFill>
              </w:rPr>
              <w:t xml:space="preserve">　</w:t>
            </w:r>
            <w:r w:rsidRPr="009A7DC1">
              <w:rPr>
                <w:color w:val="000000"/>
                <w:w w:val="28"/>
                <w:shd w:val="solid" w:color="000000" w:fill="000000"/>
                <w:fitText w:val="126" w:id="-1435316992"/>
                <w14:textFill>
                  <w14:solidFill>
                    <w14:srgbClr w14:val="000000">
                      <w14:alpha w14:val="100000"/>
                    </w14:srgbClr>
                  </w14:solidFill>
                </w14:textFill>
              </w:rPr>
              <w:t>|</w:t>
            </w:r>
            <w:r w:rsidRPr="009A7DC1">
              <w:rPr>
                <w:rFonts w:hint="eastAsia"/>
                <w:color w:val="000000"/>
                <w:spacing w:val="4"/>
                <w:w w:val="28"/>
                <w:shd w:val="solid" w:color="000000" w:fill="000000"/>
                <w:fitText w:val="126" w:id="-1435316992"/>
                <w14:textFill>
                  <w14:solidFill>
                    <w14:srgbClr w14:val="000000">
                      <w14:alpha w14:val="100000"/>
                    </w14:srgbClr>
                  </w14:solidFill>
                </w14:textFill>
              </w:rPr>
              <w:t xml:space="preserve">　</w:t>
            </w:r>
            <w:r w:rsidR="00540BA2">
              <w:rPr>
                <w:vertAlign w:val="superscript"/>
              </w:rPr>
              <w:t>11</w:t>
            </w:r>
          </w:p>
        </w:tc>
        <w:tc>
          <w:tcPr>
            <w:tcW w:w="571" w:type="pct"/>
            <w:shd w:val="clear" w:color="auto" w:fill="auto"/>
            <w:vAlign w:val="center"/>
          </w:tcPr>
          <w:p w14:paraId="4179D9CF" w14:textId="00A1A2B4" w:rsidR="00694509" w:rsidRPr="006A5352" w:rsidRDefault="009A7DC1" w:rsidP="003406B4">
            <w:pPr>
              <w:pStyle w:val="TableText"/>
              <w:jc w:val="center"/>
              <w:rPr>
                <w:highlight w:val="darkGray"/>
              </w:rPr>
            </w:pPr>
            <w:r w:rsidRPr="009A7DC1">
              <w:rPr>
                <w:rFonts w:hint="eastAsia"/>
                <w:color w:val="000000"/>
                <w:w w:val="28"/>
                <w:shd w:val="solid" w:color="000000" w:fill="000000"/>
                <w:fitText w:val="125" w:id="-1435316991"/>
                <w14:textFill>
                  <w14:solidFill>
                    <w14:srgbClr w14:val="000000">
                      <w14:alpha w14:val="100000"/>
                    </w14:srgbClr>
                  </w14:solidFill>
                </w14:textFill>
              </w:rPr>
              <w:t xml:space="preserve">　</w:t>
            </w:r>
            <w:r w:rsidRPr="009A7DC1">
              <w:rPr>
                <w:color w:val="000000"/>
                <w:w w:val="28"/>
                <w:shd w:val="solid" w:color="000000" w:fill="000000"/>
                <w:fitText w:val="125" w:id="-1435316991"/>
                <w14:textFill>
                  <w14:solidFill>
                    <w14:srgbClr w14:val="000000">
                      <w14:alpha w14:val="100000"/>
                    </w14:srgbClr>
                  </w14:solidFill>
                </w14:textFill>
              </w:rPr>
              <w:t>|</w:t>
            </w:r>
            <w:r w:rsidRPr="009A7DC1">
              <w:rPr>
                <w:rFonts w:hint="eastAsia"/>
                <w:color w:val="000000"/>
                <w:spacing w:val="3"/>
                <w:w w:val="28"/>
                <w:shd w:val="solid" w:color="000000" w:fill="000000"/>
                <w:fitText w:val="125" w:id="-1435316991"/>
                <w14:textFill>
                  <w14:solidFill>
                    <w14:srgbClr w14:val="000000">
                      <w14:alpha w14:val="100000"/>
                    </w14:srgbClr>
                  </w14:solidFill>
                </w14:textFill>
              </w:rPr>
              <w:t xml:space="preserve">　</w:t>
            </w:r>
            <w:r w:rsidR="00540BA2">
              <w:rPr>
                <w:vertAlign w:val="superscript"/>
              </w:rPr>
              <w:t>11</w:t>
            </w:r>
          </w:p>
        </w:tc>
        <w:tc>
          <w:tcPr>
            <w:tcW w:w="573" w:type="pct"/>
            <w:shd w:val="clear" w:color="auto" w:fill="auto"/>
            <w:vAlign w:val="center"/>
          </w:tcPr>
          <w:p w14:paraId="7AA5A0DA" w14:textId="4D5CE313" w:rsidR="00694509" w:rsidRPr="006A5352" w:rsidRDefault="009A7DC1" w:rsidP="003406B4">
            <w:pPr>
              <w:pStyle w:val="TableText"/>
              <w:jc w:val="center"/>
              <w:rPr>
                <w:highlight w:val="darkGray"/>
              </w:rPr>
            </w:pPr>
            <w:r w:rsidRPr="009A7DC1">
              <w:rPr>
                <w:rFonts w:hint="eastAsia"/>
                <w:color w:val="000000"/>
                <w:w w:val="25"/>
                <w:shd w:val="solid" w:color="000000" w:fill="000000"/>
                <w:fitText w:val="113" w:id="-1435316990"/>
                <w14:textFill>
                  <w14:solidFill>
                    <w14:srgbClr w14:val="000000">
                      <w14:alpha w14:val="100000"/>
                    </w14:srgbClr>
                  </w14:solidFill>
                </w14:textFill>
              </w:rPr>
              <w:t xml:space="preserve">　</w:t>
            </w:r>
            <w:r w:rsidRPr="009A7DC1">
              <w:rPr>
                <w:color w:val="000000"/>
                <w:w w:val="25"/>
                <w:shd w:val="solid" w:color="000000" w:fill="000000"/>
                <w:fitText w:val="113" w:id="-1435316990"/>
                <w14:textFill>
                  <w14:solidFill>
                    <w14:srgbClr w14:val="000000">
                      <w14:alpha w14:val="100000"/>
                    </w14:srgbClr>
                  </w14:solidFill>
                </w14:textFill>
              </w:rPr>
              <w:t>|</w:t>
            </w:r>
            <w:r w:rsidRPr="009A7DC1">
              <w:rPr>
                <w:rFonts w:hint="eastAsia"/>
                <w:color w:val="000000"/>
                <w:spacing w:val="2"/>
                <w:w w:val="25"/>
                <w:shd w:val="solid" w:color="000000" w:fill="000000"/>
                <w:fitText w:val="113" w:id="-1435316990"/>
                <w14:textFill>
                  <w14:solidFill>
                    <w14:srgbClr w14:val="000000">
                      <w14:alpha w14:val="100000"/>
                    </w14:srgbClr>
                  </w14:solidFill>
                </w14:textFill>
              </w:rPr>
              <w:t xml:space="preserve">　</w:t>
            </w:r>
            <w:r w:rsidR="00540BA2">
              <w:rPr>
                <w:vertAlign w:val="superscript"/>
              </w:rPr>
              <w:t>11</w:t>
            </w:r>
          </w:p>
        </w:tc>
      </w:tr>
      <w:tr w:rsidR="00694509" w:rsidRPr="00597CB1" w14:paraId="40051BA1" w14:textId="77777777" w:rsidTr="003406B4">
        <w:tc>
          <w:tcPr>
            <w:tcW w:w="5000" w:type="pct"/>
            <w:gridSpan w:val="7"/>
            <w:shd w:val="clear" w:color="auto" w:fill="auto"/>
            <w:vAlign w:val="center"/>
          </w:tcPr>
          <w:p w14:paraId="36E666DE" w14:textId="77777777" w:rsidR="00694509" w:rsidRPr="00597CB1" w:rsidRDefault="00694509" w:rsidP="003406B4">
            <w:pPr>
              <w:pStyle w:val="TableText"/>
              <w:rPr>
                <w:b/>
                <w:bCs w:val="0"/>
              </w:rPr>
            </w:pPr>
            <w:r w:rsidRPr="00597CB1">
              <w:rPr>
                <w:b/>
                <w:bCs w:val="0"/>
              </w:rPr>
              <w:t>Second line population with multiple fractures, BMD ≤-2.5 and &gt;-3.0</w:t>
            </w:r>
          </w:p>
        </w:tc>
      </w:tr>
      <w:tr w:rsidR="00694509" w:rsidRPr="003455D2" w14:paraId="3FA43E87" w14:textId="77777777" w:rsidTr="003406B4">
        <w:tc>
          <w:tcPr>
            <w:tcW w:w="1574" w:type="pct"/>
            <w:shd w:val="clear" w:color="auto" w:fill="auto"/>
            <w:vAlign w:val="center"/>
          </w:tcPr>
          <w:p w14:paraId="1F01C62F" w14:textId="77777777" w:rsidR="00694509" w:rsidRDefault="00694509" w:rsidP="003406B4">
            <w:pPr>
              <w:pStyle w:val="TableText"/>
            </w:pPr>
            <w:r>
              <w:t>Received ≥12M treatment (67.21%)</w:t>
            </w:r>
          </w:p>
        </w:tc>
        <w:tc>
          <w:tcPr>
            <w:tcW w:w="569" w:type="pct"/>
            <w:shd w:val="clear" w:color="auto" w:fill="auto"/>
          </w:tcPr>
          <w:p w14:paraId="221CB29F" w14:textId="028B6A5D" w:rsidR="00694509" w:rsidRPr="006A5352" w:rsidRDefault="009A7DC1" w:rsidP="003406B4">
            <w:pPr>
              <w:pStyle w:val="TableText"/>
              <w:jc w:val="center"/>
              <w:rPr>
                <w:highlight w:val="darkGray"/>
              </w:rPr>
            </w:pPr>
            <w:r w:rsidRPr="009A7DC1">
              <w:rPr>
                <w:rFonts w:hint="eastAsia"/>
                <w:color w:val="000000"/>
                <w:w w:val="19"/>
                <w:shd w:val="solid" w:color="000000" w:fill="000000"/>
                <w:fitText w:val="88" w:id="-1435316989"/>
                <w14:textFill>
                  <w14:solidFill>
                    <w14:srgbClr w14:val="000000">
                      <w14:alpha w14:val="100000"/>
                    </w14:srgbClr>
                  </w14:solidFill>
                </w14:textFill>
              </w:rPr>
              <w:t xml:space="preserve">　</w:t>
            </w:r>
            <w:r w:rsidRPr="009A7DC1">
              <w:rPr>
                <w:color w:val="000000"/>
                <w:w w:val="19"/>
                <w:shd w:val="solid" w:color="000000" w:fill="000000"/>
                <w:fitText w:val="88" w:id="-1435316989"/>
                <w14:textFill>
                  <w14:solidFill>
                    <w14:srgbClr w14:val="000000">
                      <w14:alpha w14:val="100000"/>
                    </w14:srgbClr>
                  </w14:solidFill>
                </w14:textFill>
              </w:rPr>
              <w:t>|</w:t>
            </w:r>
            <w:r w:rsidRPr="009A7DC1">
              <w:rPr>
                <w:rFonts w:hint="eastAsia"/>
                <w:color w:val="000000"/>
                <w:spacing w:val="4"/>
                <w:w w:val="19"/>
                <w:shd w:val="solid" w:color="000000" w:fill="000000"/>
                <w:fitText w:val="88" w:id="-1435316989"/>
                <w14:textFill>
                  <w14:solidFill>
                    <w14:srgbClr w14:val="000000">
                      <w14:alpha w14:val="100000"/>
                    </w14:srgbClr>
                  </w14:solidFill>
                </w14:textFill>
              </w:rPr>
              <w:t xml:space="preserve">　</w:t>
            </w:r>
            <w:r w:rsidR="00821887">
              <w:rPr>
                <w:vertAlign w:val="superscript"/>
              </w:rPr>
              <w:t>7</w:t>
            </w:r>
          </w:p>
        </w:tc>
        <w:tc>
          <w:tcPr>
            <w:tcW w:w="571" w:type="pct"/>
            <w:shd w:val="clear" w:color="auto" w:fill="auto"/>
          </w:tcPr>
          <w:p w14:paraId="41FD446B" w14:textId="682C68ED" w:rsidR="00694509" w:rsidRPr="006A5352" w:rsidRDefault="009A7DC1" w:rsidP="003406B4">
            <w:pPr>
              <w:pStyle w:val="TableText"/>
              <w:jc w:val="center"/>
              <w:rPr>
                <w:highlight w:val="darkGray"/>
              </w:rPr>
            </w:pPr>
            <w:r w:rsidRPr="009A7DC1">
              <w:rPr>
                <w:rFonts w:hint="eastAsia"/>
                <w:color w:val="000000"/>
                <w:w w:val="19"/>
                <w:shd w:val="solid" w:color="000000" w:fill="000000"/>
                <w:fitText w:val="88" w:id="-1435316988"/>
                <w14:textFill>
                  <w14:solidFill>
                    <w14:srgbClr w14:val="000000">
                      <w14:alpha w14:val="100000"/>
                    </w14:srgbClr>
                  </w14:solidFill>
                </w14:textFill>
              </w:rPr>
              <w:t xml:space="preserve">　</w:t>
            </w:r>
            <w:r w:rsidRPr="009A7DC1">
              <w:rPr>
                <w:color w:val="000000"/>
                <w:w w:val="19"/>
                <w:shd w:val="solid" w:color="000000" w:fill="000000"/>
                <w:fitText w:val="88" w:id="-1435316988"/>
                <w14:textFill>
                  <w14:solidFill>
                    <w14:srgbClr w14:val="000000">
                      <w14:alpha w14:val="100000"/>
                    </w14:srgbClr>
                  </w14:solidFill>
                </w14:textFill>
              </w:rPr>
              <w:t>|</w:t>
            </w:r>
            <w:r w:rsidRPr="009A7DC1">
              <w:rPr>
                <w:rFonts w:hint="eastAsia"/>
                <w:color w:val="000000"/>
                <w:spacing w:val="4"/>
                <w:w w:val="19"/>
                <w:shd w:val="solid" w:color="000000" w:fill="000000"/>
                <w:fitText w:val="88" w:id="-1435316988"/>
                <w14:textFill>
                  <w14:solidFill>
                    <w14:srgbClr w14:val="000000">
                      <w14:alpha w14:val="100000"/>
                    </w14:srgbClr>
                  </w14:solidFill>
                </w14:textFill>
              </w:rPr>
              <w:t xml:space="preserve">　</w:t>
            </w:r>
            <w:r w:rsidR="00821887">
              <w:rPr>
                <w:vertAlign w:val="superscript"/>
              </w:rPr>
              <w:t>7</w:t>
            </w:r>
          </w:p>
        </w:tc>
        <w:tc>
          <w:tcPr>
            <w:tcW w:w="571" w:type="pct"/>
            <w:shd w:val="clear" w:color="auto" w:fill="auto"/>
          </w:tcPr>
          <w:p w14:paraId="2C36A1BA" w14:textId="470110E0" w:rsidR="00694509" w:rsidRPr="006A5352" w:rsidRDefault="009A7DC1" w:rsidP="003406B4">
            <w:pPr>
              <w:pStyle w:val="TableText"/>
              <w:jc w:val="center"/>
              <w:rPr>
                <w:highlight w:val="darkGray"/>
              </w:rPr>
            </w:pPr>
            <w:r w:rsidRPr="009A7DC1">
              <w:rPr>
                <w:rFonts w:hint="eastAsia"/>
                <w:color w:val="000000"/>
                <w:w w:val="19"/>
                <w:shd w:val="solid" w:color="000000" w:fill="000000"/>
                <w:fitText w:val="87" w:id="-1435316987"/>
                <w14:textFill>
                  <w14:solidFill>
                    <w14:srgbClr w14:val="000000">
                      <w14:alpha w14:val="100000"/>
                    </w14:srgbClr>
                  </w14:solidFill>
                </w14:textFill>
              </w:rPr>
              <w:t xml:space="preserve">　</w:t>
            </w:r>
            <w:r w:rsidRPr="009A7DC1">
              <w:rPr>
                <w:color w:val="000000"/>
                <w:w w:val="19"/>
                <w:shd w:val="solid" w:color="000000" w:fill="000000"/>
                <w:fitText w:val="87" w:id="-1435316987"/>
                <w14:textFill>
                  <w14:solidFill>
                    <w14:srgbClr w14:val="000000">
                      <w14:alpha w14:val="100000"/>
                    </w14:srgbClr>
                  </w14:solidFill>
                </w14:textFill>
              </w:rPr>
              <w:t>|</w:t>
            </w:r>
            <w:r w:rsidRPr="009A7DC1">
              <w:rPr>
                <w:rFonts w:hint="eastAsia"/>
                <w:color w:val="000000"/>
                <w:spacing w:val="3"/>
                <w:w w:val="19"/>
                <w:shd w:val="solid" w:color="000000" w:fill="000000"/>
                <w:fitText w:val="87" w:id="-1435316987"/>
                <w14:textFill>
                  <w14:solidFill>
                    <w14:srgbClr w14:val="000000">
                      <w14:alpha w14:val="100000"/>
                    </w14:srgbClr>
                  </w14:solidFill>
                </w14:textFill>
              </w:rPr>
              <w:t xml:space="preserve">　</w:t>
            </w:r>
            <w:r w:rsidR="00821887">
              <w:rPr>
                <w:vertAlign w:val="superscript"/>
              </w:rPr>
              <w:t>7</w:t>
            </w:r>
          </w:p>
        </w:tc>
        <w:tc>
          <w:tcPr>
            <w:tcW w:w="571" w:type="pct"/>
            <w:shd w:val="clear" w:color="auto" w:fill="auto"/>
          </w:tcPr>
          <w:p w14:paraId="46E722C7" w14:textId="07F32014" w:rsidR="00694509" w:rsidRPr="006A5352" w:rsidRDefault="009A7DC1" w:rsidP="003406B4">
            <w:pPr>
              <w:pStyle w:val="TableText"/>
              <w:jc w:val="center"/>
              <w:rPr>
                <w:highlight w:val="darkGray"/>
              </w:rPr>
            </w:pPr>
            <w:r w:rsidRPr="009A7DC1">
              <w:rPr>
                <w:rFonts w:hint="eastAsia"/>
                <w:color w:val="000000"/>
                <w:w w:val="28"/>
                <w:shd w:val="solid" w:color="000000" w:fill="000000"/>
                <w:fitText w:val="126" w:id="-1435316986"/>
                <w14:textFill>
                  <w14:solidFill>
                    <w14:srgbClr w14:val="000000">
                      <w14:alpha w14:val="100000"/>
                    </w14:srgbClr>
                  </w14:solidFill>
                </w14:textFill>
              </w:rPr>
              <w:t xml:space="preserve">　</w:t>
            </w:r>
            <w:r w:rsidRPr="009A7DC1">
              <w:rPr>
                <w:color w:val="000000"/>
                <w:w w:val="28"/>
                <w:shd w:val="solid" w:color="000000" w:fill="000000"/>
                <w:fitText w:val="126" w:id="-1435316986"/>
                <w14:textFill>
                  <w14:solidFill>
                    <w14:srgbClr w14:val="000000">
                      <w14:alpha w14:val="100000"/>
                    </w14:srgbClr>
                  </w14:solidFill>
                </w14:textFill>
              </w:rPr>
              <w:t>|</w:t>
            </w:r>
            <w:r w:rsidRPr="009A7DC1">
              <w:rPr>
                <w:rFonts w:hint="eastAsia"/>
                <w:color w:val="000000"/>
                <w:spacing w:val="4"/>
                <w:w w:val="28"/>
                <w:shd w:val="solid" w:color="000000" w:fill="000000"/>
                <w:fitText w:val="126" w:id="-1435316986"/>
                <w14:textFill>
                  <w14:solidFill>
                    <w14:srgbClr w14:val="000000">
                      <w14:alpha w14:val="100000"/>
                    </w14:srgbClr>
                  </w14:solidFill>
                </w14:textFill>
              </w:rPr>
              <w:t xml:space="preserve">　</w:t>
            </w:r>
            <w:r w:rsidR="00F84AA0">
              <w:rPr>
                <w:vertAlign w:val="superscript"/>
              </w:rPr>
              <w:t>22</w:t>
            </w:r>
          </w:p>
        </w:tc>
        <w:tc>
          <w:tcPr>
            <w:tcW w:w="571" w:type="pct"/>
            <w:shd w:val="clear" w:color="auto" w:fill="auto"/>
          </w:tcPr>
          <w:p w14:paraId="2C2E0DB4" w14:textId="71AA3EFC" w:rsidR="00694509" w:rsidRPr="006A5352" w:rsidRDefault="009A7DC1" w:rsidP="003406B4">
            <w:pPr>
              <w:pStyle w:val="TableText"/>
              <w:jc w:val="center"/>
              <w:rPr>
                <w:highlight w:val="darkGray"/>
              </w:rPr>
            </w:pPr>
            <w:r w:rsidRPr="009A7DC1">
              <w:rPr>
                <w:rFonts w:hint="eastAsia"/>
                <w:color w:val="000000"/>
                <w:w w:val="28"/>
                <w:shd w:val="solid" w:color="000000" w:fill="000000"/>
                <w:fitText w:val="125" w:id="-1435316985"/>
                <w14:textFill>
                  <w14:solidFill>
                    <w14:srgbClr w14:val="000000">
                      <w14:alpha w14:val="100000"/>
                    </w14:srgbClr>
                  </w14:solidFill>
                </w14:textFill>
              </w:rPr>
              <w:t xml:space="preserve">　</w:t>
            </w:r>
            <w:r w:rsidRPr="009A7DC1">
              <w:rPr>
                <w:color w:val="000000"/>
                <w:w w:val="28"/>
                <w:shd w:val="solid" w:color="000000" w:fill="000000"/>
                <w:fitText w:val="125" w:id="-1435316985"/>
                <w14:textFill>
                  <w14:solidFill>
                    <w14:srgbClr w14:val="000000">
                      <w14:alpha w14:val="100000"/>
                    </w14:srgbClr>
                  </w14:solidFill>
                </w14:textFill>
              </w:rPr>
              <w:t>|</w:t>
            </w:r>
            <w:r w:rsidRPr="009A7DC1">
              <w:rPr>
                <w:rFonts w:hint="eastAsia"/>
                <w:color w:val="000000"/>
                <w:spacing w:val="3"/>
                <w:w w:val="28"/>
                <w:shd w:val="solid" w:color="000000" w:fill="000000"/>
                <w:fitText w:val="125" w:id="-1435316985"/>
                <w14:textFill>
                  <w14:solidFill>
                    <w14:srgbClr w14:val="000000">
                      <w14:alpha w14:val="100000"/>
                    </w14:srgbClr>
                  </w14:solidFill>
                </w14:textFill>
              </w:rPr>
              <w:t xml:space="preserve">　</w:t>
            </w:r>
            <w:r w:rsidR="00F84AA0">
              <w:rPr>
                <w:vertAlign w:val="superscript"/>
              </w:rPr>
              <w:t>22</w:t>
            </w:r>
          </w:p>
        </w:tc>
        <w:tc>
          <w:tcPr>
            <w:tcW w:w="573" w:type="pct"/>
            <w:shd w:val="clear" w:color="auto" w:fill="auto"/>
          </w:tcPr>
          <w:p w14:paraId="7DD06AF5" w14:textId="7DAEB54A" w:rsidR="00694509" w:rsidRPr="006A5352" w:rsidRDefault="009A7DC1" w:rsidP="003406B4">
            <w:pPr>
              <w:pStyle w:val="TableText"/>
              <w:jc w:val="center"/>
              <w:rPr>
                <w:highlight w:val="darkGray"/>
              </w:rPr>
            </w:pPr>
            <w:r w:rsidRPr="009A7DC1">
              <w:rPr>
                <w:rFonts w:hint="eastAsia"/>
                <w:color w:val="000000"/>
                <w:w w:val="25"/>
                <w:shd w:val="solid" w:color="000000" w:fill="000000"/>
                <w:fitText w:val="113" w:id="-1435316984"/>
                <w14:textFill>
                  <w14:solidFill>
                    <w14:srgbClr w14:val="000000">
                      <w14:alpha w14:val="100000"/>
                    </w14:srgbClr>
                  </w14:solidFill>
                </w14:textFill>
              </w:rPr>
              <w:t xml:space="preserve">　</w:t>
            </w:r>
            <w:r w:rsidRPr="009A7DC1">
              <w:rPr>
                <w:color w:val="000000"/>
                <w:w w:val="25"/>
                <w:shd w:val="solid" w:color="000000" w:fill="000000"/>
                <w:fitText w:val="113" w:id="-1435316984"/>
                <w14:textFill>
                  <w14:solidFill>
                    <w14:srgbClr w14:val="000000">
                      <w14:alpha w14:val="100000"/>
                    </w14:srgbClr>
                  </w14:solidFill>
                </w14:textFill>
              </w:rPr>
              <w:t>|</w:t>
            </w:r>
            <w:r w:rsidRPr="009A7DC1">
              <w:rPr>
                <w:rFonts w:hint="eastAsia"/>
                <w:color w:val="000000"/>
                <w:spacing w:val="2"/>
                <w:w w:val="25"/>
                <w:shd w:val="solid" w:color="000000" w:fill="000000"/>
                <w:fitText w:val="113" w:id="-1435316984"/>
                <w14:textFill>
                  <w14:solidFill>
                    <w14:srgbClr w14:val="000000">
                      <w14:alpha w14:val="100000"/>
                    </w14:srgbClr>
                  </w14:solidFill>
                </w14:textFill>
              </w:rPr>
              <w:t xml:space="preserve">　</w:t>
            </w:r>
            <w:r w:rsidR="00F84AA0">
              <w:rPr>
                <w:vertAlign w:val="superscript"/>
              </w:rPr>
              <w:t>22</w:t>
            </w:r>
          </w:p>
        </w:tc>
      </w:tr>
      <w:tr w:rsidR="00694509" w:rsidRPr="003455D2" w14:paraId="2AE78C53" w14:textId="77777777" w:rsidTr="003406B4">
        <w:tc>
          <w:tcPr>
            <w:tcW w:w="1574" w:type="pct"/>
            <w:shd w:val="clear" w:color="auto" w:fill="auto"/>
            <w:vAlign w:val="center"/>
          </w:tcPr>
          <w:p w14:paraId="1AFF8EE5" w14:textId="77777777" w:rsidR="00694509" w:rsidRDefault="00694509" w:rsidP="003406B4">
            <w:pPr>
              <w:pStyle w:val="TableText"/>
            </w:pPr>
            <w:r>
              <w:t>Patients with prior fracture (75%)</w:t>
            </w:r>
          </w:p>
        </w:tc>
        <w:tc>
          <w:tcPr>
            <w:tcW w:w="569" w:type="pct"/>
            <w:shd w:val="clear" w:color="auto" w:fill="auto"/>
          </w:tcPr>
          <w:p w14:paraId="5919B677" w14:textId="5712BA30" w:rsidR="00694509" w:rsidRPr="006A5352" w:rsidRDefault="009A7DC1" w:rsidP="003406B4">
            <w:pPr>
              <w:pStyle w:val="TableText"/>
              <w:jc w:val="center"/>
              <w:rPr>
                <w:highlight w:val="darkGray"/>
              </w:rPr>
            </w:pPr>
            <w:r w:rsidRPr="009A7DC1">
              <w:rPr>
                <w:rFonts w:hint="eastAsia"/>
                <w:color w:val="000000"/>
                <w:w w:val="19"/>
                <w:shd w:val="solid" w:color="000000" w:fill="000000"/>
                <w:fitText w:val="88" w:id="-1435316983"/>
                <w14:textFill>
                  <w14:solidFill>
                    <w14:srgbClr w14:val="000000">
                      <w14:alpha w14:val="100000"/>
                    </w14:srgbClr>
                  </w14:solidFill>
                </w14:textFill>
              </w:rPr>
              <w:t xml:space="preserve">　</w:t>
            </w:r>
            <w:r w:rsidRPr="009A7DC1">
              <w:rPr>
                <w:color w:val="000000"/>
                <w:w w:val="19"/>
                <w:shd w:val="solid" w:color="000000" w:fill="000000"/>
                <w:fitText w:val="88" w:id="-1435316983"/>
                <w14:textFill>
                  <w14:solidFill>
                    <w14:srgbClr w14:val="000000">
                      <w14:alpha w14:val="100000"/>
                    </w14:srgbClr>
                  </w14:solidFill>
                </w14:textFill>
              </w:rPr>
              <w:t>|</w:t>
            </w:r>
            <w:r w:rsidRPr="009A7DC1">
              <w:rPr>
                <w:rFonts w:hint="eastAsia"/>
                <w:color w:val="000000"/>
                <w:spacing w:val="4"/>
                <w:w w:val="19"/>
                <w:shd w:val="solid" w:color="000000" w:fill="000000"/>
                <w:fitText w:val="88" w:id="-1435316983"/>
                <w14:textFill>
                  <w14:solidFill>
                    <w14:srgbClr w14:val="000000">
                      <w14:alpha w14:val="100000"/>
                    </w14:srgbClr>
                  </w14:solidFill>
                </w14:textFill>
              </w:rPr>
              <w:t xml:space="preserve">　</w:t>
            </w:r>
            <w:r w:rsidR="00821887">
              <w:rPr>
                <w:vertAlign w:val="superscript"/>
              </w:rPr>
              <w:t>8</w:t>
            </w:r>
          </w:p>
        </w:tc>
        <w:tc>
          <w:tcPr>
            <w:tcW w:w="571" w:type="pct"/>
            <w:shd w:val="clear" w:color="auto" w:fill="auto"/>
          </w:tcPr>
          <w:p w14:paraId="4A79D3D0" w14:textId="6A5D8B6A" w:rsidR="00694509" w:rsidRPr="006A5352" w:rsidRDefault="009A7DC1" w:rsidP="003406B4">
            <w:pPr>
              <w:pStyle w:val="TableText"/>
              <w:jc w:val="center"/>
              <w:rPr>
                <w:highlight w:val="darkGray"/>
              </w:rPr>
            </w:pPr>
            <w:r w:rsidRPr="009A7DC1">
              <w:rPr>
                <w:rFonts w:hint="eastAsia"/>
                <w:color w:val="000000"/>
                <w:w w:val="19"/>
                <w:shd w:val="solid" w:color="000000" w:fill="000000"/>
                <w:fitText w:val="88" w:id="-1435316982"/>
                <w14:textFill>
                  <w14:solidFill>
                    <w14:srgbClr w14:val="000000">
                      <w14:alpha w14:val="100000"/>
                    </w14:srgbClr>
                  </w14:solidFill>
                </w14:textFill>
              </w:rPr>
              <w:t xml:space="preserve">　</w:t>
            </w:r>
            <w:r w:rsidRPr="009A7DC1">
              <w:rPr>
                <w:color w:val="000000"/>
                <w:w w:val="19"/>
                <w:shd w:val="solid" w:color="000000" w:fill="000000"/>
                <w:fitText w:val="88" w:id="-1435316982"/>
                <w14:textFill>
                  <w14:solidFill>
                    <w14:srgbClr w14:val="000000">
                      <w14:alpha w14:val="100000"/>
                    </w14:srgbClr>
                  </w14:solidFill>
                </w14:textFill>
              </w:rPr>
              <w:t>|</w:t>
            </w:r>
            <w:r w:rsidRPr="009A7DC1">
              <w:rPr>
                <w:rFonts w:hint="eastAsia"/>
                <w:color w:val="000000"/>
                <w:spacing w:val="4"/>
                <w:w w:val="19"/>
                <w:shd w:val="solid" w:color="000000" w:fill="000000"/>
                <w:fitText w:val="88" w:id="-1435316982"/>
                <w14:textFill>
                  <w14:solidFill>
                    <w14:srgbClr w14:val="000000">
                      <w14:alpha w14:val="100000"/>
                    </w14:srgbClr>
                  </w14:solidFill>
                </w14:textFill>
              </w:rPr>
              <w:t xml:space="preserve">　</w:t>
            </w:r>
            <w:r w:rsidR="00821887">
              <w:rPr>
                <w:vertAlign w:val="superscript"/>
              </w:rPr>
              <w:t>8</w:t>
            </w:r>
          </w:p>
        </w:tc>
        <w:tc>
          <w:tcPr>
            <w:tcW w:w="571" w:type="pct"/>
            <w:shd w:val="clear" w:color="auto" w:fill="auto"/>
          </w:tcPr>
          <w:p w14:paraId="3EBFB192" w14:textId="4C197DDE" w:rsidR="00694509" w:rsidRPr="006A5352" w:rsidRDefault="009A7DC1" w:rsidP="003406B4">
            <w:pPr>
              <w:pStyle w:val="TableText"/>
              <w:jc w:val="center"/>
              <w:rPr>
                <w:highlight w:val="darkGray"/>
              </w:rPr>
            </w:pPr>
            <w:r w:rsidRPr="009A7DC1">
              <w:rPr>
                <w:rFonts w:hint="eastAsia"/>
                <w:color w:val="000000"/>
                <w:w w:val="19"/>
                <w:shd w:val="solid" w:color="000000" w:fill="000000"/>
                <w:fitText w:val="87" w:id="-1435316981"/>
                <w14:textFill>
                  <w14:solidFill>
                    <w14:srgbClr w14:val="000000">
                      <w14:alpha w14:val="100000"/>
                    </w14:srgbClr>
                  </w14:solidFill>
                </w14:textFill>
              </w:rPr>
              <w:t xml:space="preserve">　</w:t>
            </w:r>
            <w:r w:rsidRPr="009A7DC1">
              <w:rPr>
                <w:color w:val="000000"/>
                <w:w w:val="19"/>
                <w:shd w:val="solid" w:color="000000" w:fill="000000"/>
                <w:fitText w:val="87" w:id="-1435316981"/>
                <w14:textFill>
                  <w14:solidFill>
                    <w14:srgbClr w14:val="000000">
                      <w14:alpha w14:val="100000"/>
                    </w14:srgbClr>
                  </w14:solidFill>
                </w14:textFill>
              </w:rPr>
              <w:t>|</w:t>
            </w:r>
            <w:r w:rsidRPr="009A7DC1">
              <w:rPr>
                <w:rFonts w:hint="eastAsia"/>
                <w:color w:val="000000"/>
                <w:spacing w:val="3"/>
                <w:w w:val="19"/>
                <w:shd w:val="solid" w:color="000000" w:fill="000000"/>
                <w:fitText w:val="87" w:id="-1435316981"/>
                <w14:textFill>
                  <w14:solidFill>
                    <w14:srgbClr w14:val="000000">
                      <w14:alpha w14:val="100000"/>
                    </w14:srgbClr>
                  </w14:solidFill>
                </w14:textFill>
              </w:rPr>
              <w:t xml:space="preserve">　</w:t>
            </w:r>
            <w:r w:rsidR="00821887">
              <w:rPr>
                <w:vertAlign w:val="superscript"/>
              </w:rPr>
              <w:t>8</w:t>
            </w:r>
          </w:p>
        </w:tc>
        <w:tc>
          <w:tcPr>
            <w:tcW w:w="571" w:type="pct"/>
            <w:shd w:val="clear" w:color="auto" w:fill="auto"/>
          </w:tcPr>
          <w:p w14:paraId="5B0C142A" w14:textId="7A89E50C" w:rsidR="00694509" w:rsidRPr="006A5352" w:rsidRDefault="009A7DC1" w:rsidP="003406B4">
            <w:pPr>
              <w:pStyle w:val="TableText"/>
              <w:jc w:val="center"/>
              <w:rPr>
                <w:highlight w:val="darkGray"/>
              </w:rPr>
            </w:pPr>
            <w:r w:rsidRPr="009A7DC1">
              <w:rPr>
                <w:rFonts w:hint="eastAsia"/>
                <w:color w:val="000000"/>
                <w:w w:val="19"/>
                <w:shd w:val="solid" w:color="000000" w:fill="000000"/>
                <w:fitText w:val="88" w:id="-1435316980"/>
                <w14:textFill>
                  <w14:solidFill>
                    <w14:srgbClr w14:val="000000">
                      <w14:alpha w14:val="100000"/>
                    </w14:srgbClr>
                  </w14:solidFill>
                </w14:textFill>
              </w:rPr>
              <w:t xml:space="preserve">　</w:t>
            </w:r>
            <w:r w:rsidRPr="009A7DC1">
              <w:rPr>
                <w:color w:val="000000"/>
                <w:w w:val="19"/>
                <w:shd w:val="solid" w:color="000000" w:fill="000000"/>
                <w:fitText w:val="88" w:id="-1435316980"/>
                <w14:textFill>
                  <w14:solidFill>
                    <w14:srgbClr w14:val="000000">
                      <w14:alpha w14:val="100000"/>
                    </w14:srgbClr>
                  </w14:solidFill>
                </w14:textFill>
              </w:rPr>
              <w:t>|</w:t>
            </w:r>
            <w:r w:rsidRPr="009A7DC1">
              <w:rPr>
                <w:rFonts w:hint="eastAsia"/>
                <w:color w:val="000000"/>
                <w:spacing w:val="4"/>
                <w:w w:val="19"/>
                <w:shd w:val="solid" w:color="000000" w:fill="000000"/>
                <w:fitText w:val="88" w:id="-1435316980"/>
                <w14:textFill>
                  <w14:solidFill>
                    <w14:srgbClr w14:val="000000">
                      <w14:alpha w14:val="100000"/>
                    </w14:srgbClr>
                  </w14:solidFill>
                </w14:textFill>
              </w:rPr>
              <w:t xml:space="preserve">　</w:t>
            </w:r>
            <w:r w:rsidR="00821887">
              <w:rPr>
                <w:vertAlign w:val="superscript"/>
              </w:rPr>
              <w:t>8</w:t>
            </w:r>
          </w:p>
        </w:tc>
        <w:tc>
          <w:tcPr>
            <w:tcW w:w="571" w:type="pct"/>
            <w:shd w:val="clear" w:color="auto" w:fill="auto"/>
          </w:tcPr>
          <w:p w14:paraId="796E7F33" w14:textId="013C800F" w:rsidR="00694509" w:rsidRPr="006A5352" w:rsidRDefault="009A7DC1" w:rsidP="003406B4">
            <w:pPr>
              <w:pStyle w:val="TableText"/>
              <w:jc w:val="center"/>
              <w:rPr>
                <w:highlight w:val="darkGray"/>
              </w:rPr>
            </w:pPr>
            <w:r w:rsidRPr="009A7DC1">
              <w:rPr>
                <w:rFonts w:hint="eastAsia"/>
                <w:color w:val="000000"/>
                <w:w w:val="19"/>
                <w:shd w:val="solid" w:color="000000" w:fill="000000"/>
                <w:fitText w:val="87" w:id="-1435316979"/>
                <w14:textFill>
                  <w14:solidFill>
                    <w14:srgbClr w14:val="000000">
                      <w14:alpha w14:val="100000"/>
                    </w14:srgbClr>
                  </w14:solidFill>
                </w14:textFill>
              </w:rPr>
              <w:t xml:space="preserve">　</w:t>
            </w:r>
            <w:r w:rsidRPr="009A7DC1">
              <w:rPr>
                <w:color w:val="000000"/>
                <w:w w:val="19"/>
                <w:shd w:val="solid" w:color="000000" w:fill="000000"/>
                <w:fitText w:val="87" w:id="-1435316979"/>
                <w14:textFill>
                  <w14:solidFill>
                    <w14:srgbClr w14:val="000000">
                      <w14:alpha w14:val="100000"/>
                    </w14:srgbClr>
                  </w14:solidFill>
                </w14:textFill>
              </w:rPr>
              <w:t>|</w:t>
            </w:r>
            <w:r w:rsidRPr="009A7DC1">
              <w:rPr>
                <w:rFonts w:hint="eastAsia"/>
                <w:color w:val="000000"/>
                <w:spacing w:val="3"/>
                <w:w w:val="19"/>
                <w:shd w:val="solid" w:color="000000" w:fill="000000"/>
                <w:fitText w:val="87" w:id="-1435316979"/>
                <w14:textFill>
                  <w14:solidFill>
                    <w14:srgbClr w14:val="000000">
                      <w14:alpha w14:val="100000"/>
                    </w14:srgbClr>
                  </w14:solidFill>
                </w14:textFill>
              </w:rPr>
              <w:t xml:space="preserve">　</w:t>
            </w:r>
            <w:r w:rsidR="00821887">
              <w:rPr>
                <w:vertAlign w:val="superscript"/>
              </w:rPr>
              <w:t>7</w:t>
            </w:r>
          </w:p>
        </w:tc>
        <w:tc>
          <w:tcPr>
            <w:tcW w:w="573" w:type="pct"/>
            <w:shd w:val="clear" w:color="auto" w:fill="auto"/>
          </w:tcPr>
          <w:p w14:paraId="1F12AF9B" w14:textId="5C74A224" w:rsidR="00694509" w:rsidRPr="006A5352" w:rsidRDefault="009A7DC1" w:rsidP="003406B4">
            <w:pPr>
              <w:pStyle w:val="TableText"/>
              <w:jc w:val="center"/>
              <w:rPr>
                <w:highlight w:val="darkGray"/>
              </w:rPr>
            </w:pPr>
            <w:r w:rsidRPr="009A7DC1">
              <w:rPr>
                <w:rFonts w:hint="eastAsia"/>
                <w:color w:val="000000"/>
                <w:w w:val="19"/>
                <w:shd w:val="solid" w:color="000000" w:fill="000000"/>
                <w:fitText w:val="87" w:id="-1435316978"/>
                <w14:textFill>
                  <w14:solidFill>
                    <w14:srgbClr w14:val="000000">
                      <w14:alpha w14:val="100000"/>
                    </w14:srgbClr>
                  </w14:solidFill>
                </w14:textFill>
              </w:rPr>
              <w:t xml:space="preserve">　</w:t>
            </w:r>
            <w:r w:rsidRPr="009A7DC1">
              <w:rPr>
                <w:color w:val="000000"/>
                <w:w w:val="19"/>
                <w:shd w:val="solid" w:color="000000" w:fill="000000"/>
                <w:fitText w:val="87" w:id="-1435316978"/>
                <w14:textFill>
                  <w14:solidFill>
                    <w14:srgbClr w14:val="000000">
                      <w14:alpha w14:val="100000"/>
                    </w14:srgbClr>
                  </w14:solidFill>
                </w14:textFill>
              </w:rPr>
              <w:t>|</w:t>
            </w:r>
            <w:r w:rsidRPr="009A7DC1">
              <w:rPr>
                <w:rFonts w:hint="eastAsia"/>
                <w:color w:val="000000"/>
                <w:spacing w:val="3"/>
                <w:w w:val="19"/>
                <w:shd w:val="solid" w:color="000000" w:fill="000000"/>
                <w:fitText w:val="87" w:id="-1435316978"/>
                <w14:textFill>
                  <w14:solidFill>
                    <w14:srgbClr w14:val="000000">
                      <w14:alpha w14:val="100000"/>
                    </w14:srgbClr>
                  </w14:solidFill>
                </w14:textFill>
              </w:rPr>
              <w:t xml:space="preserve">　</w:t>
            </w:r>
            <w:r w:rsidR="00821887">
              <w:rPr>
                <w:vertAlign w:val="superscript"/>
              </w:rPr>
              <w:t>7</w:t>
            </w:r>
          </w:p>
        </w:tc>
      </w:tr>
      <w:tr w:rsidR="00694509" w:rsidRPr="003455D2" w14:paraId="030F97B4" w14:textId="77777777" w:rsidTr="003406B4">
        <w:tc>
          <w:tcPr>
            <w:tcW w:w="1574" w:type="pct"/>
            <w:shd w:val="clear" w:color="auto" w:fill="auto"/>
            <w:vAlign w:val="center"/>
          </w:tcPr>
          <w:p w14:paraId="0FFF1CC7" w14:textId="77777777" w:rsidR="00694509" w:rsidRDefault="00694509" w:rsidP="003406B4">
            <w:pPr>
              <w:pStyle w:val="TableText"/>
            </w:pPr>
            <w:r>
              <w:t xml:space="preserve">Patients receiving 1L romosozumab </w:t>
            </w:r>
            <w:r>
              <w:rPr>
                <w:vertAlign w:val="superscript"/>
              </w:rPr>
              <w:t>a</w:t>
            </w:r>
            <w:r>
              <w:t xml:space="preserve"> </w:t>
            </w:r>
          </w:p>
        </w:tc>
        <w:tc>
          <w:tcPr>
            <w:tcW w:w="569" w:type="pct"/>
            <w:shd w:val="clear" w:color="auto" w:fill="auto"/>
            <w:vAlign w:val="center"/>
          </w:tcPr>
          <w:p w14:paraId="48FFC2DA" w14:textId="77777777" w:rsidR="00694509" w:rsidRPr="006A5352" w:rsidRDefault="00694509" w:rsidP="003406B4">
            <w:pPr>
              <w:pStyle w:val="TableText"/>
              <w:jc w:val="center"/>
              <w:rPr>
                <w:highlight w:val="darkGray"/>
              </w:rPr>
            </w:pPr>
            <w:r w:rsidRPr="00540BA2">
              <w:t>-</w:t>
            </w:r>
          </w:p>
        </w:tc>
        <w:tc>
          <w:tcPr>
            <w:tcW w:w="571" w:type="pct"/>
            <w:shd w:val="clear" w:color="auto" w:fill="auto"/>
            <w:vAlign w:val="center"/>
          </w:tcPr>
          <w:p w14:paraId="16E306C1" w14:textId="4E9A03EB" w:rsidR="00694509" w:rsidRPr="006A5352" w:rsidRDefault="00694509" w:rsidP="003406B4">
            <w:pPr>
              <w:pStyle w:val="TableText"/>
              <w:jc w:val="center"/>
              <w:rPr>
                <w:highlight w:val="darkGray"/>
              </w:rPr>
            </w:pPr>
            <w:r w:rsidRPr="00540BA2">
              <w:t>-</w:t>
            </w:r>
            <w:r w:rsidR="009A7DC1" w:rsidRPr="009A7DC1">
              <w:rPr>
                <w:rFonts w:hint="eastAsia"/>
                <w:color w:val="000000"/>
                <w:w w:val="25"/>
                <w:shd w:val="solid" w:color="000000" w:fill="000000"/>
                <w:fitText w:val="113" w:id="-1435316977"/>
                <w14:textFill>
                  <w14:solidFill>
                    <w14:srgbClr w14:val="000000">
                      <w14:alpha w14:val="100000"/>
                    </w14:srgbClr>
                  </w14:solidFill>
                </w14:textFill>
              </w:rPr>
              <w:t xml:space="preserve">　</w:t>
            </w:r>
            <w:r w:rsidR="009A7DC1" w:rsidRPr="009A7DC1">
              <w:rPr>
                <w:color w:val="000000"/>
                <w:w w:val="25"/>
                <w:shd w:val="solid" w:color="000000" w:fill="000000"/>
                <w:fitText w:val="113" w:id="-1435316977"/>
                <w14:textFill>
                  <w14:solidFill>
                    <w14:srgbClr w14:val="000000">
                      <w14:alpha w14:val="100000"/>
                    </w14:srgbClr>
                  </w14:solidFill>
                </w14:textFill>
              </w:rPr>
              <w:t>|</w:t>
            </w:r>
            <w:r w:rsidR="009A7DC1" w:rsidRPr="009A7DC1">
              <w:rPr>
                <w:rFonts w:hint="eastAsia"/>
                <w:color w:val="000000"/>
                <w:spacing w:val="2"/>
                <w:w w:val="25"/>
                <w:shd w:val="solid" w:color="000000" w:fill="000000"/>
                <w:fitText w:val="113" w:id="-1435316977"/>
                <w14:textFill>
                  <w14:solidFill>
                    <w14:srgbClr w14:val="000000">
                      <w14:alpha w14:val="100000"/>
                    </w14:srgbClr>
                  </w14:solidFill>
                </w14:textFill>
              </w:rPr>
              <w:t xml:space="preserve">　</w:t>
            </w:r>
            <w:r w:rsidR="00540BA2">
              <w:rPr>
                <w:vertAlign w:val="superscript"/>
              </w:rPr>
              <w:t>6</w:t>
            </w:r>
          </w:p>
        </w:tc>
        <w:tc>
          <w:tcPr>
            <w:tcW w:w="571" w:type="pct"/>
            <w:shd w:val="clear" w:color="auto" w:fill="auto"/>
            <w:vAlign w:val="center"/>
          </w:tcPr>
          <w:p w14:paraId="1E86E0A0" w14:textId="1A005A7A" w:rsidR="00694509" w:rsidRPr="006A5352" w:rsidRDefault="00694509" w:rsidP="003406B4">
            <w:pPr>
              <w:pStyle w:val="TableText"/>
              <w:jc w:val="center"/>
              <w:rPr>
                <w:highlight w:val="darkGray"/>
              </w:rPr>
            </w:pPr>
            <w:r w:rsidRPr="00540BA2">
              <w:t>-</w:t>
            </w:r>
            <w:r w:rsidR="009A7DC1" w:rsidRPr="009A7DC1">
              <w:rPr>
                <w:rFonts w:hint="eastAsia"/>
                <w:color w:val="000000"/>
                <w:w w:val="25"/>
                <w:shd w:val="solid" w:color="000000" w:fill="000000"/>
                <w:fitText w:val="112" w:id="-1435316976"/>
                <w14:textFill>
                  <w14:solidFill>
                    <w14:srgbClr w14:val="000000">
                      <w14:alpha w14:val="100000"/>
                    </w14:srgbClr>
                  </w14:solidFill>
                </w14:textFill>
              </w:rPr>
              <w:t xml:space="preserve">　</w:t>
            </w:r>
            <w:r w:rsidR="009A7DC1" w:rsidRPr="009A7DC1">
              <w:rPr>
                <w:color w:val="000000"/>
                <w:w w:val="25"/>
                <w:shd w:val="solid" w:color="000000" w:fill="000000"/>
                <w:fitText w:val="112" w:id="-1435316976"/>
                <w14:textFill>
                  <w14:solidFill>
                    <w14:srgbClr w14:val="000000">
                      <w14:alpha w14:val="100000"/>
                    </w14:srgbClr>
                  </w14:solidFill>
                </w14:textFill>
              </w:rPr>
              <w:t>|</w:t>
            </w:r>
            <w:r w:rsidR="009A7DC1" w:rsidRPr="009A7DC1">
              <w:rPr>
                <w:rFonts w:hint="eastAsia"/>
                <w:color w:val="000000"/>
                <w:spacing w:val="1"/>
                <w:w w:val="25"/>
                <w:shd w:val="solid" w:color="000000" w:fill="000000"/>
                <w:fitText w:val="112" w:id="-1435316976"/>
                <w14:textFill>
                  <w14:solidFill>
                    <w14:srgbClr w14:val="000000">
                      <w14:alpha w14:val="100000"/>
                    </w14:srgbClr>
                  </w14:solidFill>
                </w14:textFill>
              </w:rPr>
              <w:t xml:space="preserve">　</w:t>
            </w:r>
            <w:r w:rsidR="00540BA2">
              <w:rPr>
                <w:vertAlign w:val="superscript"/>
              </w:rPr>
              <w:t>6</w:t>
            </w:r>
          </w:p>
        </w:tc>
        <w:tc>
          <w:tcPr>
            <w:tcW w:w="571" w:type="pct"/>
            <w:shd w:val="clear" w:color="auto" w:fill="auto"/>
            <w:vAlign w:val="center"/>
          </w:tcPr>
          <w:p w14:paraId="37640AAE" w14:textId="0D96494D" w:rsidR="00694509" w:rsidRPr="006A5352" w:rsidRDefault="00694509" w:rsidP="003406B4">
            <w:pPr>
              <w:pStyle w:val="TableText"/>
              <w:jc w:val="center"/>
              <w:rPr>
                <w:highlight w:val="darkGray"/>
              </w:rPr>
            </w:pPr>
            <w:r w:rsidRPr="00540BA2">
              <w:t>-</w:t>
            </w:r>
            <w:r w:rsidR="009A7DC1" w:rsidRPr="009A7DC1">
              <w:rPr>
                <w:rFonts w:hint="eastAsia"/>
                <w:color w:val="000000"/>
                <w:w w:val="31"/>
                <w:shd w:val="solid" w:color="000000" w:fill="000000"/>
                <w:fitText w:val="138" w:id="-1435316992"/>
                <w14:textFill>
                  <w14:solidFill>
                    <w14:srgbClr w14:val="000000">
                      <w14:alpha w14:val="100000"/>
                    </w14:srgbClr>
                  </w14:solidFill>
                </w14:textFill>
              </w:rPr>
              <w:t xml:space="preserve">　</w:t>
            </w:r>
            <w:r w:rsidR="009A7DC1" w:rsidRPr="009A7DC1">
              <w:rPr>
                <w:color w:val="000000"/>
                <w:w w:val="31"/>
                <w:shd w:val="solid" w:color="000000" w:fill="000000"/>
                <w:fitText w:val="138" w:id="-1435316992"/>
                <w14:textFill>
                  <w14:solidFill>
                    <w14:srgbClr w14:val="000000">
                      <w14:alpha w14:val="100000"/>
                    </w14:srgbClr>
                  </w14:solidFill>
                </w14:textFill>
              </w:rPr>
              <w:t>|</w:t>
            </w:r>
            <w:r w:rsidR="009A7DC1" w:rsidRPr="009A7DC1">
              <w:rPr>
                <w:rFonts w:hint="eastAsia"/>
                <w:color w:val="000000"/>
                <w:spacing w:val="2"/>
                <w:w w:val="31"/>
                <w:shd w:val="solid" w:color="000000" w:fill="000000"/>
                <w:fitText w:val="138" w:id="-1435316992"/>
                <w14:textFill>
                  <w14:solidFill>
                    <w14:srgbClr w14:val="000000">
                      <w14:alpha w14:val="100000"/>
                    </w14:srgbClr>
                  </w14:solidFill>
                </w14:textFill>
              </w:rPr>
              <w:t xml:space="preserve">　</w:t>
            </w:r>
            <w:r w:rsidR="00540BA2">
              <w:rPr>
                <w:vertAlign w:val="superscript"/>
              </w:rPr>
              <w:t>11</w:t>
            </w:r>
          </w:p>
        </w:tc>
        <w:tc>
          <w:tcPr>
            <w:tcW w:w="571" w:type="pct"/>
            <w:shd w:val="clear" w:color="auto" w:fill="auto"/>
            <w:vAlign w:val="center"/>
          </w:tcPr>
          <w:p w14:paraId="13FA83AA" w14:textId="2565754D" w:rsidR="00694509" w:rsidRPr="006A5352" w:rsidRDefault="00694509" w:rsidP="003406B4">
            <w:pPr>
              <w:pStyle w:val="TableText"/>
              <w:jc w:val="center"/>
              <w:rPr>
                <w:highlight w:val="darkGray"/>
              </w:rPr>
            </w:pPr>
            <w:r w:rsidRPr="00540BA2">
              <w:t>-</w:t>
            </w:r>
            <w:r w:rsidR="009A7DC1" w:rsidRPr="009A7DC1">
              <w:rPr>
                <w:rFonts w:hint="eastAsia"/>
                <w:color w:val="000000"/>
                <w:w w:val="30"/>
                <w:shd w:val="solid" w:color="000000" w:fill="000000"/>
                <w:fitText w:val="137" w:id="-1435316991"/>
                <w14:textFill>
                  <w14:solidFill>
                    <w14:srgbClr w14:val="000000">
                      <w14:alpha w14:val="100000"/>
                    </w14:srgbClr>
                  </w14:solidFill>
                </w14:textFill>
              </w:rPr>
              <w:t xml:space="preserve">　</w:t>
            </w:r>
            <w:r w:rsidR="009A7DC1" w:rsidRPr="009A7DC1">
              <w:rPr>
                <w:color w:val="000000"/>
                <w:w w:val="30"/>
                <w:shd w:val="solid" w:color="000000" w:fill="000000"/>
                <w:fitText w:val="137" w:id="-1435316991"/>
                <w14:textFill>
                  <w14:solidFill>
                    <w14:srgbClr w14:val="000000">
                      <w14:alpha w14:val="100000"/>
                    </w14:srgbClr>
                  </w14:solidFill>
                </w14:textFill>
              </w:rPr>
              <w:t>|</w:t>
            </w:r>
            <w:r w:rsidR="009A7DC1" w:rsidRPr="009A7DC1">
              <w:rPr>
                <w:rFonts w:hint="eastAsia"/>
                <w:color w:val="000000"/>
                <w:spacing w:val="5"/>
                <w:w w:val="30"/>
                <w:shd w:val="solid" w:color="000000" w:fill="000000"/>
                <w:fitText w:val="137" w:id="-1435316991"/>
                <w14:textFill>
                  <w14:solidFill>
                    <w14:srgbClr w14:val="000000">
                      <w14:alpha w14:val="100000"/>
                    </w14:srgbClr>
                  </w14:solidFill>
                </w14:textFill>
              </w:rPr>
              <w:t xml:space="preserve">　</w:t>
            </w:r>
            <w:r w:rsidR="00540BA2">
              <w:rPr>
                <w:vertAlign w:val="superscript"/>
              </w:rPr>
              <w:t>11</w:t>
            </w:r>
          </w:p>
        </w:tc>
        <w:tc>
          <w:tcPr>
            <w:tcW w:w="573" w:type="pct"/>
            <w:shd w:val="clear" w:color="auto" w:fill="auto"/>
            <w:vAlign w:val="center"/>
          </w:tcPr>
          <w:p w14:paraId="0C99CB0E" w14:textId="5CD5D09D" w:rsidR="00694509" w:rsidRPr="006A5352" w:rsidRDefault="00694509" w:rsidP="003406B4">
            <w:pPr>
              <w:pStyle w:val="TableText"/>
              <w:jc w:val="center"/>
              <w:rPr>
                <w:highlight w:val="darkGray"/>
              </w:rPr>
            </w:pPr>
            <w:r w:rsidRPr="00540BA2">
              <w:t>-</w:t>
            </w:r>
            <w:r w:rsidR="009A7DC1" w:rsidRPr="009A7DC1">
              <w:rPr>
                <w:rFonts w:hint="eastAsia"/>
                <w:color w:val="000000"/>
                <w:w w:val="30"/>
                <w:shd w:val="solid" w:color="000000" w:fill="000000"/>
                <w:fitText w:val="137" w:id="-1435316990"/>
                <w14:textFill>
                  <w14:solidFill>
                    <w14:srgbClr w14:val="000000">
                      <w14:alpha w14:val="100000"/>
                    </w14:srgbClr>
                  </w14:solidFill>
                </w14:textFill>
              </w:rPr>
              <w:t xml:space="preserve">　</w:t>
            </w:r>
            <w:r w:rsidR="009A7DC1" w:rsidRPr="009A7DC1">
              <w:rPr>
                <w:color w:val="000000"/>
                <w:w w:val="30"/>
                <w:shd w:val="solid" w:color="000000" w:fill="000000"/>
                <w:fitText w:val="137" w:id="-1435316990"/>
                <w14:textFill>
                  <w14:solidFill>
                    <w14:srgbClr w14:val="000000">
                      <w14:alpha w14:val="100000"/>
                    </w14:srgbClr>
                  </w14:solidFill>
                </w14:textFill>
              </w:rPr>
              <w:t>|</w:t>
            </w:r>
            <w:r w:rsidR="009A7DC1" w:rsidRPr="009A7DC1">
              <w:rPr>
                <w:rFonts w:hint="eastAsia"/>
                <w:color w:val="000000"/>
                <w:spacing w:val="5"/>
                <w:w w:val="30"/>
                <w:shd w:val="solid" w:color="000000" w:fill="000000"/>
                <w:fitText w:val="137" w:id="-1435316990"/>
                <w14:textFill>
                  <w14:solidFill>
                    <w14:srgbClr w14:val="000000">
                      <w14:alpha w14:val="100000"/>
                    </w14:srgbClr>
                  </w14:solidFill>
                </w14:textFill>
              </w:rPr>
              <w:t xml:space="preserve">　</w:t>
            </w:r>
            <w:r w:rsidR="00540BA2">
              <w:rPr>
                <w:vertAlign w:val="superscript"/>
              </w:rPr>
              <w:t>11</w:t>
            </w:r>
          </w:p>
        </w:tc>
      </w:tr>
      <w:tr w:rsidR="00694509" w:rsidRPr="003455D2" w14:paraId="66266FC1" w14:textId="77777777" w:rsidTr="003406B4">
        <w:tc>
          <w:tcPr>
            <w:tcW w:w="1574" w:type="pct"/>
            <w:shd w:val="clear" w:color="auto" w:fill="auto"/>
            <w:vAlign w:val="center"/>
          </w:tcPr>
          <w:p w14:paraId="083B900A" w14:textId="77777777" w:rsidR="00694509" w:rsidRDefault="00694509" w:rsidP="003406B4">
            <w:pPr>
              <w:pStyle w:val="TableText"/>
            </w:pPr>
            <w:r>
              <w:t>Patients without 1L romosozumab</w:t>
            </w:r>
          </w:p>
        </w:tc>
        <w:tc>
          <w:tcPr>
            <w:tcW w:w="569" w:type="pct"/>
            <w:shd w:val="clear" w:color="auto" w:fill="auto"/>
          </w:tcPr>
          <w:p w14:paraId="70117339" w14:textId="4BA33544" w:rsidR="00694509" w:rsidRPr="006A5352" w:rsidRDefault="009A7DC1" w:rsidP="003406B4">
            <w:pPr>
              <w:pStyle w:val="TableText"/>
              <w:jc w:val="center"/>
              <w:rPr>
                <w:highlight w:val="darkGray"/>
              </w:rPr>
            </w:pPr>
            <w:r w:rsidRPr="009A7DC1">
              <w:rPr>
                <w:rFonts w:hint="eastAsia"/>
                <w:color w:val="000000"/>
                <w:w w:val="19"/>
                <w:shd w:val="solid" w:color="000000" w:fill="000000"/>
                <w:fitText w:val="88" w:id="-1435316989"/>
                <w14:textFill>
                  <w14:solidFill>
                    <w14:srgbClr w14:val="000000">
                      <w14:alpha w14:val="100000"/>
                    </w14:srgbClr>
                  </w14:solidFill>
                </w14:textFill>
              </w:rPr>
              <w:t xml:space="preserve">　</w:t>
            </w:r>
            <w:r w:rsidRPr="009A7DC1">
              <w:rPr>
                <w:color w:val="000000"/>
                <w:w w:val="19"/>
                <w:shd w:val="solid" w:color="000000" w:fill="000000"/>
                <w:fitText w:val="88" w:id="-1435316989"/>
                <w14:textFill>
                  <w14:solidFill>
                    <w14:srgbClr w14:val="000000">
                      <w14:alpha w14:val="100000"/>
                    </w14:srgbClr>
                  </w14:solidFill>
                </w14:textFill>
              </w:rPr>
              <w:t>|</w:t>
            </w:r>
            <w:r w:rsidRPr="009A7DC1">
              <w:rPr>
                <w:rFonts w:hint="eastAsia"/>
                <w:color w:val="000000"/>
                <w:spacing w:val="4"/>
                <w:w w:val="19"/>
                <w:shd w:val="solid" w:color="000000" w:fill="000000"/>
                <w:fitText w:val="88" w:id="-1435316989"/>
                <w14:textFill>
                  <w14:solidFill>
                    <w14:srgbClr w14:val="000000">
                      <w14:alpha w14:val="100000"/>
                    </w14:srgbClr>
                  </w14:solidFill>
                </w14:textFill>
              </w:rPr>
              <w:t xml:space="preserve">　</w:t>
            </w:r>
            <w:r w:rsidR="00821887">
              <w:rPr>
                <w:vertAlign w:val="superscript"/>
              </w:rPr>
              <w:t>8</w:t>
            </w:r>
          </w:p>
        </w:tc>
        <w:tc>
          <w:tcPr>
            <w:tcW w:w="571" w:type="pct"/>
            <w:shd w:val="clear" w:color="auto" w:fill="auto"/>
          </w:tcPr>
          <w:p w14:paraId="687E4D41" w14:textId="3525D3F8" w:rsidR="00694509" w:rsidRPr="006A5352" w:rsidRDefault="009A7DC1" w:rsidP="003406B4">
            <w:pPr>
              <w:pStyle w:val="TableText"/>
              <w:jc w:val="center"/>
              <w:rPr>
                <w:highlight w:val="darkGray"/>
              </w:rPr>
            </w:pPr>
            <w:r w:rsidRPr="009A7DC1">
              <w:rPr>
                <w:rFonts w:hint="eastAsia"/>
                <w:color w:val="000000"/>
                <w:w w:val="19"/>
                <w:shd w:val="solid" w:color="000000" w:fill="000000"/>
                <w:fitText w:val="88" w:id="-1435316988"/>
                <w14:textFill>
                  <w14:solidFill>
                    <w14:srgbClr w14:val="000000">
                      <w14:alpha w14:val="100000"/>
                    </w14:srgbClr>
                  </w14:solidFill>
                </w14:textFill>
              </w:rPr>
              <w:t xml:space="preserve">　</w:t>
            </w:r>
            <w:r w:rsidRPr="009A7DC1">
              <w:rPr>
                <w:color w:val="000000"/>
                <w:w w:val="19"/>
                <w:shd w:val="solid" w:color="000000" w:fill="000000"/>
                <w:fitText w:val="88" w:id="-1435316988"/>
                <w14:textFill>
                  <w14:solidFill>
                    <w14:srgbClr w14:val="000000">
                      <w14:alpha w14:val="100000"/>
                    </w14:srgbClr>
                  </w14:solidFill>
                </w14:textFill>
              </w:rPr>
              <w:t>|</w:t>
            </w:r>
            <w:r w:rsidRPr="009A7DC1">
              <w:rPr>
                <w:rFonts w:hint="eastAsia"/>
                <w:color w:val="000000"/>
                <w:spacing w:val="4"/>
                <w:w w:val="19"/>
                <w:shd w:val="solid" w:color="000000" w:fill="000000"/>
                <w:fitText w:val="88" w:id="-1435316988"/>
                <w14:textFill>
                  <w14:solidFill>
                    <w14:srgbClr w14:val="000000">
                      <w14:alpha w14:val="100000"/>
                    </w14:srgbClr>
                  </w14:solidFill>
                </w14:textFill>
              </w:rPr>
              <w:t xml:space="preserve">　</w:t>
            </w:r>
            <w:r w:rsidR="00821887">
              <w:rPr>
                <w:vertAlign w:val="superscript"/>
              </w:rPr>
              <w:t>8</w:t>
            </w:r>
          </w:p>
        </w:tc>
        <w:tc>
          <w:tcPr>
            <w:tcW w:w="571" w:type="pct"/>
            <w:shd w:val="clear" w:color="auto" w:fill="auto"/>
          </w:tcPr>
          <w:p w14:paraId="50669566" w14:textId="2FE1222A" w:rsidR="00694509" w:rsidRPr="006A5352" w:rsidRDefault="009A7DC1" w:rsidP="003406B4">
            <w:pPr>
              <w:pStyle w:val="TableText"/>
              <w:jc w:val="center"/>
              <w:rPr>
                <w:highlight w:val="darkGray"/>
              </w:rPr>
            </w:pPr>
            <w:r w:rsidRPr="009A7DC1">
              <w:rPr>
                <w:rFonts w:hint="eastAsia"/>
                <w:color w:val="000000"/>
                <w:w w:val="19"/>
                <w:shd w:val="solid" w:color="000000" w:fill="000000"/>
                <w:fitText w:val="87" w:id="-1435316987"/>
                <w14:textFill>
                  <w14:solidFill>
                    <w14:srgbClr w14:val="000000">
                      <w14:alpha w14:val="100000"/>
                    </w14:srgbClr>
                  </w14:solidFill>
                </w14:textFill>
              </w:rPr>
              <w:t xml:space="preserve">　</w:t>
            </w:r>
            <w:r w:rsidRPr="009A7DC1">
              <w:rPr>
                <w:color w:val="000000"/>
                <w:w w:val="19"/>
                <w:shd w:val="solid" w:color="000000" w:fill="000000"/>
                <w:fitText w:val="87" w:id="-1435316987"/>
                <w14:textFill>
                  <w14:solidFill>
                    <w14:srgbClr w14:val="000000">
                      <w14:alpha w14:val="100000"/>
                    </w14:srgbClr>
                  </w14:solidFill>
                </w14:textFill>
              </w:rPr>
              <w:t>|</w:t>
            </w:r>
            <w:r w:rsidRPr="009A7DC1">
              <w:rPr>
                <w:rFonts w:hint="eastAsia"/>
                <w:color w:val="000000"/>
                <w:spacing w:val="3"/>
                <w:w w:val="19"/>
                <w:shd w:val="solid" w:color="000000" w:fill="000000"/>
                <w:fitText w:val="87" w:id="-1435316987"/>
                <w14:textFill>
                  <w14:solidFill>
                    <w14:srgbClr w14:val="000000">
                      <w14:alpha w14:val="100000"/>
                    </w14:srgbClr>
                  </w14:solidFill>
                </w14:textFill>
              </w:rPr>
              <w:t xml:space="preserve">　</w:t>
            </w:r>
            <w:r w:rsidR="00821887">
              <w:rPr>
                <w:vertAlign w:val="superscript"/>
              </w:rPr>
              <w:t>8</w:t>
            </w:r>
          </w:p>
        </w:tc>
        <w:tc>
          <w:tcPr>
            <w:tcW w:w="571" w:type="pct"/>
            <w:shd w:val="clear" w:color="auto" w:fill="auto"/>
          </w:tcPr>
          <w:p w14:paraId="0A7E3B48" w14:textId="28B00886" w:rsidR="00694509" w:rsidRPr="006A5352" w:rsidRDefault="009A7DC1" w:rsidP="003406B4">
            <w:pPr>
              <w:pStyle w:val="TableText"/>
              <w:jc w:val="center"/>
              <w:rPr>
                <w:highlight w:val="darkGray"/>
              </w:rPr>
            </w:pPr>
            <w:r w:rsidRPr="009A7DC1">
              <w:rPr>
                <w:rFonts w:hint="eastAsia"/>
                <w:color w:val="000000"/>
                <w:w w:val="19"/>
                <w:shd w:val="solid" w:color="000000" w:fill="000000"/>
                <w:fitText w:val="88" w:id="-1435316986"/>
                <w14:textFill>
                  <w14:solidFill>
                    <w14:srgbClr w14:val="000000">
                      <w14:alpha w14:val="100000"/>
                    </w14:srgbClr>
                  </w14:solidFill>
                </w14:textFill>
              </w:rPr>
              <w:t xml:space="preserve">　</w:t>
            </w:r>
            <w:r w:rsidRPr="009A7DC1">
              <w:rPr>
                <w:color w:val="000000"/>
                <w:w w:val="19"/>
                <w:shd w:val="solid" w:color="000000" w:fill="000000"/>
                <w:fitText w:val="88" w:id="-1435316986"/>
                <w14:textFill>
                  <w14:solidFill>
                    <w14:srgbClr w14:val="000000">
                      <w14:alpha w14:val="100000"/>
                    </w14:srgbClr>
                  </w14:solidFill>
                </w14:textFill>
              </w:rPr>
              <w:t>|</w:t>
            </w:r>
            <w:r w:rsidRPr="009A7DC1">
              <w:rPr>
                <w:rFonts w:hint="eastAsia"/>
                <w:color w:val="000000"/>
                <w:spacing w:val="4"/>
                <w:w w:val="19"/>
                <w:shd w:val="solid" w:color="000000" w:fill="000000"/>
                <w:fitText w:val="88" w:id="-1435316986"/>
                <w14:textFill>
                  <w14:solidFill>
                    <w14:srgbClr w14:val="000000">
                      <w14:alpha w14:val="100000"/>
                    </w14:srgbClr>
                  </w14:solidFill>
                </w14:textFill>
              </w:rPr>
              <w:t xml:space="preserve">　</w:t>
            </w:r>
            <w:r w:rsidR="00821887">
              <w:rPr>
                <w:vertAlign w:val="superscript"/>
              </w:rPr>
              <w:t>8</w:t>
            </w:r>
          </w:p>
        </w:tc>
        <w:tc>
          <w:tcPr>
            <w:tcW w:w="571" w:type="pct"/>
            <w:shd w:val="clear" w:color="auto" w:fill="auto"/>
          </w:tcPr>
          <w:p w14:paraId="27B4E8BD" w14:textId="0ADA5D9E" w:rsidR="00694509" w:rsidRPr="006A5352" w:rsidRDefault="009A7DC1" w:rsidP="003406B4">
            <w:pPr>
              <w:pStyle w:val="TableText"/>
              <w:jc w:val="center"/>
              <w:rPr>
                <w:highlight w:val="darkGray"/>
              </w:rPr>
            </w:pPr>
            <w:r w:rsidRPr="009A7DC1">
              <w:rPr>
                <w:rFonts w:hint="eastAsia"/>
                <w:color w:val="000000"/>
                <w:w w:val="19"/>
                <w:shd w:val="solid" w:color="000000" w:fill="000000"/>
                <w:fitText w:val="87" w:id="-1435316985"/>
                <w14:textFill>
                  <w14:solidFill>
                    <w14:srgbClr w14:val="000000">
                      <w14:alpha w14:val="100000"/>
                    </w14:srgbClr>
                  </w14:solidFill>
                </w14:textFill>
              </w:rPr>
              <w:t xml:space="preserve">　</w:t>
            </w:r>
            <w:r w:rsidRPr="009A7DC1">
              <w:rPr>
                <w:color w:val="000000"/>
                <w:w w:val="19"/>
                <w:shd w:val="solid" w:color="000000" w:fill="000000"/>
                <w:fitText w:val="87" w:id="-1435316985"/>
                <w14:textFill>
                  <w14:solidFill>
                    <w14:srgbClr w14:val="000000">
                      <w14:alpha w14:val="100000"/>
                    </w14:srgbClr>
                  </w14:solidFill>
                </w14:textFill>
              </w:rPr>
              <w:t>|</w:t>
            </w:r>
            <w:r w:rsidRPr="009A7DC1">
              <w:rPr>
                <w:rFonts w:hint="eastAsia"/>
                <w:color w:val="000000"/>
                <w:spacing w:val="3"/>
                <w:w w:val="19"/>
                <w:shd w:val="solid" w:color="000000" w:fill="000000"/>
                <w:fitText w:val="87" w:id="-1435316985"/>
                <w14:textFill>
                  <w14:solidFill>
                    <w14:srgbClr w14:val="000000">
                      <w14:alpha w14:val="100000"/>
                    </w14:srgbClr>
                  </w14:solidFill>
                </w14:textFill>
              </w:rPr>
              <w:t xml:space="preserve">　</w:t>
            </w:r>
            <w:r w:rsidR="00821887">
              <w:rPr>
                <w:vertAlign w:val="superscript"/>
              </w:rPr>
              <w:t>8</w:t>
            </w:r>
          </w:p>
        </w:tc>
        <w:tc>
          <w:tcPr>
            <w:tcW w:w="573" w:type="pct"/>
            <w:shd w:val="clear" w:color="auto" w:fill="auto"/>
          </w:tcPr>
          <w:p w14:paraId="62515B3F" w14:textId="0D00F54A" w:rsidR="00694509" w:rsidRPr="006A5352" w:rsidRDefault="009A7DC1" w:rsidP="003406B4">
            <w:pPr>
              <w:pStyle w:val="TableText"/>
              <w:jc w:val="center"/>
              <w:rPr>
                <w:highlight w:val="darkGray"/>
              </w:rPr>
            </w:pPr>
            <w:r w:rsidRPr="009A7DC1">
              <w:rPr>
                <w:rFonts w:hint="eastAsia"/>
                <w:color w:val="000000"/>
                <w:w w:val="19"/>
                <w:shd w:val="solid" w:color="000000" w:fill="000000"/>
                <w:fitText w:val="87" w:id="-1435316984"/>
                <w14:textFill>
                  <w14:solidFill>
                    <w14:srgbClr w14:val="000000">
                      <w14:alpha w14:val="100000"/>
                    </w14:srgbClr>
                  </w14:solidFill>
                </w14:textFill>
              </w:rPr>
              <w:t xml:space="preserve">　</w:t>
            </w:r>
            <w:r w:rsidRPr="009A7DC1">
              <w:rPr>
                <w:color w:val="000000"/>
                <w:w w:val="19"/>
                <w:shd w:val="solid" w:color="000000" w:fill="000000"/>
                <w:fitText w:val="87" w:id="-1435316984"/>
                <w14:textFill>
                  <w14:solidFill>
                    <w14:srgbClr w14:val="000000">
                      <w14:alpha w14:val="100000"/>
                    </w14:srgbClr>
                  </w14:solidFill>
                </w14:textFill>
              </w:rPr>
              <w:t>|</w:t>
            </w:r>
            <w:r w:rsidRPr="009A7DC1">
              <w:rPr>
                <w:rFonts w:hint="eastAsia"/>
                <w:color w:val="000000"/>
                <w:spacing w:val="3"/>
                <w:w w:val="19"/>
                <w:shd w:val="solid" w:color="000000" w:fill="000000"/>
                <w:fitText w:val="87" w:id="-1435316984"/>
                <w14:textFill>
                  <w14:solidFill>
                    <w14:srgbClr w14:val="000000">
                      <w14:alpha w14:val="100000"/>
                    </w14:srgbClr>
                  </w14:solidFill>
                </w14:textFill>
              </w:rPr>
              <w:t xml:space="preserve">　</w:t>
            </w:r>
            <w:r w:rsidR="00821887">
              <w:rPr>
                <w:vertAlign w:val="superscript"/>
              </w:rPr>
              <w:t>8</w:t>
            </w:r>
          </w:p>
        </w:tc>
      </w:tr>
      <w:tr w:rsidR="00694509" w:rsidRPr="003455D2" w14:paraId="029E4DE0" w14:textId="77777777" w:rsidTr="003406B4">
        <w:tc>
          <w:tcPr>
            <w:tcW w:w="1574" w:type="pct"/>
            <w:shd w:val="clear" w:color="auto" w:fill="auto"/>
            <w:vAlign w:val="center"/>
          </w:tcPr>
          <w:p w14:paraId="6B9A2038" w14:textId="77777777" w:rsidR="00694509" w:rsidRDefault="00694509" w:rsidP="003406B4">
            <w:pPr>
              <w:pStyle w:val="TableText"/>
            </w:pPr>
            <w:r>
              <w:t>BMD ≤-2.5 and &gt;-3.0 (12.9%)</w:t>
            </w:r>
          </w:p>
        </w:tc>
        <w:tc>
          <w:tcPr>
            <w:tcW w:w="569" w:type="pct"/>
            <w:shd w:val="clear" w:color="auto" w:fill="auto"/>
          </w:tcPr>
          <w:p w14:paraId="12D2EDC5" w14:textId="666CA9A1" w:rsidR="00694509" w:rsidRPr="006A5352" w:rsidRDefault="009A7DC1" w:rsidP="003406B4">
            <w:pPr>
              <w:pStyle w:val="TableText"/>
              <w:jc w:val="center"/>
              <w:rPr>
                <w:highlight w:val="darkGray"/>
              </w:rPr>
            </w:pPr>
            <w:r w:rsidRPr="009A7DC1">
              <w:rPr>
                <w:rFonts w:hint="eastAsia"/>
                <w:color w:val="000000"/>
                <w:w w:val="19"/>
                <w:shd w:val="solid" w:color="000000" w:fill="000000"/>
                <w:fitText w:val="88" w:id="-1435316983"/>
                <w14:textFill>
                  <w14:solidFill>
                    <w14:srgbClr w14:val="000000">
                      <w14:alpha w14:val="100000"/>
                    </w14:srgbClr>
                  </w14:solidFill>
                </w14:textFill>
              </w:rPr>
              <w:t xml:space="preserve">　</w:t>
            </w:r>
            <w:r w:rsidRPr="009A7DC1">
              <w:rPr>
                <w:color w:val="000000"/>
                <w:w w:val="19"/>
                <w:shd w:val="solid" w:color="000000" w:fill="000000"/>
                <w:fitText w:val="88" w:id="-1435316983"/>
                <w14:textFill>
                  <w14:solidFill>
                    <w14:srgbClr w14:val="000000">
                      <w14:alpha w14:val="100000"/>
                    </w14:srgbClr>
                  </w14:solidFill>
                </w14:textFill>
              </w:rPr>
              <w:t>|</w:t>
            </w:r>
            <w:r w:rsidRPr="009A7DC1">
              <w:rPr>
                <w:rFonts w:hint="eastAsia"/>
                <w:color w:val="000000"/>
                <w:spacing w:val="4"/>
                <w:w w:val="19"/>
                <w:shd w:val="solid" w:color="000000" w:fill="000000"/>
                <w:fitText w:val="88" w:id="-1435316983"/>
                <w14:textFill>
                  <w14:solidFill>
                    <w14:srgbClr w14:val="000000">
                      <w14:alpha w14:val="100000"/>
                    </w14:srgbClr>
                  </w14:solidFill>
                </w14:textFill>
              </w:rPr>
              <w:t xml:space="preserve">　</w:t>
            </w:r>
            <w:r w:rsidR="00821887">
              <w:rPr>
                <w:vertAlign w:val="superscript"/>
              </w:rPr>
              <w:t>9</w:t>
            </w:r>
          </w:p>
        </w:tc>
        <w:tc>
          <w:tcPr>
            <w:tcW w:w="571" w:type="pct"/>
            <w:shd w:val="clear" w:color="auto" w:fill="auto"/>
          </w:tcPr>
          <w:p w14:paraId="40F867EC" w14:textId="354C7FE2" w:rsidR="00694509" w:rsidRPr="006A5352" w:rsidRDefault="009A7DC1" w:rsidP="003406B4">
            <w:pPr>
              <w:pStyle w:val="TableText"/>
              <w:jc w:val="center"/>
              <w:rPr>
                <w:highlight w:val="darkGray"/>
              </w:rPr>
            </w:pPr>
            <w:r w:rsidRPr="009A7DC1">
              <w:rPr>
                <w:rFonts w:hint="eastAsia"/>
                <w:color w:val="000000"/>
                <w:w w:val="19"/>
                <w:shd w:val="solid" w:color="000000" w:fill="000000"/>
                <w:fitText w:val="88" w:id="-1435316982"/>
                <w14:textFill>
                  <w14:solidFill>
                    <w14:srgbClr w14:val="000000">
                      <w14:alpha w14:val="100000"/>
                    </w14:srgbClr>
                  </w14:solidFill>
                </w14:textFill>
              </w:rPr>
              <w:t xml:space="preserve">　</w:t>
            </w:r>
            <w:r w:rsidRPr="009A7DC1">
              <w:rPr>
                <w:color w:val="000000"/>
                <w:w w:val="19"/>
                <w:shd w:val="solid" w:color="000000" w:fill="000000"/>
                <w:fitText w:val="88" w:id="-1435316982"/>
                <w14:textFill>
                  <w14:solidFill>
                    <w14:srgbClr w14:val="000000">
                      <w14:alpha w14:val="100000"/>
                    </w14:srgbClr>
                  </w14:solidFill>
                </w14:textFill>
              </w:rPr>
              <w:t>|</w:t>
            </w:r>
            <w:r w:rsidRPr="009A7DC1">
              <w:rPr>
                <w:rFonts w:hint="eastAsia"/>
                <w:color w:val="000000"/>
                <w:spacing w:val="4"/>
                <w:w w:val="19"/>
                <w:shd w:val="solid" w:color="000000" w:fill="000000"/>
                <w:fitText w:val="88" w:id="-1435316982"/>
                <w14:textFill>
                  <w14:solidFill>
                    <w14:srgbClr w14:val="000000">
                      <w14:alpha w14:val="100000"/>
                    </w14:srgbClr>
                  </w14:solidFill>
                </w14:textFill>
              </w:rPr>
              <w:t xml:space="preserve">　</w:t>
            </w:r>
            <w:r w:rsidR="00821887">
              <w:rPr>
                <w:vertAlign w:val="superscript"/>
              </w:rPr>
              <w:t>9</w:t>
            </w:r>
          </w:p>
        </w:tc>
        <w:tc>
          <w:tcPr>
            <w:tcW w:w="571" w:type="pct"/>
            <w:shd w:val="clear" w:color="auto" w:fill="auto"/>
          </w:tcPr>
          <w:p w14:paraId="14B79BE8" w14:textId="2F87BEAB" w:rsidR="00694509" w:rsidRPr="006A5352" w:rsidRDefault="009A7DC1" w:rsidP="003406B4">
            <w:pPr>
              <w:pStyle w:val="TableText"/>
              <w:jc w:val="center"/>
              <w:rPr>
                <w:highlight w:val="darkGray"/>
              </w:rPr>
            </w:pPr>
            <w:r w:rsidRPr="009A7DC1">
              <w:rPr>
                <w:rFonts w:hint="eastAsia"/>
                <w:color w:val="000000"/>
                <w:w w:val="19"/>
                <w:shd w:val="solid" w:color="000000" w:fill="000000"/>
                <w:fitText w:val="87" w:id="-1435316981"/>
                <w14:textFill>
                  <w14:solidFill>
                    <w14:srgbClr w14:val="000000">
                      <w14:alpha w14:val="100000"/>
                    </w14:srgbClr>
                  </w14:solidFill>
                </w14:textFill>
              </w:rPr>
              <w:t xml:space="preserve">　</w:t>
            </w:r>
            <w:r w:rsidRPr="009A7DC1">
              <w:rPr>
                <w:color w:val="000000"/>
                <w:w w:val="19"/>
                <w:shd w:val="solid" w:color="000000" w:fill="000000"/>
                <w:fitText w:val="87" w:id="-1435316981"/>
                <w14:textFill>
                  <w14:solidFill>
                    <w14:srgbClr w14:val="000000">
                      <w14:alpha w14:val="100000"/>
                    </w14:srgbClr>
                  </w14:solidFill>
                </w14:textFill>
              </w:rPr>
              <w:t>|</w:t>
            </w:r>
            <w:r w:rsidRPr="009A7DC1">
              <w:rPr>
                <w:rFonts w:hint="eastAsia"/>
                <w:color w:val="000000"/>
                <w:spacing w:val="3"/>
                <w:w w:val="19"/>
                <w:shd w:val="solid" w:color="000000" w:fill="000000"/>
                <w:fitText w:val="87" w:id="-1435316981"/>
                <w14:textFill>
                  <w14:solidFill>
                    <w14:srgbClr w14:val="000000">
                      <w14:alpha w14:val="100000"/>
                    </w14:srgbClr>
                  </w14:solidFill>
                </w14:textFill>
              </w:rPr>
              <w:t xml:space="preserve">　</w:t>
            </w:r>
            <w:r w:rsidR="00821887">
              <w:rPr>
                <w:vertAlign w:val="superscript"/>
              </w:rPr>
              <w:t>9</w:t>
            </w:r>
          </w:p>
        </w:tc>
        <w:tc>
          <w:tcPr>
            <w:tcW w:w="571" w:type="pct"/>
            <w:shd w:val="clear" w:color="auto" w:fill="auto"/>
          </w:tcPr>
          <w:p w14:paraId="62E4DE95" w14:textId="31CB5556" w:rsidR="00694509" w:rsidRPr="006A5352" w:rsidRDefault="009A7DC1" w:rsidP="003406B4">
            <w:pPr>
              <w:pStyle w:val="TableText"/>
              <w:jc w:val="center"/>
              <w:rPr>
                <w:highlight w:val="darkGray"/>
              </w:rPr>
            </w:pPr>
            <w:r w:rsidRPr="009A7DC1">
              <w:rPr>
                <w:rFonts w:hint="eastAsia"/>
                <w:color w:val="000000"/>
                <w:w w:val="19"/>
                <w:shd w:val="solid" w:color="000000" w:fill="000000"/>
                <w:fitText w:val="88" w:id="-1435316980"/>
                <w14:textFill>
                  <w14:solidFill>
                    <w14:srgbClr w14:val="000000">
                      <w14:alpha w14:val="100000"/>
                    </w14:srgbClr>
                  </w14:solidFill>
                </w14:textFill>
              </w:rPr>
              <w:t xml:space="preserve">　</w:t>
            </w:r>
            <w:r w:rsidRPr="009A7DC1">
              <w:rPr>
                <w:color w:val="000000"/>
                <w:w w:val="19"/>
                <w:shd w:val="solid" w:color="000000" w:fill="000000"/>
                <w:fitText w:val="88" w:id="-1435316980"/>
                <w14:textFill>
                  <w14:solidFill>
                    <w14:srgbClr w14:val="000000">
                      <w14:alpha w14:val="100000"/>
                    </w14:srgbClr>
                  </w14:solidFill>
                </w14:textFill>
              </w:rPr>
              <w:t>|</w:t>
            </w:r>
            <w:r w:rsidRPr="009A7DC1">
              <w:rPr>
                <w:rFonts w:hint="eastAsia"/>
                <w:color w:val="000000"/>
                <w:spacing w:val="4"/>
                <w:w w:val="19"/>
                <w:shd w:val="solid" w:color="000000" w:fill="000000"/>
                <w:fitText w:val="88" w:id="-1435316980"/>
                <w14:textFill>
                  <w14:solidFill>
                    <w14:srgbClr w14:val="000000">
                      <w14:alpha w14:val="100000"/>
                    </w14:srgbClr>
                  </w14:solidFill>
                </w14:textFill>
              </w:rPr>
              <w:t xml:space="preserve">　</w:t>
            </w:r>
            <w:r w:rsidR="00821887">
              <w:rPr>
                <w:vertAlign w:val="superscript"/>
              </w:rPr>
              <w:t>9</w:t>
            </w:r>
          </w:p>
        </w:tc>
        <w:tc>
          <w:tcPr>
            <w:tcW w:w="571" w:type="pct"/>
            <w:shd w:val="clear" w:color="auto" w:fill="auto"/>
          </w:tcPr>
          <w:p w14:paraId="013BE907" w14:textId="37A7DE47" w:rsidR="00694509" w:rsidRPr="006A5352" w:rsidRDefault="009A7DC1" w:rsidP="003406B4">
            <w:pPr>
              <w:pStyle w:val="TableText"/>
              <w:jc w:val="center"/>
              <w:rPr>
                <w:highlight w:val="darkGray"/>
              </w:rPr>
            </w:pPr>
            <w:r w:rsidRPr="009A7DC1">
              <w:rPr>
                <w:rFonts w:hint="eastAsia"/>
                <w:color w:val="000000"/>
                <w:w w:val="19"/>
                <w:shd w:val="solid" w:color="000000" w:fill="000000"/>
                <w:fitText w:val="87" w:id="-1435316979"/>
                <w14:textFill>
                  <w14:solidFill>
                    <w14:srgbClr w14:val="000000">
                      <w14:alpha w14:val="100000"/>
                    </w14:srgbClr>
                  </w14:solidFill>
                </w14:textFill>
              </w:rPr>
              <w:t xml:space="preserve">　</w:t>
            </w:r>
            <w:r w:rsidRPr="009A7DC1">
              <w:rPr>
                <w:color w:val="000000"/>
                <w:w w:val="19"/>
                <w:shd w:val="solid" w:color="000000" w:fill="000000"/>
                <w:fitText w:val="87" w:id="-1435316979"/>
                <w14:textFill>
                  <w14:solidFill>
                    <w14:srgbClr w14:val="000000">
                      <w14:alpha w14:val="100000"/>
                    </w14:srgbClr>
                  </w14:solidFill>
                </w14:textFill>
              </w:rPr>
              <w:t>|</w:t>
            </w:r>
            <w:r w:rsidRPr="009A7DC1">
              <w:rPr>
                <w:rFonts w:hint="eastAsia"/>
                <w:color w:val="000000"/>
                <w:spacing w:val="3"/>
                <w:w w:val="19"/>
                <w:shd w:val="solid" w:color="000000" w:fill="000000"/>
                <w:fitText w:val="87" w:id="-1435316979"/>
                <w14:textFill>
                  <w14:solidFill>
                    <w14:srgbClr w14:val="000000">
                      <w14:alpha w14:val="100000"/>
                    </w14:srgbClr>
                  </w14:solidFill>
                </w14:textFill>
              </w:rPr>
              <w:t xml:space="preserve">　</w:t>
            </w:r>
            <w:r w:rsidR="00821887">
              <w:rPr>
                <w:vertAlign w:val="superscript"/>
              </w:rPr>
              <w:t>9</w:t>
            </w:r>
          </w:p>
        </w:tc>
        <w:tc>
          <w:tcPr>
            <w:tcW w:w="573" w:type="pct"/>
            <w:shd w:val="clear" w:color="auto" w:fill="auto"/>
          </w:tcPr>
          <w:p w14:paraId="72675E6C" w14:textId="3C361FB0" w:rsidR="00694509" w:rsidRPr="006A5352" w:rsidRDefault="009A7DC1" w:rsidP="003406B4">
            <w:pPr>
              <w:pStyle w:val="TableText"/>
              <w:jc w:val="center"/>
              <w:rPr>
                <w:highlight w:val="darkGray"/>
              </w:rPr>
            </w:pPr>
            <w:r w:rsidRPr="009A7DC1">
              <w:rPr>
                <w:rFonts w:hint="eastAsia"/>
                <w:color w:val="000000"/>
                <w:w w:val="19"/>
                <w:shd w:val="solid" w:color="000000" w:fill="000000"/>
                <w:fitText w:val="87" w:id="-1435316978"/>
                <w14:textFill>
                  <w14:solidFill>
                    <w14:srgbClr w14:val="000000">
                      <w14:alpha w14:val="100000"/>
                    </w14:srgbClr>
                  </w14:solidFill>
                </w14:textFill>
              </w:rPr>
              <w:t xml:space="preserve">　</w:t>
            </w:r>
            <w:r w:rsidRPr="009A7DC1">
              <w:rPr>
                <w:color w:val="000000"/>
                <w:w w:val="19"/>
                <w:shd w:val="solid" w:color="000000" w:fill="000000"/>
                <w:fitText w:val="87" w:id="-1435316978"/>
                <w14:textFill>
                  <w14:solidFill>
                    <w14:srgbClr w14:val="000000">
                      <w14:alpha w14:val="100000"/>
                    </w14:srgbClr>
                  </w14:solidFill>
                </w14:textFill>
              </w:rPr>
              <w:t>|</w:t>
            </w:r>
            <w:r w:rsidRPr="009A7DC1">
              <w:rPr>
                <w:rFonts w:hint="eastAsia"/>
                <w:color w:val="000000"/>
                <w:spacing w:val="3"/>
                <w:w w:val="19"/>
                <w:shd w:val="solid" w:color="000000" w:fill="000000"/>
                <w:fitText w:val="87" w:id="-1435316978"/>
                <w14:textFill>
                  <w14:solidFill>
                    <w14:srgbClr w14:val="000000">
                      <w14:alpha w14:val="100000"/>
                    </w14:srgbClr>
                  </w14:solidFill>
                </w14:textFill>
              </w:rPr>
              <w:t xml:space="preserve">　</w:t>
            </w:r>
            <w:r w:rsidR="00821887">
              <w:rPr>
                <w:vertAlign w:val="superscript"/>
              </w:rPr>
              <w:t>4</w:t>
            </w:r>
          </w:p>
        </w:tc>
      </w:tr>
      <w:tr w:rsidR="00694509" w:rsidRPr="003455D2" w14:paraId="4D0E98B7" w14:textId="77777777" w:rsidTr="003406B4">
        <w:tc>
          <w:tcPr>
            <w:tcW w:w="1574" w:type="pct"/>
            <w:shd w:val="clear" w:color="auto" w:fill="auto"/>
            <w:vAlign w:val="center"/>
          </w:tcPr>
          <w:p w14:paraId="0E1E33F7" w14:textId="77777777" w:rsidR="00694509" w:rsidRDefault="00694509" w:rsidP="003406B4">
            <w:pPr>
              <w:pStyle w:val="TableText"/>
            </w:pPr>
            <w:r>
              <w:t>On-treatment fracture (20.94%)</w:t>
            </w:r>
          </w:p>
        </w:tc>
        <w:tc>
          <w:tcPr>
            <w:tcW w:w="569" w:type="pct"/>
            <w:shd w:val="clear" w:color="auto" w:fill="auto"/>
          </w:tcPr>
          <w:p w14:paraId="37BC36F1" w14:textId="1B9390E2" w:rsidR="00694509" w:rsidRPr="006A5352" w:rsidRDefault="009A7DC1" w:rsidP="003406B4">
            <w:pPr>
              <w:pStyle w:val="TableText"/>
              <w:jc w:val="center"/>
              <w:rPr>
                <w:highlight w:val="darkGray"/>
              </w:rPr>
            </w:pPr>
            <w:r w:rsidRPr="009A7DC1">
              <w:rPr>
                <w:rFonts w:hint="eastAsia"/>
                <w:color w:val="000000"/>
                <w:w w:val="25"/>
                <w:shd w:val="solid" w:color="000000" w:fill="000000"/>
                <w:fitText w:val="113" w:id="-1435316977"/>
                <w14:textFill>
                  <w14:solidFill>
                    <w14:srgbClr w14:val="000000">
                      <w14:alpha w14:val="100000"/>
                    </w14:srgbClr>
                  </w14:solidFill>
                </w14:textFill>
              </w:rPr>
              <w:t xml:space="preserve">　</w:t>
            </w:r>
            <w:r w:rsidRPr="009A7DC1">
              <w:rPr>
                <w:color w:val="000000"/>
                <w:w w:val="25"/>
                <w:shd w:val="solid" w:color="000000" w:fill="000000"/>
                <w:fitText w:val="113" w:id="-1435316977"/>
                <w14:textFill>
                  <w14:solidFill>
                    <w14:srgbClr w14:val="000000">
                      <w14:alpha w14:val="100000"/>
                    </w14:srgbClr>
                  </w14:solidFill>
                </w14:textFill>
              </w:rPr>
              <w:t>|</w:t>
            </w:r>
            <w:r w:rsidRPr="009A7DC1">
              <w:rPr>
                <w:rFonts w:hint="eastAsia"/>
                <w:color w:val="000000"/>
                <w:spacing w:val="2"/>
                <w:w w:val="25"/>
                <w:shd w:val="solid" w:color="000000" w:fill="000000"/>
                <w:fitText w:val="113" w:id="-1435316977"/>
                <w14:textFill>
                  <w14:solidFill>
                    <w14:srgbClr w14:val="000000">
                      <w14:alpha w14:val="100000"/>
                    </w14:srgbClr>
                  </w14:solidFill>
                </w14:textFill>
              </w:rPr>
              <w:t xml:space="preserve">　</w:t>
            </w:r>
            <w:r w:rsidRPr="009A7DC1">
              <w:t xml:space="preserve"> </w:t>
            </w:r>
            <w:r w:rsidR="00821887">
              <w:rPr>
                <w:vertAlign w:val="superscript"/>
              </w:rPr>
              <w:t>6</w:t>
            </w:r>
          </w:p>
        </w:tc>
        <w:tc>
          <w:tcPr>
            <w:tcW w:w="571" w:type="pct"/>
            <w:shd w:val="clear" w:color="auto" w:fill="auto"/>
          </w:tcPr>
          <w:p w14:paraId="4A948C79" w14:textId="4A982401" w:rsidR="00694509" w:rsidRPr="006A5352" w:rsidRDefault="009A7DC1" w:rsidP="003406B4">
            <w:pPr>
              <w:pStyle w:val="TableText"/>
              <w:jc w:val="center"/>
              <w:rPr>
                <w:highlight w:val="darkGray"/>
              </w:rPr>
            </w:pPr>
            <w:r w:rsidRPr="009A7DC1">
              <w:rPr>
                <w:rFonts w:hint="eastAsia"/>
                <w:color w:val="000000"/>
                <w:w w:val="25"/>
                <w:shd w:val="solid" w:color="000000" w:fill="000000"/>
                <w:fitText w:val="113" w:id="-1435316976"/>
                <w14:textFill>
                  <w14:solidFill>
                    <w14:srgbClr w14:val="000000">
                      <w14:alpha w14:val="100000"/>
                    </w14:srgbClr>
                  </w14:solidFill>
                </w14:textFill>
              </w:rPr>
              <w:t xml:space="preserve">　</w:t>
            </w:r>
            <w:r w:rsidRPr="009A7DC1">
              <w:rPr>
                <w:color w:val="000000"/>
                <w:w w:val="25"/>
                <w:shd w:val="solid" w:color="000000" w:fill="000000"/>
                <w:fitText w:val="113" w:id="-1435316976"/>
                <w14:textFill>
                  <w14:solidFill>
                    <w14:srgbClr w14:val="000000">
                      <w14:alpha w14:val="100000"/>
                    </w14:srgbClr>
                  </w14:solidFill>
                </w14:textFill>
              </w:rPr>
              <w:t>|</w:t>
            </w:r>
            <w:r w:rsidRPr="009A7DC1">
              <w:rPr>
                <w:rFonts w:hint="eastAsia"/>
                <w:color w:val="000000"/>
                <w:spacing w:val="2"/>
                <w:w w:val="25"/>
                <w:shd w:val="solid" w:color="000000" w:fill="000000"/>
                <w:fitText w:val="113" w:id="-1435316976"/>
                <w14:textFill>
                  <w14:solidFill>
                    <w14:srgbClr w14:val="000000">
                      <w14:alpha w14:val="100000"/>
                    </w14:srgbClr>
                  </w14:solidFill>
                </w14:textFill>
              </w:rPr>
              <w:t xml:space="preserve">　</w:t>
            </w:r>
            <w:r w:rsidRPr="009A7DC1">
              <w:t xml:space="preserve"> </w:t>
            </w:r>
            <w:r w:rsidR="00821887">
              <w:rPr>
                <w:vertAlign w:val="superscript"/>
              </w:rPr>
              <w:t>6</w:t>
            </w:r>
          </w:p>
        </w:tc>
        <w:tc>
          <w:tcPr>
            <w:tcW w:w="571" w:type="pct"/>
            <w:shd w:val="clear" w:color="auto" w:fill="auto"/>
          </w:tcPr>
          <w:p w14:paraId="3FDDDE64" w14:textId="31DC15FB" w:rsidR="00694509" w:rsidRPr="006A5352" w:rsidRDefault="009A7DC1" w:rsidP="003406B4">
            <w:pPr>
              <w:pStyle w:val="TableText"/>
              <w:jc w:val="center"/>
              <w:rPr>
                <w:highlight w:val="darkGray"/>
              </w:rPr>
            </w:pPr>
            <w:r w:rsidRPr="009A7DC1">
              <w:rPr>
                <w:rFonts w:hint="eastAsia"/>
                <w:color w:val="000000"/>
                <w:w w:val="25"/>
                <w:shd w:val="solid" w:color="000000" w:fill="000000"/>
                <w:fitText w:val="112" w:id="-1435316992"/>
                <w14:textFill>
                  <w14:solidFill>
                    <w14:srgbClr w14:val="000000">
                      <w14:alpha w14:val="100000"/>
                    </w14:srgbClr>
                  </w14:solidFill>
                </w14:textFill>
              </w:rPr>
              <w:t xml:space="preserve">　</w:t>
            </w:r>
            <w:r w:rsidRPr="009A7DC1">
              <w:rPr>
                <w:color w:val="000000"/>
                <w:w w:val="25"/>
                <w:shd w:val="solid" w:color="000000" w:fill="000000"/>
                <w:fitText w:val="112" w:id="-1435316992"/>
                <w14:textFill>
                  <w14:solidFill>
                    <w14:srgbClr w14:val="000000">
                      <w14:alpha w14:val="100000"/>
                    </w14:srgbClr>
                  </w14:solidFill>
                </w14:textFill>
              </w:rPr>
              <w:t>|</w:t>
            </w:r>
            <w:r w:rsidRPr="009A7DC1">
              <w:rPr>
                <w:rFonts w:hint="eastAsia"/>
                <w:color w:val="000000"/>
                <w:spacing w:val="1"/>
                <w:w w:val="25"/>
                <w:shd w:val="solid" w:color="000000" w:fill="000000"/>
                <w:fitText w:val="112" w:id="-1435316992"/>
                <w14:textFill>
                  <w14:solidFill>
                    <w14:srgbClr w14:val="000000">
                      <w14:alpha w14:val="100000"/>
                    </w14:srgbClr>
                  </w14:solidFill>
                </w14:textFill>
              </w:rPr>
              <w:t xml:space="preserve">　</w:t>
            </w:r>
            <w:r w:rsidRPr="009A7DC1">
              <w:t xml:space="preserve"> </w:t>
            </w:r>
            <w:r w:rsidR="00821887">
              <w:rPr>
                <w:vertAlign w:val="superscript"/>
              </w:rPr>
              <w:t>6</w:t>
            </w:r>
          </w:p>
        </w:tc>
        <w:tc>
          <w:tcPr>
            <w:tcW w:w="571" w:type="pct"/>
            <w:shd w:val="clear" w:color="auto" w:fill="auto"/>
          </w:tcPr>
          <w:p w14:paraId="3DA97367" w14:textId="5433FE0D" w:rsidR="00694509" w:rsidRPr="006A5352" w:rsidRDefault="009A7DC1" w:rsidP="003406B4">
            <w:pPr>
              <w:pStyle w:val="TableText"/>
              <w:jc w:val="center"/>
              <w:rPr>
                <w:highlight w:val="darkGray"/>
              </w:rPr>
            </w:pPr>
            <w:r w:rsidRPr="009A7DC1">
              <w:rPr>
                <w:rFonts w:hint="eastAsia"/>
                <w:color w:val="000000"/>
                <w:w w:val="31"/>
                <w:shd w:val="solid" w:color="000000" w:fill="000000"/>
                <w:fitText w:val="138" w:id="-1435316991"/>
                <w14:textFill>
                  <w14:solidFill>
                    <w14:srgbClr w14:val="000000">
                      <w14:alpha w14:val="100000"/>
                    </w14:srgbClr>
                  </w14:solidFill>
                </w14:textFill>
              </w:rPr>
              <w:t xml:space="preserve">　</w:t>
            </w:r>
            <w:r w:rsidRPr="009A7DC1">
              <w:rPr>
                <w:color w:val="000000"/>
                <w:w w:val="31"/>
                <w:shd w:val="solid" w:color="000000" w:fill="000000"/>
                <w:fitText w:val="138" w:id="-1435316991"/>
                <w14:textFill>
                  <w14:solidFill>
                    <w14:srgbClr w14:val="000000">
                      <w14:alpha w14:val="100000"/>
                    </w14:srgbClr>
                  </w14:solidFill>
                </w14:textFill>
              </w:rPr>
              <w:t>|</w:t>
            </w:r>
            <w:r w:rsidRPr="009A7DC1">
              <w:rPr>
                <w:rFonts w:hint="eastAsia"/>
                <w:color w:val="000000"/>
                <w:spacing w:val="2"/>
                <w:w w:val="31"/>
                <w:shd w:val="solid" w:color="000000" w:fill="000000"/>
                <w:fitText w:val="138" w:id="-1435316991"/>
                <w14:textFill>
                  <w14:solidFill>
                    <w14:srgbClr w14:val="000000">
                      <w14:alpha w14:val="100000"/>
                    </w14:srgbClr>
                  </w14:solidFill>
                </w14:textFill>
              </w:rPr>
              <w:t xml:space="preserve">　</w:t>
            </w:r>
            <w:r w:rsidRPr="009A7DC1">
              <w:t xml:space="preserve"> </w:t>
            </w:r>
            <w:r w:rsidR="00540BA2">
              <w:rPr>
                <w:vertAlign w:val="superscript"/>
              </w:rPr>
              <w:t>11</w:t>
            </w:r>
          </w:p>
        </w:tc>
        <w:tc>
          <w:tcPr>
            <w:tcW w:w="571" w:type="pct"/>
            <w:shd w:val="clear" w:color="auto" w:fill="auto"/>
          </w:tcPr>
          <w:p w14:paraId="28BCFE6D" w14:textId="7F0F27BB" w:rsidR="00694509" w:rsidRPr="006A5352" w:rsidRDefault="009A7DC1" w:rsidP="003406B4">
            <w:pPr>
              <w:pStyle w:val="TableText"/>
              <w:jc w:val="center"/>
              <w:rPr>
                <w:highlight w:val="darkGray"/>
              </w:rPr>
            </w:pPr>
            <w:r w:rsidRPr="009A7DC1">
              <w:rPr>
                <w:rFonts w:hint="eastAsia"/>
                <w:color w:val="000000"/>
                <w:w w:val="30"/>
                <w:shd w:val="solid" w:color="000000" w:fill="000000"/>
                <w:fitText w:val="137" w:id="-1435316990"/>
                <w14:textFill>
                  <w14:solidFill>
                    <w14:srgbClr w14:val="000000">
                      <w14:alpha w14:val="100000"/>
                    </w14:srgbClr>
                  </w14:solidFill>
                </w14:textFill>
              </w:rPr>
              <w:t xml:space="preserve">　</w:t>
            </w:r>
            <w:r w:rsidRPr="009A7DC1">
              <w:rPr>
                <w:color w:val="000000"/>
                <w:w w:val="30"/>
                <w:shd w:val="solid" w:color="000000" w:fill="000000"/>
                <w:fitText w:val="137" w:id="-1435316990"/>
                <w14:textFill>
                  <w14:solidFill>
                    <w14:srgbClr w14:val="000000">
                      <w14:alpha w14:val="100000"/>
                    </w14:srgbClr>
                  </w14:solidFill>
                </w14:textFill>
              </w:rPr>
              <w:t>|</w:t>
            </w:r>
            <w:r w:rsidRPr="009A7DC1">
              <w:rPr>
                <w:rFonts w:hint="eastAsia"/>
                <w:color w:val="000000"/>
                <w:spacing w:val="5"/>
                <w:w w:val="30"/>
                <w:shd w:val="solid" w:color="000000" w:fill="000000"/>
                <w:fitText w:val="137" w:id="-1435316990"/>
                <w14:textFill>
                  <w14:solidFill>
                    <w14:srgbClr w14:val="000000">
                      <w14:alpha w14:val="100000"/>
                    </w14:srgbClr>
                  </w14:solidFill>
                </w14:textFill>
              </w:rPr>
              <w:t xml:space="preserve">　</w:t>
            </w:r>
            <w:r w:rsidRPr="009A7DC1">
              <w:t xml:space="preserve"> </w:t>
            </w:r>
            <w:r w:rsidR="00540BA2">
              <w:rPr>
                <w:vertAlign w:val="superscript"/>
              </w:rPr>
              <w:t>11</w:t>
            </w:r>
          </w:p>
        </w:tc>
        <w:tc>
          <w:tcPr>
            <w:tcW w:w="573" w:type="pct"/>
            <w:shd w:val="clear" w:color="auto" w:fill="auto"/>
          </w:tcPr>
          <w:p w14:paraId="7579646D" w14:textId="36A2D169" w:rsidR="00694509" w:rsidRPr="006A5352" w:rsidRDefault="009A7DC1" w:rsidP="003406B4">
            <w:pPr>
              <w:pStyle w:val="TableText"/>
              <w:jc w:val="center"/>
              <w:rPr>
                <w:highlight w:val="darkGray"/>
              </w:rPr>
            </w:pPr>
            <w:r w:rsidRPr="009A7DC1">
              <w:rPr>
                <w:rFonts w:hint="eastAsia"/>
                <w:color w:val="000000"/>
                <w:w w:val="31"/>
                <w:shd w:val="solid" w:color="000000" w:fill="000000"/>
                <w:fitText w:val="138" w:id="-1435316989"/>
                <w14:textFill>
                  <w14:solidFill>
                    <w14:srgbClr w14:val="000000">
                      <w14:alpha w14:val="100000"/>
                    </w14:srgbClr>
                  </w14:solidFill>
                </w14:textFill>
              </w:rPr>
              <w:t xml:space="preserve">　</w:t>
            </w:r>
            <w:r w:rsidRPr="009A7DC1">
              <w:rPr>
                <w:color w:val="000000"/>
                <w:w w:val="31"/>
                <w:shd w:val="solid" w:color="000000" w:fill="000000"/>
                <w:fitText w:val="138" w:id="-1435316989"/>
                <w14:textFill>
                  <w14:solidFill>
                    <w14:srgbClr w14:val="000000">
                      <w14:alpha w14:val="100000"/>
                    </w14:srgbClr>
                  </w14:solidFill>
                </w14:textFill>
              </w:rPr>
              <w:t>|</w:t>
            </w:r>
            <w:r w:rsidRPr="009A7DC1">
              <w:rPr>
                <w:rFonts w:hint="eastAsia"/>
                <w:color w:val="000000"/>
                <w:spacing w:val="2"/>
                <w:w w:val="31"/>
                <w:shd w:val="solid" w:color="000000" w:fill="000000"/>
                <w:fitText w:val="138" w:id="-1435316989"/>
                <w14:textFill>
                  <w14:solidFill>
                    <w14:srgbClr w14:val="000000">
                      <w14:alpha w14:val="100000"/>
                    </w14:srgbClr>
                  </w14:solidFill>
                </w14:textFill>
              </w:rPr>
              <w:t xml:space="preserve">　</w:t>
            </w:r>
            <w:r w:rsidRPr="009A7DC1">
              <w:t xml:space="preserve"> </w:t>
            </w:r>
            <w:r w:rsidR="00540BA2">
              <w:rPr>
                <w:vertAlign w:val="superscript"/>
              </w:rPr>
              <w:t>11</w:t>
            </w:r>
          </w:p>
        </w:tc>
      </w:tr>
      <w:tr w:rsidR="00694509" w:rsidRPr="003455D2" w14:paraId="3726491C" w14:textId="77777777" w:rsidTr="003406B4">
        <w:tc>
          <w:tcPr>
            <w:tcW w:w="1574" w:type="pct"/>
            <w:shd w:val="clear" w:color="auto" w:fill="auto"/>
            <w:vAlign w:val="center"/>
          </w:tcPr>
          <w:p w14:paraId="44058CB5" w14:textId="77777777" w:rsidR="00694509" w:rsidRDefault="00694509" w:rsidP="003406B4">
            <w:pPr>
              <w:pStyle w:val="TableText"/>
            </w:pPr>
            <w:r>
              <w:t>Uptake</w:t>
            </w:r>
          </w:p>
        </w:tc>
        <w:tc>
          <w:tcPr>
            <w:tcW w:w="569" w:type="pct"/>
            <w:shd w:val="clear" w:color="auto" w:fill="auto"/>
            <w:vAlign w:val="center"/>
          </w:tcPr>
          <w:p w14:paraId="23F3C8A2" w14:textId="54D0E3C4" w:rsidR="00694509" w:rsidRPr="007E39C0" w:rsidRDefault="009A7DC1" w:rsidP="003406B4">
            <w:pPr>
              <w:pStyle w:val="TableText"/>
              <w:jc w:val="center"/>
            </w:pPr>
            <w:r w:rsidRPr="009A7DC1">
              <w:rPr>
                <w:rFonts w:hint="eastAsia"/>
                <w:color w:val="000000"/>
                <w:w w:val="31"/>
                <w:shd w:val="solid" w:color="000000" w:fill="000000"/>
                <w:fitText w:val="138" w:id="-1435316988"/>
                <w14:textFill>
                  <w14:solidFill>
                    <w14:srgbClr w14:val="000000">
                      <w14:alpha w14:val="100000"/>
                    </w14:srgbClr>
                  </w14:solidFill>
                </w14:textFill>
              </w:rPr>
              <w:t xml:space="preserve">　</w:t>
            </w:r>
            <w:r w:rsidRPr="009A7DC1">
              <w:rPr>
                <w:color w:val="000000"/>
                <w:w w:val="31"/>
                <w:shd w:val="solid" w:color="000000" w:fill="000000"/>
                <w:fitText w:val="138" w:id="-1435316988"/>
                <w14:textFill>
                  <w14:solidFill>
                    <w14:srgbClr w14:val="000000">
                      <w14:alpha w14:val="100000"/>
                    </w14:srgbClr>
                  </w14:solidFill>
                </w14:textFill>
              </w:rPr>
              <w:t>|</w:t>
            </w:r>
            <w:r w:rsidRPr="009A7DC1">
              <w:rPr>
                <w:rFonts w:hint="eastAsia"/>
                <w:color w:val="000000"/>
                <w:spacing w:val="2"/>
                <w:w w:val="31"/>
                <w:shd w:val="solid" w:color="000000" w:fill="000000"/>
                <w:fitText w:val="138" w:id="-1435316988"/>
                <w14:textFill>
                  <w14:solidFill>
                    <w14:srgbClr w14:val="000000">
                      <w14:alpha w14:val="100000"/>
                    </w14:srgbClr>
                  </w14:solidFill>
                </w14:textFill>
              </w:rPr>
              <w:t xml:space="preserve">　</w:t>
            </w:r>
            <w:r w:rsidR="00694509" w:rsidRPr="007E39C0">
              <w:t>%</w:t>
            </w:r>
          </w:p>
        </w:tc>
        <w:tc>
          <w:tcPr>
            <w:tcW w:w="571" w:type="pct"/>
            <w:shd w:val="clear" w:color="auto" w:fill="auto"/>
            <w:vAlign w:val="center"/>
          </w:tcPr>
          <w:p w14:paraId="5A64B043" w14:textId="431F5F46" w:rsidR="00694509" w:rsidRPr="007E39C0" w:rsidRDefault="009A7DC1" w:rsidP="003406B4">
            <w:pPr>
              <w:pStyle w:val="TableText"/>
              <w:jc w:val="center"/>
            </w:pPr>
            <w:r w:rsidRPr="009A7DC1">
              <w:rPr>
                <w:rFonts w:hint="eastAsia"/>
                <w:color w:val="000000"/>
                <w:w w:val="31"/>
                <w:shd w:val="solid" w:color="000000" w:fill="000000"/>
                <w:fitText w:val="138" w:id="-1435316987"/>
                <w14:textFill>
                  <w14:solidFill>
                    <w14:srgbClr w14:val="000000">
                      <w14:alpha w14:val="100000"/>
                    </w14:srgbClr>
                  </w14:solidFill>
                </w14:textFill>
              </w:rPr>
              <w:t xml:space="preserve">　</w:t>
            </w:r>
            <w:r w:rsidRPr="009A7DC1">
              <w:rPr>
                <w:color w:val="000000"/>
                <w:w w:val="31"/>
                <w:shd w:val="solid" w:color="000000" w:fill="000000"/>
                <w:fitText w:val="138" w:id="-1435316987"/>
                <w14:textFill>
                  <w14:solidFill>
                    <w14:srgbClr w14:val="000000">
                      <w14:alpha w14:val="100000"/>
                    </w14:srgbClr>
                  </w14:solidFill>
                </w14:textFill>
              </w:rPr>
              <w:t>|</w:t>
            </w:r>
            <w:r w:rsidRPr="009A7DC1">
              <w:rPr>
                <w:rFonts w:hint="eastAsia"/>
                <w:color w:val="000000"/>
                <w:spacing w:val="2"/>
                <w:w w:val="31"/>
                <w:shd w:val="solid" w:color="000000" w:fill="000000"/>
                <w:fitText w:val="138" w:id="-1435316987"/>
                <w14:textFill>
                  <w14:solidFill>
                    <w14:srgbClr w14:val="000000">
                      <w14:alpha w14:val="100000"/>
                    </w14:srgbClr>
                  </w14:solidFill>
                </w14:textFill>
              </w:rPr>
              <w:t xml:space="preserve">　</w:t>
            </w:r>
            <w:r w:rsidR="00694509" w:rsidRPr="007E39C0">
              <w:t>%</w:t>
            </w:r>
          </w:p>
        </w:tc>
        <w:tc>
          <w:tcPr>
            <w:tcW w:w="571" w:type="pct"/>
            <w:shd w:val="clear" w:color="auto" w:fill="auto"/>
            <w:vAlign w:val="center"/>
          </w:tcPr>
          <w:p w14:paraId="63CAEA22" w14:textId="2DE1C986" w:rsidR="00694509" w:rsidRPr="007E39C0" w:rsidRDefault="009A7DC1" w:rsidP="003406B4">
            <w:pPr>
              <w:pStyle w:val="TableText"/>
              <w:jc w:val="center"/>
            </w:pPr>
            <w:r w:rsidRPr="009A7DC1">
              <w:rPr>
                <w:rFonts w:hint="eastAsia"/>
                <w:color w:val="000000"/>
                <w:w w:val="30"/>
                <w:shd w:val="solid" w:color="000000" w:fill="000000"/>
                <w:fitText w:val="137" w:id="-1435316986"/>
                <w14:textFill>
                  <w14:solidFill>
                    <w14:srgbClr w14:val="000000">
                      <w14:alpha w14:val="100000"/>
                    </w14:srgbClr>
                  </w14:solidFill>
                </w14:textFill>
              </w:rPr>
              <w:t xml:space="preserve">　</w:t>
            </w:r>
            <w:r w:rsidRPr="009A7DC1">
              <w:rPr>
                <w:color w:val="000000"/>
                <w:w w:val="30"/>
                <w:shd w:val="solid" w:color="000000" w:fill="000000"/>
                <w:fitText w:val="137" w:id="-1435316986"/>
                <w14:textFill>
                  <w14:solidFill>
                    <w14:srgbClr w14:val="000000">
                      <w14:alpha w14:val="100000"/>
                    </w14:srgbClr>
                  </w14:solidFill>
                </w14:textFill>
              </w:rPr>
              <w:t>|</w:t>
            </w:r>
            <w:r w:rsidRPr="009A7DC1">
              <w:rPr>
                <w:rFonts w:hint="eastAsia"/>
                <w:color w:val="000000"/>
                <w:spacing w:val="5"/>
                <w:w w:val="30"/>
                <w:shd w:val="solid" w:color="000000" w:fill="000000"/>
                <w:fitText w:val="137" w:id="-1435316986"/>
                <w14:textFill>
                  <w14:solidFill>
                    <w14:srgbClr w14:val="000000">
                      <w14:alpha w14:val="100000"/>
                    </w14:srgbClr>
                  </w14:solidFill>
                </w14:textFill>
              </w:rPr>
              <w:t xml:space="preserve">　</w:t>
            </w:r>
            <w:r w:rsidR="00694509" w:rsidRPr="007E39C0">
              <w:t>%</w:t>
            </w:r>
          </w:p>
        </w:tc>
        <w:tc>
          <w:tcPr>
            <w:tcW w:w="571" w:type="pct"/>
            <w:shd w:val="clear" w:color="auto" w:fill="auto"/>
            <w:vAlign w:val="center"/>
          </w:tcPr>
          <w:p w14:paraId="7A84F47D" w14:textId="01A492F0" w:rsidR="00694509" w:rsidRPr="007E39C0" w:rsidRDefault="009A7DC1" w:rsidP="003406B4">
            <w:pPr>
              <w:pStyle w:val="TableText"/>
              <w:jc w:val="center"/>
            </w:pPr>
            <w:r w:rsidRPr="009A7DC1">
              <w:rPr>
                <w:rFonts w:hint="eastAsia"/>
                <w:color w:val="000000"/>
                <w:w w:val="31"/>
                <w:shd w:val="solid" w:color="000000" w:fill="000000"/>
                <w:fitText w:val="138" w:id="-1435316985"/>
                <w14:textFill>
                  <w14:solidFill>
                    <w14:srgbClr w14:val="000000">
                      <w14:alpha w14:val="100000"/>
                    </w14:srgbClr>
                  </w14:solidFill>
                </w14:textFill>
              </w:rPr>
              <w:t xml:space="preserve">　</w:t>
            </w:r>
            <w:r w:rsidRPr="009A7DC1">
              <w:rPr>
                <w:color w:val="000000"/>
                <w:w w:val="31"/>
                <w:shd w:val="solid" w:color="000000" w:fill="000000"/>
                <w:fitText w:val="138" w:id="-1435316985"/>
                <w14:textFill>
                  <w14:solidFill>
                    <w14:srgbClr w14:val="000000">
                      <w14:alpha w14:val="100000"/>
                    </w14:srgbClr>
                  </w14:solidFill>
                </w14:textFill>
              </w:rPr>
              <w:t>|</w:t>
            </w:r>
            <w:r w:rsidRPr="009A7DC1">
              <w:rPr>
                <w:rFonts w:hint="eastAsia"/>
                <w:color w:val="000000"/>
                <w:spacing w:val="2"/>
                <w:w w:val="31"/>
                <w:shd w:val="solid" w:color="000000" w:fill="000000"/>
                <w:fitText w:val="138" w:id="-1435316985"/>
                <w14:textFill>
                  <w14:solidFill>
                    <w14:srgbClr w14:val="000000">
                      <w14:alpha w14:val="100000"/>
                    </w14:srgbClr>
                  </w14:solidFill>
                </w14:textFill>
              </w:rPr>
              <w:t xml:space="preserve">　</w:t>
            </w:r>
            <w:r w:rsidR="00694509" w:rsidRPr="007E39C0">
              <w:t>%</w:t>
            </w:r>
          </w:p>
        </w:tc>
        <w:tc>
          <w:tcPr>
            <w:tcW w:w="571" w:type="pct"/>
            <w:shd w:val="clear" w:color="auto" w:fill="auto"/>
            <w:vAlign w:val="center"/>
          </w:tcPr>
          <w:p w14:paraId="59A44CF4" w14:textId="127265F4" w:rsidR="00694509" w:rsidRPr="007E39C0" w:rsidRDefault="009A7DC1" w:rsidP="003406B4">
            <w:pPr>
              <w:pStyle w:val="TableText"/>
              <w:jc w:val="center"/>
            </w:pPr>
            <w:r w:rsidRPr="009A7DC1">
              <w:rPr>
                <w:rFonts w:hint="eastAsia"/>
                <w:color w:val="000000"/>
                <w:w w:val="30"/>
                <w:shd w:val="solid" w:color="000000" w:fill="000000"/>
                <w:fitText w:val="137" w:id="-1435316984"/>
                <w14:textFill>
                  <w14:solidFill>
                    <w14:srgbClr w14:val="000000">
                      <w14:alpha w14:val="100000"/>
                    </w14:srgbClr>
                  </w14:solidFill>
                </w14:textFill>
              </w:rPr>
              <w:t xml:space="preserve">　</w:t>
            </w:r>
            <w:r w:rsidRPr="009A7DC1">
              <w:rPr>
                <w:color w:val="000000"/>
                <w:w w:val="30"/>
                <w:shd w:val="solid" w:color="000000" w:fill="000000"/>
                <w:fitText w:val="137" w:id="-1435316984"/>
                <w14:textFill>
                  <w14:solidFill>
                    <w14:srgbClr w14:val="000000">
                      <w14:alpha w14:val="100000"/>
                    </w14:srgbClr>
                  </w14:solidFill>
                </w14:textFill>
              </w:rPr>
              <w:t>|</w:t>
            </w:r>
            <w:r w:rsidRPr="009A7DC1">
              <w:rPr>
                <w:rFonts w:hint="eastAsia"/>
                <w:color w:val="000000"/>
                <w:spacing w:val="5"/>
                <w:w w:val="30"/>
                <w:shd w:val="solid" w:color="000000" w:fill="000000"/>
                <w:fitText w:val="137" w:id="-1435316984"/>
                <w14:textFill>
                  <w14:solidFill>
                    <w14:srgbClr w14:val="000000">
                      <w14:alpha w14:val="100000"/>
                    </w14:srgbClr>
                  </w14:solidFill>
                </w14:textFill>
              </w:rPr>
              <w:t xml:space="preserve">　</w:t>
            </w:r>
            <w:r w:rsidR="00694509" w:rsidRPr="007E39C0">
              <w:t>%</w:t>
            </w:r>
          </w:p>
        </w:tc>
        <w:tc>
          <w:tcPr>
            <w:tcW w:w="573" w:type="pct"/>
            <w:shd w:val="clear" w:color="auto" w:fill="auto"/>
            <w:vAlign w:val="center"/>
          </w:tcPr>
          <w:p w14:paraId="0F291C10" w14:textId="6B789C1B" w:rsidR="00694509" w:rsidRPr="007E39C0" w:rsidRDefault="009A7DC1" w:rsidP="003406B4">
            <w:pPr>
              <w:pStyle w:val="TableText"/>
              <w:jc w:val="center"/>
            </w:pPr>
            <w:r w:rsidRPr="009A7DC1">
              <w:rPr>
                <w:rFonts w:hint="eastAsia"/>
                <w:color w:val="000000"/>
                <w:w w:val="31"/>
                <w:shd w:val="solid" w:color="000000" w:fill="000000"/>
                <w:fitText w:val="138" w:id="-1435316983"/>
                <w14:textFill>
                  <w14:solidFill>
                    <w14:srgbClr w14:val="000000">
                      <w14:alpha w14:val="100000"/>
                    </w14:srgbClr>
                  </w14:solidFill>
                </w14:textFill>
              </w:rPr>
              <w:t xml:space="preserve">　</w:t>
            </w:r>
            <w:r w:rsidRPr="009A7DC1">
              <w:rPr>
                <w:color w:val="000000"/>
                <w:w w:val="31"/>
                <w:shd w:val="solid" w:color="000000" w:fill="000000"/>
                <w:fitText w:val="138" w:id="-1435316983"/>
                <w14:textFill>
                  <w14:solidFill>
                    <w14:srgbClr w14:val="000000">
                      <w14:alpha w14:val="100000"/>
                    </w14:srgbClr>
                  </w14:solidFill>
                </w14:textFill>
              </w:rPr>
              <w:t>|</w:t>
            </w:r>
            <w:r w:rsidRPr="009A7DC1">
              <w:rPr>
                <w:rFonts w:hint="eastAsia"/>
                <w:color w:val="000000"/>
                <w:spacing w:val="2"/>
                <w:w w:val="31"/>
                <w:shd w:val="solid" w:color="000000" w:fill="000000"/>
                <w:fitText w:val="138" w:id="-1435316983"/>
                <w14:textFill>
                  <w14:solidFill>
                    <w14:srgbClr w14:val="000000">
                      <w14:alpha w14:val="100000"/>
                    </w14:srgbClr>
                  </w14:solidFill>
                </w14:textFill>
              </w:rPr>
              <w:t xml:space="preserve">　</w:t>
            </w:r>
            <w:r w:rsidR="00694509" w:rsidRPr="007E39C0">
              <w:t>%</w:t>
            </w:r>
          </w:p>
        </w:tc>
      </w:tr>
      <w:tr w:rsidR="00694509" w:rsidRPr="003455D2" w14:paraId="056B69BC" w14:textId="77777777" w:rsidTr="003406B4">
        <w:tc>
          <w:tcPr>
            <w:tcW w:w="1574" w:type="pct"/>
            <w:shd w:val="clear" w:color="auto" w:fill="auto"/>
            <w:vAlign w:val="center"/>
          </w:tcPr>
          <w:p w14:paraId="52CF92F5" w14:textId="77777777" w:rsidR="00694509" w:rsidRDefault="00694509" w:rsidP="003406B4">
            <w:pPr>
              <w:pStyle w:val="TableText"/>
            </w:pPr>
            <w:r>
              <w:t>Patients initiating romosozumab</w:t>
            </w:r>
          </w:p>
        </w:tc>
        <w:tc>
          <w:tcPr>
            <w:tcW w:w="569" w:type="pct"/>
            <w:shd w:val="clear" w:color="auto" w:fill="auto"/>
          </w:tcPr>
          <w:p w14:paraId="0045AE67" w14:textId="032567B7" w:rsidR="00694509" w:rsidRPr="006A5352" w:rsidRDefault="009A7DC1" w:rsidP="003406B4">
            <w:pPr>
              <w:pStyle w:val="TableText"/>
              <w:jc w:val="center"/>
              <w:rPr>
                <w:highlight w:val="darkGray"/>
              </w:rPr>
            </w:pPr>
            <w:r w:rsidRPr="009A7DC1">
              <w:rPr>
                <w:color w:val="000000"/>
                <w:spacing w:val="65"/>
                <w:shd w:val="solid" w:color="000000" w:fill="000000"/>
                <w:fitText w:val="151" w:id="-1435316982"/>
                <w14:textFill>
                  <w14:solidFill>
                    <w14:srgbClr w14:val="000000">
                      <w14:alpha w14:val="100000"/>
                    </w14:srgbClr>
                  </w14:solidFill>
                </w14:textFill>
              </w:rPr>
              <w:t>|</w:t>
            </w:r>
            <w:r w:rsidRPr="009A7DC1">
              <w:rPr>
                <w:color w:val="000000"/>
                <w:spacing w:val="1"/>
                <w:shd w:val="solid" w:color="000000" w:fill="000000"/>
                <w:fitText w:val="151" w:id="-1435316982"/>
                <w14:textFill>
                  <w14:solidFill>
                    <w14:srgbClr w14:val="000000">
                      <w14:alpha w14:val="100000"/>
                    </w14:srgbClr>
                  </w14:solidFill>
                </w14:textFill>
              </w:rPr>
              <w:t>|</w:t>
            </w:r>
            <w:r w:rsidRPr="009A7DC1">
              <w:t xml:space="preserve"> </w:t>
            </w:r>
            <w:r w:rsidR="00821887">
              <w:rPr>
                <w:vertAlign w:val="superscript"/>
              </w:rPr>
              <w:t>10</w:t>
            </w:r>
          </w:p>
        </w:tc>
        <w:tc>
          <w:tcPr>
            <w:tcW w:w="571" w:type="pct"/>
            <w:shd w:val="clear" w:color="auto" w:fill="auto"/>
          </w:tcPr>
          <w:p w14:paraId="0C406064" w14:textId="3DE36830" w:rsidR="00694509" w:rsidRPr="006A5352" w:rsidRDefault="009A7DC1" w:rsidP="003406B4">
            <w:pPr>
              <w:pStyle w:val="TableText"/>
              <w:jc w:val="center"/>
              <w:rPr>
                <w:highlight w:val="darkGray"/>
              </w:rPr>
            </w:pPr>
            <w:r w:rsidRPr="009A7DC1">
              <w:rPr>
                <w:rFonts w:hint="eastAsia"/>
                <w:color w:val="000000"/>
                <w:w w:val="31"/>
                <w:shd w:val="solid" w:color="000000" w:fill="000000"/>
                <w:fitText w:val="138" w:id="-1435316981"/>
                <w14:textFill>
                  <w14:solidFill>
                    <w14:srgbClr w14:val="000000">
                      <w14:alpha w14:val="100000"/>
                    </w14:srgbClr>
                  </w14:solidFill>
                </w14:textFill>
              </w:rPr>
              <w:t xml:space="preserve">　</w:t>
            </w:r>
            <w:r w:rsidRPr="009A7DC1">
              <w:rPr>
                <w:color w:val="000000"/>
                <w:w w:val="31"/>
                <w:shd w:val="solid" w:color="000000" w:fill="000000"/>
                <w:fitText w:val="138" w:id="-1435316981"/>
                <w14:textFill>
                  <w14:solidFill>
                    <w14:srgbClr w14:val="000000">
                      <w14:alpha w14:val="100000"/>
                    </w14:srgbClr>
                  </w14:solidFill>
                </w14:textFill>
              </w:rPr>
              <w:t>|</w:t>
            </w:r>
            <w:r w:rsidRPr="009A7DC1">
              <w:rPr>
                <w:rFonts w:hint="eastAsia"/>
                <w:color w:val="000000"/>
                <w:spacing w:val="2"/>
                <w:w w:val="31"/>
                <w:shd w:val="solid" w:color="000000" w:fill="000000"/>
                <w:fitText w:val="138" w:id="-1435316981"/>
                <w14:textFill>
                  <w14:solidFill>
                    <w14:srgbClr w14:val="000000">
                      <w14:alpha w14:val="100000"/>
                    </w14:srgbClr>
                  </w14:solidFill>
                </w14:textFill>
              </w:rPr>
              <w:t xml:space="preserve">　</w:t>
            </w:r>
            <w:r w:rsidRPr="009A7DC1">
              <w:t xml:space="preserve"> </w:t>
            </w:r>
            <w:r w:rsidR="00540BA2">
              <w:rPr>
                <w:vertAlign w:val="superscript"/>
              </w:rPr>
              <w:t>10</w:t>
            </w:r>
          </w:p>
        </w:tc>
        <w:tc>
          <w:tcPr>
            <w:tcW w:w="571" w:type="pct"/>
            <w:shd w:val="clear" w:color="auto" w:fill="auto"/>
          </w:tcPr>
          <w:p w14:paraId="1CBE8DEF" w14:textId="55E64FEE" w:rsidR="00694509" w:rsidRPr="006A5352" w:rsidRDefault="009A7DC1" w:rsidP="003406B4">
            <w:pPr>
              <w:pStyle w:val="TableText"/>
              <w:jc w:val="center"/>
              <w:rPr>
                <w:highlight w:val="darkGray"/>
              </w:rPr>
            </w:pPr>
            <w:r w:rsidRPr="009A7DC1">
              <w:rPr>
                <w:rFonts w:hint="eastAsia"/>
                <w:color w:val="000000"/>
                <w:w w:val="30"/>
                <w:shd w:val="solid" w:color="000000" w:fill="000000"/>
                <w:fitText w:val="137" w:id="-1435316980"/>
                <w14:textFill>
                  <w14:solidFill>
                    <w14:srgbClr w14:val="000000">
                      <w14:alpha w14:val="100000"/>
                    </w14:srgbClr>
                  </w14:solidFill>
                </w14:textFill>
              </w:rPr>
              <w:t xml:space="preserve">　</w:t>
            </w:r>
            <w:r w:rsidRPr="009A7DC1">
              <w:rPr>
                <w:color w:val="000000"/>
                <w:w w:val="30"/>
                <w:shd w:val="solid" w:color="000000" w:fill="000000"/>
                <w:fitText w:val="137" w:id="-1435316980"/>
                <w14:textFill>
                  <w14:solidFill>
                    <w14:srgbClr w14:val="000000">
                      <w14:alpha w14:val="100000"/>
                    </w14:srgbClr>
                  </w14:solidFill>
                </w14:textFill>
              </w:rPr>
              <w:t>|</w:t>
            </w:r>
            <w:r w:rsidRPr="009A7DC1">
              <w:rPr>
                <w:rFonts w:hint="eastAsia"/>
                <w:color w:val="000000"/>
                <w:spacing w:val="5"/>
                <w:w w:val="30"/>
                <w:shd w:val="solid" w:color="000000" w:fill="000000"/>
                <w:fitText w:val="137" w:id="-1435316980"/>
                <w14:textFill>
                  <w14:solidFill>
                    <w14:srgbClr w14:val="000000">
                      <w14:alpha w14:val="100000"/>
                    </w14:srgbClr>
                  </w14:solidFill>
                </w14:textFill>
              </w:rPr>
              <w:t xml:space="preserve">　</w:t>
            </w:r>
            <w:r w:rsidRPr="009A7DC1">
              <w:t xml:space="preserve"> </w:t>
            </w:r>
            <w:r w:rsidR="00540BA2">
              <w:rPr>
                <w:vertAlign w:val="superscript"/>
              </w:rPr>
              <w:t>10</w:t>
            </w:r>
          </w:p>
        </w:tc>
        <w:tc>
          <w:tcPr>
            <w:tcW w:w="571" w:type="pct"/>
            <w:shd w:val="clear" w:color="auto" w:fill="auto"/>
          </w:tcPr>
          <w:p w14:paraId="5557D51E" w14:textId="27186B01" w:rsidR="00694509" w:rsidRPr="006A5352" w:rsidRDefault="009A7DC1" w:rsidP="003406B4">
            <w:pPr>
              <w:pStyle w:val="TableText"/>
              <w:jc w:val="center"/>
              <w:rPr>
                <w:highlight w:val="darkGray"/>
              </w:rPr>
            </w:pPr>
            <w:r w:rsidRPr="009A7DC1">
              <w:rPr>
                <w:rFonts w:hint="eastAsia"/>
                <w:color w:val="000000"/>
                <w:w w:val="31"/>
                <w:shd w:val="solid" w:color="000000" w:fill="000000"/>
                <w:fitText w:val="138" w:id="-1435316979"/>
                <w14:textFill>
                  <w14:solidFill>
                    <w14:srgbClr w14:val="000000">
                      <w14:alpha w14:val="100000"/>
                    </w14:srgbClr>
                  </w14:solidFill>
                </w14:textFill>
              </w:rPr>
              <w:t xml:space="preserve">　</w:t>
            </w:r>
            <w:r w:rsidRPr="009A7DC1">
              <w:rPr>
                <w:color w:val="000000"/>
                <w:w w:val="31"/>
                <w:shd w:val="solid" w:color="000000" w:fill="000000"/>
                <w:fitText w:val="138" w:id="-1435316979"/>
                <w14:textFill>
                  <w14:solidFill>
                    <w14:srgbClr w14:val="000000">
                      <w14:alpha w14:val="100000"/>
                    </w14:srgbClr>
                  </w14:solidFill>
                </w14:textFill>
              </w:rPr>
              <w:t>|</w:t>
            </w:r>
            <w:r w:rsidRPr="009A7DC1">
              <w:rPr>
                <w:rFonts w:hint="eastAsia"/>
                <w:color w:val="000000"/>
                <w:spacing w:val="2"/>
                <w:w w:val="31"/>
                <w:shd w:val="solid" w:color="000000" w:fill="000000"/>
                <w:fitText w:val="138" w:id="-1435316979"/>
                <w14:textFill>
                  <w14:solidFill>
                    <w14:srgbClr w14:val="000000">
                      <w14:alpha w14:val="100000"/>
                    </w14:srgbClr>
                  </w14:solidFill>
                </w14:textFill>
              </w:rPr>
              <w:t xml:space="preserve">　</w:t>
            </w:r>
            <w:r w:rsidRPr="009A7DC1">
              <w:t xml:space="preserve"> </w:t>
            </w:r>
            <w:r w:rsidR="00540BA2">
              <w:rPr>
                <w:vertAlign w:val="superscript"/>
              </w:rPr>
              <w:t>10</w:t>
            </w:r>
          </w:p>
        </w:tc>
        <w:tc>
          <w:tcPr>
            <w:tcW w:w="571" w:type="pct"/>
            <w:shd w:val="clear" w:color="auto" w:fill="auto"/>
          </w:tcPr>
          <w:p w14:paraId="2597BF8C" w14:textId="14628DB4" w:rsidR="00694509" w:rsidRPr="006A5352" w:rsidRDefault="009A7DC1" w:rsidP="003406B4">
            <w:pPr>
              <w:pStyle w:val="TableText"/>
              <w:jc w:val="center"/>
              <w:rPr>
                <w:highlight w:val="darkGray"/>
              </w:rPr>
            </w:pPr>
            <w:r w:rsidRPr="009A7DC1">
              <w:rPr>
                <w:rFonts w:hint="eastAsia"/>
                <w:color w:val="000000"/>
                <w:w w:val="30"/>
                <w:shd w:val="solid" w:color="000000" w:fill="000000"/>
                <w:fitText w:val="137" w:id="-1435316978"/>
                <w14:textFill>
                  <w14:solidFill>
                    <w14:srgbClr w14:val="000000">
                      <w14:alpha w14:val="100000"/>
                    </w14:srgbClr>
                  </w14:solidFill>
                </w14:textFill>
              </w:rPr>
              <w:t xml:space="preserve">　</w:t>
            </w:r>
            <w:r w:rsidRPr="009A7DC1">
              <w:rPr>
                <w:color w:val="000000"/>
                <w:w w:val="30"/>
                <w:shd w:val="solid" w:color="000000" w:fill="000000"/>
                <w:fitText w:val="137" w:id="-1435316978"/>
                <w14:textFill>
                  <w14:solidFill>
                    <w14:srgbClr w14:val="000000">
                      <w14:alpha w14:val="100000"/>
                    </w14:srgbClr>
                  </w14:solidFill>
                </w14:textFill>
              </w:rPr>
              <w:t>|</w:t>
            </w:r>
            <w:r w:rsidRPr="009A7DC1">
              <w:rPr>
                <w:rFonts w:hint="eastAsia"/>
                <w:color w:val="000000"/>
                <w:spacing w:val="5"/>
                <w:w w:val="30"/>
                <w:shd w:val="solid" w:color="000000" w:fill="000000"/>
                <w:fitText w:val="137" w:id="-1435316978"/>
                <w14:textFill>
                  <w14:solidFill>
                    <w14:srgbClr w14:val="000000">
                      <w14:alpha w14:val="100000"/>
                    </w14:srgbClr>
                  </w14:solidFill>
                </w14:textFill>
              </w:rPr>
              <w:t xml:space="preserve">　</w:t>
            </w:r>
            <w:r w:rsidRPr="009A7DC1">
              <w:t xml:space="preserve"> </w:t>
            </w:r>
            <w:r w:rsidR="00540BA2">
              <w:rPr>
                <w:vertAlign w:val="superscript"/>
              </w:rPr>
              <w:t>10</w:t>
            </w:r>
          </w:p>
        </w:tc>
        <w:tc>
          <w:tcPr>
            <w:tcW w:w="573" w:type="pct"/>
            <w:shd w:val="clear" w:color="auto" w:fill="auto"/>
          </w:tcPr>
          <w:p w14:paraId="499C1F59" w14:textId="33763C6A" w:rsidR="00694509" w:rsidRPr="006A5352" w:rsidRDefault="009A7DC1" w:rsidP="003406B4">
            <w:pPr>
              <w:pStyle w:val="TableText"/>
              <w:jc w:val="center"/>
              <w:rPr>
                <w:highlight w:val="darkGray"/>
              </w:rPr>
            </w:pPr>
            <w:r w:rsidRPr="009A7DC1">
              <w:rPr>
                <w:rFonts w:hint="eastAsia"/>
                <w:color w:val="000000"/>
                <w:w w:val="31"/>
                <w:shd w:val="solid" w:color="000000" w:fill="000000"/>
                <w:fitText w:val="138" w:id="-1435316977"/>
                <w14:textFill>
                  <w14:solidFill>
                    <w14:srgbClr w14:val="000000">
                      <w14:alpha w14:val="100000"/>
                    </w14:srgbClr>
                  </w14:solidFill>
                </w14:textFill>
              </w:rPr>
              <w:t xml:space="preserve">　</w:t>
            </w:r>
            <w:r w:rsidRPr="009A7DC1">
              <w:rPr>
                <w:color w:val="000000"/>
                <w:w w:val="31"/>
                <w:shd w:val="solid" w:color="000000" w:fill="000000"/>
                <w:fitText w:val="138" w:id="-1435316977"/>
                <w14:textFill>
                  <w14:solidFill>
                    <w14:srgbClr w14:val="000000">
                      <w14:alpha w14:val="100000"/>
                    </w14:srgbClr>
                  </w14:solidFill>
                </w14:textFill>
              </w:rPr>
              <w:t>|</w:t>
            </w:r>
            <w:r w:rsidRPr="009A7DC1">
              <w:rPr>
                <w:rFonts w:hint="eastAsia"/>
                <w:color w:val="000000"/>
                <w:spacing w:val="2"/>
                <w:w w:val="31"/>
                <w:shd w:val="solid" w:color="000000" w:fill="000000"/>
                <w:fitText w:val="138" w:id="-1435316977"/>
                <w14:textFill>
                  <w14:solidFill>
                    <w14:srgbClr w14:val="000000">
                      <w14:alpha w14:val="100000"/>
                    </w14:srgbClr>
                  </w14:solidFill>
                </w14:textFill>
              </w:rPr>
              <w:t xml:space="preserve">　</w:t>
            </w:r>
            <w:r w:rsidRPr="009A7DC1">
              <w:t xml:space="preserve"> </w:t>
            </w:r>
            <w:r w:rsidR="00540BA2">
              <w:rPr>
                <w:vertAlign w:val="superscript"/>
              </w:rPr>
              <w:t>10</w:t>
            </w:r>
          </w:p>
        </w:tc>
      </w:tr>
      <w:tr w:rsidR="00694509" w:rsidRPr="003455D2" w14:paraId="6E655832" w14:textId="77777777" w:rsidTr="003406B4">
        <w:tc>
          <w:tcPr>
            <w:tcW w:w="5000" w:type="pct"/>
            <w:gridSpan w:val="7"/>
            <w:shd w:val="clear" w:color="auto" w:fill="auto"/>
            <w:vAlign w:val="center"/>
          </w:tcPr>
          <w:p w14:paraId="04C400F5" w14:textId="77777777" w:rsidR="00694509" w:rsidRPr="00597CB1" w:rsidRDefault="00694509" w:rsidP="003406B4">
            <w:pPr>
              <w:pStyle w:val="TableText"/>
              <w:rPr>
                <w:b/>
                <w:bCs w:val="0"/>
              </w:rPr>
            </w:pPr>
            <w:r w:rsidRPr="00597CB1">
              <w:rPr>
                <w:b/>
                <w:bCs w:val="0"/>
              </w:rPr>
              <w:t>Second line population with a single fracture and BMD ≤-2.5</w:t>
            </w:r>
          </w:p>
        </w:tc>
      </w:tr>
      <w:tr w:rsidR="00694509" w:rsidRPr="003455D2" w14:paraId="150BFD92" w14:textId="77777777" w:rsidTr="003406B4">
        <w:tc>
          <w:tcPr>
            <w:tcW w:w="1574" w:type="pct"/>
            <w:shd w:val="clear" w:color="auto" w:fill="auto"/>
            <w:vAlign w:val="center"/>
          </w:tcPr>
          <w:p w14:paraId="40F561E9" w14:textId="77777777" w:rsidR="00694509" w:rsidRDefault="00694509" w:rsidP="003406B4">
            <w:pPr>
              <w:pStyle w:val="TableText"/>
            </w:pPr>
            <w:r>
              <w:t>Received ≥12M treatment (67.21%)</w:t>
            </w:r>
          </w:p>
        </w:tc>
        <w:tc>
          <w:tcPr>
            <w:tcW w:w="569" w:type="pct"/>
            <w:shd w:val="clear" w:color="auto" w:fill="auto"/>
          </w:tcPr>
          <w:p w14:paraId="20BA0947" w14:textId="0A9D7EAC" w:rsidR="00694509" w:rsidRPr="006A5352" w:rsidRDefault="009A7DC1" w:rsidP="003406B4">
            <w:pPr>
              <w:pStyle w:val="TableText"/>
              <w:jc w:val="center"/>
              <w:rPr>
                <w:highlight w:val="darkGray"/>
              </w:rPr>
            </w:pPr>
            <w:r w:rsidRPr="009A7DC1">
              <w:rPr>
                <w:rFonts w:hint="eastAsia"/>
                <w:color w:val="000000"/>
                <w:w w:val="19"/>
                <w:shd w:val="solid" w:color="000000" w:fill="000000"/>
                <w:fitText w:val="88" w:id="-1435316976"/>
                <w14:textFill>
                  <w14:solidFill>
                    <w14:srgbClr w14:val="000000">
                      <w14:alpha w14:val="100000"/>
                    </w14:srgbClr>
                  </w14:solidFill>
                </w14:textFill>
              </w:rPr>
              <w:t xml:space="preserve">　</w:t>
            </w:r>
            <w:r w:rsidRPr="009A7DC1">
              <w:rPr>
                <w:color w:val="000000"/>
                <w:w w:val="19"/>
                <w:shd w:val="solid" w:color="000000" w:fill="000000"/>
                <w:fitText w:val="88" w:id="-1435316976"/>
                <w14:textFill>
                  <w14:solidFill>
                    <w14:srgbClr w14:val="000000">
                      <w14:alpha w14:val="100000"/>
                    </w14:srgbClr>
                  </w14:solidFill>
                </w14:textFill>
              </w:rPr>
              <w:t>|</w:t>
            </w:r>
            <w:r w:rsidRPr="009A7DC1">
              <w:rPr>
                <w:rFonts w:hint="eastAsia"/>
                <w:color w:val="000000"/>
                <w:spacing w:val="4"/>
                <w:w w:val="19"/>
                <w:shd w:val="solid" w:color="000000" w:fill="000000"/>
                <w:fitText w:val="88" w:id="-1435316976"/>
                <w14:textFill>
                  <w14:solidFill>
                    <w14:srgbClr w14:val="000000">
                      <w14:alpha w14:val="100000"/>
                    </w14:srgbClr>
                  </w14:solidFill>
                </w14:textFill>
              </w:rPr>
              <w:t xml:space="preserve">　</w:t>
            </w:r>
            <w:r w:rsidR="00821887">
              <w:rPr>
                <w:vertAlign w:val="superscript"/>
              </w:rPr>
              <w:t>7</w:t>
            </w:r>
          </w:p>
        </w:tc>
        <w:tc>
          <w:tcPr>
            <w:tcW w:w="571" w:type="pct"/>
            <w:shd w:val="clear" w:color="auto" w:fill="auto"/>
          </w:tcPr>
          <w:p w14:paraId="1C02B645" w14:textId="50364B81" w:rsidR="00694509" w:rsidRPr="006A5352" w:rsidRDefault="009A7DC1" w:rsidP="003406B4">
            <w:pPr>
              <w:pStyle w:val="TableText"/>
              <w:jc w:val="center"/>
              <w:rPr>
                <w:highlight w:val="darkGray"/>
              </w:rPr>
            </w:pPr>
            <w:r w:rsidRPr="009A7DC1">
              <w:rPr>
                <w:rFonts w:hint="eastAsia"/>
                <w:color w:val="000000"/>
                <w:w w:val="19"/>
                <w:shd w:val="solid" w:color="000000" w:fill="000000"/>
                <w:fitText w:val="88" w:id="-1435316992"/>
                <w14:textFill>
                  <w14:solidFill>
                    <w14:srgbClr w14:val="000000">
                      <w14:alpha w14:val="100000"/>
                    </w14:srgbClr>
                  </w14:solidFill>
                </w14:textFill>
              </w:rPr>
              <w:t xml:space="preserve">　</w:t>
            </w:r>
            <w:r w:rsidRPr="009A7DC1">
              <w:rPr>
                <w:color w:val="000000"/>
                <w:w w:val="19"/>
                <w:shd w:val="solid" w:color="000000" w:fill="000000"/>
                <w:fitText w:val="88" w:id="-1435316992"/>
                <w14:textFill>
                  <w14:solidFill>
                    <w14:srgbClr w14:val="000000">
                      <w14:alpha w14:val="100000"/>
                    </w14:srgbClr>
                  </w14:solidFill>
                </w14:textFill>
              </w:rPr>
              <w:t>|</w:t>
            </w:r>
            <w:r w:rsidRPr="009A7DC1">
              <w:rPr>
                <w:rFonts w:hint="eastAsia"/>
                <w:color w:val="000000"/>
                <w:spacing w:val="4"/>
                <w:w w:val="19"/>
                <w:shd w:val="solid" w:color="000000" w:fill="000000"/>
                <w:fitText w:val="88" w:id="-1435316992"/>
                <w14:textFill>
                  <w14:solidFill>
                    <w14:srgbClr w14:val="000000">
                      <w14:alpha w14:val="100000"/>
                    </w14:srgbClr>
                  </w14:solidFill>
                </w14:textFill>
              </w:rPr>
              <w:t xml:space="preserve">　</w:t>
            </w:r>
            <w:r w:rsidR="00821887">
              <w:rPr>
                <w:vertAlign w:val="superscript"/>
              </w:rPr>
              <w:t>7</w:t>
            </w:r>
          </w:p>
        </w:tc>
        <w:tc>
          <w:tcPr>
            <w:tcW w:w="571" w:type="pct"/>
            <w:shd w:val="clear" w:color="auto" w:fill="auto"/>
          </w:tcPr>
          <w:p w14:paraId="2F1747DD" w14:textId="02DD8BA3" w:rsidR="00694509" w:rsidRPr="006A5352" w:rsidRDefault="009A7DC1" w:rsidP="003406B4">
            <w:pPr>
              <w:pStyle w:val="TableText"/>
              <w:jc w:val="center"/>
              <w:rPr>
                <w:highlight w:val="darkGray"/>
              </w:rPr>
            </w:pPr>
            <w:r w:rsidRPr="009A7DC1">
              <w:rPr>
                <w:rFonts w:hint="eastAsia"/>
                <w:color w:val="000000"/>
                <w:w w:val="19"/>
                <w:shd w:val="solid" w:color="000000" w:fill="000000"/>
                <w:fitText w:val="87" w:id="-1435316991"/>
                <w14:textFill>
                  <w14:solidFill>
                    <w14:srgbClr w14:val="000000">
                      <w14:alpha w14:val="100000"/>
                    </w14:srgbClr>
                  </w14:solidFill>
                </w14:textFill>
              </w:rPr>
              <w:t xml:space="preserve">　</w:t>
            </w:r>
            <w:r w:rsidRPr="009A7DC1">
              <w:rPr>
                <w:color w:val="000000"/>
                <w:w w:val="19"/>
                <w:shd w:val="solid" w:color="000000" w:fill="000000"/>
                <w:fitText w:val="87" w:id="-1435316991"/>
                <w14:textFill>
                  <w14:solidFill>
                    <w14:srgbClr w14:val="000000">
                      <w14:alpha w14:val="100000"/>
                    </w14:srgbClr>
                  </w14:solidFill>
                </w14:textFill>
              </w:rPr>
              <w:t>|</w:t>
            </w:r>
            <w:r w:rsidRPr="009A7DC1">
              <w:rPr>
                <w:rFonts w:hint="eastAsia"/>
                <w:color w:val="000000"/>
                <w:spacing w:val="3"/>
                <w:w w:val="19"/>
                <w:shd w:val="solid" w:color="000000" w:fill="000000"/>
                <w:fitText w:val="87" w:id="-1435316991"/>
                <w14:textFill>
                  <w14:solidFill>
                    <w14:srgbClr w14:val="000000">
                      <w14:alpha w14:val="100000"/>
                    </w14:srgbClr>
                  </w14:solidFill>
                </w14:textFill>
              </w:rPr>
              <w:t xml:space="preserve">　</w:t>
            </w:r>
            <w:r w:rsidR="00821887">
              <w:rPr>
                <w:vertAlign w:val="superscript"/>
              </w:rPr>
              <w:t>7</w:t>
            </w:r>
          </w:p>
        </w:tc>
        <w:tc>
          <w:tcPr>
            <w:tcW w:w="571" w:type="pct"/>
            <w:shd w:val="clear" w:color="auto" w:fill="auto"/>
          </w:tcPr>
          <w:p w14:paraId="2B2CB81C" w14:textId="2EEFCBC8" w:rsidR="00694509" w:rsidRPr="006A5352" w:rsidRDefault="009A7DC1" w:rsidP="003406B4">
            <w:pPr>
              <w:pStyle w:val="TableText"/>
              <w:jc w:val="center"/>
              <w:rPr>
                <w:highlight w:val="darkGray"/>
              </w:rPr>
            </w:pPr>
            <w:r w:rsidRPr="009A7DC1">
              <w:rPr>
                <w:rFonts w:hint="eastAsia"/>
                <w:color w:val="000000"/>
                <w:w w:val="28"/>
                <w:shd w:val="solid" w:color="000000" w:fill="000000"/>
                <w:fitText w:val="126" w:id="-1435316990"/>
                <w14:textFill>
                  <w14:solidFill>
                    <w14:srgbClr w14:val="000000">
                      <w14:alpha w14:val="100000"/>
                    </w14:srgbClr>
                  </w14:solidFill>
                </w14:textFill>
              </w:rPr>
              <w:t xml:space="preserve">　</w:t>
            </w:r>
            <w:r w:rsidRPr="009A7DC1">
              <w:rPr>
                <w:color w:val="000000"/>
                <w:w w:val="28"/>
                <w:shd w:val="solid" w:color="000000" w:fill="000000"/>
                <w:fitText w:val="126" w:id="-1435316990"/>
                <w14:textFill>
                  <w14:solidFill>
                    <w14:srgbClr w14:val="000000">
                      <w14:alpha w14:val="100000"/>
                    </w14:srgbClr>
                  </w14:solidFill>
                </w14:textFill>
              </w:rPr>
              <w:t>|</w:t>
            </w:r>
            <w:r w:rsidRPr="009A7DC1">
              <w:rPr>
                <w:rFonts w:hint="eastAsia"/>
                <w:color w:val="000000"/>
                <w:spacing w:val="4"/>
                <w:w w:val="28"/>
                <w:shd w:val="solid" w:color="000000" w:fill="000000"/>
                <w:fitText w:val="126" w:id="-1435316990"/>
                <w14:textFill>
                  <w14:solidFill>
                    <w14:srgbClr w14:val="000000">
                      <w14:alpha w14:val="100000"/>
                    </w14:srgbClr>
                  </w14:solidFill>
                </w14:textFill>
              </w:rPr>
              <w:t xml:space="preserve">　</w:t>
            </w:r>
            <w:r w:rsidR="00F84AA0">
              <w:rPr>
                <w:vertAlign w:val="superscript"/>
              </w:rPr>
              <w:t>22</w:t>
            </w:r>
          </w:p>
        </w:tc>
        <w:tc>
          <w:tcPr>
            <w:tcW w:w="571" w:type="pct"/>
            <w:shd w:val="clear" w:color="auto" w:fill="auto"/>
          </w:tcPr>
          <w:p w14:paraId="6D9FE74E" w14:textId="5C235ABD" w:rsidR="00694509" w:rsidRPr="006A5352" w:rsidRDefault="009A7DC1" w:rsidP="003406B4">
            <w:pPr>
              <w:pStyle w:val="TableText"/>
              <w:jc w:val="center"/>
              <w:rPr>
                <w:highlight w:val="darkGray"/>
              </w:rPr>
            </w:pPr>
            <w:r w:rsidRPr="009A7DC1">
              <w:rPr>
                <w:rFonts w:hint="eastAsia"/>
                <w:color w:val="000000"/>
                <w:w w:val="28"/>
                <w:shd w:val="solid" w:color="000000" w:fill="000000"/>
                <w:fitText w:val="125" w:id="-1435316989"/>
                <w14:textFill>
                  <w14:solidFill>
                    <w14:srgbClr w14:val="000000">
                      <w14:alpha w14:val="100000"/>
                    </w14:srgbClr>
                  </w14:solidFill>
                </w14:textFill>
              </w:rPr>
              <w:t xml:space="preserve">　</w:t>
            </w:r>
            <w:r w:rsidRPr="009A7DC1">
              <w:rPr>
                <w:color w:val="000000"/>
                <w:w w:val="28"/>
                <w:shd w:val="solid" w:color="000000" w:fill="000000"/>
                <w:fitText w:val="125" w:id="-1435316989"/>
                <w14:textFill>
                  <w14:solidFill>
                    <w14:srgbClr w14:val="000000">
                      <w14:alpha w14:val="100000"/>
                    </w14:srgbClr>
                  </w14:solidFill>
                </w14:textFill>
              </w:rPr>
              <w:t>|</w:t>
            </w:r>
            <w:r w:rsidRPr="009A7DC1">
              <w:rPr>
                <w:rFonts w:hint="eastAsia"/>
                <w:color w:val="000000"/>
                <w:spacing w:val="3"/>
                <w:w w:val="28"/>
                <w:shd w:val="solid" w:color="000000" w:fill="000000"/>
                <w:fitText w:val="125" w:id="-1435316989"/>
                <w14:textFill>
                  <w14:solidFill>
                    <w14:srgbClr w14:val="000000">
                      <w14:alpha w14:val="100000"/>
                    </w14:srgbClr>
                  </w14:solidFill>
                </w14:textFill>
              </w:rPr>
              <w:t xml:space="preserve">　</w:t>
            </w:r>
            <w:r w:rsidR="00F84AA0">
              <w:rPr>
                <w:vertAlign w:val="superscript"/>
              </w:rPr>
              <w:t>22</w:t>
            </w:r>
          </w:p>
        </w:tc>
        <w:tc>
          <w:tcPr>
            <w:tcW w:w="573" w:type="pct"/>
            <w:shd w:val="clear" w:color="auto" w:fill="auto"/>
          </w:tcPr>
          <w:p w14:paraId="2A799313" w14:textId="0C15885E" w:rsidR="00694509" w:rsidRPr="006A5352" w:rsidRDefault="009A7DC1" w:rsidP="003406B4">
            <w:pPr>
              <w:pStyle w:val="TableText"/>
              <w:jc w:val="center"/>
              <w:rPr>
                <w:highlight w:val="darkGray"/>
              </w:rPr>
            </w:pPr>
            <w:r w:rsidRPr="009A7DC1">
              <w:rPr>
                <w:rFonts w:hint="eastAsia"/>
                <w:color w:val="000000"/>
                <w:w w:val="25"/>
                <w:shd w:val="solid" w:color="000000" w:fill="000000"/>
                <w:fitText w:val="113" w:id="-1435316988"/>
                <w14:textFill>
                  <w14:solidFill>
                    <w14:srgbClr w14:val="000000">
                      <w14:alpha w14:val="100000"/>
                    </w14:srgbClr>
                  </w14:solidFill>
                </w14:textFill>
              </w:rPr>
              <w:t xml:space="preserve">　</w:t>
            </w:r>
            <w:r w:rsidRPr="009A7DC1">
              <w:rPr>
                <w:color w:val="000000"/>
                <w:w w:val="25"/>
                <w:shd w:val="solid" w:color="000000" w:fill="000000"/>
                <w:fitText w:val="113" w:id="-1435316988"/>
                <w14:textFill>
                  <w14:solidFill>
                    <w14:srgbClr w14:val="000000">
                      <w14:alpha w14:val="100000"/>
                    </w14:srgbClr>
                  </w14:solidFill>
                </w14:textFill>
              </w:rPr>
              <w:t>|</w:t>
            </w:r>
            <w:r w:rsidRPr="009A7DC1">
              <w:rPr>
                <w:rFonts w:hint="eastAsia"/>
                <w:color w:val="000000"/>
                <w:spacing w:val="2"/>
                <w:w w:val="25"/>
                <w:shd w:val="solid" w:color="000000" w:fill="000000"/>
                <w:fitText w:val="113" w:id="-1435316988"/>
                <w14:textFill>
                  <w14:solidFill>
                    <w14:srgbClr w14:val="000000">
                      <w14:alpha w14:val="100000"/>
                    </w14:srgbClr>
                  </w14:solidFill>
                </w14:textFill>
              </w:rPr>
              <w:t xml:space="preserve">　</w:t>
            </w:r>
            <w:r w:rsidR="00F84AA0">
              <w:rPr>
                <w:vertAlign w:val="superscript"/>
              </w:rPr>
              <w:t>22</w:t>
            </w:r>
          </w:p>
        </w:tc>
      </w:tr>
      <w:tr w:rsidR="00694509" w:rsidRPr="003455D2" w14:paraId="10481124" w14:textId="77777777" w:rsidTr="003406B4">
        <w:tc>
          <w:tcPr>
            <w:tcW w:w="1574" w:type="pct"/>
            <w:shd w:val="clear" w:color="auto" w:fill="auto"/>
            <w:vAlign w:val="center"/>
          </w:tcPr>
          <w:p w14:paraId="080B9053" w14:textId="77777777" w:rsidR="00694509" w:rsidRDefault="00694509" w:rsidP="003406B4">
            <w:pPr>
              <w:pStyle w:val="TableText"/>
            </w:pPr>
            <w:r>
              <w:t>Without prior fracture (25%)</w:t>
            </w:r>
          </w:p>
        </w:tc>
        <w:tc>
          <w:tcPr>
            <w:tcW w:w="569" w:type="pct"/>
            <w:shd w:val="clear" w:color="auto" w:fill="auto"/>
          </w:tcPr>
          <w:p w14:paraId="3EAC822A" w14:textId="015CEE63" w:rsidR="00694509" w:rsidRPr="006A5352" w:rsidRDefault="009A7DC1" w:rsidP="003406B4">
            <w:pPr>
              <w:pStyle w:val="TableText"/>
              <w:jc w:val="center"/>
              <w:rPr>
                <w:highlight w:val="darkGray"/>
              </w:rPr>
            </w:pPr>
            <w:r w:rsidRPr="009A7DC1">
              <w:rPr>
                <w:rFonts w:hint="eastAsia"/>
                <w:color w:val="000000"/>
                <w:w w:val="19"/>
                <w:shd w:val="solid" w:color="000000" w:fill="000000"/>
                <w:fitText w:val="88" w:id="-1435316987"/>
                <w14:textFill>
                  <w14:solidFill>
                    <w14:srgbClr w14:val="000000">
                      <w14:alpha w14:val="100000"/>
                    </w14:srgbClr>
                  </w14:solidFill>
                </w14:textFill>
              </w:rPr>
              <w:t xml:space="preserve">　</w:t>
            </w:r>
            <w:r w:rsidRPr="009A7DC1">
              <w:rPr>
                <w:color w:val="000000"/>
                <w:w w:val="19"/>
                <w:shd w:val="solid" w:color="000000" w:fill="000000"/>
                <w:fitText w:val="88" w:id="-1435316987"/>
                <w14:textFill>
                  <w14:solidFill>
                    <w14:srgbClr w14:val="000000">
                      <w14:alpha w14:val="100000"/>
                    </w14:srgbClr>
                  </w14:solidFill>
                </w14:textFill>
              </w:rPr>
              <w:t>|</w:t>
            </w:r>
            <w:r w:rsidRPr="009A7DC1">
              <w:rPr>
                <w:rFonts w:hint="eastAsia"/>
                <w:color w:val="000000"/>
                <w:spacing w:val="4"/>
                <w:w w:val="19"/>
                <w:shd w:val="solid" w:color="000000" w:fill="000000"/>
                <w:fitText w:val="88" w:id="-1435316987"/>
                <w14:textFill>
                  <w14:solidFill>
                    <w14:srgbClr w14:val="000000">
                      <w14:alpha w14:val="100000"/>
                    </w14:srgbClr>
                  </w14:solidFill>
                </w14:textFill>
              </w:rPr>
              <w:t xml:space="preserve">　</w:t>
            </w:r>
            <w:r w:rsidR="00821887">
              <w:rPr>
                <w:vertAlign w:val="superscript"/>
              </w:rPr>
              <w:t>3</w:t>
            </w:r>
          </w:p>
        </w:tc>
        <w:tc>
          <w:tcPr>
            <w:tcW w:w="571" w:type="pct"/>
            <w:shd w:val="clear" w:color="auto" w:fill="auto"/>
          </w:tcPr>
          <w:p w14:paraId="7B0A6011" w14:textId="0163F28F" w:rsidR="00694509" w:rsidRPr="006A5352" w:rsidRDefault="009A7DC1" w:rsidP="003406B4">
            <w:pPr>
              <w:pStyle w:val="TableText"/>
              <w:jc w:val="center"/>
              <w:rPr>
                <w:highlight w:val="darkGray"/>
              </w:rPr>
            </w:pPr>
            <w:r w:rsidRPr="009A7DC1">
              <w:rPr>
                <w:rFonts w:hint="eastAsia"/>
                <w:color w:val="000000"/>
                <w:w w:val="19"/>
                <w:shd w:val="solid" w:color="000000" w:fill="000000"/>
                <w:fitText w:val="88" w:id="-1435316986"/>
                <w14:textFill>
                  <w14:solidFill>
                    <w14:srgbClr w14:val="000000">
                      <w14:alpha w14:val="100000"/>
                    </w14:srgbClr>
                  </w14:solidFill>
                </w14:textFill>
              </w:rPr>
              <w:t xml:space="preserve">　</w:t>
            </w:r>
            <w:r w:rsidRPr="009A7DC1">
              <w:rPr>
                <w:color w:val="000000"/>
                <w:w w:val="19"/>
                <w:shd w:val="solid" w:color="000000" w:fill="000000"/>
                <w:fitText w:val="88" w:id="-1435316986"/>
                <w14:textFill>
                  <w14:solidFill>
                    <w14:srgbClr w14:val="000000">
                      <w14:alpha w14:val="100000"/>
                    </w14:srgbClr>
                  </w14:solidFill>
                </w14:textFill>
              </w:rPr>
              <w:t>|</w:t>
            </w:r>
            <w:r w:rsidRPr="009A7DC1">
              <w:rPr>
                <w:rFonts w:hint="eastAsia"/>
                <w:color w:val="000000"/>
                <w:spacing w:val="4"/>
                <w:w w:val="19"/>
                <w:shd w:val="solid" w:color="000000" w:fill="000000"/>
                <w:fitText w:val="88" w:id="-1435316986"/>
                <w14:textFill>
                  <w14:solidFill>
                    <w14:srgbClr w14:val="000000">
                      <w14:alpha w14:val="100000"/>
                    </w14:srgbClr>
                  </w14:solidFill>
                </w14:textFill>
              </w:rPr>
              <w:t xml:space="preserve">　</w:t>
            </w:r>
            <w:r w:rsidR="00821887">
              <w:rPr>
                <w:vertAlign w:val="superscript"/>
              </w:rPr>
              <w:t>3</w:t>
            </w:r>
          </w:p>
        </w:tc>
        <w:tc>
          <w:tcPr>
            <w:tcW w:w="571" w:type="pct"/>
            <w:shd w:val="clear" w:color="auto" w:fill="auto"/>
          </w:tcPr>
          <w:p w14:paraId="58147212" w14:textId="463B7128" w:rsidR="00694509" w:rsidRPr="006A5352" w:rsidRDefault="009A7DC1" w:rsidP="003406B4">
            <w:pPr>
              <w:pStyle w:val="TableText"/>
              <w:jc w:val="center"/>
              <w:rPr>
                <w:highlight w:val="darkGray"/>
              </w:rPr>
            </w:pPr>
            <w:r w:rsidRPr="009A7DC1">
              <w:rPr>
                <w:rFonts w:hint="eastAsia"/>
                <w:color w:val="000000"/>
                <w:w w:val="19"/>
                <w:shd w:val="solid" w:color="000000" w:fill="000000"/>
                <w:fitText w:val="87" w:id="-1435316985"/>
                <w14:textFill>
                  <w14:solidFill>
                    <w14:srgbClr w14:val="000000">
                      <w14:alpha w14:val="100000"/>
                    </w14:srgbClr>
                  </w14:solidFill>
                </w14:textFill>
              </w:rPr>
              <w:t xml:space="preserve">　</w:t>
            </w:r>
            <w:r w:rsidRPr="009A7DC1">
              <w:rPr>
                <w:color w:val="000000"/>
                <w:w w:val="19"/>
                <w:shd w:val="solid" w:color="000000" w:fill="000000"/>
                <w:fitText w:val="87" w:id="-1435316985"/>
                <w14:textFill>
                  <w14:solidFill>
                    <w14:srgbClr w14:val="000000">
                      <w14:alpha w14:val="100000"/>
                    </w14:srgbClr>
                  </w14:solidFill>
                </w14:textFill>
              </w:rPr>
              <w:t>|</w:t>
            </w:r>
            <w:r w:rsidRPr="009A7DC1">
              <w:rPr>
                <w:rFonts w:hint="eastAsia"/>
                <w:color w:val="000000"/>
                <w:spacing w:val="3"/>
                <w:w w:val="19"/>
                <w:shd w:val="solid" w:color="000000" w:fill="000000"/>
                <w:fitText w:val="87" w:id="-1435316985"/>
                <w14:textFill>
                  <w14:solidFill>
                    <w14:srgbClr w14:val="000000">
                      <w14:alpha w14:val="100000"/>
                    </w14:srgbClr>
                  </w14:solidFill>
                </w14:textFill>
              </w:rPr>
              <w:t xml:space="preserve">　</w:t>
            </w:r>
            <w:r w:rsidR="00821887">
              <w:rPr>
                <w:vertAlign w:val="superscript"/>
              </w:rPr>
              <w:t>3</w:t>
            </w:r>
          </w:p>
        </w:tc>
        <w:tc>
          <w:tcPr>
            <w:tcW w:w="571" w:type="pct"/>
            <w:shd w:val="clear" w:color="auto" w:fill="auto"/>
          </w:tcPr>
          <w:p w14:paraId="23690D29" w14:textId="7DE81F6F" w:rsidR="00694509" w:rsidRPr="006A5352" w:rsidRDefault="009A7DC1" w:rsidP="003406B4">
            <w:pPr>
              <w:pStyle w:val="TableText"/>
              <w:jc w:val="center"/>
              <w:rPr>
                <w:highlight w:val="darkGray"/>
              </w:rPr>
            </w:pPr>
            <w:r w:rsidRPr="009A7DC1">
              <w:rPr>
                <w:rFonts w:hint="eastAsia"/>
                <w:color w:val="000000"/>
                <w:w w:val="19"/>
                <w:shd w:val="solid" w:color="000000" w:fill="000000"/>
                <w:fitText w:val="88" w:id="-1435316984"/>
                <w14:textFill>
                  <w14:solidFill>
                    <w14:srgbClr w14:val="000000">
                      <w14:alpha w14:val="100000"/>
                    </w14:srgbClr>
                  </w14:solidFill>
                </w14:textFill>
              </w:rPr>
              <w:t xml:space="preserve">　</w:t>
            </w:r>
            <w:r w:rsidRPr="009A7DC1">
              <w:rPr>
                <w:color w:val="000000"/>
                <w:w w:val="19"/>
                <w:shd w:val="solid" w:color="000000" w:fill="000000"/>
                <w:fitText w:val="88" w:id="-1435316984"/>
                <w14:textFill>
                  <w14:solidFill>
                    <w14:srgbClr w14:val="000000">
                      <w14:alpha w14:val="100000"/>
                    </w14:srgbClr>
                  </w14:solidFill>
                </w14:textFill>
              </w:rPr>
              <w:t>|</w:t>
            </w:r>
            <w:r w:rsidRPr="009A7DC1">
              <w:rPr>
                <w:rFonts w:hint="eastAsia"/>
                <w:color w:val="000000"/>
                <w:spacing w:val="4"/>
                <w:w w:val="19"/>
                <w:shd w:val="solid" w:color="000000" w:fill="000000"/>
                <w:fitText w:val="88" w:id="-1435316984"/>
                <w14:textFill>
                  <w14:solidFill>
                    <w14:srgbClr w14:val="000000">
                      <w14:alpha w14:val="100000"/>
                    </w14:srgbClr>
                  </w14:solidFill>
                </w14:textFill>
              </w:rPr>
              <w:t xml:space="preserve">　</w:t>
            </w:r>
            <w:r w:rsidR="00821887">
              <w:rPr>
                <w:vertAlign w:val="superscript"/>
              </w:rPr>
              <w:t>3</w:t>
            </w:r>
          </w:p>
        </w:tc>
        <w:tc>
          <w:tcPr>
            <w:tcW w:w="571" w:type="pct"/>
            <w:shd w:val="clear" w:color="auto" w:fill="auto"/>
          </w:tcPr>
          <w:p w14:paraId="102A9199" w14:textId="63240F8D" w:rsidR="00694509" w:rsidRPr="006A5352" w:rsidRDefault="009A7DC1" w:rsidP="003406B4">
            <w:pPr>
              <w:pStyle w:val="TableText"/>
              <w:jc w:val="center"/>
              <w:rPr>
                <w:highlight w:val="darkGray"/>
              </w:rPr>
            </w:pPr>
            <w:r w:rsidRPr="009A7DC1">
              <w:rPr>
                <w:rFonts w:hint="eastAsia"/>
                <w:color w:val="000000"/>
                <w:w w:val="19"/>
                <w:shd w:val="solid" w:color="000000" w:fill="000000"/>
                <w:fitText w:val="87" w:id="-1435316983"/>
                <w14:textFill>
                  <w14:solidFill>
                    <w14:srgbClr w14:val="000000">
                      <w14:alpha w14:val="100000"/>
                    </w14:srgbClr>
                  </w14:solidFill>
                </w14:textFill>
              </w:rPr>
              <w:t xml:space="preserve">　</w:t>
            </w:r>
            <w:r w:rsidRPr="009A7DC1">
              <w:rPr>
                <w:color w:val="000000"/>
                <w:w w:val="19"/>
                <w:shd w:val="solid" w:color="000000" w:fill="000000"/>
                <w:fitText w:val="87" w:id="-1435316983"/>
                <w14:textFill>
                  <w14:solidFill>
                    <w14:srgbClr w14:val="000000">
                      <w14:alpha w14:val="100000"/>
                    </w14:srgbClr>
                  </w14:solidFill>
                </w14:textFill>
              </w:rPr>
              <w:t>|</w:t>
            </w:r>
            <w:r w:rsidRPr="009A7DC1">
              <w:rPr>
                <w:rFonts w:hint="eastAsia"/>
                <w:color w:val="000000"/>
                <w:spacing w:val="3"/>
                <w:w w:val="19"/>
                <w:shd w:val="solid" w:color="000000" w:fill="000000"/>
                <w:fitText w:val="87" w:id="-1435316983"/>
                <w14:textFill>
                  <w14:solidFill>
                    <w14:srgbClr w14:val="000000">
                      <w14:alpha w14:val="100000"/>
                    </w14:srgbClr>
                  </w14:solidFill>
                </w14:textFill>
              </w:rPr>
              <w:t xml:space="preserve">　</w:t>
            </w:r>
            <w:r w:rsidR="00821887">
              <w:rPr>
                <w:vertAlign w:val="superscript"/>
              </w:rPr>
              <w:t>3</w:t>
            </w:r>
          </w:p>
        </w:tc>
        <w:tc>
          <w:tcPr>
            <w:tcW w:w="573" w:type="pct"/>
            <w:shd w:val="clear" w:color="auto" w:fill="auto"/>
          </w:tcPr>
          <w:p w14:paraId="4C205ACC" w14:textId="5579576D" w:rsidR="00694509" w:rsidRPr="006A5352" w:rsidRDefault="009A7DC1" w:rsidP="003406B4">
            <w:pPr>
              <w:pStyle w:val="TableText"/>
              <w:jc w:val="center"/>
              <w:rPr>
                <w:highlight w:val="darkGray"/>
              </w:rPr>
            </w:pPr>
            <w:r w:rsidRPr="009A7DC1">
              <w:rPr>
                <w:rFonts w:hint="eastAsia"/>
                <w:color w:val="000000"/>
                <w:w w:val="19"/>
                <w:shd w:val="solid" w:color="000000" w:fill="000000"/>
                <w:fitText w:val="87" w:id="-1435316982"/>
                <w14:textFill>
                  <w14:solidFill>
                    <w14:srgbClr w14:val="000000">
                      <w14:alpha w14:val="100000"/>
                    </w14:srgbClr>
                  </w14:solidFill>
                </w14:textFill>
              </w:rPr>
              <w:t xml:space="preserve">　</w:t>
            </w:r>
            <w:r w:rsidRPr="009A7DC1">
              <w:rPr>
                <w:color w:val="000000"/>
                <w:w w:val="19"/>
                <w:shd w:val="solid" w:color="000000" w:fill="000000"/>
                <w:fitText w:val="87" w:id="-1435316982"/>
                <w14:textFill>
                  <w14:solidFill>
                    <w14:srgbClr w14:val="000000">
                      <w14:alpha w14:val="100000"/>
                    </w14:srgbClr>
                  </w14:solidFill>
                </w14:textFill>
              </w:rPr>
              <w:t>|</w:t>
            </w:r>
            <w:r w:rsidRPr="009A7DC1">
              <w:rPr>
                <w:rFonts w:hint="eastAsia"/>
                <w:color w:val="000000"/>
                <w:spacing w:val="3"/>
                <w:w w:val="19"/>
                <w:shd w:val="solid" w:color="000000" w:fill="000000"/>
                <w:fitText w:val="87" w:id="-1435316982"/>
                <w14:textFill>
                  <w14:solidFill>
                    <w14:srgbClr w14:val="000000">
                      <w14:alpha w14:val="100000"/>
                    </w14:srgbClr>
                  </w14:solidFill>
                </w14:textFill>
              </w:rPr>
              <w:t xml:space="preserve">　</w:t>
            </w:r>
            <w:r w:rsidR="00821887">
              <w:rPr>
                <w:vertAlign w:val="superscript"/>
              </w:rPr>
              <w:t>3</w:t>
            </w:r>
          </w:p>
        </w:tc>
      </w:tr>
      <w:tr w:rsidR="00694509" w:rsidRPr="003455D2" w14:paraId="188A9B1F" w14:textId="77777777" w:rsidTr="003406B4">
        <w:tc>
          <w:tcPr>
            <w:tcW w:w="1574" w:type="pct"/>
            <w:shd w:val="clear" w:color="auto" w:fill="auto"/>
            <w:vAlign w:val="center"/>
          </w:tcPr>
          <w:p w14:paraId="37C63B11" w14:textId="77777777" w:rsidR="00694509" w:rsidRDefault="00694509" w:rsidP="003406B4">
            <w:pPr>
              <w:pStyle w:val="TableText"/>
            </w:pPr>
            <w:r>
              <w:t>BMD ≤-2.5 (22.6%)</w:t>
            </w:r>
          </w:p>
        </w:tc>
        <w:tc>
          <w:tcPr>
            <w:tcW w:w="569" w:type="pct"/>
            <w:shd w:val="clear" w:color="auto" w:fill="auto"/>
          </w:tcPr>
          <w:p w14:paraId="4AD4BC5D" w14:textId="2162A9C0" w:rsidR="00694509" w:rsidRPr="006A5352" w:rsidRDefault="009A7DC1" w:rsidP="003406B4">
            <w:pPr>
              <w:pStyle w:val="TableText"/>
              <w:jc w:val="center"/>
              <w:rPr>
                <w:highlight w:val="darkGray"/>
              </w:rPr>
            </w:pPr>
            <w:r w:rsidRPr="009A7DC1">
              <w:rPr>
                <w:rFonts w:hint="eastAsia"/>
                <w:color w:val="000000"/>
                <w:w w:val="25"/>
                <w:shd w:val="solid" w:color="000000" w:fill="000000"/>
                <w:fitText w:val="112" w:id="-1435316981"/>
                <w14:textFill>
                  <w14:solidFill>
                    <w14:srgbClr w14:val="000000">
                      <w14:alpha w14:val="100000"/>
                    </w14:srgbClr>
                  </w14:solidFill>
                </w14:textFill>
              </w:rPr>
              <w:t xml:space="preserve">　</w:t>
            </w:r>
            <w:r w:rsidRPr="009A7DC1">
              <w:rPr>
                <w:color w:val="000000"/>
                <w:w w:val="25"/>
                <w:shd w:val="solid" w:color="000000" w:fill="000000"/>
                <w:fitText w:val="112" w:id="-1435316981"/>
                <w14:textFill>
                  <w14:solidFill>
                    <w14:srgbClr w14:val="000000">
                      <w14:alpha w14:val="100000"/>
                    </w14:srgbClr>
                  </w14:solidFill>
                </w14:textFill>
              </w:rPr>
              <w:t>|</w:t>
            </w:r>
            <w:r w:rsidRPr="009A7DC1">
              <w:rPr>
                <w:rFonts w:hint="eastAsia"/>
                <w:color w:val="000000"/>
                <w:spacing w:val="1"/>
                <w:w w:val="25"/>
                <w:shd w:val="solid" w:color="000000" w:fill="000000"/>
                <w:fitText w:val="112" w:id="-1435316981"/>
                <w14:textFill>
                  <w14:solidFill>
                    <w14:srgbClr w14:val="000000">
                      <w14:alpha w14:val="100000"/>
                    </w14:srgbClr>
                  </w14:solidFill>
                </w14:textFill>
              </w:rPr>
              <w:t xml:space="preserve">　</w:t>
            </w:r>
            <w:r w:rsidR="00540BA2">
              <w:rPr>
                <w:vertAlign w:val="superscript"/>
              </w:rPr>
              <w:t>17</w:t>
            </w:r>
          </w:p>
        </w:tc>
        <w:tc>
          <w:tcPr>
            <w:tcW w:w="571" w:type="pct"/>
            <w:shd w:val="clear" w:color="auto" w:fill="auto"/>
          </w:tcPr>
          <w:p w14:paraId="5E4B16AC" w14:textId="4245A4F1" w:rsidR="00694509" w:rsidRPr="006A5352" w:rsidRDefault="009A7DC1" w:rsidP="003406B4">
            <w:pPr>
              <w:pStyle w:val="TableText"/>
              <w:jc w:val="center"/>
              <w:rPr>
                <w:highlight w:val="darkGray"/>
              </w:rPr>
            </w:pPr>
            <w:r w:rsidRPr="009A7DC1">
              <w:rPr>
                <w:rFonts w:hint="eastAsia"/>
                <w:color w:val="000000"/>
                <w:w w:val="28"/>
                <w:shd w:val="solid" w:color="000000" w:fill="000000"/>
                <w:fitText w:val="126" w:id="-1435316980"/>
                <w14:textFill>
                  <w14:solidFill>
                    <w14:srgbClr w14:val="000000">
                      <w14:alpha w14:val="100000"/>
                    </w14:srgbClr>
                  </w14:solidFill>
                </w14:textFill>
              </w:rPr>
              <w:t xml:space="preserve">　</w:t>
            </w:r>
            <w:r w:rsidRPr="009A7DC1">
              <w:rPr>
                <w:color w:val="000000"/>
                <w:w w:val="28"/>
                <w:shd w:val="solid" w:color="000000" w:fill="000000"/>
                <w:fitText w:val="126" w:id="-1435316980"/>
                <w14:textFill>
                  <w14:solidFill>
                    <w14:srgbClr w14:val="000000">
                      <w14:alpha w14:val="100000"/>
                    </w14:srgbClr>
                  </w14:solidFill>
                </w14:textFill>
              </w:rPr>
              <w:t>|</w:t>
            </w:r>
            <w:r w:rsidRPr="009A7DC1">
              <w:rPr>
                <w:rFonts w:hint="eastAsia"/>
                <w:color w:val="000000"/>
                <w:spacing w:val="4"/>
                <w:w w:val="28"/>
                <w:shd w:val="solid" w:color="000000" w:fill="000000"/>
                <w:fitText w:val="126" w:id="-1435316980"/>
                <w14:textFill>
                  <w14:solidFill>
                    <w14:srgbClr w14:val="000000">
                      <w14:alpha w14:val="100000"/>
                    </w14:srgbClr>
                  </w14:solidFill>
                </w14:textFill>
              </w:rPr>
              <w:t xml:space="preserve">　</w:t>
            </w:r>
            <w:r w:rsidR="00540BA2">
              <w:rPr>
                <w:vertAlign w:val="superscript"/>
              </w:rPr>
              <w:t>17</w:t>
            </w:r>
          </w:p>
        </w:tc>
        <w:tc>
          <w:tcPr>
            <w:tcW w:w="571" w:type="pct"/>
            <w:shd w:val="clear" w:color="auto" w:fill="auto"/>
          </w:tcPr>
          <w:p w14:paraId="01B1AAFE" w14:textId="3E34ACEB" w:rsidR="00694509" w:rsidRPr="006A5352" w:rsidRDefault="009A7DC1" w:rsidP="003406B4">
            <w:pPr>
              <w:pStyle w:val="TableText"/>
              <w:jc w:val="center"/>
              <w:rPr>
                <w:highlight w:val="darkGray"/>
              </w:rPr>
            </w:pPr>
            <w:r w:rsidRPr="009A7DC1">
              <w:rPr>
                <w:rFonts w:hint="eastAsia"/>
                <w:color w:val="000000"/>
                <w:w w:val="28"/>
                <w:shd w:val="solid" w:color="000000" w:fill="000000"/>
                <w:fitText w:val="125" w:id="-1435316979"/>
                <w14:textFill>
                  <w14:solidFill>
                    <w14:srgbClr w14:val="000000">
                      <w14:alpha w14:val="100000"/>
                    </w14:srgbClr>
                  </w14:solidFill>
                </w14:textFill>
              </w:rPr>
              <w:t xml:space="preserve">　</w:t>
            </w:r>
            <w:r w:rsidRPr="009A7DC1">
              <w:rPr>
                <w:color w:val="000000"/>
                <w:w w:val="28"/>
                <w:shd w:val="solid" w:color="000000" w:fill="000000"/>
                <w:fitText w:val="125" w:id="-1435316979"/>
                <w14:textFill>
                  <w14:solidFill>
                    <w14:srgbClr w14:val="000000">
                      <w14:alpha w14:val="100000"/>
                    </w14:srgbClr>
                  </w14:solidFill>
                </w14:textFill>
              </w:rPr>
              <w:t>|</w:t>
            </w:r>
            <w:r w:rsidRPr="009A7DC1">
              <w:rPr>
                <w:rFonts w:hint="eastAsia"/>
                <w:color w:val="000000"/>
                <w:spacing w:val="3"/>
                <w:w w:val="28"/>
                <w:shd w:val="solid" w:color="000000" w:fill="000000"/>
                <w:fitText w:val="125" w:id="-1435316979"/>
                <w14:textFill>
                  <w14:solidFill>
                    <w14:srgbClr w14:val="000000">
                      <w14:alpha w14:val="100000"/>
                    </w14:srgbClr>
                  </w14:solidFill>
                </w14:textFill>
              </w:rPr>
              <w:t xml:space="preserve">　</w:t>
            </w:r>
            <w:r w:rsidR="00540BA2">
              <w:rPr>
                <w:vertAlign w:val="superscript"/>
              </w:rPr>
              <w:t>17</w:t>
            </w:r>
          </w:p>
        </w:tc>
        <w:tc>
          <w:tcPr>
            <w:tcW w:w="571" w:type="pct"/>
            <w:shd w:val="clear" w:color="auto" w:fill="auto"/>
          </w:tcPr>
          <w:p w14:paraId="17F971F9" w14:textId="60B56B23" w:rsidR="00694509" w:rsidRPr="006A5352" w:rsidRDefault="009A7DC1" w:rsidP="003406B4">
            <w:pPr>
              <w:pStyle w:val="TableText"/>
              <w:jc w:val="center"/>
              <w:rPr>
                <w:highlight w:val="darkGray"/>
              </w:rPr>
            </w:pPr>
            <w:r w:rsidRPr="009A7DC1">
              <w:rPr>
                <w:rFonts w:hint="eastAsia"/>
                <w:color w:val="000000"/>
                <w:w w:val="28"/>
                <w:shd w:val="solid" w:color="000000" w:fill="000000"/>
                <w:fitText w:val="126" w:id="-1435316978"/>
                <w14:textFill>
                  <w14:solidFill>
                    <w14:srgbClr w14:val="000000">
                      <w14:alpha w14:val="100000"/>
                    </w14:srgbClr>
                  </w14:solidFill>
                </w14:textFill>
              </w:rPr>
              <w:t xml:space="preserve">　</w:t>
            </w:r>
            <w:r w:rsidRPr="009A7DC1">
              <w:rPr>
                <w:color w:val="000000"/>
                <w:w w:val="28"/>
                <w:shd w:val="solid" w:color="000000" w:fill="000000"/>
                <w:fitText w:val="126" w:id="-1435316978"/>
                <w14:textFill>
                  <w14:solidFill>
                    <w14:srgbClr w14:val="000000">
                      <w14:alpha w14:val="100000"/>
                    </w14:srgbClr>
                  </w14:solidFill>
                </w14:textFill>
              </w:rPr>
              <w:t>|</w:t>
            </w:r>
            <w:r w:rsidRPr="009A7DC1">
              <w:rPr>
                <w:rFonts w:hint="eastAsia"/>
                <w:color w:val="000000"/>
                <w:spacing w:val="4"/>
                <w:w w:val="28"/>
                <w:shd w:val="solid" w:color="000000" w:fill="000000"/>
                <w:fitText w:val="126" w:id="-1435316978"/>
                <w14:textFill>
                  <w14:solidFill>
                    <w14:srgbClr w14:val="000000">
                      <w14:alpha w14:val="100000"/>
                    </w14:srgbClr>
                  </w14:solidFill>
                </w14:textFill>
              </w:rPr>
              <w:t xml:space="preserve">　</w:t>
            </w:r>
            <w:r w:rsidR="00540BA2">
              <w:rPr>
                <w:vertAlign w:val="superscript"/>
              </w:rPr>
              <w:t>17</w:t>
            </w:r>
          </w:p>
        </w:tc>
        <w:tc>
          <w:tcPr>
            <w:tcW w:w="571" w:type="pct"/>
            <w:shd w:val="clear" w:color="auto" w:fill="auto"/>
          </w:tcPr>
          <w:p w14:paraId="57960A91" w14:textId="785212BA" w:rsidR="00694509" w:rsidRPr="006A5352" w:rsidRDefault="009A7DC1" w:rsidP="003406B4">
            <w:pPr>
              <w:pStyle w:val="TableText"/>
              <w:jc w:val="center"/>
              <w:rPr>
                <w:highlight w:val="darkGray"/>
              </w:rPr>
            </w:pPr>
            <w:r w:rsidRPr="009A7DC1">
              <w:rPr>
                <w:rFonts w:hint="eastAsia"/>
                <w:color w:val="000000"/>
                <w:w w:val="19"/>
                <w:shd w:val="solid" w:color="000000" w:fill="000000"/>
                <w:fitText w:val="87" w:id="-1435316977"/>
                <w14:textFill>
                  <w14:solidFill>
                    <w14:srgbClr w14:val="000000">
                      <w14:alpha w14:val="100000"/>
                    </w14:srgbClr>
                  </w14:solidFill>
                </w14:textFill>
              </w:rPr>
              <w:t xml:space="preserve">　</w:t>
            </w:r>
            <w:r w:rsidRPr="009A7DC1">
              <w:rPr>
                <w:color w:val="000000"/>
                <w:w w:val="19"/>
                <w:shd w:val="solid" w:color="000000" w:fill="000000"/>
                <w:fitText w:val="87" w:id="-1435316977"/>
                <w14:textFill>
                  <w14:solidFill>
                    <w14:srgbClr w14:val="000000">
                      <w14:alpha w14:val="100000"/>
                    </w14:srgbClr>
                  </w14:solidFill>
                </w14:textFill>
              </w:rPr>
              <w:t>|</w:t>
            </w:r>
            <w:r w:rsidRPr="009A7DC1">
              <w:rPr>
                <w:rFonts w:hint="eastAsia"/>
                <w:color w:val="000000"/>
                <w:spacing w:val="3"/>
                <w:w w:val="19"/>
                <w:shd w:val="solid" w:color="000000" w:fill="000000"/>
                <w:fitText w:val="87" w:id="-1435316977"/>
                <w14:textFill>
                  <w14:solidFill>
                    <w14:srgbClr w14:val="000000">
                      <w14:alpha w14:val="100000"/>
                    </w14:srgbClr>
                  </w14:solidFill>
                </w14:textFill>
              </w:rPr>
              <w:t xml:space="preserve">　</w:t>
            </w:r>
            <w:r w:rsidR="00821887">
              <w:rPr>
                <w:vertAlign w:val="superscript"/>
              </w:rPr>
              <w:t>5</w:t>
            </w:r>
          </w:p>
        </w:tc>
        <w:tc>
          <w:tcPr>
            <w:tcW w:w="573" w:type="pct"/>
            <w:shd w:val="clear" w:color="auto" w:fill="auto"/>
          </w:tcPr>
          <w:p w14:paraId="3220347E" w14:textId="32B5EF18" w:rsidR="00694509" w:rsidRPr="006A5352" w:rsidRDefault="009A7DC1" w:rsidP="003406B4">
            <w:pPr>
              <w:pStyle w:val="TableText"/>
              <w:jc w:val="center"/>
              <w:rPr>
                <w:highlight w:val="darkGray"/>
              </w:rPr>
            </w:pPr>
            <w:r w:rsidRPr="009A7DC1">
              <w:rPr>
                <w:rFonts w:hint="eastAsia"/>
                <w:color w:val="000000"/>
                <w:w w:val="19"/>
                <w:shd w:val="solid" w:color="000000" w:fill="000000"/>
                <w:fitText w:val="87" w:id="-1435316976"/>
                <w14:textFill>
                  <w14:solidFill>
                    <w14:srgbClr w14:val="000000">
                      <w14:alpha w14:val="100000"/>
                    </w14:srgbClr>
                  </w14:solidFill>
                </w14:textFill>
              </w:rPr>
              <w:t xml:space="preserve">　</w:t>
            </w:r>
            <w:r w:rsidRPr="009A7DC1">
              <w:rPr>
                <w:color w:val="000000"/>
                <w:w w:val="19"/>
                <w:shd w:val="solid" w:color="000000" w:fill="000000"/>
                <w:fitText w:val="87" w:id="-1435316976"/>
                <w14:textFill>
                  <w14:solidFill>
                    <w14:srgbClr w14:val="000000">
                      <w14:alpha w14:val="100000"/>
                    </w14:srgbClr>
                  </w14:solidFill>
                </w14:textFill>
              </w:rPr>
              <w:t>|</w:t>
            </w:r>
            <w:r w:rsidRPr="009A7DC1">
              <w:rPr>
                <w:rFonts w:hint="eastAsia"/>
                <w:color w:val="000000"/>
                <w:spacing w:val="3"/>
                <w:w w:val="19"/>
                <w:shd w:val="solid" w:color="000000" w:fill="000000"/>
                <w:fitText w:val="87" w:id="-1435316976"/>
                <w14:textFill>
                  <w14:solidFill>
                    <w14:srgbClr w14:val="000000">
                      <w14:alpha w14:val="100000"/>
                    </w14:srgbClr>
                  </w14:solidFill>
                </w14:textFill>
              </w:rPr>
              <w:t xml:space="preserve">　</w:t>
            </w:r>
            <w:r w:rsidR="00821887">
              <w:rPr>
                <w:vertAlign w:val="superscript"/>
              </w:rPr>
              <w:t>5</w:t>
            </w:r>
          </w:p>
        </w:tc>
      </w:tr>
      <w:tr w:rsidR="00694509" w:rsidRPr="003455D2" w14:paraId="1EB4C24C" w14:textId="77777777" w:rsidTr="003406B4">
        <w:tc>
          <w:tcPr>
            <w:tcW w:w="1574" w:type="pct"/>
            <w:shd w:val="clear" w:color="auto" w:fill="auto"/>
            <w:vAlign w:val="center"/>
          </w:tcPr>
          <w:p w14:paraId="186DA378" w14:textId="77777777" w:rsidR="00694509" w:rsidRDefault="00694509" w:rsidP="003406B4">
            <w:pPr>
              <w:pStyle w:val="TableText"/>
            </w:pPr>
            <w:r>
              <w:t>On-treatment fracture (15.59%)</w:t>
            </w:r>
          </w:p>
        </w:tc>
        <w:tc>
          <w:tcPr>
            <w:tcW w:w="569" w:type="pct"/>
            <w:shd w:val="clear" w:color="auto" w:fill="auto"/>
          </w:tcPr>
          <w:p w14:paraId="4124F6B4" w14:textId="00045E3D" w:rsidR="00694509" w:rsidRPr="006A5352" w:rsidRDefault="009A7DC1" w:rsidP="003406B4">
            <w:pPr>
              <w:pStyle w:val="TableText"/>
              <w:jc w:val="center"/>
              <w:rPr>
                <w:highlight w:val="darkGray"/>
              </w:rPr>
            </w:pPr>
            <w:r w:rsidRPr="009A7DC1">
              <w:rPr>
                <w:color w:val="000000"/>
                <w:spacing w:val="65"/>
                <w:shd w:val="solid" w:color="000000" w:fill="000000"/>
                <w:fitText w:val="151" w:id="-1435316992"/>
                <w14:textFill>
                  <w14:solidFill>
                    <w14:srgbClr w14:val="000000">
                      <w14:alpha w14:val="100000"/>
                    </w14:srgbClr>
                  </w14:solidFill>
                </w14:textFill>
              </w:rPr>
              <w:t>|</w:t>
            </w:r>
            <w:r w:rsidRPr="009A7DC1">
              <w:rPr>
                <w:color w:val="000000"/>
                <w:spacing w:val="1"/>
                <w:shd w:val="solid" w:color="000000" w:fill="000000"/>
                <w:fitText w:val="151" w:id="-1435316992"/>
                <w14:textFill>
                  <w14:solidFill>
                    <w14:srgbClr w14:val="000000">
                      <w14:alpha w14:val="100000"/>
                    </w14:srgbClr>
                  </w14:solidFill>
                </w14:textFill>
              </w:rPr>
              <w:t>|</w:t>
            </w:r>
            <w:r w:rsidRPr="009A7DC1">
              <w:t xml:space="preserve"> </w:t>
            </w:r>
            <w:r w:rsidR="00540BA2">
              <w:rPr>
                <w:vertAlign w:val="superscript"/>
              </w:rPr>
              <w:t>10</w:t>
            </w:r>
          </w:p>
        </w:tc>
        <w:tc>
          <w:tcPr>
            <w:tcW w:w="571" w:type="pct"/>
            <w:shd w:val="clear" w:color="auto" w:fill="auto"/>
          </w:tcPr>
          <w:p w14:paraId="42193580" w14:textId="3523C6C6" w:rsidR="00694509" w:rsidRPr="006A5352" w:rsidRDefault="009A7DC1" w:rsidP="003406B4">
            <w:pPr>
              <w:pStyle w:val="TableText"/>
              <w:jc w:val="center"/>
              <w:rPr>
                <w:highlight w:val="darkGray"/>
              </w:rPr>
            </w:pPr>
            <w:r w:rsidRPr="009A7DC1">
              <w:rPr>
                <w:rFonts w:hint="eastAsia"/>
                <w:color w:val="000000"/>
                <w:w w:val="31"/>
                <w:shd w:val="solid" w:color="000000" w:fill="000000"/>
                <w:fitText w:val="138" w:id="-1435316991"/>
                <w14:textFill>
                  <w14:solidFill>
                    <w14:srgbClr w14:val="000000">
                      <w14:alpha w14:val="100000"/>
                    </w14:srgbClr>
                  </w14:solidFill>
                </w14:textFill>
              </w:rPr>
              <w:t xml:space="preserve">　</w:t>
            </w:r>
            <w:r w:rsidRPr="009A7DC1">
              <w:rPr>
                <w:color w:val="000000"/>
                <w:w w:val="31"/>
                <w:shd w:val="solid" w:color="000000" w:fill="000000"/>
                <w:fitText w:val="138" w:id="-1435316991"/>
                <w14:textFill>
                  <w14:solidFill>
                    <w14:srgbClr w14:val="000000">
                      <w14:alpha w14:val="100000"/>
                    </w14:srgbClr>
                  </w14:solidFill>
                </w14:textFill>
              </w:rPr>
              <w:t>|</w:t>
            </w:r>
            <w:r w:rsidRPr="009A7DC1">
              <w:rPr>
                <w:rFonts w:hint="eastAsia"/>
                <w:color w:val="000000"/>
                <w:spacing w:val="2"/>
                <w:w w:val="31"/>
                <w:shd w:val="solid" w:color="000000" w:fill="000000"/>
                <w:fitText w:val="138" w:id="-1435316991"/>
                <w14:textFill>
                  <w14:solidFill>
                    <w14:srgbClr w14:val="000000">
                      <w14:alpha w14:val="100000"/>
                    </w14:srgbClr>
                  </w14:solidFill>
                </w14:textFill>
              </w:rPr>
              <w:t xml:space="preserve">　</w:t>
            </w:r>
            <w:r w:rsidRPr="009A7DC1">
              <w:t xml:space="preserve"> </w:t>
            </w:r>
            <w:r w:rsidR="00540BA2">
              <w:rPr>
                <w:vertAlign w:val="superscript"/>
              </w:rPr>
              <w:t>10</w:t>
            </w:r>
          </w:p>
        </w:tc>
        <w:tc>
          <w:tcPr>
            <w:tcW w:w="571" w:type="pct"/>
            <w:shd w:val="clear" w:color="auto" w:fill="auto"/>
          </w:tcPr>
          <w:p w14:paraId="5C264EBC" w14:textId="771A1037" w:rsidR="00694509" w:rsidRPr="006A5352" w:rsidRDefault="009A7DC1" w:rsidP="003406B4">
            <w:pPr>
              <w:pStyle w:val="TableText"/>
              <w:jc w:val="center"/>
              <w:rPr>
                <w:highlight w:val="darkGray"/>
              </w:rPr>
            </w:pPr>
            <w:r w:rsidRPr="009A7DC1">
              <w:rPr>
                <w:rFonts w:hint="eastAsia"/>
                <w:color w:val="000000"/>
                <w:w w:val="30"/>
                <w:shd w:val="solid" w:color="000000" w:fill="000000"/>
                <w:fitText w:val="137" w:id="-1435316990"/>
                <w14:textFill>
                  <w14:solidFill>
                    <w14:srgbClr w14:val="000000">
                      <w14:alpha w14:val="100000"/>
                    </w14:srgbClr>
                  </w14:solidFill>
                </w14:textFill>
              </w:rPr>
              <w:t xml:space="preserve">　</w:t>
            </w:r>
            <w:r w:rsidRPr="009A7DC1">
              <w:rPr>
                <w:color w:val="000000"/>
                <w:w w:val="30"/>
                <w:shd w:val="solid" w:color="000000" w:fill="000000"/>
                <w:fitText w:val="137" w:id="-1435316990"/>
                <w14:textFill>
                  <w14:solidFill>
                    <w14:srgbClr w14:val="000000">
                      <w14:alpha w14:val="100000"/>
                    </w14:srgbClr>
                  </w14:solidFill>
                </w14:textFill>
              </w:rPr>
              <w:t>|</w:t>
            </w:r>
            <w:r w:rsidRPr="009A7DC1">
              <w:rPr>
                <w:rFonts w:hint="eastAsia"/>
                <w:color w:val="000000"/>
                <w:spacing w:val="5"/>
                <w:w w:val="30"/>
                <w:shd w:val="solid" w:color="000000" w:fill="000000"/>
                <w:fitText w:val="137" w:id="-1435316990"/>
                <w14:textFill>
                  <w14:solidFill>
                    <w14:srgbClr w14:val="000000">
                      <w14:alpha w14:val="100000"/>
                    </w14:srgbClr>
                  </w14:solidFill>
                </w14:textFill>
              </w:rPr>
              <w:t xml:space="preserve">　</w:t>
            </w:r>
            <w:r w:rsidRPr="009A7DC1">
              <w:t xml:space="preserve"> </w:t>
            </w:r>
            <w:r w:rsidR="00540BA2">
              <w:rPr>
                <w:vertAlign w:val="superscript"/>
              </w:rPr>
              <w:t>10</w:t>
            </w:r>
          </w:p>
        </w:tc>
        <w:tc>
          <w:tcPr>
            <w:tcW w:w="571" w:type="pct"/>
            <w:shd w:val="clear" w:color="auto" w:fill="auto"/>
          </w:tcPr>
          <w:p w14:paraId="44A756F7" w14:textId="12DA6380" w:rsidR="00694509" w:rsidRPr="006A5352" w:rsidRDefault="009A7DC1" w:rsidP="003406B4">
            <w:pPr>
              <w:pStyle w:val="TableText"/>
              <w:jc w:val="center"/>
              <w:rPr>
                <w:highlight w:val="darkGray"/>
              </w:rPr>
            </w:pPr>
            <w:r w:rsidRPr="009A7DC1">
              <w:rPr>
                <w:rFonts w:hint="eastAsia"/>
                <w:color w:val="000000"/>
                <w:w w:val="31"/>
                <w:shd w:val="solid" w:color="000000" w:fill="000000"/>
                <w:fitText w:val="138" w:id="-1435316989"/>
                <w14:textFill>
                  <w14:solidFill>
                    <w14:srgbClr w14:val="000000">
                      <w14:alpha w14:val="100000"/>
                    </w14:srgbClr>
                  </w14:solidFill>
                </w14:textFill>
              </w:rPr>
              <w:t xml:space="preserve">　</w:t>
            </w:r>
            <w:r w:rsidRPr="009A7DC1">
              <w:rPr>
                <w:color w:val="000000"/>
                <w:w w:val="31"/>
                <w:shd w:val="solid" w:color="000000" w:fill="000000"/>
                <w:fitText w:val="138" w:id="-1435316989"/>
                <w14:textFill>
                  <w14:solidFill>
                    <w14:srgbClr w14:val="000000">
                      <w14:alpha w14:val="100000"/>
                    </w14:srgbClr>
                  </w14:solidFill>
                </w14:textFill>
              </w:rPr>
              <w:t>|</w:t>
            </w:r>
            <w:r w:rsidRPr="009A7DC1">
              <w:rPr>
                <w:rFonts w:hint="eastAsia"/>
                <w:color w:val="000000"/>
                <w:spacing w:val="2"/>
                <w:w w:val="31"/>
                <w:shd w:val="solid" w:color="000000" w:fill="000000"/>
                <w:fitText w:val="138" w:id="-1435316989"/>
                <w14:textFill>
                  <w14:solidFill>
                    <w14:srgbClr w14:val="000000">
                      <w14:alpha w14:val="100000"/>
                    </w14:srgbClr>
                  </w14:solidFill>
                </w14:textFill>
              </w:rPr>
              <w:t xml:space="preserve">　</w:t>
            </w:r>
            <w:r w:rsidRPr="009A7DC1">
              <w:t xml:space="preserve"> </w:t>
            </w:r>
            <w:r w:rsidR="00540BA2">
              <w:rPr>
                <w:vertAlign w:val="superscript"/>
              </w:rPr>
              <w:t>10</w:t>
            </w:r>
          </w:p>
        </w:tc>
        <w:tc>
          <w:tcPr>
            <w:tcW w:w="571" w:type="pct"/>
            <w:shd w:val="clear" w:color="auto" w:fill="auto"/>
          </w:tcPr>
          <w:p w14:paraId="62C0254F" w14:textId="4FC69573" w:rsidR="00694509" w:rsidRPr="006A5352" w:rsidRDefault="009A7DC1" w:rsidP="003406B4">
            <w:pPr>
              <w:pStyle w:val="TableText"/>
              <w:jc w:val="center"/>
              <w:rPr>
                <w:highlight w:val="darkGray"/>
              </w:rPr>
            </w:pPr>
            <w:r w:rsidRPr="009A7DC1">
              <w:rPr>
                <w:rFonts w:hint="eastAsia"/>
                <w:color w:val="000000"/>
                <w:w w:val="30"/>
                <w:shd w:val="solid" w:color="000000" w:fill="000000"/>
                <w:fitText w:val="137" w:id="-1435316988"/>
                <w14:textFill>
                  <w14:solidFill>
                    <w14:srgbClr w14:val="000000">
                      <w14:alpha w14:val="100000"/>
                    </w14:srgbClr>
                  </w14:solidFill>
                </w14:textFill>
              </w:rPr>
              <w:t xml:space="preserve">　</w:t>
            </w:r>
            <w:r w:rsidRPr="009A7DC1">
              <w:rPr>
                <w:color w:val="000000"/>
                <w:w w:val="30"/>
                <w:shd w:val="solid" w:color="000000" w:fill="000000"/>
                <w:fitText w:val="137" w:id="-1435316988"/>
                <w14:textFill>
                  <w14:solidFill>
                    <w14:srgbClr w14:val="000000">
                      <w14:alpha w14:val="100000"/>
                    </w14:srgbClr>
                  </w14:solidFill>
                </w14:textFill>
              </w:rPr>
              <w:t>|</w:t>
            </w:r>
            <w:r w:rsidRPr="009A7DC1">
              <w:rPr>
                <w:rFonts w:hint="eastAsia"/>
                <w:color w:val="000000"/>
                <w:spacing w:val="5"/>
                <w:w w:val="30"/>
                <w:shd w:val="solid" w:color="000000" w:fill="000000"/>
                <w:fitText w:val="137" w:id="-1435316988"/>
                <w14:textFill>
                  <w14:solidFill>
                    <w14:srgbClr w14:val="000000">
                      <w14:alpha w14:val="100000"/>
                    </w14:srgbClr>
                  </w14:solidFill>
                </w14:textFill>
              </w:rPr>
              <w:t xml:space="preserve">　</w:t>
            </w:r>
            <w:r w:rsidRPr="009A7DC1">
              <w:t xml:space="preserve"> </w:t>
            </w:r>
            <w:r w:rsidR="00540BA2">
              <w:rPr>
                <w:vertAlign w:val="superscript"/>
              </w:rPr>
              <w:t>10</w:t>
            </w:r>
          </w:p>
        </w:tc>
        <w:tc>
          <w:tcPr>
            <w:tcW w:w="573" w:type="pct"/>
            <w:shd w:val="clear" w:color="auto" w:fill="auto"/>
          </w:tcPr>
          <w:p w14:paraId="006430E7" w14:textId="5D410A0B" w:rsidR="00694509" w:rsidRPr="006A5352" w:rsidRDefault="009A7DC1" w:rsidP="003406B4">
            <w:pPr>
              <w:pStyle w:val="TableText"/>
              <w:jc w:val="center"/>
              <w:rPr>
                <w:highlight w:val="darkGray"/>
              </w:rPr>
            </w:pPr>
            <w:r w:rsidRPr="009A7DC1">
              <w:rPr>
                <w:rFonts w:hint="eastAsia"/>
                <w:color w:val="000000"/>
                <w:w w:val="31"/>
                <w:shd w:val="solid" w:color="000000" w:fill="000000"/>
                <w:fitText w:val="138" w:id="-1435316987"/>
                <w14:textFill>
                  <w14:solidFill>
                    <w14:srgbClr w14:val="000000">
                      <w14:alpha w14:val="100000"/>
                    </w14:srgbClr>
                  </w14:solidFill>
                </w14:textFill>
              </w:rPr>
              <w:t xml:space="preserve">　</w:t>
            </w:r>
            <w:r w:rsidRPr="009A7DC1">
              <w:rPr>
                <w:color w:val="000000"/>
                <w:w w:val="31"/>
                <w:shd w:val="solid" w:color="000000" w:fill="000000"/>
                <w:fitText w:val="138" w:id="-1435316987"/>
                <w14:textFill>
                  <w14:solidFill>
                    <w14:srgbClr w14:val="000000">
                      <w14:alpha w14:val="100000"/>
                    </w14:srgbClr>
                  </w14:solidFill>
                </w14:textFill>
              </w:rPr>
              <w:t>|</w:t>
            </w:r>
            <w:r w:rsidRPr="009A7DC1">
              <w:rPr>
                <w:rFonts w:hint="eastAsia"/>
                <w:color w:val="000000"/>
                <w:spacing w:val="2"/>
                <w:w w:val="31"/>
                <w:shd w:val="solid" w:color="000000" w:fill="000000"/>
                <w:fitText w:val="138" w:id="-1435316987"/>
                <w14:textFill>
                  <w14:solidFill>
                    <w14:srgbClr w14:val="000000">
                      <w14:alpha w14:val="100000"/>
                    </w14:srgbClr>
                  </w14:solidFill>
                </w14:textFill>
              </w:rPr>
              <w:t xml:space="preserve">　</w:t>
            </w:r>
            <w:r w:rsidRPr="009A7DC1">
              <w:t xml:space="preserve"> </w:t>
            </w:r>
            <w:r w:rsidR="00540BA2">
              <w:rPr>
                <w:vertAlign w:val="superscript"/>
              </w:rPr>
              <w:t>10</w:t>
            </w:r>
          </w:p>
        </w:tc>
      </w:tr>
      <w:tr w:rsidR="00694509" w:rsidRPr="003455D2" w14:paraId="2F3F901E" w14:textId="77777777" w:rsidTr="003406B4">
        <w:tc>
          <w:tcPr>
            <w:tcW w:w="1574" w:type="pct"/>
            <w:shd w:val="clear" w:color="auto" w:fill="auto"/>
            <w:vAlign w:val="center"/>
          </w:tcPr>
          <w:p w14:paraId="178E8FD1" w14:textId="77777777" w:rsidR="00694509" w:rsidRDefault="00694509" w:rsidP="003406B4">
            <w:pPr>
              <w:pStyle w:val="TableText"/>
            </w:pPr>
            <w:r>
              <w:t>Uptake</w:t>
            </w:r>
          </w:p>
        </w:tc>
        <w:tc>
          <w:tcPr>
            <w:tcW w:w="569" w:type="pct"/>
            <w:shd w:val="clear" w:color="auto" w:fill="auto"/>
            <w:vAlign w:val="center"/>
          </w:tcPr>
          <w:p w14:paraId="532FFB3F" w14:textId="612F8337" w:rsidR="00694509" w:rsidRPr="007E39C0" w:rsidRDefault="009A7DC1" w:rsidP="003406B4">
            <w:pPr>
              <w:pStyle w:val="TableText"/>
              <w:jc w:val="center"/>
            </w:pPr>
            <w:r w:rsidRPr="009A7DC1">
              <w:rPr>
                <w:rFonts w:hint="eastAsia"/>
                <w:color w:val="000000"/>
                <w:w w:val="31"/>
                <w:shd w:val="solid" w:color="000000" w:fill="000000"/>
                <w:fitText w:val="138" w:id="-1435316736"/>
                <w14:textFill>
                  <w14:solidFill>
                    <w14:srgbClr w14:val="000000">
                      <w14:alpha w14:val="100000"/>
                    </w14:srgbClr>
                  </w14:solidFill>
                </w14:textFill>
              </w:rPr>
              <w:t xml:space="preserve">　</w:t>
            </w:r>
            <w:r w:rsidRPr="009A7DC1">
              <w:rPr>
                <w:color w:val="000000"/>
                <w:w w:val="31"/>
                <w:shd w:val="solid" w:color="000000" w:fill="000000"/>
                <w:fitText w:val="138" w:id="-1435316736"/>
                <w14:textFill>
                  <w14:solidFill>
                    <w14:srgbClr w14:val="000000">
                      <w14:alpha w14:val="100000"/>
                    </w14:srgbClr>
                  </w14:solidFill>
                </w14:textFill>
              </w:rPr>
              <w:t>|</w:t>
            </w:r>
            <w:r w:rsidRPr="009A7DC1">
              <w:rPr>
                <w:rFonts w:hint="eastAsia"/>
                <w:color w:val="000000"/>
                <w:spacing w:val="2"/>
                <w:w w:val="31"/>
                <w:shd w:val="solid" w:color="000000" w:fill="000000"/>
                <w:fitText w:val="138" w:id="-1435316736"/>
                <w14:textFill>
                  <w14:solidFill>
                    <w14:srgbClr w14:val="000000">
                      <w14:alpha w14:val="100000"/>
                    </w14:srgbClr>
                  </w14:solidFill>
                </w14:textFill>
              </w:rPr>
              <w:t xml:space="preserve">　</w:t>
            </w:r>
            <w:r w:rsidR="00694509" w:rsidRPr="007E39C0">
              <w:t>%</w:t>
            </w:r>
          </w:p>
        </w:tc>
        <w:tc>
          <w:tcPr>
            <w:tcW w:w="571" w:type="pct"/>
            <w:shd w:val="clear" w:color="auto" w:fill="auto"/>
            <w:vAlign w:val="center"/>
          </w:tcPr>
          <w:p w14:paraId="72C6942C" w14:textId="5FC30738" w:rsidR="00694509" w:rsidRPr="007E39C0" w:rsidRDefault="009A7DC1" w:rsidP="003406B4">
            <w:pPr>
              <w:pStyle w:val="TableText"/>
              <w:jc w:val="center"/>
            </w:pPr>
            <w:r w:rsidRPr="009A7DC1">
              <w:rPr>
                <w:rFonts w:hint="eastAsia"/>
                <w:color w:val="000000"/>
                <w:w w:val="31"/>
                <w:shd w:val="solid" w:color="000000" w:fill="000000"/>
                <w:fitText w:val="138" w:id="-1435316735"/>
                <w14:textFill>
                  <w14:solidFill>
                    <w14:srgbClr w14:val="000000">
                      <w14:alpha w14:val="100000"/>
                    </w14:srgbClr>
                  </w14:solidFill>
                </w14:textFill>
              </w:rPr>
              <w:t xml:space="preserve">　</w:t>
            </w:r>
            <w:r w:rsidRPr="009A7DC1">
              <w:rPr>
                <w:color w:val="000000"/>
                <w:w w:val="31"/>
                <w:shd w:val="solid" w:color="000000" w:fill="000000"/>
                <w:fitText w:val="138" w:id="-1435316735"/>
                <w14:textFill>
                  <w14:solidFill>
                    <w14:srgbClr w14:val="000000">
                      <w14:alpha w14:val="100000"/>
                    </w14:srgbClr>
                  </w14:solidFill>
                </w14:textFill>
              </w:rPr>
              <w:t>|</w:t>
            </w:r>
            <w:r w:rsidRPr="009A7DC1">
              <w:rPr>
                <w:rFonts w:hint="eastAsia"/>
                <w:color w:val="000000"/>
                <w:spacing w:val="2"/>
                <w:w w:val="31"/>
                <w:shd w:val="solid" w:color="000000" w:fill="000000"/>
                <w:fitText w:val="138" w:id="-1435316735"/>
                <w14:textFill>
                  <w14:solidFill>
                    <w14:srgbClr w14:val="000000">
                      <w14:alpha w14:val="100000"/>
                    </w14:srgbClr>
                  </w14:solidFill>
                </w14:textFill>
              </w:rPr>
              <w:t xml:space="preserve">　</w:t>
            </w:r>
            <w:r w:rsidR="00694509" w:rsidRPr="007E39C0">
              <w:t>%</w:t>
            </w:r>
          </w:p>
        </w:tc>
        <w:tc>
          <w:tcPr>
            <w:tcW w:w="571" w:type="pct"/>
            <w:shd w:val="clear" w:color="auto" w:fill="auto"/>
            <w:vAlign w:val="center"/>
          </w:tcPr>
          <w:p w14:paraId="472F5897" w14:textId="12756BCE" w:rsidR="00694509" w:rsidRPr="007E39C0" w:rsidRDefault="009A7DC1" w:rsidP="003406B4">
            <w:pPr>
              <w:pStyle w:val="TableText"/>
              <w:jc w:val="center"/>
            </w:pPr>
            <w:r w:rsidRPr="009A7DC1">
              <w:rPr>
                <w:rFonts w:hint="eastAsia"/>
                <w:color w:val="000000"/>
                <w:w w:val="30"/>
                <w:shd w:val="solid" w:color="000000" w:fill="000000"/>
                <w:fitText w:val="137" w:id="-1435316734"/>
                <w14:textFill>
                  <w14:solidFill>
                    <w14:srgbClr w14:val="000000">
                      <w14:alpha w14:val="100000"/>
                    </w14:srgbClr>
                  </w14:solidFill>
                </w14:textFill>
              </w:rPr>
              <w:t xml:space="preserve">　</w:t>
            </w:r>
            <w:r w:rsidRPr="009A7DC1">
              <w:rPr>
                <w:color w:val="000000"/>
                <w:w w:val="30"/>
                <w:shd w:val="solid" w:color="000000" w:fill="000000"/>
                <w:fitText w:val="137" w:id="-1435316734"/>
                <w14:textFill>
                  <w14:solidFill>
                    <w14:srgbClr w14:val="000000">
                      <w14:alpha w14:val="100000"/>
                    </w14:srgbClr>
                  </w14:solidFill>
                </w14:textFill>
              </w:rPr>
              <w:t>|</w:t>
            </w:r>
            <w:r w:rsidRPr="009A7DC1">
              <w:rPr>
                <w:rFonts w:hint="eastAsia"/>
                <w:color w:val="000000"/>
                <w:spacing w:val="5"/>
                <w:w w:val="30"/>
                <w:shd w:val="solid" w:color="000000" w:fill="000000"/>
                <w:fitText w:val="137" w:id="-1435316734"/>
                <w14:textFill>
                  <w14:solidFill>
                    <w14:srgbClr w14:val="000000">
                      <w14:alpha w14:val="100000"/>
                    </w14:srgbClr>
                  </w14:solidFill>
                </w14:textFill>
              </w:rPr>
              <w:t xml:space="preserve">　</w:t>
            </w:r>
            <w:r w:rsidR="00694509" w:rsidRPr="007E39C0">
              <w:t>%</w:t>
            </w:r>
          </w:p>
        </w:tc>
        <w:tc>
          <w:tcPr>
            <w:tcW w:w="571" w:type="pct"/>
            <w:shd w:val="clear" w:color="auto" w:fill="auto"/>
            <w:vAlign w:val="center"/>
          </w:tcPr>
          <w:p w14:paraId="7E667563" w14:textId="0EF72C05" w:rsidR="00694509" w:rsidRPr="007E39C0" w:rsidRDefault="009A7DC1" w:rsidP="003406B4">
            <w:pPr>
              <w:pStyle w:val="TableText"/>
              <w:jc w:val="center"/>
            </w:pPr>
            <w:r w:rsidRPr="009A7DC1">
              <w:rPr>
                <w:rFonts w:hint="eastAsia"/>
                <w:color w:val="000000"/>
                <w:w w:val="31"/>
                <w:shd w:val="solid" w:color="000000" w:fill="000000"/>
                <w:fitText w:val="138" w:id="-1435316733"/>
                <w14:textFill>
                  <w14:solidFill>
                    <w14:srgbClr w14:val="000000">
                      <w14:alpha w14:val="100000"/>
                    </w14:srgbClr>
                  </w14:solidFill>
                </w14:textFill>
              </w:rPr>
              <w:t xml:space="preserve">　</w:t>
            </w:r>
            <w:r w:rsidRPr="009A7DC1">
              <w:rPr>
                <w:color w:val="000000"/>
                <w:w w:val="31"/>
                <w:shd w:val="solid" w:color="000000" w:fill="000000"/>
                <w:fitText w:val="138" w:id="-1435316733"/>
                <w14:textFill>
                  <w14:solidFill>
                    <w14:srgbClr w14:val="000000">
                      <w14:alpha w14:val="100000"/>
                    </w14:srgbClr>
                  </w14:solidFill>
                </w14:textFill>
              </w:rPr>
              <w:t>|</w:t>
            </w:r>
            <w:r w:rsidRPr="009A7DC1">
              <w:rPr>
                <w:rFonts w:hint="eastAsia"/>
                <w:color w:val="000000"/>
                <w:spacing w:val="2"/>
                <w:w w:val="31"/>
                <w:shd w:val="solid" w:color="000000" w:fill="000000"/>
                <w:fitText w:val="138" w:id="-1435316733"/>
                <w14:textFill>
                  <w14:solidFill>
                    <w14:srgbClr w14:val="000000">
                      <w14:alpha w14:val="100000"/>
                    </w14:srgbClr>
                  </w14:solidFill>
                </w14:textFill>
              </w:rPr>
              <w:t xml:space="preserve">　</w:t>
            </w:r>
            <w:r w:rsidR="00694509" w:rsidRPr="007E39C0">
              <w:t>%</w:t>
            </w:r>
          </w:p>
        </w:tc>
        <w:tc>
          <w:tcPr>
            <w:tcW w:w="571" w:type="pct"/>
            <w:shd w:val="clear" w:color="auto" w:fill="auto"/>
            <w:vAlign w:val="center"/>
          </w:tcPr>
          <w:p w14:paraId="3BB263AE" w14:textId="1FA75CCC" w:rsidR="00694509" w:rsidRPr="007E39C0" w:rsidRDefault="009A7DC1" w:rsidP="003406B4">
            <w:pPr>
              <w:pStyle w:val="TableText"/>
              <w:jc w:val="center"/>
            </w:pPr>
            <w:r w:rsidRPr="009A7DC1">
              <w:rPr>
                <w:rFonts w:hint="eastAsia"/>
                <w:color w:val="000000"/>
                <w:w w:val="30"/>
                <w:shd w:val="solid" w:color="000000" w:fill="000000"/>
                <w:fitText w:val="137" w:id="-1435316732"/>
                <w14:textFill>
                  <w14:solidFill>
                    <w14:srgbClr w14:val="000000">
                      <w14:alpha w14:val="100000"/>
                    </w14:srgbClr>
                  </w14:solidFill>
                </w14:textFill>
              </w:rPr>
              <w:t xml:space="preserve">　</w:t>
            </w:r>
            <w:r w:rsidRPr="009A7DC1">
              <w:rPr>
                <w:color w:val="000000"/>
                <w:w w:val="30"/>
                <w:shd w:val="solid" w:color="000000" w:fill="000000"/>
                <w:fitText w:val="137" w:id="-1435316732"/>
                <w14:textFill>
                  <w14:solidFill>
                    <w14:srgbClr w14:val="000000">
                      <w14:alpha w14:val="100000"/>
                    </w14:srgbClr>
                  </w14:solidFill>
                </w14:textFill>
              </w:rPr>
              <w:t>|</w:t>
            </w:r>
            <w:r w:rsidRPr="009A7DC1">
              <w:rPr>
                <w:rFonts w:hint="eastAsia"/>
                <w:color w:val="000000"/>
                <w:spacing w:val="5"/>
                <w:w w:val="30"/>
                <w:shd w:val="solid" w:color="000000" w:fill="000000"/>
                <w:fitText w:val="137" w:id="-1435316732"/>
                <w14:textFill>
                  <w14:solidFill>
                    <w14:srgbClr w14:val="000000">
                      <w14:alpha w14:val="100000"/>
                    </w14:srgbClr>
                  </w14:solidFill>
                </w14:textFill>
              </w:rPr>
              <w:t xml:space="preserve">　</w:t>
            </w:r>
            <w:r w:rsidR="00694509" w:rsidRPr="007E39C0">
              <w:t>%</w:t>
            </w:r>
          </w:p>
        </w:tc>
        <w:tc>
          <w:tcPr>
            <w:tcW w:w="573" w:type="pct"/>
            <w:shd w:val="clear" w:color="auto" w:fill="auto"/>
            <w:vAlign w:val="center"/>
          </w:tcPr>
          <w:p w14:paraId="45A6E8D8" w14:textId="47735E99" w:rsidR="00694509" w:rsidRPr="007E39C0" w:rsidRDefault="009A7DC1" w:rsidP="003406B4">
            <w:pPr>
              <w:pStyle w:val="TableText"/>
              <w:jc w:val="center"/>
            </w:pPr>
            <w:r w:rsidRPr="009A7DC1">
              <w:rPr>
                <w:rFonts w:hint="eastAsia"/>
                <w:color w:val="000000"/>
                <w:w w:val="31"/>
                <w:shd w:val="solid" w:color="000000" w:fill="000000"/>
                <w:fitText w:val="138" w:id="-1435316731"/>
                <w14:textFill>
                  <w14:solidFill>
                    <w14:srgbClr w14:val="000000">
                      <w14:alpha w14:val="100000"/>
                    </w14:srgbClr>
                  </w14:solidFill>
                </w14:textFill>
              </w:rPr>
              <w:t xml:space="preserve">　</w:t>
            </w:r>
            <w:r w:rsidRPr="009A7DC1">
              <w:rPr>
                <w:color w:val="000000"/>
                <w:w w:val="31"/>
                <w:shd w:val="solid" w:color="000000" w:fill="000000"/>
                <w:fitText w:val="138" w:id="-1435316731"/>
                <w14:textFill>
                  <w14:solidFill>
                    <w14:srgbClr w14:val="000000">
                      <w14:alpha w14:val="100000"/>
                    </w14:srgbClr>
                  </w14:solidFill>
                </w14:textFill>
              </w:rPr>
              <w:t>|</w:t>
            </w:r>
            <w:r w:rsidRPr="009A7DC1">
              <w:rPr>
                <w:rFonts w:hint="eastAsia"/>
                <w:color w:val="000000"/>
                <w:spacing w:val="2"/>
                <w:w w:val="31"/>
                <w:shd w:val="solid" w:color="000000" w:fill="000000"/>
                <w:fitText w:val="138" w:id="-1435316731"/>
                <w14:textFill>
                  <w14:solidFill>
                    <w14:srgbClr w14:val="000000">
                      <w14:alpha w14:val="100000"/>
                    </w14:srgbClr>
                  </w14:solidFill>
                </w14:textFill>
              </w:rPr>
              <w:t xml:space="preserve">　</w:t>
            </w:r>
            <w:r w:rsidR="00694509" w:rsidRPr="007E39C0">
              <w:t>%</w:t>
            </w:r>
          </w:p>
        </w:tc>
      </w:tr>
      <w:tr w:rsidR="00694509" w:rsidRPr="003455D2" w14:paraId="00E65CD3" w14:textId="77777777" w:rsidTr="003406B4">
        <w:tc>
          <w:tcPr>
            <w:tcW w:w="1574" w:type="pct"/>
            <w:shd w:val="clear" w:color="auto" w:fill="auto"/>
            <w:vAlign w:val="center"/>
          </w:tcPr>
          <w:p w14:paraId="3488AD16" w14:textId="77777777" w:rsidR="00694509" w:rsidRDefault="00694509" w:rsidP="003406B4">
            <w:pPr>
              <w:pStyle w:val="TableText"/>
            </w:pPr>
            <w:r>
              <w:t>Patients initiating romosozumab</w:t>
            </w:r>
          </w:p>
        </w:tc>
        <w:tc>
          <w:tcPr>
            <w:tcW w:w="569" w:type="pct"/>
            <w:shd w:val="clear" w:color="auto" w:fill="auto"/>
          </w:tcPr>
          <w:p w14:paraId="7A64E4D4" w14:textId="41DEA5CF" w:rsidR="00694509" w:rsidRPr="006A5352" w:rsidRDefault="009A7DC1" w:rsidP="003406B4">
            <w:pPr>
              <w:pStyle w:val="TableText"/>
              <w:jc w:val="center"/>
              <w:rPr>
                <w:highlight w:val="darkGray"/>
              </w:rPr>
            </w:pPr>
            <w:r w:rsidRPr="009A7DC1">
              <w:rPr>
                <w:color w:val="000000"/>
                <w:spacing w:val="65"/>
                <w:shd w:val="solid" w:color="000000" w:fill="000000"/>
                <w:fitText w:val="151" w:id="-1435316730"/>
                <w14:textFill>
                  <w14:solidFill>
                    <w14:srgbClr w14:val="000000">
                      <w14:alpha w14:val="100000"/>
                    </w14:srgbClr>
                  </w14:solidFill>
                </w14:textFill>
              </w:rPr>
              <w:t>|</w:t>
            </w:r>
            <w:r w:rsidRPr="009A7DC1">
              <w:rPr>
                <w:color w:val="000000"/>
                <w:spacing w:val="1"/>
                <w:shd w:val="solid" w:color="000000" w:fill="000000"/>
                <w:fitText w:val="151" w:id="-1435316730"/>
                <w14:textFill>
                  <w14:solidFill>
                    <w14:srgbClr w14:val="000000">
                      <w14:alpha w14:val="100000"/>
                    </w14:srgbClr>
                  </w14:solidFill>
                </w14:textFill>
              </w:rPr>
              <w:t>|</w:t>
            </w:r>
            <w:r w:rsidRPr="009A7DC1">
              <w:t xml:space="preserve"> </w:t>
            </w:r>
            <w:r w:rsidR="00540BA2">
              <w:rPr>
                <w:vertAlign w:val="superscript"/>
              </w:rPr>
              <w:t>10</w:t>
            </w:r>
          </w:p>
        </w:tc>
        <w:tc>
          <w:tcPr>
            <w:tcW w:w="571" w:type="pct"/>
            <w:shd w:val="clear" w:color="auto" w:fill="auto"/>
          </w:tcPr>
          <w:p w14:paraId="0BAB8FEE" w14:textId="71D6ECCA" w:rsidR="00694509" w:rsidRPr="006A5352" w:rsidRDefault="009A7DC1" w:rsidP="003406B4">
            <w:pPr>
              <w:pStyle w:val="TableText"/>
              <w:jc w:val="center"/>
              <w:rPr>
                <w:highlight w:val="darkGray"/>
              </w:rPr>
            </w:pPr>
            <w:r w:rsidRPr="009A7DC1">
              <w:rPr>
                <w:rFonts w:hint="eastAsia"/>
                <w:color w:val="000000"/>
                <w:w w:val="31"/>
                <w:shd w:val="solid" w:color="000000" w:fill="000000"/>
                <w:fitText w:val="138" w:id="-1435316729"/>
                <w14:textFill>
                  <w14:solidFill>
                    <w14:srgbClr w14:val="000000">
                      <w14:alpha w14:val="100000"/>
                    </w14:srgbClr>
                  </w14:solidFill>
                </w14:textFill>
              </w:rPr>
              <w:t xml:space="preserve">　</w:t>
            </w:r>
            <w:r w:rsidRPr="009A7DC1">
              <w:rPr>
                <w:color w:val="000000"/>
                <w:w w:val="31"/>
                <w:shd w:val="solid" w:color="000000" w:fill="000000"/>
                <w:fitText w:val="138" w:id="-1435316729"/>
                <w14:textFill>
                  <w14:solidFill>
                    <w14:srgbClr w14:val="000000">
                      <w14:alpha w14:val="100000"/>
                    </w14:srgbClr>
                  </w14:solidFill>
                </w14:textFill>
              </w:rPr>
              <w:t>|</w:t>
            </w:r>
            <w:r w:rsidRPr="009A7DC1">
              <w:rPr>
                <w:rFonts w:hint="eastAsia"/>
                <w:color w:val="000000"/>
                <w:spacing w:val="2"/>
                <w:w w:val="31"/>
                <w:shd w:val="solid" w:color="000000" w:fill="000000"/>
                <w:fitText w:val="138" w:id="-1435316729"/>
                <w14:textFill>
                  <w14:solidFill>
                    <w14:srgbClr w14:val="000000">
                      <w14:alpha w14:val="100000"/>
                    </w14:srgbClr>
                  </w14:solidFill>
                </w14:textFill>
              </w:rPr>
              <w:t xml:space="preserve">　</w:t>
            </w:r>
            <w:r w:rsidRPr="009A7DC1">
              <w:t xml:space="preserve"> </w:t>
            </w:r>
            <w:r w:rsidR="00540BA2">
              <w:rPr>
                <w:vertAlign w:val="superscript"/>
              </w:rPr>
              <w:t>10</w:t>
            </w:r>
          </w:p>
        </w:tc>
        <w:tc>
          <w:tcPr>
            <w:tcW w:w="571" w:type="pct"/>
            <w:shd w:val="clear" w:color="auto" w:fill="auto"/>
          </w:tcPr>
          <w:p w14:paraId="4FBD5B20" w14:textId="108BFC5D" w:rsidR="00694509" w:rsidRPr="006A5352" w:rsidRDefault="009A7DC1" w:rsidP="003406B4">
            <w:pPr>
              <w:pStyle w:val="TableText"/>
              <w:jc w:val="center"/>
              <w:rPr>
                <w:highlight w:val="darkGray"/>
              </w:rPr>
            </w:pPr>
            <w:r w:rsidRPr="009A7DC1">
              <w:rPr>
                <w:rFonts w:hint="eastAsia"/>
                <w:color w:val="000000"/>
                <w:w w:val="30"/>
                <w:shd w:val="solid" w:color="000000" w:fill="000000"/>
                <w:fitText w:val="137" w:id="-1435316728"/>
                <w14:textFill>
                  <w14:solidFill>
                    <w14:srgbClr w14:val="000000">
                      <w14:alpha w14:val="100000"/>
                    </w14:srgbClr>
                  </w14:solidFill>
                </w14:textFill>
              </w:rPr>
              <w:t xml:space="preserve">　</w:t>
            </w:r>
            <w:r w:rsidRPr="009A7DC1">
              <w:rPr>
                <w:color w:val="000000"/>
                <w:w w:val="30"/>
                <w:shd w:val="solid" w:color="000000" w:fill="000000"/>
                <w:fitText w:val="137" w:id="-1435316728"/>
                <w14:textFill>
                  <w14:solidFill>
                    <w14:srgbClr w14:val="000000">
                      <w14:alpha w14:val="100000"/>
                    </w14:srgbClr>
                  </w14:solidFill>
                </w14:textFill>
              </w:rPr>
              <w:t>|</w:t>
            </w:r>
            <w:r w:rsidRPr="009A7DC1">
              <w:rPr>
                <w:rFonts w:hint="eastAsia"/>
                <w:color w:val="000000"/>
                <w:spacing w:val="5"/>
                <w:w w:val="30"/>
                <w:shd w:val="solid" w:color="000000" w:fill="000000"/>
                <w:fitText w:val="137" w:id="-1435316728"/>
                <w14:textFill>
                  <w14:solidFill>
                    <w14:srgbClr w14:val="000000">
                      <w14:alpha w14:val="100000"/>
                    </w14:srgbClr>
                  </w14:solidFill>
                </w14:textFill>
              </w:rPr>
              <w:t xml:space="preserve">　</w:t>
            </w:r>
            <w:r w:rsidRPr="009A7DC1">
              <w:t xml:space="preserve"> </w:t>
            </w:r>
            <w:r w:rsidR="00540BA2">
              <w:rPr>
                <w:vertAlign w:val="superscript"/>
              </w:rPr>
              <w:t>10</w:t>
            </w:r>
          </w:p>
        </w:tc>
        <w:tc>
          <w:tcPr>
            <w:tcW w:w="571" w:type="pct"/>
            <w:shd w:val="clear" w:color="auto" w:fill="auto"/>
          </w:tcPr>
          <w:p w14:paraId="2E5DC746" w14:textId="682DB885" w:rsidR="00694509" w:rsidRPr="006A5352" w:rsidRDefault="009A7DC1" w:rsidP="003406B4">
            <w:pPr>
              <w:pStyle w:val="TableText"/>
              <w:jc w:val="center"/>
              <w:rPr>
                <w:highlight w:val="darkGray"/>
              </w:rPr>
            </w:pPr>
            <w:r w:rsidRPr="009A7DC1">
              <w:rPr>
                <w:rFonts w:hint="eastAsia"/>
                <w:color w:val="000000"/>
                <w:w w:val="31"/>
                <w:shd w:val="solid" w:color="000000" w:fill="000000"/>
                <w:fitText w:val="138" w:id="-1435316727"/>
                <w14:textFill>
                  <w14:solidFill>
                    <w14:srgbClr w14:val="000000">
                      <w14:alpha w14:val="100000"/>
                    </w14:srgbClr>
                  </w14:solidFill>
                </w14:textFill>
              </w:rPr>
              <w:t xml:space="preserve">　</w:t>
            </w:r>
            <w:r w:rsidRPr="009A7DC1">
              <w:rPr>
                <w:color w:val="000000"/>
                <w:w w:val="31"/>
                <w:shd w:val="solid" w:color="000000" w:fill="000000"/>
                <w:fitText w:val="138" w:id="-1435316727"/>
                <w14:textFill>
                  <w14:solidFill>
                    <w14:srgbClr w14:val="000000">
                      <w14:alpha w14:val="100000"/>
                    </w14:srgbClr>
                  </w14:solidFill>
                </w14:textFill>
              </w:rPr>
              <w:t>|</w:t>
            </w:r>
            <w:r w:rsidRPr="009A7DC1">
              <w:rPr>
                <w:rFonts w:hint="eastAsia"/>
                <w:color w:val="000000"/>
                <w:spacing w:val="2"/>
                <w:w w:val="31"/>
                <w:shd w:val="solid" w:color="000000" w:fill="000000"/>
                <w:fitText w:val="138" w:id="-1435316727"/>
                <w14:textFill>
                  <w14:solidFill>
                    <w14:srgbClr w14:val="000000">
                      <w14:alpha w14:val="100000"/>
                    </w14:srgbClr>
                  </w14:solidFill>
                </w14:textFill>
              </w:rPr>
              <w:t xml:space="preserve">　</w:t>
            </w:r>
            <w:r w:rsidRPr="009A7DC1">
              <w:t xml:space="preserve"> </w:t>
            </w:r>
            <w:r w:rsidR="00540BA2">
              <w:rPr>
                <w:vertAlign w:val="superscript"/>
              </w:rPr>
              <w:t>10</w:t>
            </w:r>
          </w:p>
        </w:tc>
        <w:tc>
          <w:tcPr>
            <w:tcW w:w="571" w:type="pct"/>
            <w:shd w:val="clear" w:color="auto" w:fill="auto"/>
          </w:tcPr>
          <w:p w14:paraId="5EB28A71" w14:textId="2E562E3B" w:rsidR="00694509" w:rsidRPr="006A5352" w:rsidRDefault="009A7DC1" w:rsidP="003406B4">
            <w:pPr>
              <w:pStyle w:val="TableText"/>
              <w:jc w:val="center"/>
              <w:rPr>
                <w:highlight w:val="darkGray"/>
              </w:rPr>
            </w:pPr>
            <w:r w:rsidRPr="009A7DC1">
              <w:rPr>
                <w:rFonts w:hint="eastAsia"/>
                <w:color w:val="000000"/>
                <w:w w:val="30"/>
                <w:shd w:val="solid" w:color="000000" w:fill="000000"/>
                <w:fitText w:val="137" w:id="-1435316726"/>
                <w14:textFill>
                  <w14:solidFill>
                    <w14:srgbClr w14:val="000000">
                      <w14:alpha w14:val="100000"/>
                    </w14:srgbClr>
                  </w14:solidFill>
                </w14:textFill>
              </w:rPr>
              <w:t xml:space="preserve">　</w:t>
            </w:r>
            <w:r w:rsidRPr="009A7DC1">
              <w:rPr>
                <w:color w:val="000000"/>
                <w:w w:val="30"/>
                <w:shd w:val="solid" w:color="000000" w:fill="000000"/>
                <w:fitText w:val="137" w:id="-1435316726"/>
                <w14:textFill>
                  <w14:solidFill>
                    <w14:srgbClr w14:val="000000">
                      <w14:alpha w14:val="100000"/>
                    </w14:srgbClr>
                  </w14:solidFill>
                </w14:textFill>
              </w:rPr>
              <w:t>|</w:t>
            </w:r>
            <w:r w:rsidRPr="009A7DC1">
              <w:rPr>
                <w:rFonts w:hint="eastAsia"/>
                <w:color w:val="000000"/>
                <w:spacing w:val="5"/>
                <w:w w:val="30"/>
                <w:shd w:val="solid" w:color="000000" w:fill="000000"/>
                <w:fitText w:val="137" w:id="-1435316726"/>
                <w14:textFill>
                  <w14:solidFill>
                    <w14:srgbClr w14:val="000000">
                      <w14:alpha w14:val="100000"/>
                    </w14:srgbClr>
                  </w14:solidFill>
                </w14:textFill>
              </w:rPr>
              <w:t xml:space="preserve">　</w:t>
            </w:r>
            <w:r w:rsidRPr="009A7DC1">
              <w:t xml:space="preserve"> </w:t>
            </w:r>
            <w:r w:rsidR="00540BA2">
              <w:rPr>
                <w:vertAlign w:val="superscript"/>
              </w:rPr>
              <w:t>10</w:t>
            </w:r>
          </w:p>
        </w:tc>
        <w:tc>
          <w:tcPr>
            <w:tcW w:w="573" w:type="pct"/>
            <w:shd w:val="clear" w:color="auto" w:fill="auto"/>
          </w:tcPr>
          <w:p w14:paraId="0275EBDE" w14:textId="4538960B" w:rsidR="00694509" w:rsidRPr="006A5352" w:rsidRDefault="009A7DC1" w:rsidP="003406B4">
            <w:pPr>
              <w:pStyle w:val="TableText"/>
              <w:jc w:val="center"/>
              <w:rPr>
                <w:highlight w:val="darkGray"/>
              </w:rPr>
            </w:pPr>
            <w:r w:rsidRPr="009A7DC1">
              <w:rPr>
                <w:rFonts w:hint="eastAsia"/>
                <w:color w:val="000000"/>
                <w:w w:val="31"/>
                <w:shd w:val="solid" w:color="000000" w:fill="000000"/>
                <w:fitText w:val="138" w:id="-1435316725"/>
                <w14:textFill>
                  <w14:solidFill>
                    <w14:srgbClr w14:val="000000">
                      <w14:alpha w14:val="100000"/>
                    </w14:srgbClr>
                  </w14:solidFill>
                </w14:textFill>
              </w:rPr>
              <w:t xml:space="preserve">　</w:t>
            </w:r>
            <w:r w:rsidRPr="009A7DC1">
              <w:rPr>
                <w:color w:val="000000"/>
                <w:w w:val="31"/>
                <w:shd w:val="solid" w:color="000000" w:fill="000000"/>
                <w:fitText w:val="138" w:id="-1435316725"/>
                <w14:textFill>
                  <w14:solidFill>
                    <w14:srgbClr w14:val="000000">
                      <w14:alpha w14:val="100000"/>
                    </w14:srgbClr>
                  </w14:solidFill>
                </w14:textFill>
              </w:rPr>
              <w:t>|</w:t>
            </w:r>
            <w:r w:rsidRPr="009A7DC1">
              <w:rPr>
                <w:rFonts w:hint="eastAsia"/>
                <w:color w:val="000000"/>
                <w:spacing w:val="2"/>
                <w:w w:val="31"/>
                <w:shd w:val="solid" w:color="000000" w:fill="000000"/>
                <w:fitText w:val="138" w:id="-1435316725"/>
                <w14:textFill>
                  <w14:solidFill>
                    <w14:srgbClr w14:val="000000">
                      <w14:alpha w14:val="100000"/>
                    </w14:srgbClr>
                  </w14:solidFill>
                </w14:textFill>
              </w:rPr>
              <w:t xml:space="preserve">　</w:t>
            </w:r>
            <w:r w:rsidRPr="009A7DC1">
              <w:t xml:space="preserve"> </w:t>
            </w:r>
            <w:r w:rsidR="00540BA2">
              <w:rPr>
                <w:vertAlign w:val="superscript"/>
              </w:rPr>
              <w:t>10</w:t>
            </w:r>
          </w:p>
        </w:tc>
      </w:tr>
      <w:tr w:rsidR="00694509" w:rsidRPr="003455D2" w14:paraId="76C91BAF" w14:textId="77777777" w:rsidTr="003406B4">
        <w:tc>
          <w:tcPr>
            <w:tcW w:w="5000" w:type="pct"/>
            <w:gridSpan w:val="7"/>
            <w:shd w:val="clear" w:color="auto" w:fill="auto"/>
            <w:vAlign w:val="center"/>
          </w:tcPr>
          <w:p w14:paraId="2083AE79" w14:textId="5404B489" w:rsidR="00694509" w:rsidRPr="00597CB1" w:rsidRDefault="00694509" w:rsidP="003406B4">
            <w:pPr>
              <w:pStyle w:val="TableText"/>
              <w:rPr>
                <w:b/>
                <w:bCs w:val="0"/>
              </w:rPr>
            </w:pPr>
            <w:r>
              <w:rPr>
                <w:b/>
                <w:bCs w:val="0"/>
              </w:rPr>
              <w:t xml:space="preserve">Total </w:t>
            </w:r>
            <w:r w:rsidR="00247CF3">
              <w:rPr>
                <w:b/>
                <w:bCs w:val="0"/>
              </w:rPr>
              <w:t xml:space="preserve">estimated </w:t>
            </w:r>
            <w:r>
              <w:rPr>
                <w:b/>
                <w:bCs w:val="0"/>
              </w:rPr>
              <w:t>utilisation of romosozumab</w:t>
            </w:r>
          </w:p>
        </w:tc>
      </w:tr>
      <w:tr w:rsidR="00694509" w:rsidRPr="003455D2" w14:paraId="4981D8F5" w14:textId="77777777" w:rsidTr="003406B4">
        <w:tc>
          <w:tcPr>
            <w:tcW w:w="1574" w:type="pct"/>
            <w:shd w:val="clear" w:color="auto" w:fill="auto"/>
            <w:vAlign w:val="center"/>
          </w:tcPr>
          <w:p w14:paraId="1C37FD6D" w14:textId="77777777" w:rsidR="00694509" w:rsidRDefault="00694509" w:rsidP="003406B4">
            <w:pPr>
              <w:pStyle w:val="TableText"/>
            </w:pPr>
            <w:r>
              <w:t>First line scripts</w:t>
            </w:r>
          </w:p>
        </w:tc>
        <w:tc>
          <w:tcPr>
            <w:tcW w:w="569" w:type="pct"/>
            <w:shd w:val="clear" w:color="auto" w:fill="auto"/>
            <w:vAlign w:val="center"/>
          </w:tcPr>
          <w:p w14:paraId="2B020F99" w14:textId="1C37BD0B" w:rsidR="00694509" w:rsidRPr="006A5352" w:rsidRDefault="009A7DC1" w:rsidP="003406B4">
            <w:pPr>
              <w:pStyle w:val="TableText"/>
              <w:jc w:val="center"/>
              <w:rPr>
                <w:highlight w:val="darkGray"/>
              </w:rPr>
            </w:pPr>
            <w:r w:rsidRPr="009A7DC1">
              <w:rPr>
                <w:rFonts w:hint="eastAsia"/>
                <w:color w:val="000000"/>
                <w:w w:val="19"/>
                <w:shd w:val="solid" w:color="000000" w:fill="000000"/>
                <w:fitText w:val="88" w:id="-1435316724"/>
                <w14:textFill>
                  <w14:solidFill>
                    <w14:srgbClr w14:val="000000">
                      <w14:alpha w14:val="100000"/>
                    </w14:srgbClr>
                  </w14:solidFill>
                </w14:textFill>
              </w:rPr>
              <w:t xml:space="preserve">　</w:t>
            </w:r>
            <w:r w:rsidRPr="009A7DC1">
              <w:rPr>
                <w:color w:val="000000"/>
                <w:w w:val="19"/>
                <w:shd w:val="solid" w:color="000000" w:fill="000000"/>
                <w:fitText w:val="88" w:id="-1435316724"/>
                <w14:textFill>
                  <w14:solidFill>
                    <w14:srgbClr w14:val="000000">
                      <w14:alpha w14:val="100000"/>
                    </w14:srgbClr>
                  </w14:solidFill>
                </w14:textFill>
              </w:rPr>
              <w:t>|</w:t>
            </w:r>
            <w:r w:rsidRPr="009A7DC1">
              <w:rPr>
                <w:rFonts w:hint="eastAsia"/>
                <w:color w:val="000000"/>
                <w:spacing w:val="4"/>
                <w:w w:val="19"/>
                <w:shd w:val="solid" w:color="000000" w:fill="000000"/>
                <w:fitText w:val="88" w:id="-1435316724"/>
                <w14:textFill>
                  <w14:solidFill>
                    <w14:srgbClr w14:val="000000">
                      <w14:alpha w14:val="100000"/>
                    </w14:srgbClr>
                  </w14:solidFill>
                </w14:textFill>
              </w:rPr>
              <w:t xml:space="preserve">　</w:t>
            </w:r>
            <w:r w:rsidR="00821887">
              <w:rPr>
                <w:vertAlign w:val="superscript"/>
              </w:rPr>
              <w:t>4</w:t>
            </w:r>
          </w:p>
        </w:tc>
        <w:tc>
          <w:tcPr>
            <w:tcW w:w="571" w:type="pct"/>
            <w:shd w:val="clear" w:color="auto" w:fill="auto"/>
            <w:vAlign w:val="center"/>
          </w:tcPr>
          <w:p w14:paraId="091D21A0" w14:textId="4D86E67E" w:rsidR="00694509" w:rsidRPr="006A5352" w:rsidRDefault="009A7DC1" w:rsidP="003406B4">
            <w:pPr>
              <w:pStyle w:val="TableText"/>
              <w:jc w:val="center"/>
              <w:rPr>
                <w:highlight w:val="darkGray"/>
              </w:rPr>
            </w:pPr>
            <w:r w:rsidRPr="009A7DC1">
              <w:rPr>
                <w:rFonts w:hint="eastAsia"/>
                <w:color w:val="000000"/>
                <w:w w:val="28"/>
                <w:shd w:val="solid" w:color="000000" w:fill="000000"/>
                <w:fitText w:val="126" w:id="-1435316723"/>
                <w14:textFill>
                  <w14:solidFill>
                    <w14:srgbClr w14:val="000000">
                      <w14:alpha w14:val="100000"/>
                    </w14:srgbClr>
                  </w14:solidFill>
                </w14:textFill>
              </w:rPr>
              <w:t xml:space="preserve">　</w:t>
            </w:r>
            <w:r w:rsidRPr="009A7DC1">
              <w:rPr>
                <w:color w:val="000000"/>
                <w:w w:val="28"/>
                <w:shd w:val="solid" w:color="000000" w:fill="000000"/>
                <w:fitText w:val="126" w:id="-1435316723"/>
                <w14:textFill>
                  <w14:solidFill>
                    <w14:srgbClr w14:val="000000">
                      <w14:alpha w14:val="100000"/>
                    </w14:srgbClr>
                  </w14:solidFill>
                </w14:textFill>
              </w:rPr>
              <w:t>|</w:t>
            </w:r>
            <w:r w:rsidRPr="009A7DC1">
              <w:rPr>
                <w:rFonts w:hint="eastAsia"/>
                <w:color w:val="000000"/>
                <w:spacing w:val="4"/>
                <w:w w:val="28"/>
                <w:shd w:val="solid" w:color="000000" w:fill="000000"/>
                <w:fitText w:val="126" w:id="-1435316723"/>
                <w14:textFill>
                  <w14:solidFill>
                    <w14:srgbClr w14:val="000000">
                      <w14:alpha w14:val="100000"/>
                    </w14:srgbClr>
                  </w14:solidFill>
                </w14:textFill>
              </w:rPr>
              <w:t xml:space="preserve">　</w:t>
            </w:r>
            <w:r w:rsidR="00540BA2">
              <w:rPr>
                <w:vertAlign w:val="superscript"/>
              </w:rPr>
              <w:t>18</w:t>
            </w:r>
          </w:p>
        </w:tc>
        <w:tc>
          <w:tcPr>
            <w:tcW w:w="571" w:type="pct"/>
            <w:shd w:val="clear" w:color="auto" w:fill="auto"/>
            <w:vAlign w:val="center"/>
          </w:tcPr>
          <w:p w14:paraId="3D9F9DB7" w14:textId="1FC73AFF" w:rsidR="00694509" w:rsidRPr="006A5352" w:rsidRDefault="009A7DC1" w:rsidP="003406B4">
            <w:pPr>
              <w:pStyle w:val="TableText"/>
              <w:jc w:val="center"/>
              <w:rPr>
                <w:highlight w:val="darkGray"/>
              </w:rPr>
            </w:pPr>
            <w:r w:rsidRPr="009A7DC1">
              <w:rPr>
                <w:rFonts w:hint="eastAsia"/>
                <w:color w:val="000000"/>
                <w:w w:val="19"/>
                <w:shd w:val="solid" w:color="000000" w:fill="000000"/>
                <w:fitText w:val="87" w:id="-1435316722"/>
                <w14:textFill>
                  <w14:solidFill>
                    <w14:srgbClr w14:val="000000">
                      <w14:alpha w14:val="100000"/>
                    </w14:srgbClr>
                  </w14:solidFill>
                </w14:textFill>
              </w:rPr>
              <w:t xml:space="preserve">　</w:t>
            </w:r>
            <w:r w:rsidRPr="009A7DC1">
              <w:rPr>
                <w:color w:val="000000"/>
                <w:w w:val="19"/>
                <w:shd w:val="solid" w:color="000000" w:fill="000000"/>
                <w:fitText w:val="87" w:id="-1435316722"/>
                <w14:textFill>
                  <w14:solidFill>
                    <w14:srgbClr w14:val="000000">
                      <w14:alpha w14:val="100000"/>
                    </w14:srgbClr>
                  </w14:solidFill>
                </w14:textFill>
              </w:rPr>
              <w:t>|</w:t>
            </w:r>
            <w:r w:rsidRPr="009A7DC1">
              <w:rPr>
                <w:rFonts w:hint="eastAsia"/>
                <w:color w:val="000000"/>
                <w:spacing w:val="3"/>
                <w:w w:val="19"/>
                <w:shd w:val="solid" w:color="000000" w:fill="000000"/>
                <w:fitText w:val="87" w:id="-1435316722"/>
                <w14:textFill>
                  <w14:solidFill>
                    <w14:srgbClr w14:val="000000">
                      <w14:alpha w14:val="100000"/>
                    </w14:srgbClr>
                  </w14:solidFill>
                </w14:textFill>
              </w:rPr>
              <w:t xml:space="preserve">　</w:t>
            </w:r>
            <w:r w:rsidR="00821887">
              <w:rPr>
                <w:vertAlign w:val="superscript"/>
              </w:rPr>
              <w:t>3</w:t>
            </w:r>
          </w:p>
        </w:tc>
        <w:tc>
          <w:tcPr>
            <w:tcW w:w="571" w:type="pct"/>
            <w:shd w:val="clear" w:color="auto" w:fill="auto"/>
            <w:vAlign w:val="center"/>
          </w:tcPr>
          <w:p w14:paraId="2F723DDD" w14:textId="59AE183A" w:rsidR="00694509" w:rsidRPr="006A5352" w:rsidRDefault="009A7DC1" w:rsidP="003406B4">
            <w:pPr>
              <w:pStyle w:val="TableText"/>
              <w:jc w:val="center"/>
              <w:rPr>
                <w:highlight w:val="darkGray"/>
              </w:rPr>
            </w:pPr>
            <w:r w:rsidRPr="009A7DC1">
              <w:rPr>
                <w:rFonts w:hint="eastAsia"/>
                <w:color w:val="000000"/>
                <w:w w:val="19"/>
                <w:shd w:val="solid" w:color="000000" w:fill="000000"/>
                <w:fitText w:val="88" w:id="-1435316721"/>
                <w14:textFill>
                  <w14:solidFill>
                    <w14:srgbClr w14:val="000000">
                      <w14:alpha w14:val="100000"/>
                    </w14:srgbClr>
                  </w14:solidFill>
                </w14:textFill>
              </w:rPr>
              <w:t xml:space="preserve">　</w:t>
            </w:r>
            <w:r w:rsidRPr="009A7DC1">
              <w:rPr>
                <w:color w:val="000000"/>
                <w:w w:val="19"/>
                <w:shd w:val="solid" w:color="000000" w:fill="000000"/>
                <w:fitText w:val="88" w:id="-1435316721"/>
                <w14:textFill>
                  <w14:solidFill>
                    <w14:srgbClr w14:val="000000">
                      <w14:alpha w14:val="100000"/>
                    </w14:srgbClr>
                  </w14:solidFill>
                </w14:textFill>
              </w:rPr>
              <w:t>|</w:t>
            </w:r>
            <w:r w:rsidRPr="009A7DC1">
              <w:rPr>
                <w:rFonts w:hint="eastAsia"/>
                <w:color w:val="000000"/>
                <w:spacing w:val="4"/>
                <w:w w:val="19"/>
                <w:shd w:val="solid" w:color="000000" w:fill="000000"/>
                <w:fitText w:val="88" w:id="-1435316721"/>
                <w14:textFill>
                  <w14:solidFill>
                    <w14:srgbClr w14:val="000000">
                      <w14:alpha w14:val="100000"/>
                    </w14:srgbClr>
                  </w14:solidFill>
                </w14:textFill>
              </w:rPr>
              <w:t xml:space="preserve">　</w:t>
            </w:r>
            <w:r w:rsidR="00821887">
              <w:rPr>
                <w:vertAlign w:val="superscript"/>
              </w:rPr>
              <w:t>3</w:t>
            </w:r>
          </w:p>
        </w:tc>
        <w:tc>
          <w:tcPr>
            <w:tcW w:w="571" w:type="pct"/>
            <w:shd w:val="clear" w:color="auto" w:fill="auto"/>
            <w:vAlign w:val="center"/>
          </w:tcPr>
          <w:p w14:paraId="4CBC0C98" w14:textId="5C44C378" w:rsidR="00694509" w:rsidRPr="006A5352" w:rsidRDefault="009A7DC1" w:rsidP="003406B4">
            <w:pPr>
              <w:pStyle w:val="TableText"/>
              <w:jc w:val="center"/>
              <w:rPr>
                <w:highlight w:val="darkGray"/>
              </w:rPr>
            </w:pPr>
            <w:r w:rsidRPr="009A7DC1">
              <w:rPr>
                <w:rFonts w:hint="eastAsia"/>
                <w:color w:val="000000"/>
                <w:w w:val="19"/>
                <w:shd w:val="solid" w:color="000000" w:fill="000000"/>
                <w:fitText w:val="87" w:id="-1435316720"/>
                <w14:textFill>
                  <w14:solidFill>
                    <w14:srgbClr w14:val="000000">
                      <w14:alpha w14:val="100000"/>
                    </w14:srgbClr>
                  </w14:solidFill>
                </w14:textFill>
              </w:rPr>
              <w:t xml:space="preserve">　</w:t>
            </w:r>
            <w:r w:rsidRPr="009A7DC1">
              <w:rPr>
                <w:color w:val="000000"/>
                <w:w w:val="19"/>
                <w:shd w:val="solid" w:color="000000" w:fill="000000"/>
                <w:fitText w:val="87" w:id="-1435316720"/>
                <w14:textFill>
                  <w14:solidFill>
                    <w14:srgbClr w14:val="000000">
                      <w14:alpha w14:val="100000"/>
                    </w14:srgbClr>
                  </w14:solidFill>
                </w14:textFill>
              </w:rPr>
              <w:t>|</w:t>
            </w:r>
            <w:r w:rsidRPr="009A7DC1">
              <w:rPr>
                <w:rFonts w:hint="eastAsia"/>
                <w:color w:val="000000"/>
                <w:spacing w:val="3"/>
                <w:w w:val="19"/>
                <w:shd w:val="solid" w:color="000000" w:fill="000000"/>
                <w:fitText w:val="87" w:id="-1435316720"/>
                <w14:textFill>
                  <w14:solidFill>
                    <w14:srgbClr w14:val="000000">
                      <w14:alpha w14:val="100000"/>
                    </w14:srgbClr>
                  </w14:solidFill>
                </w14:textFill>
              </w:rPr>
              <w:t xml:space="preserve">　</w:t>
            </w:r>
            <w:r w:rsidR="00821887">
              <w:rPr>
                <w:vertAlign w:val="superscript"/>
              </w:rPr>
              <w:t>3</w:t>
            </w:r>
          </w:p>
        </w:tc>
        <w:tc>
          <w:tcPr>
            <w:tcW w:w="573" w:type="pct"/>
            <w:shd w:val="clear" w:color="auto" w:fill="auto"/>
            <w:vAlign w:val="center"/>
          </w:tcPr>
          <w:p w14:paraId="653BFDBB" w14:textId="3F81B698" w:rsidR="00694509" w:rsidRPr="006A5352" w:rsidRDefault="009A7DC1" w:rsidP="003406B4">
            <w:pPr>
              <w:pStyle w:val="TableText"/>
              <w:jc w:val="center"/>
              <w:rPr>
                <w:highlight w:val="darkGray"/>
              </w:rPr>
            </w:pPr>
            <w:r w:rsidRPr="009A7DC1">
              <w:rPr>
                <w:rFonts w:hint="eastAsia"/>
                <w:color w:val="000000"/>
                <w:w w:val="19"/>
                <w:shd w:val="solid" w:color="000000" w:fill="000000"/>
                <w:fitText w:val="87" w:id="-1435316736"/>
                <w14:textFill>
                  <w14:solidFill>
                    <w14:srgbClr w14:val="000000">
                      <w14:alpha w14:val="100000"/>
                    </w14:srgbClr>
                  </w14:solidFill>
                </w14:textFill>
              </w:rPr>
              <w:t xml:space="preserve">　</w:t>
            </w:r>
            <w:r w:rsidRPr="009A7DC1">
              <w:rPr>
                <w:color w:val="000000"/>
                <w:w w:val="19"/>
                <w:shd w:val="solid" w:color="000000" w:fill="000000"/>
                <w:fitText w:val="87" w:id="-1435316736"/>
                <w14:textFill>
                  <w14:solidFill>
                    <w14:srgbClr w14:val="000000">
                      <w14:alpha w14:val="100000"/>
                    </w14:srgbClr>
                  </w14:solidFill>
                </w14:textFill>
              </w:rPr>
              <w:t>|</w:t>
            </w:r>
            <w:r w:rsidRPr="009A7DC1">
              <w:rPr>
                <w:rFonts w:hint="eastAsia"/>
                <w:color w:val="000000"/>
                <w:spacing w:val="3"/>
                <w:w w:val="19"/>
                <w:shd w:val="solid" w:color="000000" w:fill="000000"/>
                <w:fitText w:val="87" w:id="-1435316736"/>
                <w14:textFill>
                  <w14:solidFill>
                    <w14:srgbClr w14:val="000000">
                      <w14:alpha w14:val="100000"/>
                    </w14:srgbClr>
                  </w14:solidFill>
                </w14:textFill>
              </w:rPr>
              <w:t xml:space="preserve">　</w:t>
            </w:r>
            <w:r w:rsidR="00821887">
              <w:rPr>
                <w:vertAlign w:val="superscript"/>
              </w:rPr>
              <w:t>3</w:t>
            </w:r>
          </w:p>
        </w:tc>
      </w:tr>
      <w:tr w:rsidR="00694509" w:rsidRPr="003455D2" w14:paraId="5BD5D10F" w14:textId="77777777" w:rsidTr="003406B4">
        <w:tc>
          <w:tcPr>
            <w:tcW w:w="1574" w:type="pct"/>
            <w:shd w:val="clear" w:color="auto" w:fill="auto"/>
            <w:vAlign w:val="center"/>
          </w:tcPr>
          <w:p w14:paraId="156D09AC" w14:textId="77777777" w:rsidR="00694509" w:rsidRDefault="00694509" w:rsidP="003406B4">
            <w:pPr>
              <w:pStyle w:val="TableText"/>
            </w:pPr>
            <w:r>
              <w:t xml:space="preserve">Second line scripts (multiple fractures, BMD ≤-2.5 and &gt;3.0) </w:t>
            </w:r>
          </w:p>
        </w:tc>
        <w:tc>
          <w:tcPr>
            <w:tcW w:w="569" w:type="pct"/>
            <w:shd w:val="clear" w:color="auto" w:fill="auto"/>
            <w:vAlign w:val="center"/>
          </w:tcPr>
          <w:p w14:paraId="1318B6B9" w14:textId="23844800" w:rsidR="00694509" w:rsidRPr="006A5352" w:rsidRDefault="009A7DC1" w:rsidP="003406B4">
            <w:pPr>
              <w:pStyle w:val="TableText"/>
              <w:jc w:val="center"/>
              <w:rPr>
                <w:highlight w:val="darkGray"/>
              </w:rPr>
            </w:pPr>
            <w:r w:rsidRPr="009A7DC1">
              <w:rPr>
                <w:rFonts w:hint="eastAsia"/>
                <w:color w:val="000000"/>
                <w:w w:val="25"/>
                <w:shd w:val="solid" w:color="000000" w:fill="000000"/>
                <w:fitText w:val="112" w:id="-1435316735"/>
                <w14:textFill>
                  <w14:solidFill>
                    <w14:srgbClr w14:val="000000">
                      <w14:alpha w14:val="100000"/>
                    </w14:srgbClr>
                  </w14:solidFill>
                </w14:textFill>
              </w:rPr>
              <w:t xml:space="preserve">　</w:t>
            </w:r>
            <w:r w:rsidRPr="009A7DC1">
              <w:rPr>
                <w:color w:val="000000"/>
                <w:w w:val="25"/>
                <w:shd w:val="solid" w:color="000000" w:fill="000000"/>
                <w:fitText w:val="112" w:id="-1435316735"/>
                <w14:textFill>
                  <w14:solidFill>
                    <w14:srgbClr w14:val="000000">
                      <w14:alpha w14:val="100000"/>
                    </w14:srgbClr>
                  </w14:solidFill>
                </w14:textFill>
              </w:rPr>
              <w:t>|</w:t>
            </w:r>
            <w:r w:rsidRPr="009A7DC1">
              <w:rPr>
                <w:rFonts w:hint="eastAsia"/>
                <w:color w:val="000000"/>
                <w:spacing w:val="1"/>
                <w:w w:val="25"/>
                <w:shd w:val="solid" w:color="000000" w:fill="000000"/>
                <w:fitText w:val="112" w:id="-1435316735"/>
                <w14:textFill>
                  <w14:solidFill>
                    <w14:srgbClr w14:val="000000">
                      <w14:alpha w14:val="100000"/>
                    </w14:srgbClr>
                  </w14:solidFill>
                </w14:textFill>
              </w:rPr>
              <w:t xml:space="preserve">　</w:t>
            </w:r>
            <w:r w:rsidR="00540BA2">
              <w:rPr>
                <w:vertAlign w:val="superscript"/>
              </w:rPr>
              <w:t>11</w:t>
            </w:r>
          </w:p>
        </w:tc>
        <w:tc>
          <w:tcPr>
            <w:tcW w:w="571" w:type="pct"/>
            <w:shd w:val="clear" w:color="auto" w:fill="auto"/>
            <w:vAlign w:val="center"/>
          </w:tcPr>
          <w:p w14:paraId="36268344" w14:textId="53CC6E43" w:rsidR="00694509" w:rsidRPr="006A5352" w:rsidRDefault="009A7DC1" w:rsidP="003406B4">
            <w:pPr>
              <w:pStyle w:val="TableText"/>
              <w:jc w:val="center"/>
              <w:rPr>
                <w:highlight w:val="darkGray"/>
              </w:rPr>
            </w:pPr>
            <w:r w:rsidRPr="009A7DC1">
              <w:rPr>
                <w:rFonts w:hint="eastAsia"/>
                <w:color w:val="000000"/>
                <w:w w:val="28"/>
                <w:shd w:val="solid" w:color="000000" w:fill="000000"/>
                <w:fitText w:val="126" w:id="-1435316734"/>
                <w14:textFill>
                  <w14:solidFill>
                    <w14:srgbClr w14:val="000000">
                      <w14:alpha w14:val="100000"/>
                    </w14:srgbClr>
                  </w14:solidFill>
                </w14:textFill>
              </w:rPr>
              <w:t xml:space="preserve">　</w:t>
            </w:r>
            <w:r w:rsidRPr="009A7DC1">
              <w:rPr>
                <w:color w:val="000000"/>
                <w:w w:val="28"/>
                <w:shd w:val="solid" w:color="000000" w:fill="000000"/>
                <w:fitText w:val="126" w:id="-1435316734"/>
                <w14:textFill>
                  <w14:solidFill>
                    <w14:srgbClr w14:val="000000">
                      <w14:alpha w14:val="100000"/>
                    </w14:srgbClr>
                  </w14:solidFill>
                </w14:textFill>
              </w:rPr>
              <w:t>|</w:t>
            </w:r>
            <w:r w:rsidRPr="009A7DC1">
              <w:rPr>
                <w:rFonts w:hint="eastAsia"/>
                <w:color w:val="000000"/>
                <w:spacing w:val="4"/>
                <w:w w:val="28"/>
                <w:shd w:val="solid" w:color="000000" w:fill="000000"/>
                <w:fitText w:val="126" w:id="-1435316734"/>
                <w14:textFill>
                  <w14:solidFill>
                    <w14:srgbClr w14:val="000000">
                      <w14:alpha w14:val="100000"/>
                    </w14:srgbClr>
                  </w14:solidFill>
                </w14:textFill>
              </w:rPr>
              <w:t xml:space="preserve">　</w:t>
            </w:r>
            <w:r w:rsidR="00540BA2">
              <w:rPr>
                <w:vertAlign w:val="superscript"/>
              </w:rPr>
              <w:t>17</w:t>
            </w:r>
          </w:p>
        </w:tc>
        <w:tc>
          <w:tcPr>
            <w:tcW w:w="571" w:type="pct"/>
            <w:shd w:val="clear" w:color="auto" w:fill="auto"/>
            <w:vAlign w:val="center"/>
          </w:tcPr>
          <w:p w14:paraId="7E869A0C" w14:textId="73974669" w:rsidR="00694509" w:rsidRPr="006A5352" w:rsidRDefault="009A7DC1" w:rsidP="003406B4">
            <w:pPr>
              <w:pStyle w:val="TableText"/>
              <w:jc w:val="center"/>
              <w:rPr>
                <w:highlight w:val="darkGray"/>
              </w:rPr>
            </w:pPr>
            <w:r w:rsidRPr="009A7DC1">
              <w:rPr>
                <w:rFonts w:hint="eastAsia"/>
                <w:color w:val="000000"/>
                <w:w w:val="19"/>
                <w:shd w:val="solid" w:color="000000" w:fill="000000"/>
                <w:fitText w:val="87" w:id="-1435316733"/>
                <w14:textFill>
                  <w14:solidFill>
                    <w14:srgbClr w14:val="000000">
                      <w14:alpha w14:val="100000"/>
                    </w14:srgbClr>
                  </w14:solidFill>
                </w14:textFill>
              </w:rPr>
              <w:t xml:space="preserve">　</w:t>
            </w:r>
            <w:r w:rsidRPr="009A7DC1">
              <w:rPr>
                <w:color w:val="000000"/>
                <w:w w:val="19"/>
                <w:shd w:val="solid" w:color="000000" w:fill="000000"/>
                <w:fitText w:val="87" w:id="-1435316733"/>
                <w14:textFill>
                  <w14:solidFill>
                    <w14:srgbClr w14:val="000000">
                      <w14:alpha w14:val="100000"/>
                    </w14:srgbClr>
                  </w14:solidFill>
                </w14:textFill>
              </w:rPr>
              <w:t>|</w:t>
            </w:r>
            <w:r w:rsidRPr="009A7DC1">
              <w:rPr>
                <w:rFonts w:hint="eastAsia"/>
                <w:color w:val="000000"/>
                <w:spacing w:val="3"/>
                <w:w w:val="19"/>
                <w:shd w:val="solid" w:color="000000" w:fill="000000"/>
                <w:fitText w:val="87" w:id="-1435316733"/>
                <w14:textFill>
                  <w14:solidFill>
                    <w14:srgbClr w14:val="000000">
                      <w14:alpha w14:val="100000"/>
                    </w14:srgbClr>
                  </w14:solidFill>
                </w14:textFill>
              </w:rPr>
              <w:t xml:space="preserve">　</w:t>
            </w:r>
            <w:r w:rsidR="00821887">
              <w:rPr>
                <w:vertAlign w:val="superscript"/>
              </w:rPr>
              <w:t>5</w:t>
            </w:r>
          </w:p>
        </w:tc>
        <w:tc>
          <w:tcPr>
            <w:tcW w:w="571" w:type="pct"/>
            <w:shd w:val="clear" w:color="auto" w:fill="auto"/>
            <w:vAlign w:val="center"/>
          </w:tcPr>
          <w:p w14:paraId="0CD0B01B" w14:textId="3AFE5A2A" w:rsidR="00694509" w:rsidRPr="006A5352" w:rsidRDefault="009A7DC1" w:rsidP="003406B4">
            <w:pPr>
              <w:pStyle w:val="TableText"/>
              <w:jc w:val="center"/>
              <w:rPr>
                <w:highlight w:val="darkGray"/>
              </w:rPr>
            </w:pPr>
            <w:r w:rsidRPr="009A7DC1">
              <w:rPr>
                <w:rFonts w:hint="eastAsia"/>
                <w:color w:val="000000"/>
                <w:w w:val="19"/>
                <w:shd w:val="solid" w:color="000000" w:fill="000000"/>
                <w:fitText w:val="88" w:id="-1435316732"/>
                <w14:textFill>
                  <w14:solidFill>
                    <w14:srgbClr w14:val="000000">
                      <w14:alpha w14:val="100000"/>
                    </w14:srgbClr>
                  </w14:solidFill>
                </w14:textFill>
              </w:rPr>
              <w:t xml:space="preserve">　</w:t>
            </w:r>
            <w:r w:rsidRPr="009A7DC1">
              <w:rPr>
                <w:color w:val="000000"/>
                <w:w w:val="19"/>
                <w:shd w:val="solid" w:color="000000" w:fill="000000"/>
                <w:fitText w:val="88" w:id="-1435316732"/>
                <w14:textFill>
                  <w14:solidFill>
                    <w14:srgbClr w14:val="000000">
                      <w14:alpha w14:val="100000"/>
                    </w14:srgbClr>
                  </w14:solidFill>
                </w14:textFill>
              </w:rPr>
              <w:t>|</w:t>
            </w:r>
            <w:r w:rsidRPr="009A7DC1">
              <w:rPr>
                <w:rFonts w:hint="eastAsia"/>
                <w:color w:val="000000"/>
                <w:spacing w:val="4"/>
                <w:w w:val="19"/>
                <w:shd w:val="solid" w:color="000000" w:fill="000000"/>
                <w:fitText w:val="88" w:id="-1435316732"/>
                <w14:textFill>
                  <w14:solidFill>
                    <w14:srgbClr w14:val="000000">
                      <w14:alpha w14:val="100000"/>
                    </w14:srgbClr>
                  </w14:solidFill>
                </w14:textFill>
              </w:rPr>
              <w:t xml:space="preserve">　</w:t>
            </w:r>
            <w:r w:rsidR="00821887">
              <w:rPr>
                <w:vertAlign w:val="superscript"/>
              </w:rPr>
              <w:t>9</w:t>
            </w:r>
          </w:p>
        </w:tc>
        <w:tc>
          <w:tcPr>
            <w:tcW w:w="571" w:type="pct"/>
            <w:shd w:val="clear" w:color="auto" w:fill="auto"/>
            <w:vAlign w:val="center"/>
          </w:tcPr>
          <w:p w14:paraId="3D00A518" w14:textId="19AFF583" w:rsidR="00694509" w:rsidRPr="006A5352" w:rsidRDefault="009A7DC1" w:rsidP="003406B4">
            <w:pPr>
              <w:pStyle w:val="TableText"/>
              <w:jc w:val="center"/>
              <w:rPr>
                <w:highlight w:val="darkGray"/>
              </w:rPr>
            </w:pPr>
            <w:r w:rsidRPr="009A7DC1">
              <w:rPr>
                <w:rFonts w:hint="eastAsia"/>
                <w:color w:val="000000"/>
                <w:w w:val="19"/>
                <w:shd w:val="solid" w:color="000000" w:fill="000000"/>
                <w:fitText w:val="87" w:id="-1435316731"/>
                <w14:textFill>
                  <w14:solidFill>
                    <w14:srgbClr w14:val="000000">
                      <w14:alpha w14:val="100000"/>
                    </w14:srgbClr>
                  </w14:solidFill>
                </w14:textFill>
              </w:rPr>
              <w:t xml:space="preserve">　</w:t>
            </w:r>
            <w:r w:rsidRPr="009A7DC1">
              <w:rPr>
                <w:color w:val="000000"/>
                <w:w w:val="19"/>
                <w:shd w:val="solid" w:color="000000" w:fill="000000"/>
                <w:fitText w:val="87" w:id="-1435316731"/>
                <w14:textFill>
                  <w14:solidFill>
                    <w14:srgbClr w14:val="000000">
                      <w14:alpha w14:val="100000"/>
                    </w14:srgbClr>
                  </w14:solidFill>
                </w14:textFill>
              </w:rPr>
              <w:t>|</w:t>
            </w:r>
            <w:r w:rsidRPr="009A7DC1">
              <w:rPr>
                <w:rFonts w:hint="eastAsia"/>
                <w:color w:val="000000"/>
                <w:spacing w:val="3"/>
                <w:w w:val="19"/>
                <w:shd w:val="solid" w:color="000000" w:fill="000000"/>
                <w:fitText w:val="87" w:id="-1435316731"/>
                <w14:textFill>
                  <w14:solidFill>
                    <w14:srgbClr w14:val="000000">
                      <w14:alpha w14:val="100000"/>
                    </w14:srgbClr>
                  </w14:solidFill>
                </w14:textFill>
              </w:rPr>
              <w:t xml:space="preserve">　</w:t>
            </w:r>
            <w:r w:rsidR="00821887">
              <w:rPr>
                <w:vertAlign w:val="superscript"/>
              </w:rPr>
              <w:t>9</w:t>
            </w:r>
          </w:p>
        </w:tc>
        <w:tc>
          <w:tcPr>
            <w:tcW w:w="573" w:type="pct"/>
            <w:shd w:val="clear" w:color="auto" w:fill="auto"/>
            <w:vAlign w:val="center"/>
          </w:tcPr>
          <w:p w14:paraId="5CCA66C7" w14:textId="25A94D0A" w:rsidR="00694509" w:rsidRPr="006A5352" w:rsidRDefault="009A7DC1" w:rsidP="003406B4">
            <w:pPr>
              <w:pStyle w:val="TableText"/>
              <w:jc w:val="center"/>
              <w:rPr>
                <w:highlight w:val="darkGray"/>
              </w:rPr>
            </w:pPr>
            <w:r w:rsidRPr="009A7DC1">
              <w:rPr>
                <w:rFonts w:hint="eastAsia"/>
                <w:color w:val="000000"/>
                <w:w w:val="19"/>
                <w:shd w:val="solid" w:color="000000" w:fill="000000"/>
                <w:fitText w:val="87" w:id="-1435316730"/>
                <w14:textFill>
                  <w14:solidFill>
                    <w14:srgbClr w14:val="000000">
                      <w14:alpha w14:val="100000"/>
                    </w14:srgbClr>
                  </w14:solidFill>
                </w14:textFill>
              </w:rPr>
              <w:t xml:space="preserve">　</w:t>
            </w:r>
            <w:r w:rsidRPr="009A7DC1">
              <w:rPr>
                <w:color w:val="000000"/>
                <w:w w:val="19"/>
                <w:shd w:val="solid" w:color="000000" w:fill="000000"/>
                <w:fitText w:val="87" w:id="-1435316730"/>
                <w14:textFill>
                  <w14:solidFill>
                    <w14:srgbClr w14:val="000000">
                      <w14:alpha w14:val="100000"/>
                    </w14:srgbClr>
                  </w14:solidFill>
                </w14:textFill>
              </w:rPr>
              <w:t>|</w:t>
            </w:r>
            <w:r w:rsidRPr="009A7DC1">
              <w:rPr>
                <w:rFonts w:hint="eastAsia"/>
                <w:color w:val="000000"/>
                <w:spacing w:val="3"/>
                <w:w w:val="19"/>
                <w:shd w:val="solid" w:color="000000" w:fill="000000"/>
                <w:fitText w:val="87" w:id="-1435316730"/>
                <w14:textFill>
                  <w14:solidFill>
                    <w14:srgbClr w14:val="000000">
                      <w14:alpha w14:val="100000"/>
                    </w14:srgbClr>
                  </w14:solidFill>
                </w14:textFill>
              </w:rPr>
              <w:t xml:space="preserve">　</w:t>
            </w:r>
            <w:r w:rsidR="00821887">
              <w:rPr>
                <w:vertAlign w:val="superscript"/>
              </w:rPr>
              <w:t>9</w:t>
            </w:r>
          </w:p>
        </w:tc>
      </w:tr>
      <w:tr w:rsidR="00694509" w:rsidRPr="003455D2" w14:paraId="775E31F1" w14:textId="77777777" w:rsidTr="003406B4">
        <w:tc>
          <w:tcPr>
            <w:tcW w:w="1574" w:type="pct"/>
            <w:shd w:val="clear" w:color="auto" w:fill="auto"/>
            <w:vAlign w:val="center"/>
          </w:tcPr>
          <w:p w14:paraId="34C21473" w14:textId="77777777" w:rsidR="00694509" w:rsidRDefault="00694509" w:rsidP="003406B4">
            <w:pPr>
              <w:pStyle w:val="TableText"/>
            </w:pPr>
            <w:r>
              <w:t>Second line scripts (single fracture, BMD ≤-2.5)</w:t>
            </w:r>
          </w:p>
        </w:tc>
        <w:tc>
          <w:tcPr>
            <w:tcW w:w="569" w:type="pct"/>
            <w:shd w:val="clear" w:color="auto" w:fill="auto"/>
            <w:vAlign w:val="center"/>
          </w:tcPr>
          <w:p w14:paraId="14975E1D" w14:textId="71BDD31B" w:rsidR="00694509" w:rsidRPr="006A5352" w:rsidRDefault="009A7DC1" w:rsidP="003406B4">
            <w:pPr>
              <w:pStyle w:val="TableText"/>
              <w:jc w:val="center"/>
              <w:rPr>
                <w:highlight w:val="darkGray"/>
              </w:rPr>
            </w:pPr>
            <w:r w:rsidRPr="009A7DC1">
              <w:rPr>
                <w:rFonts w:hint="eastAsia"/>
                <w:color w:val="000000"/>
                <w:w w:val="19"/>
                <w:shd w:val="solid" w:color="000000" w:fill="000000"/>
                <w:fitText w:val="88" w:id="-1435316729"/>
                <w14:textFill>
                  <w14:solidFill>
                    <w14:srgbClr w14:val="000000">
                      <w14:alpha w14:val="100000"/>
                    </w14:srgbClr>
                  </w14:solidFill>
                </w14:textFill>
              </w:rPr>
              <w:t xml:space="preserve">　</w:t>
            </w:r>
            <w:r w:rsidRPr="009A7DC1">
              <w:rPr>
                <w:color w:val="000000"/>
                <w:w w:val="19"/>
                <w:shd w:val="solid" w:color="000000" w:fill="000000"/>
                <w:fitText w:val="88" w:id="-1435316729"/>
                <w14:textFill>
                  <w14:solidFill>
                    <w14:srgbClr w14:val="000000">
                      <w14:alpha w14:val="100000"/>
                    </w14:srgbClr>
                  </w14:solidFill>
                </w14:textFill>
              </w:rPr>
              <w:t>|</w:t>
            </w:r>
            <w:r w:rsidRPr="009A7DC1">
              <w:rPr>
                <w:rFonts w:hint="eastAsia"/>
                <w:color w:val="000000"/>
                <w:spacing w:val="4"/>
                <w:w w:val="19"/>
                <w:shd w:val="solid" w:color="000000" w:fill="000000"/>
                <w:fitText w:val="88" w:id="-1435316729"/>
                <w14:textFill>
                  <w14:solidFill>
                    <w14:srgbClr w14:val="000000">
                      <w14:alpha w14:val="100000"/>
                    </w14:srgbClr>
                  </w14:solidFill>
                </w14:textFill>
              </w:rPr>
              <w:t xml:space="preserve">　</w:t>
            </w:r>
            <w:r w:rsidR="00821887">
              <w:rPr>
                <w:vertAlign w:val="superscript"/>
              </w:rPr>
              <w:t>6</w:t>
            </w:r>
          </w:p>
        </w:tc>
        <w:tc>
          <w:tcPr>
            <w:tcW w:w="571" w:type="pct"/>
            <w:shd w:val="clear" w:color="auto" w:fill="auto"/>
            <w:vAlign w:val="center"/>
          </w:tcPr>
          <w:p w14:paraId="0E024C50" w14:textId="0DAA3A54" w:rsidR="00694509" w:rsidRPr="006A5352" w:rsidRDefault="009A7DC1" w:rsidP="003406B4">
            <w:pPr>
              <w:pStyle w:val="TableText"/>
              <w:jc w:val="center"/>
              <w:rPr>
                <w:highlight w:val="darkGray"/>
              </w:rPr>
            </w:pPr>
            <w:r w:rsidRPr="009A7DC1">
              <w:rPr>
                <w:rFonts w:hint="eastAsia"/>
                <w:color w:val="000000"/>
                <w:w w:val="28"/>
                <w:shd w:val="solid" w:color="000000" w:fill="000000"/>
                <w:fitText w:val="126" w:id="-1435316728"/>
                <w14:textFill>
                  <w14:solidFill>
                    <w14:srgbClr w14:val="000000">
                      <w14:alpha w14:val="100000"/>
                    </w14:srgbClr>
                  </w14:solidFill>
                </w14:textFill>
              </w:rPr>
              <w:t xml:space="preserve">　</w:t>
            </w:r>
            <w:r w:rsidRPr="009A7DC1">
              <w:rPr>
                <w:color w:val="000000"/>
                <w:w w:val="28"/>
                <w:shd w:val="solid" w:color="000000" w:fill="000000"/>
                <w:fitText w:val="126" w:id="-1435316728"/>
                <w14:textFill>
                  <w14:solidFill>
                    <w14:srgbClr w14:val="000000">
                      <w14:alpha w14:val="100000"/>
                    </w14:srgbClr>
                  </w14:solidFill>
                </w14:textFill>
              </w:rPr>
              <w:t>|</w:t>
            </w:r>
            <w:r w:rsidRPr="009A7DC1">
              <w:rPr>
                <w:rFonts w:hint="eastAsia"/>
                <w:color w:val="000000"/>
                <w:spacing w:val="4"/>
                <w:w w:val="28"/>
                <w:shd w:val="solid" w:color="000000" w:fill="000000"/>
                <w:fitText w:val="126" w:id="-1435316728"/>
                <w14:textFill>
                  <w14:solidFill>
                    <w14:srgbClr w14:val="000000">
                      <w14:alpha w14:val="100000"/>
                    </w14:srgbClr>
                  </w14:solidFill>
                </w14:textFill>
              </w:rPr>
              <w:t xml:space="preserve">　</w:t>
            </w:r>
            <w:r w:rsidR="00540BA2">
              <w:rPr>
                <w:vertAlign w:val="superscript"/>
              </w:rPr>
              <w:t>11</w:t>
            </w:r>
          </w:p>
        </w:tc>
        <w:tc>
          <w:tcPr>
            <w:tcW w:w="571" w:type="pct"/>
            <w:shd w:val="clear" w:color="auto" w:fill="auto"/>
            <w:vAlign w:val="center"/>
          </w:tcPr>
          <w:p w14:paraId="0936615F" w14:textId="372AAD3D" w:rsidR="00694509" w:rsidRPr="006A5352" w:rsidRDefault="009A7DC1" w:rsidP="003406B4">
            <w:pPr>
              <w:pStyle w:val="TableText"/>
              <w:jc w:val="center"/>
              <w:rPr>
                <w:highlight w:val="darkGray"/>
              </w:rPr>
            </w:pPr>
            <w:r w:rsidRPr="009A7DC1">
              <w:rPr>
                <w:rFonts w:hint="eastAsia"/>
                <w:color w:val="000000"/>
                <w:w w:val="28"/>
                <w:shd w:val="solid" w:color="000000" w:fill="000000"/>
                <w:fitText w:val="125" w:id="-1435316727"/>
                <w14:textFill>
                  <w14:solidFill>
                    <w14:srgbClr w14:val="000000">
                      <w14:alpha w14:val="100000"/>
                    </w14:srgbClr>
                  </w14:solidFill>
                </w14:textFill>
              </w:rPr>
              <w:t xml:space="preserve">　</w:t>
            </w:r>
            <w:r w:rsidRPr="009A7DC1">
              <w:rPr>
                <w:color w:val="000000"/>
                <w:w w:val="28"/>
                <w:shd w:val="solid" w:color="000000" w:fill="000000"/>
                <w:fitText w:val="125" w:id="-1435316727"/>
                <w14:textFill>
                  <w14:solidFill>
                    <w14:srgbClr w14:val="000000">
                      <w14:alpha w14:val="100000"/>
                    </w14:srgbClr>
                  </w14:solidFill>
                </w14:textFill>
              </w:rPr>
              <w:t>|</w:t>
            </w:r>
            <w:r w:rsidRPr="009A7DC1">
              <w:rPr>
                <w:rFonts w:hint="eastAsia"/>
                <w:color w:val="000000"/>
                <w:spacing w:val="3"/>
                <w:w w:val="28"/>
                <w:shd w:val="solid" w:color="000000" w:fill="000000"/>
                <w:fitText w:val="125" w:id="-1435316727"/>
                <w14:textFill>
                  <w14:solidFill>
                    <w14:srgbClr w14:val="000000">
                      <w14:alpha w14:val="100000"/>
                    </w14:srgbClr>
                  </w14:solidFill>
                </w14:textFill>
              </w:rPr>
              <w:t xml:space="preserve">　</w:t>
            </w:r>
            <w:r w:rsidR="00540BA2">
              <w:rPr>
                <w:vertAlign w:val="superscript"/>
              </w:rPr>
              <w:t>11</w:t>
            </w:r>
          </w:p>
        </w:tc>
        <w:tc>
          <w:tcPr>
            <w:tcW w:w="571" w:type="pct"/>
            <w:shd w:val="clear" w:color="auto" w:fill="auto"/>
            <w:vAlign w:val="center"/>
          </w:tcPr>
          <w:p w14:paraId="064237DB" w14:textId="33E72676" w:rsidR="00694509" w:rsidRPr="006A5352" w:rsidRDefault="009A7DC1" w:rsidP="003406B4">
            <w:pPr>
              <w:pStyle w:val="TableText"/>
              <w:jc w:val="center"/>
              <w:rPr>
                <w:highlight w:val="darkGray"/>
              </w:rPr>
            </w:pPr>
            <w:r w:rsidRPr="009A7DC1">
              <w:rPr>
                <w:rFonts w:hint="eastAsia"/>
                <w:color w:val="000000"/>
                <w:w w:val="28"/>
                <w:shd w:val="solid" w:color="000000" w:fill="000000"/>
                <w:fitText w:val="126" w:id="-1435316726"/>
                <w14:textFill>
                  <w14:solidFill>
                    <w14:srgbClr w14:val="000000">
                      <w14:alpha w14:val="100000"/>
                    </w14:srgbClr>
                  </w14:solidFill>
                </w14:textFill>
              </w:rPr>
              <w:t xml:space="preserve">　</w:t>
            </w:r>
            <w:r w:rsidRPr="009A7DC1">
              <w:rPr>
                <w:color w:val="000000"/>
                <w:w w:val="28"/>
                <w:shd w:val="solid" w:color="000000" w:fill="000000"/>
                <w:fitText w:val="126" w:id="-1435316726"/>
                <w14:textFill>
                  <w14:solidFill>
                    <w14:srgbClr w14:val="000000">
                      <w14:alpha w14:val="100000"/>
                    </w14:srgbClr>
                  </w14:solidFill>
                </w14:textFill>
              </w:rPr>
              <w:t>|</w:t>
            </w:r>
            <w:r w:rsidRPr="009A7DC1">
              <w:rPr>
                <w:rFonts w:hint="eastAsia"/>
                <w:color w:val="000000"/>
                <w:spacing w:val="4"/>
                <w:w w:val="28"/>
                <w:shd w:val="solid" w:color="000000" w:fill="000000"/>
                <w:fitText w:val="126" w:id="-1435316726"/>
                <w14:textFill>
                  <w14:solidFill>
                    <w14:srgbClr w14:val="000000">
                      <w14:alpha w14:val="100000"/>
                    </w14:srgbClr>
                  </w14:solidFill>
                </w14:textFill>
              </w:rPr>
              <w:t xml:space="preserve">　</w:t>
            </w:r>
            <w:r w:rsidR="00540BA2">
              <w:rPr>
                <w:vertAlign w:val="superscript"/>
              </w:rPr>
              <w:t>11</w:t>
            </w:r>
          </w:p>
        </w:tc>
        <w:tc>
          <w:tcPr>
            <w:tcW w:w="571" w:type="pct"/>
            <w:shd w:val="clear" w:color="auto" w:fill="auto"/>
            <w:vAlign w:val="center"/>
          </w:tcPr>
          <w:p w14:paraId="356584D5" w14:textId="471B4261" w:rsidR="00694509" w:rsidRPr="006A5352" w:rsidRDefault="009A7DC1" w:rsidP="003406B4">
            <w:pPr>
              <w:pStyle w:val="TableText"/>
              <w:jc w:val="center"/>
              <w:rPr>
                <w:highlight w:val="darkGray"/>
              </w:rPr>
            </w:pPr>
            <w:r w:rsidRPr="009A7DC1">
              <w:rPr>
                <w:rFonts w:hint="eastAsia"/>
                <w:color w:val="000000"/>
                <w:w w:val="28"/>
                <w:shd w:val="solid" w:color="000000" w:fill="000000"/>
                <w:fitText w:val="125" w:id="-1435316725"/>
                <w14:textFill>
                  <w14:solidFill>
                    <w14:srgbClr w14:val="000000">
                      <w14:alpha w14:val="100000"/>
                    </w14:srgbClr>
                  </w14:solidFill>
                </w14:textFill>
              </w:rPr>
              <w:t xml:space="preserve">　</w:t>
            </w:r>
            <w:r w:rsidRPr="009A7DC1">
              <w:rPr>
                <w:color w:val="000000"/>
                <w:w w:val="28"/>
                <w:shd w:val="solid" w:color="000000" w:fill="000000"/>
                <w:fitText w:val="125" w:id="-1435316725"/>
                <w14:textFill>
                  <w14:solidFill>
                    <w14:srgbClr w14:val="000000">
                      <w14:alpha w14:val="100000"/>
                    </w14:srgbClr>
                  </w14:solidFill>
                </w14:textFill>
              </w:rPr>
              <w:t>|</w:t>
            </w:r>
            <w:r w:rsidRPr="009A7DC1">
              <w:rPr>
                <w:rFonts w:hint="eastAsia"/>
                <w:color w:val="000000"/>
                <w:spacing w:val="3"/>
                <w:w w:val="28"/>
                <w:shd w:val="solid" w:color="000000" w:fill="000000"/>
                <w:fitText w:val="125" w:id="-1435316725"/>
                <w14:textFill>
                  <w14:solidFill>
                    <w14:srgbClr w14:val="000000">
                      <w14:alpha w14:val="100000"/>
                    </w14:srgbClr>
                  </w14:solidFill>
                </w14:textFill>
              </w:rPr>
              <w:t xml:space="preserve">　</w:t>
            </w:r>
            <w:r w:rsidR="00540BA2">
              <w:rPr>
                <w:vertAlign w:val="superscript"/>
              </w:rPr>
              <w:t>17</w:t>
            </w:r>
          </w:p>
        </w:tc>
        <w:tc>
          <w:tcPr>
            <w:tcW w:w="573" w:type="pct"/>
            <w:shd w:val="clear" w:color="auto" w:fill="auto"/>
            <w:vAlign w:val="center"/>
          </w:tcPr>
          <w:p w14:paraId="12A5A2AB" w14:textId="3729BFBF" w:rsidR="00694509" w:rsidRPr="006A5352" w:rsidRDefault="009A7DC1" w:rsidP="003406B4">
            <w:pPr>
              <w:pStyle w:val="TableText"/>
              <w:jc w:val="center"/>
              <w:rPr>
                <w:highlight w:val="darkGray"/>
              </w:rPr>
            </w:pPr>
            <w:r w:rsidRPr="009A7DC1">
              <w:rPr>
                <w:rFonts w:hint="eastAsia"/>
                <w:color w:val="000000"/>
                <w:w w:val="25"/>
                <w:shd w:val="solid" w:color="000000" w:fill="000000"/>
                <w:fitText w:val="113" w:id="-1435316724"/>
                <w14:textFill>
                  <w14:solidFill>
                    <w14:srgbClr w14:val="000000">
                      <w14:alpha w14:val="100000"/>
                    </w14:srgbClr>
                  </w14:solidFill>
                </w14:textFill>
              </w:rPr>
              <w:t xml:space="preserve">　</w:t>
            </w:r>
            <w:r w:rsidRPr="009A7DC1">
              <w:rPr>
                <w:color w:val="000000"/>
                <w:w w:val="25"/>
                <w:shd w:val="solid" w:color="000000" w:fill="000000"/>
                <w:fitText w:val="113" w:id="-1435316724"/>
                <w14:textFill>
                  <w14:solidFill>
                    <w14:srgbClr w14:val="000000">
                      <w14:alpha w14:val="100000"/>
                    </w14:srgbClr>
                  </w14:solidFill>
                </w14:textFill>
              </w:rPr>
              <w:t>|</w:t>
            </w:r>
            <w:r w:rsidRPr="009A7DC1">
              <w:rPr>
                <w:rFonts w:hint="eastAsia"/>
                <w:color w:val="000000"/>
                <w:spacing w:val="2"/>
                <w:w w:val="25"/>
                <w:shd w:val="solid" w:color="000000" w:fill="000000"/>
                <w:fitText w:val="113" w:id="-1435316724"/>
                <w14:textFill>
                  <w14:solidFill>
                    <w14:srgbClr w14:val="000000">
                      <w14:alpha w14:val="100000"/>
                    </w14:srgbClr>
                  </w14:solidFill>
                </w14:textFill>
              </w:rPr>
              <w:t xml:space="preserve">　</w:t>
            </w:r>
            <w:r w:rsidR="00540BA2">
              <w:rPr>
                <w:vertAlign w:val="superscript"/>
              </w:rPr>
              <w:t>17</w:t>
            </w:r>
          </w:p>
        </w:tc>
      </w:tr>
      <w:tr w:rsidR="00694509" w:rsidRPr="003455D2" w14:paraId="2561DCD4" w14:textId="77777777" w:rsidTr="003406B4">
        <w:tc>
          <w:tcPr>
            <w:tcW w:w="1574" w:type="pct"/>
            <w:shd w:val="clear" w:color="auto" w:fill="auto"/>
            <w:vAlign w:val="center"/>
          </w:tcPr>
          <w:p w14:paraId="73AED0C0" w14:textId="77777777" w:rsidR="00694509" w:rsidRDefault="00694509" w:rsidP="003406B4">
            <w:pPr>
              <w:pStyle w:val="TableText"/>
            </w:pPr>
            <w:r>
              <w:t>Total scripts</w:t>
            </w:r>
          </w:p>
        </w:tc>
        <w:tc>
          <w:tcPr>
            <w:tcW w:w="569" w:type="pct"/>
            <w:shd w:val="clear" w:color="auto" w:fill="auto"/>
          </w:tcPr>
          <w:p w14:paraId="148B4CAA" w14:textId="19575D9D" w:rsidR="00694509" w:rsidRPr="006A5352" w:rsidRDefault="009A7DC1" w:rsidP="003406B4">
            <w:pPr>
              <w:pStyle w:val="TableText"/>
              <w:jc w:val="center"/>
              <w:rPr>
                <w:highlight w:val="darkGray"/>
              </w:rPr>
            </w:pPr>
            <w:r w:rsidRPr="009A7DC1">
              <w:rPr>
                <w:color w:val="000000"/>
                <w:spacing w:val="65"/>
                <w:shd w:val="solid" w:color="000000" w:fill="000000"/>
                <w:fitText w:val="151" w:id="-1435316723"/>
                <w14:textFill>
                  <w14:solidFill>
                    <w14:srgbClr w14:val="000000">
                      <w14:alpha w14:val="100000"/>
                    </w14:srgbClr>
                  </w14:solidFill>
                </w14:textFill>
              </w:rPr>
              <w:t>|</w:t>
            </w:r>
            <w:r w:rsidRPr="009A7DC1">
              <w:rPr>
                <w:color w:val="000000"/>
                <w:spacing w:val="1"/>
                <w:shd w:val="solid" w:color="000000" w:fill="000000"/>
                <w:fitText w:val="151" w:id="-1435316723"/>
                <w14:textFill>
                  <w14:solidFill>
                    <w14:srgbClr w14:val="000000">
                      <w14:alpha w14:val="100000"/>
                    </w14:srgbClr>
                  </w14:solidFill>
                </w14:textFill>
              </w:rPr>
              <w:t>|</w:t>
            </w:r>
            <w:r w:rsidRPr="009A7DC1">
              <w:t xml:space="preserve"> </w:t>
            </w:r>
            <w:r w:rsidR="00540BA2">
              <w:rPr>
                <w:vertAlign w:val="superscript"/>
              </w:rPr>
              <w:t>12</w:t>
            </w:r>
          </w:p>
        </w:tc>
        <w:tc>
          <w:tcPr>
            <w:tcW w:w="571" w:type="pct"/>
            <w:shd w:val="clear" w:color="auto" w:fill="auto"/>
          </w:tcPr>
          <w:p w14:paraId="3F08D36D" w14:textId="42203062" w:rsidR="00694509" w:rsidRPr="006A5352" w:rsidRDefault="009A7DC1" w:rsidP="003406B4">
            <w:pPr>
              <w:pStyle w:val="TableText"/>
              <w:jc w:val="center"/>
              <w:rPr>
                <w:highlight w:val="darkGray"/>
              </w:rPr>
            </w:pPr>
            <w:r w:rsidRPr="009A7DC1">
              <w:rPr>
                <w:rFonts w:hint="eastAsia"/>
                <w:color w:val="000000"/>
                <w:w w:val="19"/>
                <w:shd w:val="solid" w:color="000000" w:fill="000000"/>
                <w:fitText w:val="88" w:id="-1435316722"/>
                <w14:textFill>
                  <w14:solidFill>
                    <w14:srgbClr w14:val="000000">
                      <w14:alpha w14:val="100000"/>
                    </w14:srgbClr>
                  </w14:solidFill>
                </w14:textFill>
              </w:rPr>
              <w:t xml:space="preserve">　</w:t>
            </w:r>
            <w:r w:rsidRPr="009A7DC1">
              <w:rPr>
                <w:color w:val="000000"/>
                <w:w w:val="19"/>
                <w:shd w:val="solid" w:color="000000" w:fill="000000"/>
                <w:fitText w:val="88" w:id="-1435316722"/>
                <w14:textFill>
                  <w14:solidFill>
                    <w14:srgbClr w14:val="000000">
                      <w14:alpha w14:val="100000"/>
                    </w14:srgbClr>
                  </w14:solidFill>
                </w14:textFill>
              </w:rPr>
              <w:t>|</w:t>
            </w:r>
            <w:r w:rsidRPr="009A7DC1">
              <w:rPr>
                <w:rFonts w:hint="eastAsia"/>
                <w:color w:val="000000"/>
                <w:spacing w:val="4"/>
                <w:w w:val="19"/>
                <w:shd w:val="solid" w:color="000000" w:fill="000000"/>
                <w:fitText w:val="88" w:id="-1435316722"/>
                <w14:textFill>
                  <w14:solidFill>
                    <w14:srgbClr w14:val="000000">
                      <w14:alpha w14:val="100000"/>
                    </w14:srgbClr>
                  </w14:solidFill>
                </w14:textFill>
              </w:rPr>
              <w:t xml:space="preserve">　</w:t>
            </w:r>
            <w:r w:rsidR="00821887">
              <w:rPr>
                <w:vertAlign w:val="superscript"/>
              </w:rPr>
              <w:t>3</w:t>
            </w:r>
          </w:p>
        </w:tc>
        <w:tc>
          <w:tcPr>
            <w:tcW w:w="571" w:type="pct"/>
            <w:shd w:val="clear" w:color="auto" w:fill="auto"/>
          </w:tcPr>
          <w:p w14:paraId="50A3C2E1" w14:textId="00CF88D4" w:rsidR="00694509" w:rsidRPr="006A5352" w:rsidRDefault="009A7DC1" w:rsidP="003406B4">
            <w:pPr>
              <w:pStyle w:val="TableText"/>
              <w:jc w:val="center"/>
              <w:rPr>
                <w:highlight w:val="darkGray"/>
              </w:rPr>
            </w:pPr>
            <w:r w:rsidRPr="009A7DC1">
              <w:rPr>
                <w:rFonts w:hint="eastAsia"/>
                <w:color w:val="000000"/>
                <w:w w:val="19"/>
                <w:shd w:val="solid" w:color="000000" w:fill="000000"/>
                <w:fitText w:val="87" w:id="-1435316721"/>
                <w14:textFill>
                  <w14:solidFill>
                    <w14:srgbClr w14:val="000000">
                      <w14:alpha w14:val="100000"/>
                    </w14:srgbClr>
                  </w14:solidFill>
                </w14:textFill>
              </w:rPr>
              <w:t xml:space="preserve">　</w:t>
            </w:r>
            <w:r w:rsidRPr="009A7DC1">
              <w:rPr>
                <w:color w:val="000000"/>
                <w:w w:val="19"/>
                <w:shd w:val="solid" w:color="000000" w:fill="000000"/>
                <w:fitText w:val="87" w:id="-1435316721"/>
                <w14:textFill>
                  <w14:solidFill>
                    <w14:srgbClr w14:val="000000">
                      <w14:alpha w14:val="100000"/>
                    </w14:srgbClr>
                  </w14:solidFill>
                </w14:textFill>
              </w:rPr>
              <w:t>|</w:t>
            </w:r>
            <w:r w:rsidRPr="009A7DC1">
              <w:rPr>
                <w:rFonts w:hint="eastAsia"/>
                <w:color w:val="000000"/>
                <w:spacing w:val="3"/>
                <w:w w:val="19"/>
                <w:shd w:val="solid" w:color="000000" w:fill="000000"/>
                <w:fitText w:val="87" w:id="-1435316721"/>
                <w14:textFill>
                  <w14:solidFill>
                    <w14:srgbClr w14:val="000000">
                      <w14:alpha w14:val="100000"/>
                    </w14:srgbClr>
                  </w14:solidFill>
                </w14:textFill>
              </w:rPr>
              <w:t xml:space="preserve">　</w:t>
            </w:r>
            <w:r w:rsidR="00821887">
              <w:rPr>
                <w:vertAlign w:val="superscript"/>
              </w:rPr>
              <w:t>3</w:t>
            </w:r>
          </w:p>
        </w:tc>
        <w:tc>
          <w:tcPr>
            <w:tcW w:w="571" w:type="pct"/>
            <w:shd w:val="clear" w:color="auto" w:fill="auto"/>
          </w:tcPr>
          <w:p w14:paraId="35781A1D" w14:textId="131D711A" w:rsidR="00694509" w:rsidRPr="006A5352" w:rsidRDefault="009A7DC1" w:rsidP="003406B4">
            <w:pPr>
              <w:pStyle w:val="TableText"/>
              <w:jc w:val="center"/>
              <w:rPr>
                <w:highlight w:val="darkGray"/>
              </w:rPr>
            </w:pPr>
            <w:r w:rsidRPr="009A7DC1">
              <w:rPr>
                <w:rFonts w:hint="eastAsia"/>
                <w:color w:val="000000"/>
                <w:w w:val="25"/>
                <w:shd w:val="solid" w:color="000000" w:fill="000000"/>
                <w:fitText w:val="113" w:id="-1435316720"/>
                <w14:textFill>
                  <w14:solidFill>
                    <w14:srgbClr w14:val="000000">
                      <w14:alpha w14:val="100000"/>
                    </w14:srgbClr>
                  </w14:solidFill>
                </w14:textFill>
              </w:rPr>
              <w:t xml:space="preserve">　</w:t>
            </w:r>
            <w:r w:rsidRPr="009A7DC1">
              <w:rPr>
                <w:color w:val="000000"/>
                <w:w w:val="25"/>
                <w:shd w:val="solid" w:color="000000" w:fill="000000"/>
                <w:fitText w:val="113" w:id="-1435316720"/>
                <w14:textFill>
                  <w14:solidFill>
                    <w14:srgbClr w14:val="000000">
                      <w14:alpha w14:val="100000"/>
                    </w14:srgbClr>
                  </w14:solidFill>
                </w14:textFill>
              </w:rPr>
              <w:t>|</w:t>
            </w:r>
            <w:r w:rsidRPr="009A7DC1">
              <w:rPr>
                <w:rFonts w:hint="eastAsia"/>
                <w:color w:val="000000"/>
                <w:spacing w:val="2"/>
                <w:w w:val="25"/>
                <w:shd w:val="solid" w:color="000000" w:fill="000000"/>
                <w:fitText w:val="113" w:id="-1435316720"/>
                <w14:textFill>
                  <w14:solidFill>
                    <w14:srgbClr w14:val="000000">
                      <w14:alpha w14:val="100000"/>
                    </w14:srgbClr>
                  </w14:solidFill>
                </w14:textFill>
              </w:rPr>
              <w:t xml:space="preserve">　</w:t>
            </w:r>
            <w:r w:rsidRPr="009A7DC1">
              <w:t xml:space="preserve"> </w:t>
            </w:r>
            <w:r w:rsidR="00821887">
              <w:rPr>
                <w:vertAlign w:val="superscript"/>
              </w:rPr>
              <w:t>2</w:t>
            </w:r>
          </w:p>
        </w:tc>
        <w:tc>
          <w:tcPr>
            <w:tcW w:w="571" w:type="pct"/>
            <w:shd w:val="clear" w:color="auto" w:fill="auto"/>
          </w:tcPr>
          <w:p w14:paraId="5B8EA559" w14:textId="0204A523" w:rsidR="00694509" w:rsidRPr="006A5352" w:rsidRDefault="009A7DC1" w:rsidP="003406B4">
            <w:pPr>
              <w:pStyle w:val="TableText"/>
              <w:jc w:val="center"/>
              <w:rPr>
                <w:highlight w:val="darkGray"/>
              </w:rPr>
            </w:pPr>
            <w:r w:rsidRPr="009A7DC1">
              <w:rPr>
                <w:rFonts w:hint="eastAsia"/>
                <w:color w:val="000000"/>
                <w:w w:val="25"/>
                <w:shd w:val="solid" w:color="000000" w:fill="000000"/>
                <w:fitText w:val="112" w:id="-1435316736"/>
                <w14:textFill>
                  <w14:solidFill>
                    <w14:srgbClr w14:val="000000">
                      <w14:alpha w14:val="100000"/>
                    </w14:srgbClr>
                  </w14:solidFill>
                </w14:textFill>
              </w:rPr>
              <w:t xml:space="preserve">　</w:t>
            </w:r>
            <w:r w:rsidRPr="009A7DC1">
              <w:rPr>
                <w:color w:val="000000"/>
                <w:w w:val="25"/>
                <w:shd w:val="solid" w:color="000000" w:fill="000000"/>
                <w:fitText w:val="112" w:id="-1435316736"/>
                <w14:textFill>
                  <w14:solidFill>
                    <w14:srgbClr w14:val="000000">
                      <w14:alpha w14:val="100000"/>
                    </w14:srgbClr>
                  </w14:solidFill>
                </w14:textFill>
              </w:rPr>
              <w:t>|</w:t>
            </w:r>
            <w:r w:rsidRPr="009A7DC1">
              <w:rPr>
                <w:rFonts w:hint="eastAsia"/>
                <w:color w:val="000000"/>
                <w:spacing w:val="1"/>
                <w:w w:val="25"/>
                <w:shd w:val="solid" w:color="000000" w:fill="000000"/>
                <w:fitText w:val="112" w:id="-1435316736"/>
                <w14:textFill>
                  <w14:solidFill>
                    <w14:srgbClr w14:val="000000">
                      <w14:alpha w14:val="100000"/>
                    </w14:srgbClr>
                  </w14:solidFill>
                </w14:textFill>
              </w:rPr>
              <w:t xml:space="preserve">　</w:t>
            </w:r>
            <w:r w:rsidRPr="009A7DC1">
              <w:t xml:space="preserve"> </w:t>
            </w:r>
            <w:r w:rsidR="00821887">
              <w:rPr>
                <w:vertAlign w:val="superscript"/>
              </w:rPr>
              <w:t>2</w:t>
            </w:r>
          </w:p>
        </w:tc>
        <w:tc>
          <w:tcPr>
            <w:tcW w:w="573" w:type="pct"/>
            <w:shd w:val="clear" w:color="auto" w:fill="auto"/>
          </w:tcPr>
          <w:p w14:paraId="0A6A26DF" w14:textId="0F334756" w:rsidR="00694509" w:rsidRPr="006A5352" w:rsidRDefault="009A7DC1" w:rsidP="003406B4">
            <w:pPr>
              <w:pStyle w:val="TableText"/>
              <w:jc w:val="center"/>
              <w:rPr>
                <w:highlight w:val="darkGray"/>
              </w:rPr>
            </w:pPr>
            <w:r w:rsidRPr="009A7DC1">
              <w:rPr>
                <w:rFonts w:hint="eastAsia"/>
                <w:color w:val="000000"/>
                <w:w w:val="25"/>
                <w:shd w:val="solid" w:color="000000" w:fill="000000"/>
                <w:fitText w:val="113" w:id="-1435316735"/>
                <w14:textFill>
                  <w14:solidFill>
                    <w14:srgbClr w14:val="000000">
                      <w14:alpha w14:val="100000"/>
                    </w14:srgbClr>
                  </w14:solidFill>
                </w14:textFill>
              </w:rPr>
              <w:t xml:space="preserve">　</w:t>
            </w:r>
            <w:r w:rsidRPr="009A7DC1">
              <w:rPr>
                <w:color w:val="000000"/>
                <w:w w:val="25"/>
                <w:shd w:val="solid" w:color="000000" w:fill="000000"/>
                <w:fitText w:val="113" w:id="-1435316735"/>
                <w14:textFill>
                  <w14:solidFill>
                    <w14:srgbClr w14:val="000000">
                      <w14:alpha w14:val="100000"/>
                    </w14:srgbClr>
                  </w14:solidFill>
                </w14:textFill>
              </w:rPr>
              <w:t>|</w:t>
            </w:r>
            <w:r w:rsidRPr="009A7DC1">
              <w:rPr>
                <w:rFonts w:hint="eastAsia"/>
                <w:color w:val="000000"/>
                <w:spacing w:val="2"/>
                <w:w w:val="25"/>
                <w:shd w:val="solid" w:color="000000" w:fill="000000"/>
                <w:fitText w:val="113" w:id="-1435316735"/>
                <w14:textFill>
                  <w14:solidFill>
                    <w14:srgbClr w14:val="000000">
                      <w14:alpha w14:val="100000"/>
                    </w14:srgbClr>
                  </w14:solidFill>
                </w14:textFill>
              </w:rPr>
              <w:t xml:space="preserve">　</w:t>
            </w:r>
            <w:r w:rsidRPr="009A7DC1">
              <w:t xml:space="preserve"> </w:t>
            </w:r>
            <w:r w:rsidR="00821887">
              <w:rPr>
                <w:vertAlign w:val="superscript"/>
              </w:rPr>
              <w:t>2</w:t>
            </w:r>
          </w:p>
        </w:tc>
      </w:tr>
      <w:tr w:rsidR="002906CA" w:rsidRPr="003455D2" w14:paraId="1339A1E1" w14:textId="77777777" w:rsidTr="002906CA">
        <w:tc>
          <w:tcPr>
            <w:tcW w:w="5000" w:type="pct"/>
            <w:gridSpan w:val="7"/>
            <w:shd w:val="clear" w:color="auto" w:fill="auto"/>
            <w:vAlign w:val="center"/>
          </w:tcPr>
          <w:p w14:paraId="79E2F764" w14:textId="394BBD60" w:rsidR="002906CA" w:rsidRPr="002906CA" w:rsidRDefault="002906CA" w:rsidP="002906CA">
            <w:pPr>
              <w:pStyle w:val="TableText"/>
              <w:rPr>
                <w:b/>
                <w:bCs w:val="0"/>
              </w:rPr>
            </w:pPr>
            <w:r>
              <w:rPr>
                <w:b/>
                <w:bCs w:val="0"/>
              </w:rPr>
              <w:t>Estimated financial implications of romosozumab</w:t>
            </w:r>
          </w:p>
        </w:tc>
      </w:tr>
      <w:tr w:rsidR="00694509" w:rsidRPr="002906CA" w14:paraId="714887E5" w14:textId="77777777" w:rsidTr="002906CA">
        <w:tc>
          <w:tcPr>
            <w:tcW w:w="1574" w:type="pct"/>
            <w:shd w:val="clear" w:color="auto" w:fill="auto"/>
            <w:vAlign w:val="center"/>
          </w:tcPr>
          <w:p w14:paraId="63C15553" w14:textId="68CAF6F6" w:rsidR="00694509" w:rsidRPr="002906CA" w:rsidRDefault="00734026" w:rsidP="003406B4">
            <w:pPr>
              <w:pStyle w:val="TableText"/>
            </w:pPr>
            <w:r w:rsidRPr="002906CA">
              <w:t xml:space="preserve">PBS/RPBS </w:t>
            </w:r>
            <w:r w:rsidR="00694509" w:rsidRPr="002906CA">
              <w:t xml:space="preserve">cost </w:t>
            </w:r>
            <w:r w:rsidR="00C47AB6" w:rsidRPr="002906CA">
              <w:t xml:space="preserve">of romosozumab </w:t>
            </w:r>
            <w:r w:rsidRPr="002906CA">
              <w:t>less copay</w:t>
            </w:r>
          </w:p>
        </w:tc>
        <w:tc>
          <w:tcPr>
            <w:tcW w:w="569" w:type="pct"/>
            <w:shd w:val="clear" w:color="auto" w:fill="auto"/>
            <w:vAlign w:val="center"/>
          </w:tcPr>
          <w:p w14:paraId="0AF3314A" w14:textId="7CB2CCCA" w:rsidR="00694509" w:rsidRPr="002906CA" w:rsidRDefault="00694509" w:rsidP="002906CA">
            <w:pPr>
              <w:pStyle w:val="TableText"/>
              <w:jc w:val="center"/>
            </w:pPr>
            <w:r w:rsidRPr="002906CA">
              <w:t>$</w:t>
            </w:r>
            <w:r w:rsidR="009A7DC1" w:rsidRPr="009A7DC1">
              <w:rPr>
                <w:color w:val="000000"/>
                <w:spacing w:val="76"/>
                <w:shd w:val="solid" w:color="000000" w:fill="000000"/>
                <w:fitText w:val="162" w:id="-1435316734"/>
                <w14:textFill>
                  <w14:solidFill>
                    <w14:srgbClr w14:val="000000">
                      <w14:alpha w14:val="100000"/>
                    </w14:srgbClr>
                  </w14:solidFill>
                </w14:textFill>
              </w:rPr>
              <w:t>|</w:t>
            </w:r>
            <w:r w:rsidR="009A7DC1" w:rsidRPr="009A7DC1">
              <w:rPr>
                <w:color w:val="000000"/>
                <w:spacing w:val="1"/>
                <w:shd w:val="solid" w:color="000000" w:fill="000000"/>
                <w:fitText w:val="162" w:id="-1435316734"/>
                <w14:textFill>
                  <w14:solidFill>
                    <w14:srgbClr w14:val="000000">
                      <w14:alpha w14:val="100000"/>
                    </w14:srgbClr>
                  </w14:solidFill>
                </w14:textFill>
              </w:rPr>
              <w:t>|</w:t>
            </w:r>
            <w:r w:rsidR="00540BA2">
              <w:rPr>
                <w:vertAlign w:val="superscript"/>
              </w:rPr>
              <w:t>13</w:t>
            </w:r>
          </w:p>
        </w:tc>
        <w:tc>
          <w:tcPr>
            <w:tcW w:w="571" w:type="pct"/>
            <w:shd w:val="clear" w:color="auto" w:fill="auto"/>
            <w:vAlign w:val="center"/>
          </w:tcPr>
          <w:p w14:paraId="2EB69915" w14:textId="5399E901" w:rsidR="00694509" w:rsidRPr="002906CA" w:rsidRDefault="00694509" w:rsidP="002906CA">
            <w:pPr>
              <w:pStyle w:val="TableText"/>
              <w:jc w:val="center"/>
            </w:pPr>
            <w:r w:rsidRPr="002906CA">
              <w:t>$</w:t>
            </w:r>
            <w:r w:rsidR="009A7DC1" w:rsidRPr="009A7DC1">
              <w:rPr>
                <w:color w:val="000000"/>
                <w:spacing w:val="77"/>
                <w:shd w:val="solid" w:color="000000" w:fill="000000"/>
                <w:fitText w:val="163" w:id="-1435316733"/>
                <w14:textFill>
                  <w14:solidFill>
                    <w14:srgbClr w14:val="000000">
                      <w14:alpha w14:val="100000"/>
                    </w14:srgbClr>
                  </w14:solidFill>
                </w14:textFill>
              </w:rPr>
              <w:t>|</w:t>
            </w:r>
            <w:r w:rsidR="009A7DC1" w:rsidRPr="009A7DC1">
              <w:rPr>
                <w:color w:val="000000"/>
                <w:spacing w:val="1"/>
                <w:shd w:val="solid" w:color="000000" w:fill="000000"/>
                <w:fitText w:val="163" w:id="-1435316733"/>
                <w14:textFill>
                  <w14:solidFill>
                    <w14:srgbClr w14:val="000000">
                      <w14:alpha w14:val="100000"/>
                    </w14:srgbClr>
                  </w14:solidFill>
                </w14:textFill>
              </w:rPr>
              <w:t>|</w:t>
            </w:r>
            <w:r w:rsidR="00540BA2">
              <w:rPr>
                <w:vertAlign w:val="superscript"/>
              </w:rPr>
              <w:t>19</w:t>
            </w:r>
          </w:p>
        </w:tc>
        <w:tc>
          <w:tcPr>
            <w:tcW w:w="571" w:type="pct"/>
            <w:shd w:val="clear" w:color="auto" w:fill="auto"/>
            <w:vAlign w:val="center"/>
          </w:tcPr>
          <w:p w14:paraId="2E1B931F" w14:textId="7E9814A5" w:rsidR="00694509" w:rsidRPr="002906CA" w:rsidRDefault="00694509" w:rsidP="002906CA">
            <w:pPr>
              <w:pStyle w:val="TableText"/>
              <w:jc w:val="center"/>
            </w:pPr>
            <w:r w:rsidRPr="002906CA">
              <w:t>$</w:t>
            </w:r>
            <w:r w:rsidR="009A7DC1" w:rsidRPr="009A7DC1">
              <w:rPr>
                <w:color w:val="000000"/>
                <w:spacing w:val="77"/>
                <w:shd w:val="solid" w:color="000000" w:fill="000000"/>
                <w:fitText w:val="163" w:id="-1435316732"/>
                <w14:textFill>
                  <w14:solidFill>
                    <w14:srgbClr w14:val="000000">
                      <w14:alpha w14:val="100000"/>
                    </w14:srgbClr>
                  </w14:solidFill>
                </w14:textFill>
              </w:rPr>
              <w:t>|</w:t>
            </w:r>
            <w:r w:rsidR="009A7DC1" w:rsidRPr="009A7DC1">
              <w:rPr>
                <w:color w:val="000000"/>
                <w:spacing w:val="1"/>
                <w:shd w:val="solid" w:color="000000" w:fill="000000"/>
                <w:fitText w:val="163" w:id="-1435316732"/>
                <w14:textFill>
                  <w14:solidFill>
                    <w14:srgbClr w14:val="000000">
                      <w14:alpha w14:val="100000"/>
                    </w14:srgbClr>
                  </w14:solidFill>
                </w14:textFill>
              </w:rPr>
              <w:t>|</w:t>
            </w:r>
            <w:r w:rsidR="00F84AA0">
              <w:rPr>
                <w:vertAlign w:val="superscript"/>
              </w:rPr>
              <w:t>20</w:t>
            </w:r>
          </w:p>
        </w:tc>
        <w:tc>
          <w:tcPr>
            <w:tcW w:w="571" w:type="pct"/>
            <w:shd w:val="clear" w:color="auto" w:fill="auto"/>
            <w:vAlign w:val="center"/>
          </w:tcPr>
          <w:p w14:paraId="72E7D397" w14:textId="0138F1EC" w:rsidR="00694509" w:rsidRPr="002906CA" w:rsidRDefault="00694509" w:rsidP="002906CA">
            <w:pPr>
              <w:pStyle w:val="TableText"/>
              <w:jc w:val="center"/>
            </w:pPr>
            <w:r w:rsidRPr="002906CA">
              <w:t>$</w:t>
            </w:r>
            <w:r w:rsidR="009A7DC1" w:rsidRPr="009A7DC1">
              <w:rPr>
                <w:color w:val="000000"/>
                <w:spacing w:val="77"/>
                <w:shd w:val="solid" w:color="000000" w:fill="000000"/>
                <w:fitText w:val="163" w:id="-1435316731"/>
                <w14:textFill>
                  <w14:solidFill>
                    <w14:srgbClr w14:val="000000">
                      <w14:alpha w14:val="100000"/>
                    </w14:srgbClr>
                  </w14:solidFill>
                </w14:textFill>
              </w:rPr>
              <w:t>|</w:t>
            </w:r>
            <w:r w:rsidR="009A7DC1" w:rsidRPr="009A7DC1">
              <w:rPr>
                <w:color w:val="000000"/>
                <w:spacing w:val="1"/>
                <w:shd w:val="solid" w:color="000000" w:fill="000000"/>
                <w:fitText w:val="163" w:id="-1435316731"/>
                <w14:textFill>
                  <w14:solidFill>
                    <w14:srgbClr w14:val="000000">
                      <w14:alpha w14:val="100000"/>
                    </w14:srgbClr>
                  </w14:solidFill>
                </w14:textFill>
              </w:rPr>
              <w:t>|</w:t>
            </w:r>
            <w:r w:rsidR="00F84AA0">
              <w:rPr>
                <w:vertAlign w:val="superscript"/>
              </w:rPr>
              <w:t>23</w:t>
            </w:r>
          </w:p>
        </w:tc>
        <w:tc>
          <w:tcPr>
            <w:tcW w:w="571" w:type="pct"/>
            <w:shd w:val="clear" w:color="auto" w:fill="auto"/>
            <w:vAlign w:val="center"/>
          </w:tcPr>
          <w:p w14:paraId="42AD4510" w14:textId="017DE829" w:rsidR="00694509" w:rsidRPr="002906CA" w:rsidRDefault="00694509" w:rsidP="002906CA">
            <w:pPr>
              <w:pStyle w:val="TableText"/>
              <w:jc w:val="center"/>
            </w:pPr>
            <w:r w:rsidRPr="002906CA">
              <w:t>$</w:t>
            </w:r>
            <w:r w:rsidR="009A7DC1" w:rsidRPr="009A7DC1">
              <w:rPr>
                <w:color w:val="000000"/>
                <w:spacing w:val="77"/>
                <w:shd w:val="solid" w:color="000000" w:fill="000000"/>
                <w:fitText w:val="163" w:id="-1435316730"/>
                <w14:textFill>
                  <w14:solidFill>
                    <w14:srgbClr w14:val="000000">
                      <w14:alpha w14:val="100000"/>
                    </w14:srgbClr>
                  </w14:solidFill>
                </w14:textFill>
              </w:rPr>
              <w:t>|</w:t>
            </w:r>
            <w:r w:rsidR="009A7DC1" w:rsidRPr="009A7DC1">
              <w:rPr>
                <w:color w:val="000000"/>
                <w:spacing w:val="1"/>
                <w:shd w:val="solid" w:color="000000" w:fill="000000"/>
                <w:fitText w:val="163" w:id="-1435316730"/>
                <w14:textFill>
                  <w14:solidFill>
                    <w14:srgbClr w14:val="000000">
                      <w14:alpha w14:val="100000"/>
                    </w14:srgbClr>
                  </w14:solidFill>
                </w14:textFill>
              </w:rPr>
              <w:t>|</w:t>
            </w:r>
            <w:r w:rsidR="00F84AA0">
              <w:rPr>
                <w:vertAlign w:val="superscript"/>
              </w:rPr>
              <w:t>23</w:t>
            </w:r>
          </w:p>
        </w:tc>
        <w:tc>
          <w:tcPr>
            <w:tcW w:w="573" w:type="pct"/>
            <w:shd w:val="clear" w:color="auto" w:fill="auto"/>
            <w:vAlign w:val="center"/>
          </w:tcPr>
          <w:p w14:paraId="0C3F3E5F" w14:textId="394B0C7C" w:rsidR="00694509" w:rsidRPr="002906CA" w:rsidRDefault="00694509" w:rsidP="002906CA">
            <w:pPr>
              <w:pStyle w:val="TableText"/>
              <w:jc w:val="center"/>
            </w:pPr>
            <w:r w:rsidRPr="002906CA">
              <w:t>$</w:t>
            </w:r>
            <w:r w:rsidR="009A7DC1" w:rsidRPr="009A7DC1">
              <w:rPr>
                <w:color w:val="000000"/>
                <w:spacing w:val="77"/>
                <w:shd w:val="solid" w:color="000000" w:fill="000000"/>
                <w:fitText w:val="163" w:id="-1435316729"/>
                <w14:textFill>
                  <w14:solidFill>
                    <w14:srgbClr w14:val="000000">
                      <w14:alpha w14:val="100000"/>
                    </w14:srgbClr>
                  </w14:solidFill>
                </w14:textFill>
              </w:rPr>
              <w:t>|</w:t>
            </w:r>
            <w:r w:rsidR="009A7DC1" w:rsidRPr="009A7DC1">
              <w:rPr>
                <w:color w:val="000000"/>
                <w:spacing w:val="1"/>
                <w:shd w:val="solid" w:color="000000" w:fill="000000"/>
                <w:fitText w:val="163" w:id="-1435316729"/>
                <w14:textFill>
                  <w14:solidFill>
                    <w14:srgbClr w14:val="000000">
                      <w14:alpha w14:val="100000"/>
                    </w14:srgbClr>
                  </w14:solidFill>
                </w14:textFill>
              </w:rPr>
              <w:t>|</w:t>
            </w:r>
            <w:r w:rsidR="00F84AA0">
              <w:rPr>
                <w:vertAlign w:val="superscript"/>
              </w:rPr>
              <w:t>23</w:t>
            </w:r>
          </w:p>
        </w:tc>
      </w:tr>
      <w:tr w:rsidR="003B642B" w:rsidRPr="003B642B" w14:paraId="1340E209" w14:textId="77777777" w:rsidTr="002906CA">
        <w:tc>
          <w:tcPr>
            <w:tcW w:w="1574" w:type="pct"/>
            <w:shd w:val="clear" w:color="auto" w:fill="auto"/>
            <w:vAlign w:val="center"/>
          </w:tcPr>
          <w:p w14:paraId="0DC7E82A" w14:textId="5E56089C" w:rsidR="003B642B" w:rsidRPr="003B642B" w:rsidRDefault="00B1286B" w:rsidP="003B642B">
            <w:pPr>
              <w:pStyle w:val="TableText"/>
            </w:pPr>
            <w:r>
              <w:t xml:space="preserve">PBS/RPBS cost </w:t>
            </w:r>
            <w:r w:rsidR="00E749E7">
              <w:t>offset from</w:t>
            </w:r>
            <w:r>
              <w:t xml:space="preserve"> </w:t>
            </w:r>
            <w:r w:rsidR="003B642B" w:rsidRPr="003B642B">
              <w:t>displace</w:t>
            </w:r>
            <w:r>
              <w:t xml:space="preserve">d </w:t>
            </w:r>
            <w:r w:rsidR="003B642B" w:rsidRPr="003B642B">
              <w:t>anti-resorptive</w:t>
            </w:r>
            <w:r w:rsidR="00D67E80">
              <w:t>s</w:t>
            </w:r>
          </w:p>
        </w:tc>
        <w:tc>
          <w:tcPr>
            <w:tcW w:w="569" w:type="pct"/>
            <w:shd w:val="clear" w:color="auto" w:fill="auto"/>
            <w:vAlign w:val="center"/>
          </w:tcPr>
          <w:p w14:paraId="49225EB6" w14:textId="5DFD9AB4" w:rsidR="003B642B" w:rsidRPr="003B642B" w:rsidRDefault="00E749E7" w:rsidP="002906CA">
            <w:pPr>
              <w:pStyle w:val="TableText"/>
              <w:jc w:val="center"/>
            </w:pPr>
            <w:r>
              <w:t>-</w:t>
            </w:r>
            <w:r w:rsidR="003B642B" w:rsidRPr="00624BDE">
              <w:t>$</w:t>
            </w:r>
            <w:r w:rsidR="009A7DC1" w:rsidRPr="009A7DC1">
              <w:rPr>
                <w:color w:val="000000"/>
                <w:spacing w:val="101"/>
                <w:shd w:val="solid" w:color="000000" w:fill="000000"/>
                <w:fitText w:val="187" w:id="-1435316728"/>
                <w14:textFill>
                  <w14:solidFill>
                    <w14:srgbClr w14:val="000000">
                      <w14:alpha w14:val="100000"/>
                    </w14:srgbClr>
                  </w14:solidFill>
                </w14:textFill>
              </w:rPr>
              <w:t>|</w:t>
            </w:r>
            <w:r w:rsidR="009A7DC1" w:rsidRPr="009A7DC1">
              <w:rPr>
                <w:color w:val="000000"/>
                <w:spacing w:val="1"/>
                <w:shd w:val="solid" w:color="000000" w:fill="000000"/>
                <w:fitText w:val="187" w:id="-1435316728"/>
                <w14:textFill>
                  <w14:solidFill>
                    <w14:srgbClr w14:val="000000">
                      <w14:alpha w14:val="100000"/>
                    </w14:srgbClr>
                  </w14:solidFill>
                </w14:textFill>
              </w:rPr>
              <w:t>|</w:t>
            </w:r>
            <w:r w:rsidR="00540BA2">
              <w:rPr>
                <w:vertAlign w:val="superscript"/>
              </w:rPr>
              <w:t>14</w:t>
            </w:r>
          </w:p>
        </w:tc>
        <w:tc>
          <w:tcPr>
            <w:tcW w:w="571" w:type="pct"/>
            <w:shd w:val="clear" w:color="auto" w:fill="auto"/>
            <w:vAlign w:val="center"/>
          </w:tcPr>
          <w:p w14:paraId="46984296" w14:textId="54AA08F7" w:rsidR="003B642B" w:rsidRPr="003B642B" w:rsidRDefault="00E749E7" w:rsidP="002906CA">
            <w:pPr>
              <w:pStyle w:val="TableText"/>
              <w:jc w:val="center"/>
            </w:pPr>
            <w:r>
              <w:t>-</w:t>
            </w:r>
            <w:r w:rsidR="003B642B" w:rsidRPr="00624BDE">
              <w:t>$</w:t>
            </w:r>
            <w:r w:rsidR="009A7DC1" w:rsidRPr="009A7DC1">
              <w:rPr>
                <w:color w:val="000000"/>
                <w:spacing w:val="102"/>
                <w:shd w:val="solid" w:color="000000" w:fill="000000"/>
                <w:fitText w:val="188" w:id="-1435316727"/>
                <w14:textFill>
                  <w14:solidFill>
                    <w14:srgbClr w14:val="000000">
                      <w14:alpha w14:val="100000"/>
                    </w14:srgbClr>
                  </w14:solidFill>
                </w14:textFill>
              </w:rPr>
              <w:t>|</w:t>
            </w:r>
            <w:r w:rsidR="009A7DC1" w:rsidRPr="009A7DC1">
              <w:rPr>
                <w:color w:val="000000"/>
                <w:spacing w:val="1"/>
                <w:shd w:val="solid" w:color="000000" w:fill="000000"/>
                <w:fitText w:val="188" w:id="-1435316727"/>
                <w14:textFill>
                  <w14:solidFill>
                    <w14:srgbClr w14:val="000000">
                      <w14:alpha w14:val="100000"/>
                    </w14:srgbClr>
                  </w14:solidFill>
                </w14:textFill>
              </w:rPr>
              <w:t>|</w:t>
            </w:r>
            <w:r w:rsidR="00540BA2">
              <w:rPr>
                <w:vertAlign w:val="superscript"/>
              </w:rPr>
              <w:t>14</w:t>
            </w:r>
          </w:p>
        </w:tc>
        <w:tc>
          <w:tcPr>
            <w:tcW w:w="571" w:type="pct"/>
            <w:shd w:val="clear" w:color="auto" w:fill="auto"/>
            <w:vAlign w:val="center"/>
          </w:tcPr>
          <w:p w14:paraId="5A3F3F7E" w14:textId="277DE633" w:rsidR="003B642B" w:rsidRPr="003B642B" w:rsidRDefault="00E749E7" w:rsidP="002906CA">
            <w:pPr>
              <w:pStyle w:val="TableText"/>
              <w:jc w:val="center"/>
            </w:pPr>
            <w:r>
              <w:t>-</w:t>
            </w:r>
            <w:r w:rsidR="003B642B" w:rsidRPr="00624BDE">
              <w:t>$</w:t>
            </w:r>
            <w:r w:rsidR="009A7DC1" w:rsidRPr="009A7DC1">
              <w:rPr>
                <w:color w:val="000000"/>
                <w:spacing w:val="102"/>
                <w:shd w:val="solid" w:color="000000" w:fill="000000"/>
                <w:fitText w:val="188" w:id="-1435316726"/>
                <w14:textFill>
                  <w14:solidFill>
                    <w14:srgbClr w14:val="000000">
                      <w14:alpha w14:val="100000"/>
                    </w14:srgbClr>
                  </w14:solidFill>
                </w14:textFill>
              </w:rPr>
              <w:t>|</w:t>
            </w:r>
            <w:r w:rsidR="009A7DC1" w:rsidRPr="009A7DC1">
              <w:rPr>
                <w:color w:val="000000"/>
                <w:spacing w:val="1"/>
                <w:shd w:val="solid" w:color="000000" w:fill="000000"/>
                <w:fitText w:val="188" w:id="-1435316726"/>
                <w14:textFill>
                  <w14:solidFill>
                    <w14:srgbClr w14:val="000000">
                      <w14:alpha w14:val="100000"/>
                    </w14:srgbClr>
                  </w14:solidFill>
                </w14:textFill>
              </w:rPr>
              <w:t>|</w:t>
            </w:r>
            <w:r w:rsidR="00540BA2">
              <w:rPr>
                <w:vertAlign w:val="superscript"/>
              </w:rPr>
              <w:t>14</w:t>
            </w:r>
          </w:p>
        </w:tc>
        <w:tc>
          <w:tcPr>
            <w:tcW w:w="571" w:type="pct"/>
            <w:shd w:val="clear" w:color="auto" w:fill="auto"/>
            <w:vAlign w:val="center"/>
          </w:tcPr>
          <w:p w14:paraId="4773BE28" w14:textId="5164EA37" w:rsidR="003B642B" w:rsidRPr="003B642B" w:rsidRDefault="00E749E7" w:rsidP="002906CA">
            <w:pPr>
              <w:pStyle w:val="TableText"/>
              <w:jc w:val="center"/>
            </w:pPr>
            <w:r>
              <w:t>-</w:t>
            </w:r>
            <w:r w:rsidR="003B642B" w:rsidRPr="00624BDE">
              <w:t>$</w:t>
            </w:r>
            <w:r w:rsidR="009A7DC1" w:rsidRPr="009A7DC1">
              <w:rPr>
                <w:color w:val="000000"/>
                <w:spacing w:val="101"/>
                <w:shd w:val="solid" w:color="000000" w:fill="000000"/>
                <w:fitText w:val="187" w:id="-1435316725"/>
                <w14:textFill>
                  <w14:solidFill>
                    <w14:srgbClr w14:val="000000">
                      <w14:alpha w14:val="100000"/>
                    </w14:srgbClr>
                  </w14:solidFill>
                </w14:textFill>
              </w:rPr>
              <w:t>|</w:t>
            </w:r>
            <w:r w:rsidR="009A7DC1" w:rsidRPr="009A7DC1">
              <w:rPr>
                <w:color w:val="000000"/>
                <w:spacing w:val="1"/>
                <w:shd w:val="solid" w:color="000000" w:fill="000000"/>
                <w:fitText w:val="187" w:id="-1435316725"/>
                <w14:textFill>
                  <w14:solidFill>
                    <w14:srgbClr w14:val="000000">
                      <w14:alpha w14:val="100000"/>
                    </w14:srgbClr>
                  </w14:solidFill>
                </w14:textFill>
              </w:rPr>
              <w:t>|</w:t>
            </w:r>
            <w:r w:rsidR="00540BA2">
              <w:rPr>
                <w:vertAlign w:val="superscript"/>
              </w:rPr>
              <w:t>14</w:t>
            </w:r>
          </w:p>
        </w:tc>
        <w:tc>
          <w:tcPr>
            <w:tcW w:w="571" w:type="pct"/>
            <w:shd w:val="clear" w:color="auto" w:fill="auto"/>
            <w:vAlign w:val="center"/>
          </w:tcPr>
          <w:p w14:paraId="3E52E843" w14:textId="64AB944D" w:rsidR="003B642B" w:rsidRPr="003B642B" w:rsidRDefault="00E749E7" w:rsidP="002906CA">
            <w:pPr>
              <w:pStyle w:val="TableText"/>
              <w:jc w:val="center"/>
            </w:pPr>
            <w:r>
              <w:t>-</w:t>
            </w:r>
            <w:r w:rsidR="003B642B" w:rsidRPr="00624BDE">
              <w:t>$</w:t>
            </w:r>
            <w:r w:rsidR="009A7DC1" w:rsidRPr="009A7DC1">
              <w:rPr>
                <w:color w:val="000000"/>
                <w:spacing w:val="102"/>
                <w:shd w:val="solid" w:color="000000" w:fill="000000"/>
                <w:fitText w:val="188" w:id="-1435316724"/>
                <w14:textFill>
                  <w14:solidFill>
                    <w14:srgbClr w14:val="000000">
                      <w14:alpha w14:val="100000"/>
                    </w14:srgbClr>
                  </w14:solidFill>
                </w14:textFill>
              </w:rPr>
              <w:t>|</w:t>
            </w:r>
            <w:r w:rsidR="009A7DC1" w:rsidRPr="009A7DC1">
              <w:rPr>
                <w:color w:val="000000"/>
                <w:spacing w:val="1"/>
                <w:shd w:val="solid" w:color="000000" w:fill="000000"/>
                <w:fitText w:val="188" w:id="-1435316724"/>
                <w14:textFill>
                  <w14:solidFill>
                    <w14:srgbClr w14:val="000000">
                      <w14:alpha w14:val="100000"/>
                    </w14:srgbClr>
                  </w14:solidFill>
                </w14:textFill>
              </w:rPr>
              <w:t>|</w:t>
            </w:r>
            <w:r w:rsidR="00540BA2">
              <w:rPr>
                <w:vertAlign w:val="superscript"/>
              </w:rPr>
              <w:t>14</w:t>
            </w:r>
          </w:p>
        </w:tc>
        <w:tc>
          <w:tcPr>
            <w:tcW w:w="573" w:type="pct"/>
            <w:shd w:val="clear" w:color="auto" w:fill="auto"/>
            <w:vAlign w:val="center"/>
          </w:tcPr>
          <w:p w14:paraId="0DA5231E" w14:textId="4953847A" w:rsidR="003B642B" w:rsidRPr="003B642B" w:rsidRDefault="00E749E7" w:rsidP="002906CA">
            <w:pPr>
              <w:pStyle w:val="TableText"/>
              <w:jc w:val="center"/>
            </w:pPr>
            <w:r>
              <w:t>-</w:t>
            </w:r>
            <w:r w:rsidR="003B642B" w:rsidRPr="00624BDE">
              <w:t>$</w:t>
            </w:r>
            <w:r w:rsidR="009A7DC1" w:rsidRPr="009A7DC1">
              <w:rPr>
                <w:color w:val="000000"/>
                <w:spacing w:val="114"/>
                <w:shd w:val="solid" w:color="000000" w:fill="000000"/>
                <w:fitText w:val="200" w:id="-1435316723"/>
                <w14:textFill>
                  <w14:solidFill>
                    <w14:srgbClr w14:val="000000">
                      <w14:alpha w14:val="100000"/>
                    </w14:srgbClr>
                  </w14:solidFill>
                </w14:textFill>
              </w:rPr>
              <w:t>|</w:t>
            </w:r>
            <w:r w:rsidR="009A7DC1" w:rsidRPr="009A7DC1">
              <w:rPr>
                <w:color w:val="000000"/>
                <w:spacing w:val="1"/>
                <w:shd w:val="solid" w:color="000000" w:fill="000000"/>
                <w:fitText w:val="200" w:id="-1435316723"/>
                <w14:textFill>
                  <w14:solidFill>
                    <w14:srgbClr w14:val="000000">
                      <w14:alpha w14:val="100000"/>
                    </w14:srgbClr>
                  </w14:solidFill>
                </w14:textFill>
              </w:rPr>
              <w:t>|</w:t>
            </w:r>
            <w:r w:rsidR="00540BA2">
              <w:rPr>
                <w:vertAlign w:val="superscript"/>
              </w:rPr>
              <w:t>14</w:t>
            </w:r>
          </w:p>
        </w:tc>
      </w:tr>
      <w:tr w:rsidR="00100C26" w:rsidRPr="003B642B" w14:paraId="46DD2153" w14:textId="77777777" w:rsidTr="00100C26">
        <w:tc>
          <w:tcPr>
            <w:tcW w:w="5000" w:type="pct"/>
            <w:gridSpan w:val="7"/>
            <w:shd w:val="clear" w:color="auto" w:fill="auto"/>
            <w:vAlign w:val="center"/>
          </w:tcPr>
          <w:p w14:paraId="495B190F" w14:textId="6576952D" w:rsidR="00100C26" w:rsidRPr="00B1286B" w:rsidRDefault="00B1286B" w:rsidP="00100C26">
            <w:pPr>
              <w:pStyle w:val="TableText"/>
              <w:rPr>
                <w:b/>
                <w:bCs w:val="0"/>
              </w:rPr>
            </w:pPr>
            <w:r>
              <w:rPr>
                <w:b/>
                <w:bCs w:val="0"/>
              </w:rPr>
              <w:t>Net financial implications</w:t>
            </w:r>
          </w:p>
        </w:tc>
      </w:tr>
      <w:tr w:rsidR="00E749E7" w:rsidRPr="00E749E7" w14:paraId="093EB169" w14:textId="77777777" w:rsidTr="003406B4">
        <w:tc>
          <w:tcPr>
            <w:tcW w:w="1574" w:type="pct"/>
            <w:shd w:val="clear" w:color="auto" w:fill="auto"/>
            <w:vAlign w:val="center"/>
          </w:tcPr>
          <w:p w14:paraId="3D4D1998" w14:textId="792C2094" w:rsidR="00E749E7" w:rsidRPr="00E749E7" w:rsidRDefault="00E749E7" w:rsidP="00E749E7">
            <w:pPr>
              <w:pStyle w:val="TableText"/>
            </w:pPr>
            <w:r w:rsidRPr="00E749E7">
              <w:t xml:space="preserve">Net PBS/RPBS cost </w:t>
            </w:r>
          </w:p>
        </w:tc>
        <w:tc>
          <w:tcPr>
            <w:tcW w:w="569" w:type="pct"/>
            <w:shd w:val="clear" w:color="auto" w:fill="auto"/>
          </w:tcPr>
          <w:p w14:paraId="51DBA739" w14:textId="0A0EA710" w:rsidR="00E749E7" w:rsidRPr="00E749E7" w:rsidRDefault="00E749E7" w:rsidP="00E749E7">
            <w:pPr>
              <w:pStyle w:val="TableText"/>
              <w:jc w:val="center"/>
            </w:pPr>
            <w:r w:rsidRPr="00E749E7">
              <w:t>$</w:t>
            </w:r>
            <w:r w:rsidR="009A7DC1" w:rsidRPr="009A7DC1">
              <w:rPr>
                <w:color w:val="000000"/>
                <w:spacing w:val="76"/>
                <w:shd w:val="solid" w:color="000000" w:fill="000000"/>
                <w:fitText w:val="162" w:id="-1435316722"/>
                <w14:textFill>
                  <w14:solidFill>
                    <w14:srgbClr w14:val="000000">
                      <w14:alpha w14:val="100000"/>
                    </w14:srgbClr>
                  </w14:solidFill>
                </w14:textFill>
              </w:rPr>
              <w:t>|</w:t>
            </w:r>
            <w:r w:rsidR="009A7DC1" w:rsidRPr="009A7DC1">
              <w:rPr>
                <w:color w:val="000000"/>
                <w:spacing w:val="1"/>
                <w:shd w:val="solid" w:color="000000" w:fill="000000"/>
                <w:fitText w:val="162" w:id="-1435316722"/>
                <w14:textFill>
                  <w14:solidFill>
                    <w14:srgbClr w14:val="000000">
                      <w14:alpha w14:val="100000"/>
                    </w14:srgbClr>
                  </w14:solidFill>
                </w14:textFill>
              </w:rPr>
              <w:t>|</w:t>
            </w:r>
            <w:r w:rsidR="00540BA2">
              <w:rPr>
                <w:vertAlign w:val="superscript"/>
              </w:rPr>
              <w:t>13</w:t>
            </w:r>
          </w:p>
        </w:tc>
        <w:tc>
          <w:tcPr>
            <w:tcW w:w="571" w:type="pct"/>
            <w:shd w:val="clear" w:color="auto" w:fill="auto"/>
          </w:tcPr>
          <w:p w14:paraId="72AB08BA" w14:textId="69B882A0" w:rsidR="00E749E7" w:rsidRPr="00E749E7" w:rsidRDefault="00E749E7" w:rsidP="00E749E7">
            <w:pPr>
              <w:pStyle w:val="TableText"/>
              <w:jc w:val="center"/>
            </w:pPr>
            <w:r w:rsidRPr="00E749E7">
              <w:t>$</w:t>
            </w:r>
            <w:r w:rsidR="009A7DC1" w:rsidRPr="009A7DC1">
              <w:rPr>
                <w:color w:val="000000"/>
                <w:spacing w:val="77"/>
                <w:shd w:val="solid" w:color="000000" w:fill="000000"/>
                <w:fitText w:val="163" w:id="-1435316721"/>
                <w14:textFill>
                  <w14:solidFill>
                    <w14:srgbClr w14:val="000000">
                      <w14:alpha w14:val="100000"/>
                    </w14:srgbClr>
                  </w14:solidFill>
                </w14:textFill>
              </w:rPr>
              <w:t>|</w:t>
            </w:r>
            <w:r w:rsidR="009A7DC1" w:rsidRPr="009A7DC1">
              <w:rPr>
                <w:color w:val="000000"/>
                <w:spacing w:val="1"/>
                <w:shd w:val="solid" w:color="000000" w:fill="000000"/>
                <w:fitText w:val="163" w:id="-1435316721"/>
                <w14:textFill>
                  <w14:solidFill>
                    <w14:srgbClr w14:val="000000">
                      <w14:alpha w14:val="100000"/>
                    </w14:srgbClr>
                  </w14:solidFill>
                </w14:textFill>
              </w:rPr>
              <w:t>|</w:t>
            </w:r>
            <w:r w:rsidR="00F84AA0">
              <w:rPr>
                <w:vertAlign w:val="superscript"/>
              </w:rPr>
              <w:t>19</w:t>
            </w:r>
          </w:p>
        </w:tc>
        <w:tc>
          <w:tcPr>
            <w:tcW w:w="571" w:type="pct"/>
            <w:shd w:val="clear" w:color="auto" w:fill="auto"/>
          </w:tcPr>
          <w:p w14:paraId="267AAB4D" w14:textId="76F69C95" w:rsidR="00E749E7" w:rsidRPr="00E749E7" w:rsidRDefault="00E749E7" w:rsidP="00E749E7">
            <w:pPr>
              <w:pStyle w:val="TableText"/>
              <w:jc w:val="center"/>
            </w:pPr>
            <w:r w:rsidRPr="00E749E7">
              <w:t>$</w:t>
            </w:r>
            <w:r w:rsidR="009A7DC1" w:rsidRPr="009A7DC1">
              <w:rPr>
                <w:color w:val="000000"/>
                <w:spacing w:val="77"/>
                <w:shd w:val="solid" w:color="000000" w:fill="000000"/>
                <w:fitText w:val="163" w:id="-1435316720"/>
                <w14:textFill>
                  <w14:solidFill>
                    <w14:srgbClr w14:val="000000">
                      <w14:alpha w14:val="100000"/>
                    </w14:srgbClr>
                  </w14:solidFill>
                </w14:textFill>
              </w:rPr>
              <w:t>|</w:t>
            </w:r>
            <w:r w:rsidR="009A7DC1" w:rsidRPr="009A7DC1">
              <w:rPr>
                <w:color w:val="000000"/>
                <w:spacing w:val="1"/>
                <w:shd w:val="solid" w:color="000000" w:fill="000000"/>
                <w:fitText w:val="163" w:id="-1435316720"/>
                <w14:textFill>
                  <w14:solidFill>
                    <w14:srgbClr w14:val="000000">
                      <w14:alpha w14:val="100000"/>
                    </w14:srgbClr>
                  </w14:solidFill>
                </w14:textFill>
              </w:rPr>
              <w:t>|</w:t>
            </w:r>
            <w:r w:rsidR="00F84AA0">
              <w:rPr>
                <w:vertAlign w:val="superscript"/>
              </w:rPr>
              <w:t>19</w:t>
            </w:r>
          </w:p>
        </w:tc>
        <w:tc>
          <w:tcPr>
            <w:tcW w:w="571" w:type="pct"/>
            <w:shd w:val="clear" w:color="auto" w:fill="auto"/>
          </w:tcPr>
          <w:p w14:paraId="4B0A79D2" w14:textId="5587A9C6" w:rsidR="00E749E7" w:rsidRPr="00E749E7" w:rsidRDefault="00E749E7" w:rsidP="00E749E7">
            <w:pPr>
              <w:pStyle w:val="TableText"/>
              <w:jc w:val="center"/>
            </w:pPr>
            <w:r w:rsidRPr="00E749E7">
              <w:t>$</w:t>
            </w:r>
            <w:r w:rsidR="009A7DC1" w:rsidRPr="009A7DC1">
              <w:rPr>
                <w:color w:val="000000"/>
                <w:spacing w:val="77"/>
                <w:shd w:val="solid" w:color="000000" w:fill="000000"/>
                <w:fitText w:val="163" w:id="-1435316736"/>
                <w14:textFill>
                  <w14:solidFill>
                    <w14:srgbClr w14:val="000000">
                      <w14:alpha w14:val="100000"/>
                    </w14:srgbClr>
                  </w14:solidFill>
                </w14:textFill>
              </w:rPr>
              <w:t>|</w:t>
            </w:r>
            <w:r w:rsidR="009A7DC1" w:rsidRPr="009A7DC1">
              <w:rPr>
                <w:color w:val="000000"/>
                <w:spacing w:val="1"/>
                <w:shd w:val="solid" w:color="000000" w:fill="000000"/>
                <w:fitText w:val="163" w:id="-1435316736"/>
                <w14:textFill>
                  <w14:solidFill>
                    <w14:srgbClr w14:val="000000">
                      <w14:alpha w14:val="100000"/>
                    </w14:srgbClr>
                  </w14:solidFill>
                </w14:textFill>
              </w:rPr>
              <w:t>|</w:t>
            </w:r>
            <w:r w:rsidR="00F84AA0">
              <w:rPr>
                <w:vertAlign w:val="superscript"/>
              </w:rPr>
              <w:t>20</w:t>
            </w:r>
          </w:p>
        </w:tc>
        <w:tc>
          <w:tcPr>
            <w:tcW w:w="571" w:type="pct"/>
            <w:shd w:val="clear" w:color="auto" w:fill="auto"/>
          </w:tcPr>
          <w:p w14:paraId="6BF046C0" w14:textId="67E2DF84" w:rsidR="00E749E7" w:rsidRPr="00E749E7" w:rsidRDefault="00E749E7" w:rsidP="00E749E7">
            <w:pPr>
              <w:pStyle w:val="TableText"/>
              <w:jc w:val="center"/>
            </w:pPr>
            <w:r w:rsidRPr="00E749E7">
              <w:t>$</w:t>
            </w:r>
            <w:r w:rsidR="009A7DC1" w:rsidRPr="009A7DC1">
              <w:rPr>
                <w:color w:val="000000"/>
                <w:spacing w:val="77"/>
                <w:shd w:val="solid" w:color="000000" w:fill="000000"/>
                <w:fitText w:val="163" w:id="-1435316735"/>
                <w14:textFill>
                  <w14:solidFill>
                    <w14:srgbClr w14:val="000000">
                      <w14:alpha w14:val="100000"/>
                    </w14:srgbClr>
                  </w14:solidFill>
                </w14:textFill>
              </w:rPr>
              <w:t>|</w:t>
            </w:r>
            <w:r w:rsidR="009A7DC1" w:rsidRPr="009A7DC1">
              <w:rPr>
                <w:color w:val="000000"/>
                <w:spacing w:val="1"/>
                <w:shd w:val="solid" w:color="000000" w:fill="000000"/>
                <w:fitText w:val="163" w:id="-1435316735"/>
                <w14:textFill>
                  <w14:solidFill>
                    <w14:srgbClr w14:val="000000">
                      <w14:alpha w14:val="100000"/>
                    </w14:srgbClr>
                  </w14:solidFill>
                </w14:textFill>
              </w:rPr>
              <w:t>|</w:t>
            </w:r>
            <w:r w:rsidR="00F84AA0">
              <w:rPr>
                <w:vertAlign w:val="superscript"/>
              </w:rPr>
              <w:t>20</w:t>
            </w:r>
          </w:p>
        </w:tc>
        <w:tc>
          <w:tcPr>
            <w:tcW w:w="573" w:type="pct"/>
            <w:shd w:val="clear" w:color="auto" w:fill="auto"/>
          </w:tcPr>
          <w:p w14:paraId="7BD72F4E" w14:textId="4E008411" w:rsidR="00E749E7" w:rsidRPr="00E749E7" w:rsidRDefault="00E749E7" w:rsidP="00E749E7">
            <w:pPr>
              <w:pStyle w:val="TableText"/>
              <w:jc w:val="center"/>
            </w:pPr>
            <w:r w:rsidRPr="00E749E7">
              <w:t>$</w:t>
            </w:r>
            <w:r w:rsidR="009A7DC1" w:rsidRPr="009A7DC1">
              <w:rPr>
                <w:color w:val="000000"/>
                <w:spacing w:val="77"/>
                <w:shd w:val="solid" w:color="000000" w:fill="000000"/>
                <w:fitText w:val="163" w:id="-1435316734"/>
                <w14:textFill>
                  <w14:solidFill>
                    <w14:srgbClr w14:val="000000">
                      <w14:alpha w14:val="100000"/>
                    </w14:srgbClr>
                  </w14:solidFill>
                </w14:textFill>
              </w:rPr>
              <w:t>|</w:t>
            </w:r>
            <w:r w:rsidR="009A7DC1" w:rsidRPr="009A7DC1">
              <w:rPr>
                <w:color w:val="000000"/>
                <w:spacing w:val="1"/>
                <w:shd w:val="solid" w:color="000000" w:fill="000000"/>
                <w:fitText w:val="163" w:id="-1435316734"/>
                <w14:textFill>
                  <w14:solidFill>
                    <w14:srgbClr w14:val="000000">
                      <w14:alpha w14:val="100000"/>
                    </w14:srgbClr>
                  </w14:solidFill>
                </w14:textFill>
              </w:rPr>
              <w:t>|</w:t>
            </w:r>
            <w:r w:rsidR="00F84AA0">
              <w:rPr>
                <w:vertAlign w:val="superscript"/>
              </w:rPr>
              <w:t>20</w:t>
            </w:r>
          </w:p>
        </w:tc>
      </w:tr>
      <w:tr w:rsidR="003E72DA" w:rsidRPr="003455D2" w14:paraId="74D59B27" w14:textId="77777777" w:rsidTr="009E5A41">
        <w:tc>
          <w:tcPr>
            <w:tcW w:w="1574" w:type="pct"/>
            <w:shd w:val="clear" w:color="auto" w:fill="auto"/>
            <w:vAlign w:val="center"/>
          </w:tcPr>
          <w:p w14:paraId="19D67F37" w14:textId="6304D146" w:rsidR="003E72DA" w:rsidRPr="009C2793" w:rsidRDefault="003E72DA" w:rsidP="003E72DA">
            <w:pPr>
              <w:pStyle w:val="TableText"/>
            </w:pPr>
            <w:r>
              <w:t xml:space="preserve">MBS costs due to increased cardiovascular monitoring </w:t>
            </w:r>
            <w:r w:rsidR="009C2793">
              <w:rPr>
                <w:vertAlign w:val="superscript"/>
              </w:rPr>
              <w:t>b</w:t>
            </w:r>
          </w:p>
        </w:tc>
        <w:tc>
          <w:tcPr>
            <w:tcW w:w="569" w:type="pct"/>
            <w:shd w:val="clear" w:color="auto" w:fill="auto"/>
            <w:vAlign w:val="center"/>
          </w:tcPr>
          <w:p w14:paraId="54DB2D55" w14:textId="01CF714B" w:rsidR="003E72DA" w:rsidRPr="00744D24" w:rsidRDefault="003E72DA" w:rsidP="009E5A41">
            <w:pPr>
              <w:pStyle w:val="TableText"/>
              <w:jc w:val="center"/>
              <w:rPr>
                <w:b/>
                <w:bCs w:val="0"/>
              </w:rPr>
            </w:pPr>
            <w:r w:rsidRPr="00726E0E">
              <w:t>$</w:t>
            </w:r>
            <w:r w:rsidR="009A7DC1" w:rsidRPr="009A7DC1">
              <w:rPr>
                <w:color w:val="000000"/>
                <w:spacing w:val="76"/>
                <w:shd w:val="solid" w:color="000000" w:fill="000000"/>
                <w:fitText w:val="162" w:id="-1435316733"/>
                <w14:textFill>
                  <w14:solidFill>
                    <w14:srgbClr w14:val="000000">
                      <w14:alpha w14:val="100000"/>
                    </w14:srgbClr>
                  </w14:solidFill>
                </w14:textFill>
              </w:rPr>
              <w:t>|</w:t>
            </w:r>
            <w:r w:rsidR="009A7DC1" w:rsidRPr="009A7DC1">
              <w:rPr>
                <w:color w:val="000000"/>
                <w:spacing w:val="1"/>
                <w:shd w:val="solid" w:color="000000" w:fill="000000"/>
                <w:fitText w:val="162" w:id="-1435316733"/>
                <w14:textFill>
                  <w14:solidFill>
                    <w14:srgbClr w14:val="000000">
                      <w14:alpha w14:val="100000"/>
                    </w14:srgbClr>
                  </w14:solidFill>
                </w14:textFill>
              </w:rPr>
              <w:t>|</w:t>
            </w:r>
            <w:r w:rsidR="00540BA2">
              <w:rPr>
                <w:vertAlign w:val="superscript"/>
              </w:rPr>
              <w:t>15</w:t>
            </w:r>
          </w:p>
        </w:tc>
        <w:tc>
          <w:tcPr>
            <w:tcW w:w="571" w:type="pct"/>
            <w:shd w:val="clear" w:color="auto" w:fill="auto"/>
            <w:vAlign w:val="center"/>
          </w:tcPr>
          <w:p w14:paraId="7766F33D" w14:textId="09DA37FD" w:rsidR="003E72DA" w:rsidRPr="00744D24" w:rsidRDefault="003E72DA" w:rsidP="009E5A41">
            <w:pPr>
              <w:pStyle w:val="TableText"/>
              <w:jc w:val="center"/>
              <w:rPr>
                <w:b/>
                <w:bCs w:val="0"/>
              </w:rPr>
            </w:pPr>
            <w:r w:rsidRPr="00726E0E">
              <w:t>$</w:t>
            </w:r>
            <w:r w:rsidR="009A7DC1" w:rsidRPr="009A7DC1">
              <w:rPr>
                <w:color w:val="000000"/>
                <w:spacing w:val="77"/>
                <w:shd w:val="solid" w:color="000000" w:fill="000000"/>
                <w:fitText w:val="163" w:id="-1435316732"/>
                <w14:textFill>
                  <w14:solidFill>
                    <w14:srgbClr w14:val="000000">
                      <w14:alpha w14:val="100000"/>
                    </w14:srgbClr>
                  </w14:solidFill>
                </w14:textFill>
              </w:rPr>
              <w:t>|</w:t>
            </w:r>
            <w:r w:rsidR="009A7DC1" w:rsidRPr="009A7DC1">
              <w:rPr>
                <w:color w:val="000000"/>
                <w:spacing w:val="1"/>
                <w:shd w:val="solid" w:color="000000" w:fill="000000"/>
                <w:fitText w:val="163" w:id="-1435316732"/>
                <w14:textFill>
                  <w14:solidFill>
                    <w14:srgbClr w14:val="000000">
                      <w14:alpha w14:val="100000"/>
                    </w14:srgbClr>
                  </w14:solidFill>
                </w14:textFill>
              </w:rPr>
              <w:t>|</w:t>
            </w:r>
            <w:r w:rsidR="00540BA2">
              <w:rPr>
                <w:vertAlign w:val="superscript"/>
              </w:rPr>
              <w:t>15</w:t>
            </w:r>
          </w:p>
        </w:tc>
        <w:tc>
          <w:tcPr>
            <w:tcW w:w="571" w:type="pct"/>
            <w:shd w:val="clear" w:color="auto" w:fill="auto"/>
            <w:vAlign w:val="center"/>
          </w:tcPr>
          <w:p w14:paraId="438E5170" w14:textId="7107DF4C" w:rsidR="003E72DA" w:rsidRPr="00744D24" w:rsidRDefault="003E72DA" w:rsidP="009E5A41">
            <w:pPr>
              <w:pStyle w:val="TableText"/>
              <w:jc w:val="center"/>
              <w:rPr>
                <w:b/>
                <w:bCs w:val="0"/>
              </w:rPr>
            </w:pPr>
            <w:r w:rsidRPr="00726E0E">
              <w:t>$</w:t>
            </w:r>
            <w:r w:rsidR="009A7DC1" w:rsidRPr="009A7DC1">
              <w:rPr>
                <w:color w:val="000000"/>
                <w:spacing w:val="77"/>
                <w:shd w:val="solid" w:color="000000" w:fill="000000"/>
                <w:fitText w:val="163" w:id="-1435316731"/>
                <w14:textFill>
                  <w14:solidFill>
                    <w14:srgbClr w14:val="000000">
                      <w14:alpha w14:val="100000"/>
                    </w14:srgbClr>
                  </w14:solidFill>
                </w14:textFill>
              </w:rPr>
              <w:t>|</w:t>
            </w:r>
            <w:r w:rsidR="009A7DC1" w:rsidRPr="009A7DC1">
              <w:rPr>
                <w:color w:val="000000"/>
                <w:spacing w:val="1"/>
                <w:shd w:val="solid" w:color="000000" w:fill="000000"/>
                <w:fitText w:val="163" w:id="-1435316731"/>
                <w14:textFill>
                  <w14:solidFill>
                    <w14:srgbClr w14:val="000000">
                      <w14:alpha w14:val="100000"/>
                    </w14:srgbClr>
                  </w14:solidFill>
                </w14:textFill>
              </w:rPr>
              <w:t>|</w:t>
            </w:r>
            <w:r w:rsidR="00540BA2">
              <w:rPr>
                <w:vertAlign w:val="superscript"/>
              </w:rPr>
              <w:t>15</w:t>
            </w:r>
          </w:p>
        </w:tc>
        <w:tc>
          <w:tcPr>
            <w:tcW w:w="571" w:type="pct"/>
            <w:shd w:val="clear" w:color="auto" w:fill="auto"/>
            <w:vAlign w:val="center"/>
          </w:tcPr>
          <w:p w14:paraId="45D70D47" w14:textId="753A160D" w:rsidR="003E72DA" w:rsidRPr="00744D24" w:rsidRDefault="003E72DA" w:rsidP="009E5A41">
            <w:pPr>
              <w:pStyle w:val="TableText"/>
              <w:jc w:val="center"/>
              <w:rPr>
                <w:b/>
                <w:bCs w:val="0"/>
              </w:rPr>
            </w:pPr>
            <w:r w:rsidRPr="00726E0E">
              <w:t>$</w:t>
            </w:r>
            <w:r w:rsidR="009A7DC1" w:rsidRPr="009A7DC1">
              <w:rPr>
                <w:color w:val="000000"/>
                <w:spacing w:val="77"/>
                <w:shd w:val="solid" w:color="000000" w:fill="000000"/>
                <w:fitText w:val="163" w:id="-1435316730"/>
                <w14:textFill>
                  <w14:solidFill>
                    <w14:srgbClr w14:val="000000">
                      <w14:alpha w14:val="100000"/>
                    </w14:srgbClr>
                  </w14:solidFill>
                </w14:textFill>
              </w:rPr>
              <w:t>|</w:t>
            </w:r>
            <w:r w:rsidR="009A7DC1" w:rsidRPr="009A7DC1">
              <w:rPr>
                <w:color w:val="000000"/>
                <w:spacing w:val="1"/>
                <w:shd w:val="solid" w:color="000000" w:fill="000000"/>
                <w:fitText w:val="163" w:id="-1435316730"/>
                <w14:textFill>
                  <w14:solidFill>
                    <w14:srgbClr w14:val="000000">
                      <w14:alpha w14:val="100000"/>
                    </w14:srgbClr>
                  </w14:solidFill>
                </w14:textFill>
              </w:rPr>
              <w:t>|</w:t>
            </w:r>
            <w:r w:rsidR="00540BA2">
              <w:rPr>
                <w:vertAlign w:val="superscript"/>
              </w:rPr>
              <w:t>15</w:t>
            </w:r>
          </w:p>
        </w:tc>
        <w:tc>
          <w:tcPr>
            <w:tcW w:w="571" w:type="pct"/>
            <w:shd w:val="clear" w:color="auto" w:fill="auto"/>
            <w:vAlign w:val="center"/>
          </w:tcPr>
          <w:p w14:paraId="66254398" w14:textId="5AFECFC0" w:rsidR="003E72DA" w:rsidRPr="00744D24" w:rsidRDefault="003E72DA" w:rsidP="009E5A41">
            <w:pPr>
              <w:pStyle w:val="TableText"/>
              <w:jc w:val="center"/>
              <w:rPr>
                <w:b/>
                <w:bCs w:val="0"/>
              </w:rPr>
            </w:pPr>
            <w:r w:rsidRPr="00726E0E">
              <w:t>$</w:t>
            </w:r>
            <w:r w:rsidR="009A7DC1" w:rsidRPr="009A7DC1">
              <w:rPr>
                <w:color w:val="000000"/>
                <w:spacing w:val="77"/>
                <w:shd w:val="solid" w:color="000000" w:fill="000000"/>
                <w:fitText w:val="163" w:id="-1435316729"/>
                <w14:textFill>
                  <w14:solidFill>
                    <w14:srgbClr w14:val="000000">
                      <w14:alpha w14:val="100000"/>
                    </w14:srgbClr>
                  </w14:solidFill>
                </w14:textFill>
              </w:rPr>
              <w:t>|</w:t>
            </w:r>
            <w:r w:rsidR="009A7DC1" w:rsidRPr="009A7DC1">
              <w:rPr>
                <w:color w:val="000000"/>
                <w:spacing w:val="1"/>
                <w:shd w:val="solid" w:color="000000" w:fill="000000"/>
                <w:fitText w:val="163" w:id="-1435316729"/>
                <w14:textFill>
                  <w14:solidFill>
                    <w14:srgbClr w14:val="000000">
                      <w14:alpha w14:val="100000"/>
                    </w14:srgbClr>
                  </w14:solidFill>
                </w14:textFill>
              </w:rPr>
              <w:t>|</w:t>
            </w:r>
            <w:r w:rsidR="00540BA2">
              <w:rPr>
                <w:vertAlign w:val="superscript"/>
              </w:rPr>
              <w:t>15</w:t>
            </w:r>
          </w:p>
        </w:tc>
        <w:tc>
          <w:tcPr>
            <w:tcW w:w="573" w:type="pct"/>
            <w:shd w:val="clear" w:color="auto" w:fill="auto"/>
            <w:vAlign w:val="center"/>
          </w:tcPr>
          <w:p w14:paraId="3E9F0027" w14:textId="6A54B345" w:rsidR="003E72DA" w:rsidRPr="00744D24" w:rsidRDefault="003E72DA" w:rsidP="009E5A41">
            <w:pPr>
              <w:pStyle w:val="TableText"/>
              <w:jc w:val="center"/>
              <w:rPr>
                <w:b/>
                <w:bCs w:val="0"/>
              </w:rPr>
            </w:pPr>
            <w:r w:rsidRPr="00726E0E">
              <w:t>$</w:t>
            </w:r>
            <w:r w:rsidR="009A7DC1" w:rsidRPr="009A7DC1">
              <w:rPr>
                <w:color w:val="000000"/>
                <w:spacing w:val="77"/>
                <w:shd w:val="solid" w:color="000000" w:fill="000000"/>
                <w:fitText w:val="163" w:id="-1435316728"/>
                <w14:textFill>
                  <w14:solidFill>
                    <w14:srgbClr w14:val="000000">
                      <w14:alpha w14:val="100000"/>
                    </w14:srgbClr>
                  </w14:solidFill>
                </w14:textFill>
              </w:rPr>
              <w:t>|</w:t>
            </w:r>
            <w:r w:rsidR="009A7DC1" w:rsidRPr="009A7DC1">
              <w:rPr>
                <w:color w:val="000000"/>
                <w:spacing w:val="1"/>
                <w:shd w:val="solid" w:color="000000" w:fill="000000"/>
                <w:fitText w:val="163" w:id="-1435316728"/>
                <w14:textFill>
                  <w14:solidFill>
                    <w14:srgbClr w14:val="000000">
                      <w14:alpha w14:val="100000"/>
                    </w14:srgbClr>
                  </w14:solidFill>
                </w14:textFill>
              </w:rPr>
              <w:t>|</w:t>
            </w:r>
            <w:r w:rsidR="00540BA2">
              <w:rPr>
                <w:vertAlign w:val="superscript"/>
              </w:rPr>
              <w:t>15</w:t>
            </w:r>
          </w:p>
        </w:tc>
      </w:tr>
      <w:tr w:rsidR="003E72DA" w:rsidRPr="003E72DA" w14:paraId="56B46E93" w14:textId="77777777" w:rsidTr="003406B4">
        <w:tc>
          <w:tcPr>
            <w:tcW w:w="1574" w:type="pct"/>
            <w:shd w:val="clear" w:color="auto" w:fill="auto"/>
            <w:vAlign w:val="center"/>
          </w:tcPr>
          <w:p w14:paraId="3BAE82CB" w14:textId="3B0349D4" w:rsidR="003E72DA" w:rsidRPr="003E72DA" w:rsidRDefault="003E72DA" w:rsidP="003E72DA">
            <w:pPr>
              <w:pStyle w:val="TableText"/>
            </w:pPr>
            <w:r w:rsidRPr="003E72DA">
              <w:t>Net cost to Government</w:t>
            </w:r>
          </w:p>
        </w:tc>
        <w:tc>
          <w:tcPr>
            <w:tcW w:w="569" w:type="pct"/>
            <w:shd w:val="clear" w:color="auto" w:fill="auto"/>
          </w:tcPr>
          <w:p w14:paraId="30DC87AE" w14:textId="61943BCF" w:rsidR="003E72DA" w:rsidRPr="003E72DA" w:rsidRDefault="003E72DA" w:rsidP="003E72DA">
            <w:pPr>
              <w:pStyle w:val="TableText"/>
              <w:jc w:val="center"/>
            </w:pPr>
            <w:r w:rsidRPr="00CD278A">
              <w:t>$</w:t>
            </w:r>
            <w:r w:rsidR="009A7DC1" w:rsidRPr="009A7DC1">
              <w:rPr>
                <w:color w:val="000000"/>
                <w:spacing w:val="76"/>
                <w:shd w:val="solid" w:color="000000" w:fill="000000"/>
                <w:fitText w:val="162" w:id="-1435316727"/>
                <w14:textFill>
                  <w14:solidFill>
                    <w14:srgbClr w14:val="000000">
                      <w14:alpha w14:val="100000"/>
                    </w14:srgbClr>
                  </w14:solidFill>
                </w14:textFill>
              </w:rPr>
              <w:t>|</w:t>
            </w:r>
            <w:r w:rsidR="009A7DC1" w:rsidRPr="009A7DC1">
              <w:rPr>
                <w:color w:val="000000"/>
                <w:spacing w:val="1"/>
                <w:shd w:val="solid" w:color="000000" w:fill="000000"/>
                <w:fitText w:val="162" w:id="-1435316727"/>
                <w14:textFill>
                  <w14:solidFill>
                    <w14:srgbClr w14:val="000000">
                      <w14:alpha w14:val="100000"/>
                    </w14:srgbClr>
                  </w14:solidFill>
                </w14:textFill>
              </w:rPr>
              <w:t>|</w:t>
            </w:r>
            <w:r w:rsidR="00540BA2">
              <w:rPr>
                <w:vertAlign w:val="superscript"/>
              </w:rPr>
              <w:t>13</w:t>
            </w:r>
          </w:p>
        </w:tc>
        <w:tc>
          <w:tcPr>
            <w:tcW w:w="571" w:type="pct"/>
            <w:shd w:val="clear" w:color="auto" w:fill="auto"/>
          </w:tcPr>
          <w:p w14:paraId="174DE133" w14:textId="2E8F9CA7" w:rsidR="003E72DA" w:rsidRPr="003E72DA" w:rsidRDefault="003E72DA" w:rsidP="003E72DA">
            <w:pPr>
              <w:pStyle w:val="TableText"/>
              <w:jc w:val="center"/>
            </w:pPr>
            <w:r w:rsidRPr="00CD278A">
              <w:t>$</w:t>
            </w:r>
            <w:r w:rsidR="009A7DC1" w:rsidRPr="009A7DC1">
              <w:rPr>
                <w:color w:val="000000"/>
                <w:spacing w:val="77"/>
                <w:shd w:val="solid" w:color="000000" w:fill="000000"/>
                <w:fitText w:val="163" w:id="-1435316726"/>
                <w14:textFill>
                  <w14:solidFill>
                    <w14:srgbClr w14:val="000000">
                      <w14:alpha w14:val="100000"/>
                    </w14:srgbClr>
                  </w14:solidFill>
                </w14:textFill>
              </w:rPr>
              <w:t>|</w:t>
            </w:r>
            <w:r w:rsidR="009A7DC1" w:rsidRPr="009A7DC1">
              <w:rPr>
                <w:color w:val="000000"/>
                <w:spacing w:val="1"/>
                <w:shd w:val="solid" w:color="000000" w:fill="000000"/>
                <w:fitText w:val="163" w:id="-1435316726"/>
                <w14:textFill>
                  <w14:solidFill>
                    <w14:srgbClr w14:val="000000">
                      <w14:alpha w14:val="100000"/>
                    </w14:srgbClr>
                  </w14:solidFill>
                </w14:textFill>
              </w:rPr>
              <w:t>|</w:t>
            </w:r>
            <w:r w:rsidR="00F84AA0">
              <w:rPr>
                <w:vertAlign w:val="superscript"/>
              </w:rPr>
              <w:t>19</w:t>
            </w:r>
          </w:p>
        </w:tc>
        <w:tc>
          <w:tcPr>
            <w:tcW w:w="571" w:type="pct"/>
            <w:shd w:val="clear" w:color="auto" w:fill="auto"/>
          </w:tcPr>
          <w:p w14:paraId="21C523D7" w14:textId="03B6F130" w:rsidR="003E72DA" w:rsidRPr="003E72DA" w:rsidRDefault="003E72DA" w:rsidP="003E72DA">
            <w:pPr>
              <w:pStyle w:val="TableText"/>
              <w:jc w:val="center"/>
            </w:pPr>
            <w:r w:rsidRPr="00CD278A">
              <w:t>$</w:t>
            </w:r>
            <w:r w:rsidR="009A7DC1" w:rsidRPr="009A7DC1">
              <w:rPr>
                <w:color w:val="000000"/>
                <w:spacing w:val="77"/>
                <w:shd w:val="solid" w:color="000000" w:fill="000000"/>
                <w:fitText w:val="163" w:id="-1435316725"/>
                <w14:textFill>
                  <w14:solidFill>
                    <w14:srgbClr w14:val="000000">
                      <w14:alpha w14:val="100000"/>
                    </w14:srgbClr>
                  </w14:solidFill>
                </w14:textFill>
              </w:rPr>
              <w:t>|</w:t>
            </w:r>
            <w:r w:rsidR="009A7DC1" w:rsidRPr="009A7DC1">
              <w:rPr>
                <w:color w:val="000000"/>
                <w:spacing w:val="1"/>
                <w:shd w:val="solid" w:color="000000" w:fill="000000"/>
                <w:fitText w:val="163" w:id="-1435316725"/>
                <w14:textFill>
                  <w14:solidFill>
                    <w14:srgbClr w14:val="000000">
                      <w14:alpha w14:val="100000"/>
                    </w14:srgbClr>
                  </w14:solidFill>
                </w14:textFill>
              </w:rPr>
              <w:t>|</w:t>
            </w:r>
            <w:r w:rsidR="00F84AA0">
              <w:rPr>
                <w:vertAlign w:val="superscript"/>
              </w:rPr>
              <w:t>20</w:t>
            </w:r>
          </w:p>
        </w:tc>
        <w:tc>
          <w:tcPr>
            <w:tcW w:w="571" w:type="pct"/>
            <w:shd w:val="clear" w:color="auto" w:fill="auto"/>
          </w:tcPr>
          <w:p w14:paraId="22FCBF6E" w14:textId="7D81EADC" w:rsidR="003E72DA" w:rsidRPr="003E72DA" w:rsidRDefault="003E72DA" w:rsidP="003E72DA">
            <w:pPr>
              <w:pStyle w:val="TableText"/>
              <w:jc w:val="center"/>
            </w:pPr>
            <w:r w:rsidRPr="00CD278A">
              <w:t>$</w:t>
            </w:r>
            <w:r w:rsidR="009A7DC1" w:rsidRPr="009A7DC1">
              <w:rPr>
                <w:color w:val="000000"/>
                <w:spacing w:val="77"/>
                <w:shd w:val="solid" w:color="000000" w:fill="000000"/>
                <w:fitText w:val="163" w:id="-1435316724"/>
                <w14:textFill>
                  <w14:solidFill>
                    <w14:srgbClr w14:val="000000">
                      <w14:alpha w14:val="100000"/>
                    </w14:srgbClr>
                  </w14:solidFill>
                </w14:textFill>
              </w:rPr>
              <w:t>|</w:t>
            </w:r>
            <w:r w:rsidR="009A7DC1" w:rsidRPr="009A7DC1">
              <w:rPr>
                <w:color w:val="000000"/>
                <w:spacing w:val="1"/>
                <w:shd w:val="solid" w:color="000000" w:fill="000000"/>
                <w:fitText w:val="163" w:id="-1435316724"/>
                <w14:textFill>
                  <w14:solidFill>
                    <w14:srgbClr w14:val="000000">
                      <w14:alpha w14:val="100000"/>
                    </w14:srgbClr>
                  </w14:solidFill>
                </w14:textFill>
              </w:rPr>
              <w:t>|</w:t>
            </w:r>
            <w:r w:rsidR="00F84AA0">
              <w:rPr>
                <w:vertAlign w:val="superscript"/>
              </w:rPr>
              <w:t>20</w:t>
            </w:r>
          </w:p>
        </w:tc>
        <w:tc>
          <w:tcPr>
            <w:tcW w:w="571" w:type="pct"/>
            <w:shd w:val="clear" w:color="auto" w:fill="auto"/>
          </w:tcPr>
          <w:p w14:paraId="5548AE02" w14:textId="6C5F0A05" w:rsidR="003E72DA" w:rsidRPr="003E72DA" w:rsidRDefault="003E72DA" w:rsidP="003E72DA">
            <w:pPr>
              <w:pStyle w:val="TableText"/>
              <w:jc w:val="center"/>
            </w:pPr>
            <w:r w:rsidRPr="00CD278A">
              <w:t>$</w:t>
            </w:r>
            <w:r w:rsidR="009A7DC1" w:rsidRPr="009A7DC1">
              <w:rPr>
                <w:color w:val="000000"/>
                <w:spacing w:val="77"/>
                <w:shd w:val="solid" w:color="000000" w:fill="000000"/>
                <w:fitText w:val="163" w:id="-1435316723"/>
                <w14:textFill>
                  <w14:solidFill>
                    <w14:srgbClr w14:val="000000">
                      <w14:alpha w14:val="100000"/>
                    </w14:srgbClr>
                  </w14:solidFill>
                </w14:textFill>
              </w:rPr>
              <w:t>|</w:t>
            </w:r>
            <w:r w:rsidR="009A7DC1" w:rsidRPr="009A7DC1">
              <w:rPr>
                <w:color w:val="000000"/>
                <w:spacing w:val="1"/>
                <w:shd w:val="solid" w:color="000000" w:fill="000000"/>
                <w:fitText w:val="163" w:id="-1435316723"/>
                <w14:textFill>
                  <w14:solidFill>
                    <w14:srgbClr w14:val="000000">
                      <w14:alpha w14:val="100000"/>
                    </w14:srgbClr>
                  </w14:solidFill>
                </w14:textFill>
              </w:rPr>
              <w:t>|</w:t>
            </w:r>
            <w:r w:rsidR="00F84AA0">
              <w:rPr>
                <w:vertAlign w:val="superscript"/>
              </w:rPr>
              <w:t>20</w:t>
            </w:r>
          </w:p>
        </w:tc>
        <w:tc>
          <w:tcPr>
            <w:tcW w:w="573" w:type="pct"/>
            <w:shd w:val="clear" w:color="auto" w:fill="auto"/>
          </w:tcPr>
          <w:p w14:paraId="604874C4" w14:textId="20868B22" w:rsidR="003E72DA" w:rsidRPr="003E72DA" w:rsidRDefault="003E72DA" w:rsidP="003E72DA">
            <w:pPr>
              <w:pStyle w:val="TableText"/>
              <w:jc w:val="center"/>
            </w:pPr>
            <w:r w:rsidRPr="00CD278A">
              <w:t>$</w:t>
            </w:r>
            <w:r w:rsidR="009A7DC1" w:rsidRPr="009A7DC1">
              <w:rPr>
                <w:color w:val="000000"/>
                <w:spacing w:val="77"/>
                <w:shd w:val="solid" w:color="000000" w:fill="000000"/>
                <w:fitText w:val="163" w:id="-1435316722"/>
                <w14:textFill>
                  <w14:solidFill>
                    <w14:srgbClr w14:val="000000">
                      <w14:alpha w14:val="100000"/>
                    </w14:srgbClr>
                  </w14:solidFill>
                </w14:textFill>
              </w:rPr>
              <w:t>|</w:t>
            </w:r>
            <w:r w:rsidR="009A7DC1" w:rsidRPr="009A7DC1">
              <w:rPr>
                <w:color w:val="000000"/>
                <w:spacing w:val="1"/>
                <w:shd w:val="solid" w:color="000000" w:fill="000000"/>
                <w:fitText w:val="163" w:id="-1435316722"/>
                <w14:textFill>
                  <w14:solidFill>
                    <w14:srgbClr w14:val="000000">
                      <w14:alpha w14:val="100000"/>
                    </w14:srgbClr>
                  </w14:solidFill>
                </w14:textFill>
              </w:rPr>
              <w:t>|</w:t>
            </w:r>
            <w:r w:rsidR="00F84AA0">
              <w:rPr>
                <w:vertAlign w:val="superscript"/>
              </w:rPr>
              <w:t>23</w:t>
            </w:r>
          </w:p>
        </w:tc>
      </w:tr>
    </w:tbl>
    <w:p w14:paraId="588DF1DF" w14:textId="77777777" w:rsidR="00694509" w:rsidRDefault="00694509" w:rsidP="00694509">
      <w:pPr>
        <w:pStyle w:val="TableFooter"/>
      </w:pPr>
      <w:r>
        <w:t>Source: Table 4.2-4, p114; Table 4.2-5, p115; Table 4.2-6, p115 of the resubmission</w:t>
      </w:r>
    </w:p>
    <w:p w14:paraId="2BE326B2" w14:textId="4ED1D823" w:rsidR="00694509" w:rsidRDefault="00694509" w:rsidP="00694509">
      <w:pPr>
        <w:pStyle w:val="TableFooter"/>
      </w:pPr>
      <w:r>
        <w:t>Abbreviation: M, months</w:t>
      </w:r>
    </w:p>
    <w:p w14:paraId="635D9293" w14:textId="40972B97" w:rsidR="009C2793" w:rsidRDefault="009C2793" w:rsidP="00694509">
      <w:pPr>
        <w:pStyle w:val="TableFooter"/>
      </w:pPr>
      <w:r>
        <w:rPr>
          <w:vertAlign w:val="superscript"/>
        </w:rPr>
        <w:t>a</w:t>
      </w:r>
      <w:r>
        <w:t xml:space="preserve"> Based on patients receiving 1</w:t>
      </w:r>
      <w:r w:rsidRPr="009C2793">
        <w:rPr>
          <w:vertAlign w:val="superscript"/>
        </w:rPr>
        <w:t>st</w:t>
      </w:r>
      <w:r>
        <w:t xml:space="preserve"> line romosozumab in the preceding year</w:t>
      </w:r>
    </w:p>
    <w:p w14:paraId="0E4D8370" w14:textId="2A7BDA5C" w:rsidR="003E72DA" w:rsidRDefault="009C2793" w:rsidP="00821887">
      <w:pPr>
        <w:pStyle w:val="TableFooter"/>
        <w:spacing w:after="0"/>
      </w:pPr>
      <w:r w:rsidRPr="009C2793">
        <w:rPr>
          <w:vertAlign w:val="superscript"/>
        </w:rPr>
        <w:t>b</w:t>
      </w:r>
      <w:r w:rsidR="003E72DA">
        <w:t xml:space="preserve"> Includes additional costs due to increased specialist visits, electrocardiography and blood tests</w:t>
      </w:r>
      <w:r w:rsidR="009E5A41">
        <w:t xml:space="preserve"> over 1 year of romosozumab treatment</w:t>
      </w:r>
    </w:p>
    <w:p w14:paraId="55914644" w14:textId="77777777" w:rsidR="00821887" w:rsidRPr="009A6D58" w:rsidRDefault="00821887" w:rsidP="00821887">
      <w:pPr>
        <w:rPr>
          <w:rFonts w:ascii="Arial Narrow" w:hAnsi="Arial Narrow"/>
          <w:i/>
          <w:sz w:val="18"/>
          <w:szCs w:val="18"/>
        </w:rPr>
      </w:pPr>
      <w:r w:rsidRPr="009A6D58">
        <w:rPr>
          <w:rFonts w:ascii="Arial Narrow" w:hAnsi="Arial Narrow"/>
          <w:i/>
          <w:sz w:val="18"/>
          <w:szCs w:val="18"/>
        </w:rPr>
        <w:t xml:space="preserve">The redacted values correspond to the following ranges: </w:t>
      </w:r>
    </w:p>
    <w:p w14:paraId="6AE355BB" w14:textId="77777777" w:rsidR="00540BA2" w:rsidRDefault="00540BA2" w:rsidP="00821887">
      <w:pPr>
        <w:rPr>
          <w:rFonts w:ascii="Arial Narrow" w:hAnsi="Arial Narrow"/>
          <w:i/>
          <w:sz w:val="18"/>
          <w:szCs w:val="18"/>
          <w:vertAlign w:val="superscript"/>
        </w:rPr>
        <w:sectPr w:rsidR="00540BA2" w:rsidSect="00A558B0">
          <w:headerReference w:type="even" r:id="rId13"/>
          <w:headerReference w:type="default" r:id="rId14"/>
          <w:footerReference w:type="even" r:id="rId15"/>
          <w:footerReference w:type="default" r:id="rId16"/>
          <w:headerReference w:type="first" r:id="rId17"/>
          <w:footerReference w:type="first" r:id="rId18"/>
          <w:pgSz w:w="11907" w:h="16840" w:code="9"/>
          <w:pgMar w:top="1440" w:right="1440" w:bottom="1440" w:left="1440" w:header="1440" w:footer="1440" w:gutter="0"/>
          <w:pgNumType w:start="1"/>
          <w:cols w:space="708"/>
          <w:docGrid w:linePitch="360"/>
        </w:sectPr>
      </w:pPr>
    </w:p>
    <w:p w14:paraId="4141826F" w14:textId="710F169C" w:rsidR="00821887" w:rsidRPr="009A6D58" w:rsidRDefault="00821887" w:rsidP="00821887">
      <w:pPr>
        <w:rPr>
          <w:rFonts w:ascii="Arial Narrow" w:hAnsi="Arial Narrow"/>
          <w:i/>
          <w:sz w:val="18"/>
          <w:szCs w:val="18"/>
        </w:rPr>
      </w:pPr>
      <w:r w:rsidRPr="009A6D58">
        <w:rPr>
          <w:rFonts w:ascii="Arial Narrow" w:hAnsi="Arial Narrow"/>
          <w:i/>
          <w:sz w:val="18"/>
          <w:szCs w:val="18"/>
          <w:vertAlign w:val="superscript"/>
        </w:rPr>
        <w:t>1</w:t>
      </w:r>
      <w:r>
        <w:rPr>
          <w:rFonts w:ascii="Arial Narrow" w:hAnsi="Arial Narrow"/>
          <w:i/>
          <w:sz w:val="18"/>
          <w:szCs w:val="18"/>
        </w:rPr>
        <w:t xml:space="preserve"> </w:t>
      </w:r>
      <w:r w:rsidRPr="00821887">
        <w:rPr>
          <w:rFonts w:ascii="Arial Narrow" w:hAnsi="Arial Narrow"/>
          <w:i/>
          <w:sz w:val="18"/>
          <w:szCs w:val="18"/>
        </w:rPr>
        <w:t>600,000 to &lt; 700,000</w:t>
      </w:r>
    </w:p>
    <w:p w14:paraId="0935AD1A" w14:textId="05F23425" w:rsidR="00821887" w:rsidRPr="009A6D58" w:rsidRDefault="00821887" w:rsidP="00821887">
      <w:pPr>
        <w:rPr>
          <w:rFonts w:ascii="Arial Narrow" w:hAnsi="Arial Narrow"/>
          <w:i/>
          <w:sz w:val="18"/>
          <w:szCs w:val="18"/>
        </w:rPr>
      </w:pPr>
      <w:r w:rsidRPr="009A6D58">
        <w:rPr>
          <w:rFonts w:ascii="Arial Narrow" w:hAnsi="Arial Narrow"/>
          <w:i/>
          <w:sz w:val="18"/>
          <w:szCs w:val="18"/>
          <w:vertAlign w:val="superscript"/>
        </w:rPr>
        <w:t>2</w:t>
      </w:r>
      <w:r>
        <w:rPr>
          <w:rFonts w:ascii="Arial Narrow" w:hAnsi="Arial Narrow"/>
          <w:i/>
          <w:sz w:val="18"/>
          <w:szCs w:val="18"/>
        </w:rPr>
        <w:t xml:space="preserve"> </w:t>
      </w:r>
      <w:r w:rsidRPr="00821887">
        <w:rPr>
          <w:rFonts w:ascii="Arial Narrow" w:hAnsi="Arial Narrow"/>
          <w:i/>
          <w:sz w:val="18"/>
          <w:szCs w:val="18"/>
        </w:rPr>
        <w:t>200,000 to &lt; 300,000</w:t>
      </w:r>
    </w:p>
    <w:p w14:paraId="3326C6E2" w14:textId="77777777" w:rsidR="00821887" w:rsidRDefault="00821887" w:rsidP="00821887">
      <w:pPr>
        <w:rPr>
          <w:rFonts w:ascii="Arial Narrow" w:hAnsi="Arial Narrow"/>
          <w:i/>
          <w:sz w:val="18"/>
          <w:szCs w:val="18"/>
        </w:rPr>
      </w:pPr>
      <w:r w:rsidRPr="009A6D58">
        <w:rPr>
          <w:rFonts w:ascii="Arial Narrow" w:hAnsi="Arial Narrow"/>
          <w:i/>
          <w:sz w:val="18"/>
          <w:szCs w:val="18"/>
          <w:vertAlign w:val="superscript"/>
        </w:rPr>
        <w:t>3</w:t>
      </w:r>
      <w:r>
        <w:rPr>
          <w:rFonts w:ascii="Arial Narrow" w:hAnsi="Arial Narrow"/>
          <w:i/>
          <w:sz w:val="18"/>
          <w:szCs w:val="18"/>
        </w:rPr>
        <w:t xml:space="preserve"> </w:t>
      </w:r>
      <w:r w:rsidRPr="00821887">
        <w:rPr>
          <w:rFonts w:ascii="Arial Narrow" w:hAnsi="Arial Narrow"/>
          <w:i/>
          <w:sz w:val="18"/>
          <w:szCs w:val="18"/>
        </w:rPr>
        <w:t>100,000 to &lt; 200,000</w:t>
      </w:r>
    </w:p>
    <w:p w14:paraId="548B8914" w14:textId="27D6DF25" w:rsidR="00821887" w:rsidRDefault="00821887" w:rsidP="00821887">
      <w:pPr>
        <w:rPr>
          <w:rFonts w:ascii="Arial Narrow" w:hAnsi="Arial Narrow"/>
          <w:i/>
          <w:sz w:val="18"/>
          <w:szCs w:val="18"/>
        </w:rPr>
      </w:pPr>
      <w:r>
        <w:rPr>
          <w:rFonts w:ascii="Arial Narrow" w:hAnsi="Arial Narrow"/>
          <w:i/>
          <w:sz w:val="18"/>
          <w:szCs w:val="18"/>
          <w:vertAlign w:val="superscript"/>
        </w:rPr>
        <w:t>4</w:t>
      </w:r>
      <w:r>
        <w:rPr>
          <w:rFonts w:ascii="Arial Narrow" w:hAnsi="Arial Narrow"/>
          <w:i/>
          <w:sz w:val="18"/>
          <w:szCs w:val="18"/>
        </w:rPr>
        <w:t xml:space="preserve"> </w:t>
      </w:r>
      <w:r w:rsidRPr="00821887">
        <w:rPr>
          <w:rFonts w:ascii="Arial Narrow" w:hAnsi="Arial Narrow"/>
          <w:i/>
          <w:sz w:val="18"/>
          <w:szCs w:val="18"/>
        </w:rPr>
        <w:t>50,000 to &lt; 60,000</w:t>
      </w:r>
    </w:p>
    <w:p w14:paraId="6C607253" w14:textId="79A33F6B" w:rsidR="00821887" w:rsidRDefault="00821887" w:rsidP="00821887">
      <w:pPr>
        <w:rPr>
          <w:rFonts w:ascii="Arial Narrow" w:hAnsi="Arial Narrow"/>
          <w:i/>
          <w:sz w:val="18"/>
          <w:szCs w:val="18"/>
        </w:rPr>
      </w:pPr>
      <w:r>
        <w:rPr>
          <w:rFonts w:ascii="Arial Narrow" w:hAnsi="Arial Narrow"/>
          <w:i/>
          <w:sz w:val="18"/>
          <w:szCs w:val="18"/>
          <w:vertAlign w:val="superscript"/>
        </w:rPr>
        <w:t>5</w:t>
      </w:r>
      <w:r>
        <w:rPr>
          <w:rFonts w:ascii="Arial Narrow" w:hAnsi="Arial Narrow"/>
          <w:i/>
          <w:sz w:val="18"/>
          <w:szCs w:val="18"/>
        </w:rPr>
        <w:t xml:space="preserve"> </w:t>
      </w:r>
      <w:r w:rsidRPr="00821887">
        <w:rPr>
          <w:rFonts w:ascii="Arial Narrow" w:hAnsi="Arial Narrow"/>
          <w:i/>
          <w:sz w:val="18"/>
          <w:szCs w:val="18"/>
        </w:rPr>
        <w:t>30,000 to &lt; 40,000</w:t>
      </w:r>
    </w:p>
    <w:p w14:paraId="69B32156" w14:textId="1C8F572F" w:rsidR="00821887" w:rsidRDefault="00821887" w:rsidP="00821887">
      <w:pPr>
        <w:rPr>
          <w:rFonts w:ascii="Arial Narrow" w:hAnsi="Arial Narrow"/>
          <w:i/>
          <w:sz w:val="18"/>
          <w:szCs w:val="18"/>
        </w:rPr>
      </w:pPr>
      <w:r>
        <w:rPr>
          <w:rFonts w:ascii="Arial Narrow" w:hAnsi="Arial Narrow"/>
          <w:i/>
          <w:sz w:val="18"/>
          <w:szCs w:val="18"/>
          <w:vertAlign w:val="superscript"/>
        </w:rPr>
        <w:t>6</w:t>
      </w:r>
      <w:r>
        <w:rPr>
          <w:rFonts w:ascii="Arial Narrow" w:hAnsi="Arial Narrow"/>
          <w:i/>
          <w:sz w:val="18"/>
          <w:szCs w:val="18"/>
        </w:rPr>
        <w:t xml:space="preserve"> </w:t>
      </w:r>
      <w:r w:rsidRPr="00821887">
        <w:rPr>
          <w:rFonts w:ascii="Arial Narrow" w:hAnsi="Arial Narrow"/>
          <w:i/>
          <w:sz w:val="18"/>
          <w:szCs w:val="18"/>
        </w:rPr>
        <w:t>5,000 to &lt; 10,000</w:t>
      </w:r>
    </w:p>
    <w:p w14:paraId="1812D236" w14:textId="194FCA95" w:rsidR="00821887" w:rsidRPr="009A6D58" w:rsidRDefault="00821887" w:rsidP="00821887">
      <w:pPr>
        <w:rPr>
          <w:rFonts w:ascii="Arial Narrow" w:hAnsi="Arial Narrow"/>
          <w:i/>
          <w:sz w:val="18"/>
          <w:szCs w:val="18"/>
        </w:rPr>
      </w:pPr>
      <w:r>
        <w:rPr>
          <w:rFonts w:ascii="Arial Narrow" w:hAnsi="Arial Narrow"/>
          <w:i/>
          <w:sz w:val="18"/>
          <w:szCs w:val="18"/>
          <w:vertAlign w:val="superscript"/>
        </w:rPr>
        <w:t>7</w:t>
      </w:r>
      <w:r>
        <w:rPr>
          <w:rFonts w:ascii="Arial Narrow" w:hAnsi="Arial Narrow"/>
          <w:i/>
          <w:sz w:val="18"/>
          <w:szCs w:val="18"/>
        </w:rPr>
        <w:t xml:space="preserve"> </w:t>
      </w:r>
      <w:r w:rsidRPr="00821887">
        <w:rPr>
          <w:rFonts w:ascii="Arial Narrow" w:hAnsi="Arial Narrow"/>
          <w:i/>
          <w:sz w:val="18"/>
          <w:szCs w:val="18"/>
        </w:rPr>
        <w:t>400,000 to &lt; 500,000</w:t>
      </w:r>
    </w:p>
    <w:p w14:paraId="25171FA9" w14:textId="06CC2157" w:rsidR="00821887" w:rsidRPr="009A6D58" w:rsidRDefault="00821887" w:rsidP="00821887">
      <w:pPr>
        <w:rPr>
          <w:rFonts w:ascii="Arial Narrow" w:hAnsi="Arial Narrow"/>
          <w:i/>
          <w:sz w:val="18"/>
          <w:szCs w:val="18"/>
        </w:rPr>
      </w:pPr>
      <w:r>
        <w:rPr>
          <w:rFonts w:ascii="Arial Narrow" w:hAnsi="Arial Narrow"/>
          <w:i/>
          <w:sz w:val="18"/>
          <w:szCs w:val="18"/>
          <w:vertAlign w:val="superscript"/>
        </w:rPr>
        <w:t>8</w:t>
      </w:r>
      <w:r>
        <w:rPr>
          <w:rFonts w:ascii="Arial Narrow" w:hAnsi="Arial Narrow"/>
          <w:i/>
          <w:sz w:val="18"/>
          <w:szCs w:val="18"/>
        </w:rPr>
        <w:t xml:space="preserve"> </w:t>
      </w:r>
      <w:r w:rsidRPr="00821887">
        <w:rPr>
          <w:rFonts w:ascii="Arial Narrow" w:hAnsi="Arial Narrow"/>
          <w:i/>
          <w:sz w:val="18"/>
          <w:szCs w:val="18"/>
        </w:rPr>
        <w:t>300,000 to &lt; 400,000</w:t>
      </w:r>
    </w:p>
    <w:p w14:paraId="5F2CDE29" w14:textId="77777777" w:rsidR="00821887" w:rsidRDefault="00821887" w:rsidP="00821887">
      <w:pPr>
        <w:rPr>
          <w:rFonts w:ascii="Arial Narrow" w:hAnsi="Arial Narrow"/>
          <w:i/>
          <w:sz w:val="18"/>
          <w:szCs w:val="18"/>
        </w:rPr>
      </w:pPr>
      <w:r>
        <w:rPr>
          <w:rFonts w:ascii="Arial Narrow" w:hAnsi="Arial Narrow"/>
          <w:i/>
          <w:sz w:val="18"/>
          <w:szCs w:val="18"/>
          <w:vertAlign w:val="superscript"/>
        </w:rPr>
        <w:t>9</w:t>
      </w:r>
      <w:r>
        <w:rPr>
          <w:rFonts w:ascii="Arial Narrow" w:hAnsi="Arial Narrow"/>
          <w:i/>
          <w:sz w:val="18"/>
          <w:szCs w:val="18"/>
        </w:rPr>
        <w:t xml:space="preserve"> </w:t>
      </w:r>
      <w:r w:rsidRPr="00821887">
        <w:rPr>
          <w:rFonts w:ascii="Arial Narrow" w:hAnsi="Arial Narrow"/>
          <w:i/>
          <w:sz w:val="18"/>
          <w:szCs w:val="18"/>
        </w:rPr>
        <w:t>40,000 to &lt; 50,000</w:t>
      </w:r>
    </w:p>
    <w:p w14:paraId="7137274C" w14:textId="15852325" w:rsidR="00821887" w:rsidRDefault="00821887" w:rsidP="00821887">
      <w:pPr>
        <w:rPr>
          <w:rFonts w:ascii="Arial Narrow" w:hAnsi="Arial Narrow"/>
          <w:i/>
          <w:sz w:val="18"/>
          <w:szCs w:val="18"/>
        </w:rPr>
      </w:pPr>
      <w:r>
        <w:rPr>
          <w:rFonts w:ascii="Arial Narrow" w:hAnsi="Arial Narrow"/>
          <w:i/>
          <w:sz w:val="18"/>
          <w:szCs w:val="18"/>
          <w:vertAlign w:val="superscript"/>
        </w:rPr>
        <w:t>10</w:t>
      </w:r>
      <w:r>
        <w:rPr>
          <w:rFonts w:ascii="Arial Narrow" w:hAnsi="Arial Narrow"/>
          <w:i/>
          <w:sz w:val="18"/>
          <w:szCs w:val="18"/>
        </w:rPr>
        <w:t xml:space="preserve"> </w:t>
      </w:r>
      <w:r w:rsidR="00540BA2" w:rsidRPr="00540BA2">
        <w:rPr>
          <w:rFonts w:ascii="Arial Narrow" w:hAnsi="Arial Narrow"/>
          <w:i/>
          <w:sz w:val="18"/>
          <w:szCs w:val="18"/>
        </w:rPr>
        <w:t>500 to &lt; 5,000</w:t>
      </w:r>
    </w:p>
    <w:p w14:paraId="6BEB91A9" w14:textId="603B198C" w:rsidR="00821887" w:rsidRDefault="00821887" w:rsidP="00821887">
      <w:pPr>
        <w:rPr>
          <w:rFonts w:ascii="Arial Narrow" w:hAnsi="Arial Narrow"/>
          <w:i/>
          <w:sz w:val="18"/>
          <w:szCs w:val="18"/>
        </w:rPr>
      </w:pPr>
      <w:r>
        <w:rPr>
          <w:rFonts w:ascii="Arial Narrow" w:hAnsi="Arial Narrow"/>
          <w:i/>
          <w:sz w:val="18"/>
          <w:szCs w:val="18"/>
          <w:vertAlign w:val="superscript"/>
        </w:rPr>
        <w:t>11</w:t>
      </w:r>
      <w:r>
        <w:rPr>
          <w:rFonts w:ascii="Arial Narrow" w:hAnsi="Arial Narrow"/>
          <w:i/>
          <w:sz w:val="18"/>
          <w:szCs w:val="18"/>
        </w:rPr>
        <w:t xml:space="preserve"> </w:t>
      </w:r>
      <w:r w:rsidR="00540BA2" w:rsidRPr="00540BA2">
        <w:rPr>
          <w:rFonts w:ascii="Arial Narrow" w:hAnsi="Arial Narrow"/>
          <w:i/>
          <w:sz w:val="18"/>
          <w:szCs w:val="18"/>
        </w:rPr>
        <w:t>10,000 to &lt; 20,000</w:t>
      </w:r>
    </w:p>
    <w:p w14:paraId="3437085C" w14:textId="190DC7B4" w:rsidR="00F84AA0" w:rsidRDefault="00821887" w:rsidP="00821887">
      <w:pPr>
        <w:rPr>
          <w:rFonts w:ascii="Arial Narrow" w:hAnsi="Arial Narrow"/>
          <w:i/>
          <w:sz w:val="18"/>
          <w:szCs w:val="18"/>
        </w:rPr>
      </w:pPr>
      <w:r>
        <w:rPr>
          <w:rFonts w:ascii="Arial Narrow" w:hAnsi="Arial Narrow"/>
          <w:i/>
          <w:sz w:val="18"/>
          <w:szCs w:val="18"/>
          <w:vertAlign w:val="superscript"/>
        </w:rPr>
        <w:t>12</w:t>
      </w:r>
      <w:r>
        <w:rPr>
          <w:rFonts w:ascii="Arial Narrow" w:hAnsi="Arial Narrow"/>
          <w:i/>
          <w:sz w:val="18"/>
          <w:szCs w:val="18"/>
        </w:rPr>
        <w:t xml:space="preserve"> </w:t>
      </w:r>
      <w:r w:rsidR="00540BA2" w:rsidRPr="00540BA2">
        <w:rPr>
          <w:rFonts w:ascii="Arial Narrow" w:hAnsi="Arial Narrow"/>
          <w:i/>
          <w:sz w:val="18"/>
          <w:szCs w:val="18"/>
        </w:rPr>
        <w:t>80,000 to &lt; 90,000</w:t>
      </w:r>
    </w:p>
    <w:p w14:paraId="6A776373" w14:textId="7F292AE8" w:rsidR="00821887" w:rsidRPr="009A6D58" w:rsidRDefault="00821887" w:rsidP="00821887">
      <w:pPr>
        <w:rPr>
          <w:rFonts w:ascii="Arial Narrow" w:hAnsi="Arial Narrow"/>
          <w:i/>
          <w:sz w:val="18"/>
          <w:szCs w:val="18"/>
        </w:rPr>
      </w:pPr>
      <w:r>
        <w:rPr>
          <w:rFonts w:ascii="Arial Narrow" w:hAnsi="Arial Narrow"/>
          <w:i/>
          <w:sz w:val="18"/>
          <w:szCs w:val="18"/>
          <w:vertAlign w:val="superscript"/>
        </w:rPr>
        <w:t>13</w:t>
      </w:r>
      <w:r>
        <w:rPr>
          <w:rFonts w:ascii="Arial Narrow" w:hAnsi="Arial Narrow"/>
          <w:i/>
          <w:sz w:val="18"/>
          <w:szCs w:val="18"/>
        </w:rPr>
        <w:t xml:space="preserve"> </w:t>
      </w:r>
      <w:r w:rsidR="00540BA2" w:rsidRPr="00540BA2">
        <w:rPr>
          <w:rFonts w:ascii="Arial Narrow" w:hAnsi="Arial Narrow"/>
          <w:i/>
          <w:sz w:val="18"/>
          <w:szCs w:val="18"/>
        </w:rPr>
        <w:t>$10 million to &lt; $20 million</w:t>
      </w:r>
    </w:p>
    <w:p w14:paraId="012F3202" w14:textId="0B0A7D4A" w:rsidR="00821887" w:rsidRDefault="00821887" w:rsidP="00821887">
      <w:pPr>
        <w:rPr>
          <w:rFonts w:ascii="Arial Narrow" w:hAnsi="Arial Narrow"/>
          <w:i/>
          <w:sz w:val="18"/>
          <w:szCs w:val="18"/>
        </w:rPr>
      </w:pPr>
      <w:r>
        <w:rPr>
          <w:rFonts w:ascii="Arial Narrow" w:hAnsi="Arial Narrow"/>
          <w:i/>
          <w:sz w:val="18"/>
          <w:szCs w:val="18"/>
          <w:vertAlign w:val="superscript"/>
        </w:rPr>
        <w:t>14</w:t>
      </w:r>
      <w:r>
        <w:rPr>
          <w:rFonts w:ascii="Arial Narrow" w:hAnsi="Arial Narrow"/>
          <w:i/>
          <w:sz w:val="18"/>
          <w:szCs w:val="18"/>
        </w:rPr>
        <w:t xml:space="preserve"> </w:t>
      </w:r>
      <w:r w:rsidR="00540BA2" w:rsidRPr="00540BA2">
        <w:rPr>
          <w:rFonts w:ascii="Arial Narrow" w:hAnsi="Arial Narrow"/>
          <w:i/>
          <w:sz w:val="18"/>
          <w:szCs w:val="18"/>
        </w:rPr>
        <w:t>net cost saving</w:t>
      </w:r>
    </w:p>
    <w:p w14:paraId="0A9E3A8A" w14:textId="1B284A15" w:rsidR="00821887" w:rsidRDefault="00821887" w:rsidP="00821887">
      <w:pPr>
        <w:rPr>
          <w:rFonts w:ascii="Arial Narrow" w:hAnsi="Arial Narrow"/>
          <w:i/>
          <w:sz w:val="18"/>
          <w:szCs w:val="18"/>
        </w:rPr>
      </w:pPr>
      <w:r>
        <w:rPr>
          <w:rFonts w:ascii="Arial Narrow" w:hAnsi="Arial Narrow"/>
          <w:i/>
          <w:sz w:val="18"/>
          <w:szCs w:val="18"/>
          <w:vertAlign w:val="superscript"/>
        </w:rPr>
        <w:t>15</w:t>
      </w:r>
      <w:r>
        <w:rPr>
          <w:rFonts w:ascii="Arial Narrow" w:hAnsi="Arial Narrow"/>
          <w:i/>
          <w:sz w:val="18"/>
          <w:szCs w:val="18"/>
        </w:rPr>
        <w:t xml:space="preserve"> </w:t>
      </w:r>
      <w:r w:rsidR="00540BA2" w:rsidRPr="00540BA2">
        <w:rPr>
          <w:rFonts w:ascii="Arial Narrow" w:hAnsi="Arial Narrow"/>
          <w:i/>
          <w:sz w:val="18"/>
          <w:szCs w:val="18"/>
        </w:rPr>
        <w:t>$0 to &lt; $10 million</w:t>
      </w:r>
    </w:p>
    <w:p w14:paraId="7338825E" w14:textId="270920E3" w:rsidR="00821887" w:rsidRDefault="00821887" w:rsidP="00821887">
      <w:pPr>
        <w:rPr>
          <w:rFonts w:ascii="Arial Narrow" w:hAnsi="Arial Narrow"/>
          <w:i/>
          <w:sz w:val="18"/>
          <w:szCs w:val="18"/>
        </w:rPr>
      </w:pPr>
      <w:r>
        <w:rPr>
          <w:rFonts w:ascii="Arial Narrow" w:hAnsi="Arial Narrow"/>
          <w:i/>
          <w:sz w:val="18"/>
          <w:szCs w:val="18"/>
          <w:vertAlign w:val="superscript"/>
        </w:rPr>
        <w:t>1</w:t>
      </w:r>
      <w:r w:rsidR="00540BA2">
        <w:rPr>
          <w:rFonts w:ascii="Arial Narrow" w:hAnsi="Arial Narrow"/>
          <w:i/>
          <w:sz w:val="18"/>
          <w:szCs w:val="18"/>
          <w:vertAlign w:val="superscript"/>
        </w:rPr>
        <w:t>6</w:t>
      </w:r>
      <w:r>
        <w:rPr>
          <w:rFonts w:ascii="Arial Narrow" w:hAnsi="Arial Narrow"/>
          <w:i/>
          <w:sz w:val="18"/>
          <w:szCs w:val="18"/>
        </w:rPr>
        <w:t xml:space="preserve"> </w:t>
      </w:r>
      <w:r w:rsidR="00540BA2" w:rsidRPr="00540BA2">
        <w:rPr>
          <w:rFonts w:ascii="Arial Narrow" w:hAnsi="Arial Narrow"/>
          <w:i/>
          <w:sz w:val="18"/>
          <w:szCs w:val="18"/>
        </w:rPr>
        <w:t>700,000 to &lt; 800,000</w:t>
      </w:r>
    </w:p>
    <w:p w14:paraId="0934A33B" w14:textId="3DF3419B" w:rsidR="00540BA2" w:rsidRDefault="00821887" w:rsidP="00540BA2">
      <w:pPr>
        <w:rPr>
          <w:rFonts w:ascii="Arial Narrow" w:hAnsi="Arial Narrow"/>
          <w:i/>
          <w:sz w:val="18"/>
          <w:szCs w:val="18"/>
        </w:rPr>
      </w:pPr>
      <w:r>
        <w:rPr>
          <w:rFonts w:ascii="Arial Narrow" w:hAnsi="Arial Narrow"/>
          <w:i/>
          <w:sz w:val="18"/>
          <w:szCs w:val="18"/>
          <w:vertAlign w:val="superscript"/>
        </w:rPr>
        <w:t>17</w:t>
      </w:r>
      <w:r>
        <w:rPr>
          <w:rFonts w:ascii="Arial Narrow" w:hAnsi="Arial Narrow"/>
          <w:i/>
          <w:sz w:val="18"/>
          <w:szCs w:val="18"/>
        </w:rPr>
        <w:t xml:space="preserve"> </w:t>
      </w:r>
      <w:r w:rsidR="00540BA2" w:rsidRPr="00540BA2">
        <w:rPr>
          <w:rFonts w:ascii="Arial Narrow" w:hAnsi="Arial Narrow"/>
          <w:i/>
          <w:sz w:val="18"/>
          <w:szCs w:val="18"/>
        </w:rPr>
        <w:t>20,000 to &lt; 30,000</w:t>
      </w:r>
    </w:p>
    <w:p w14:paraId="278DC3B9" w14:textId="0D85E291" w:rsidR="00540BA2" w:rsidRDefault="00540BA2" w:rsidP="00540BA2">
      <w:pPr>
        <w:rPr>
          <w:rFonts w:ascii="Arial Narrow" w:hAnsi="Arial Narrow"/>
          <w:i/>
          <w:sz w:val="18"/>
          <w:szCs w:val="18"/>
        </w:rPr>
      </w:pPr>
      <w:r>
        <w:rPr>
          <w:rFonts w:ascii="Arial Narrow" w:hAnsi="Arial Narrow"/>
          <w:i/>
          <w:sz w:val="18"/>
          <w:szCs w:val="18"/>
          <w:vertAlign w:val="superscript"/>
        </w:rPr>
        <w:t>18</w:t>
      </w:r>
      <w:r>
        <w:rPr>
          <w:rFonts w:ascii="Arial Narrow" w:hAnsi="Arial Narrow"/>
          <w:i/>
          <w:sz w:val="18"/>
          <w:szCs w:val="18"/>
        </w:rPr>
        <w:t xml:space="preserve"> </w:t>
      </w:r>
      <w:r w:rsidRPr="00540BA2">
        <w:rPr>
          <w:rFonts w:ascii="Arial Narrow" w:hAnsi="Arial Narrow"/>
          <w:i/>
          <w:sz w:val="18"/>
          <w:szCs w:val="18"/>
        </w:rPr>
        <w:t>90,000 to &lt; 100,000</w:t>
      </w:r>
    </w:p>
    <w:p w14:paraId="049A53DF" w14:textId="559F6CDC" w:rsidR="00540BA2" w:rsidRDefault="00540BA2" w:rsidP="00540BA2">
      <w:pPr>
        <w:rPr>
          <w:rFonts w:ascii="Arial Narrow" w:hAnsi="Arial Narrow"/>
          <w:i/>
          <w:sz w:val="18"/>
          <w:szCs w:val="18"/>
        </w:rPr>
      </w:pPr>
      <w:r>
        <w:rPr>
          <w:rFonts w:ascii="Arial Narrow" w:hAnsi="Arial Narrow"/>
          <w:i/>
          <w:sz w:val="18"/>
          <w:szCs w:val="18"/>
          <w:vertAlign w:val="superscript"/>
        </w:rPr>
        <w:t>19</w:t>
      </w:r>
      <w:r>
        <w:rPr>
          <w:rFonts w:ascii="Arial Narrow" w:hAnsi="Arial Narrow"/>
          <w:i/>
          <w:sz w:val="18"/>
          <w:szCs w:val="18"/>
        </w:rPr>
        <w:t xml:space="preserve"> </w:t>
      </w:r>
      <w:r w:rsidRPr="00540BA2">
        <w:rPr>
          <w:rFonts w:ascii="Arial Narrow" w:hAnsi="Arial Narrow"/>
          <w:i/>
          <w:sz w:val="18"/>
          <w:szCs w:val="18"/>
        </w:rPr>
        <w:t>$20 million to &lt; $30 million</w:t>
      </w:r>
    </w:p>
    <w:p w14:paraId="2F904650" w14:textId="24AFB305" w:rsidR="00540BA2" w:rsidRDefault="00540BA2" w:rsidP="00540BA2">
      <w:pPr>
        <w:rPr>
          <w:rFonts w:ascii="Arial Narrow" w:hAnsi="Arial Narrow"/>
          <w:i/>
          <w:sz w:val="18"/>
          <w:szCs w:val="18"/>
        </w:rPr>
      </w:pPr>
      <w:r>
        <w:rPr>
          <w:rFonts w:ascii="Arial Narrow" w:hAnsi="Arial Narrow"/>
          <w:i/>
          <w:sz w:val="18"/>
          <w:szCs w:val="18"/>
          <w:vertAlign w:val="superscript"/>
        </w:rPr>
        <w:t>20</w:t>
      </w:r>
      <w:r>
        <w:rPr>
          <w:rFonts w:ascii="Arial Narrow" w:hAnsi="Arial Narrow"/>
          <w:i/>
          <w:sz w:val="18"/>
          <w:szCs w:val="18"/>
        </w:rPr>
        <w:t xml:space="preserve"> </w:t>
      </w:r>
      <w:r w:rsidR="00F84AA0" w:rsidRPr="00F84AA0">
        <w:rPr>
          <w:rFonts w:ascii="Arial Narrow" w:hAnsi="Arial Narrow"/>
          <w:i/>
          <w:sz w:val="18"/>
          <w:szCs w:val="18"/>
        </w:rPr>
        <w:t>$30 million to &lt; $40 million</w:t>
      </w:r>
    </w:p>
    <w:p w14:paraId="7EA6D61E" w14:textId="7FC69C37" w:rsidR="00540BA2" w:rsidRDefault="00540BA2" w:rsidP="00540BA2">
      <w:pPr>
        <w:rPr>
          <w:rFonts w:ascii="Arial Narrow" w:hAnsi="Arial Narrow"/>
          <w:i/>
          <w:sz w:val="18"/>
          <w:szCs w:val="18"/>
        </w:rPr>
      </w:pPr>
      <w:r>
        <w:rPr>
          <w:rFonts w:ascii="Arial Narrow" w:hAnsi="Arial Narrow"/>
          <w:i/>
          <w:sz w:val="18"/>
          <w:szCs w:val="18"/>
          <w:vertAlign w:val="superscript"/>
        </w:rPr>
        <w:t>21</w:t>
      </w:r>
      <w:r>
        <w:rPr>
          <w:rFonts w:ascii="Arial Narrow" w:hAnsi="Arial Narrow"/>
          <w:i/>
          <w:sz w:val="18"/>
          <w:szCs w:val="18"/>
        </w:rPr>
        <w:t xml:space="preserve"> </w:t>
      </w:r>
      <w:r w:rsidR="00F84AA0" w:rsidRPr="00F84AA0">
        <w:rPr>
          <w:rFonts w:ascii="Arial Narrow" w:hAnsi="Arial Narrow"/>
          <w:i/>
          <w:sz w:val="18"/>
          <w:szCs w:val="18"/>
        </w:rPr>
        <w:t>60,000 to &lt; 70,000</w:t>
      </w:r>
    </w:p>
    <w:p w14:paraId="6B1909D2" w14:textId="7A2F1493" w:rsidR="00540BA2" w:rsidRDefault="00540BA2" w:rsidP="00540BA2">
      <w:pPr>
        <w:rPr>
          <w:rFonts w:ascii="Arial Narrow" w:hAnsi="Arial Narrow"/>
          <w:i/>
          <w:sz w:val="18"/>
          <w:szCs w:val="18"/>
        </w:rPr>
      </w:pPr>
      <w:r>
        <w:rPr>
          <w:rFonts w:ascii="Arial Narrow" w:hAnsi="Arial Narrow"/>
          <w:i/>
          <w:sz w:val="18"/>
          <w:szCs w:val="18"/>
          <w:vertAlign w:val="superscript"/>
        </w:rPr>
        <w:t>22</w:t>
      </w:r>
      <w:r>
        <w:rPr>
          <w:rFonts w:ascii="Arial Narrow" w:hAnsi="Arial Narrow"/>
          <w:i/>
          <w:sz w:val="18"/>
          <w:szCs w:val="18"/>
        </w:rPr>
        <w:t xml:space="preserve"> </w:t>
      </w:r>
      <w:r w:rsidR="00F84AA0" w:rsidRPr="00F84AA0">
        <w:rPr>
          <w:rFonts w:ascii="Arial Narrow" w:hAnsi="Arial Narrow"/>
          <w:i/>
          <w:sz w:val="18"/>
          <w:szCs w:val="18"/>
        </w:rPr>
        <w:t>500,000 to &lt; 600,000</w:t>
      </w:r>
    </w:p>
    <w:p w14:paraId="3A9AC01D" w14:textId="16B6EB7C" w:rsidR="00540BA2" w:rsidRPr="00821887" w:rsidRDefault="00540BA2" w:rsidP="00F84AA0">
      <w:pPr>
        <w:rPr>
          <w:rFonts w:ascii="Arial Narrow" w:hAnsi="Arial Narrow"/>
          <w:i/>
          <w:sz w:val="18"/>
          <w:szCs w:val="18"/>
        </w:rPr>
      </w:pPr>
      <w:r>
        <w:rPr>
          <w:rFonts w:ascii="Arial Narrow" w:hAnsi="Arial Narrow"/>
          <w:i/>
          <w:sz w:val="18"/>
          <w:szCs w:val="18"/>
          <w:vertAlign w:val="superscript"/>
        </w:rPr>
        <w:t>23</w:t>
      </w:r>
      <w:r>
        <w:rPr>
          <w:rFonts w:ascii="Arial Narrow" w:hAnsi="Arial Narrow"/>
          <w:i/>
          <w:sz w:val="18"/>
          <w:szCs w:val="18"/>
        </w:rPr>
        <w:t xml:space="preserve"> </w:t>
      </w:r>
      <w:r w:rsidR="00F84AA0" w:rsidRPr="00F84AA0">
        <w:rPr>
          <w:rFonts w:ascii="Arial Narrow" w:hAnsi="Arial Narrow"/>
          <w:i/>
          <w:sz w:val="18"/>
          <w:szCs w:val="18"/>
        </w:rPr>
        <w:t>$40 million to &lt; $50 million</w:t>
      </w:r>
    </w:p>
    <w:p w14:paraId="3AF9D409" w14:textId="31371F25" w:rsidR="00540BA2" w:rsidRDefault="00F84AA0" w:rsidP="00F84AA0">
      <w:pPr>
        <w:spacing w:after="240"/>
        <w:rPr>
          <w:rFonts w:ascii="Arial Narrow" w:hAnsi="Arial Narrow"/>
          <w:i/>
          <w:sz w:val="18"/>
          <w:szCs w:val="18"/>
        </w:rPr>
        <w:sectPr w:rsidR="00540BA2" w:rsidSect="00F84AA0">
          <w:type w:val="continuous"/>
          <w:pgSz w:w="11907" w:h="16840" w:code="9"/>
          <w:pgMar w:top="1440" w:right="1440" w:bottom="1440" w:left="1440" w:header="1440" w:footer="1440" w:gutter="0"/>
          <w:pgNumType w:start="1"/>
          <w:cols w:num="2" w:space="0" w:equalWidth="0">
            <w:col w:w="2160" w:space="0"/>
            <w:col w:w="6867"/>
          </w:cols>
          <w:docGrid w:linePitch="360"/>
        </w:sectPr>
      </w:pPr>
      <w:r>
        <w:rPr>
          <w:rFonts w:ascii="Arial Narrow" w:hAnsi="Arial Narrow"/>
          <w:i/>
          <w:sz w:val="18"/>
          <w:szCs w:val="18"/>
          <w:vertAlign w:val="superscript"/>
        </w:rPr>
        <w:t xml:space="preserve">24 </w:t>
      </w:r>
      <w:r w:rsidRPr="00F84AA0">
        <w:rPr>
          <w:rFonts w:ascii="Arial Narrow" w:hAnsi="Arial Narrow"/>
          <w:i/>
          <w:sz w:val="18"/>
          <w:szCs w:val="18"/>
        </w:rPr>
        <w:t>800,000 to &lt; 900,00</w:t>
      </w:r>
      <w:r>
        <w:rPr>
          <w:rFonts w:ascii="Arial Narrow" w:hAnsi="Arial Narrow"/>
          <w:i/>
          <w:sz w:val="18"/>
          <w:szCs w:val="18"/>
        </w:rPr>
        <w:t>0</w:t>
      </w:r>
    </w:p>
    <w:p w14:paraId="638B8642" w14:textId="0B3A4AAB" w:rsidR="00C02C80" w:rsidRPr="00044C86" w:rsidRDefault="006B638D" w:rsidP="00044C86">
      <w:pPr>
        <w:pStyle w:val="ExecSumBodyText"/>
      </w:pPr>
      <w:r w:rsidRPr="006B638D">
        <w:t xml:space="preserve">The estimated net cost to Government including PBS/RPBS cost offsets and additional MBS costs was </w:t>
      </w:r>
      <w:r w:rsidR="00044C86" w:rsidRPr="00044C86">
        <w:t>$10 million</w:t>
      </w:r>
      <w:r w:rsidR="00035DE5">
        <w:t xml:space="preserve"> </w:t>
      </w:r>
      <w:r w:rsidR="00044C86" w:rsidRPr="00044C86">
        <w:t>to</w:t>
      </w:r>
      <w:r w:rsidR="00035DE5">
        <w:t xml:space="preserve"> </w:t>
      </w:r>
      <w:r w:rsidR="00044C86" w:rsidRPr="00044C86">
        <w:t>&lt; $20 million</w:t>
      </w:r>
      <w:r w:rsidRPr="006B638D">
        <w:t xml:space="preserve"> in Year 1</w:t>
      </w:r>
      <w:r w:rsidR="009C2793">
        <w:t xml:space="preserve">, </w:t>
      </w:r>
      <w:r w:rsidRPr="006B638D">
        <w:t xml:space="preserve">increasing to </w:t>
      </w:r>
      <w:bookmarkStart w:id="59" w:name="_Hlk113629074"/>
      <w:r w:rsidR="00044C86" w:rsidRPr="00044C86">
        <w:t>$40 million</w:t>
      </w:r>
      <w:r w:rsidR="00035DE5">
        <w:t xml:space="preserve"> </w:t>
      </w:r>
      <w:r w:rsidR="00044C86" w:rsidRPr="00044C86">
        <w:t>to</w:t>
      </w:r>
      <w:r w:rsidR="00035DE5">
        <w:t xml:space="preserve"> </w:t>
      </w:r>
      <w:r w:rsidR="00044C86" w:rsidRPr="00044C86">
        <w:t>&lt; $50 million</w:t>
      </w:r>
      <w:bookmarkEnd w:id="59"/>
      <w:r w:rsidRPr="006B638D">
        <w:t xml:space="preserve"> in Year 6, a total of </w:t>
      </w:r>
      <w:bookmarkStart w:id="60" w:name="_Hlk113629257"/>
      <w:r w:rsidR="00044C86" w:rsidRPr="00044C86">
        <w:t>$100 million</w:t>
      </w:r>
      <w:r w:rsidR="00035DE5">
        <w:t xml:space="preserve"> </w:t>
      </w:r>
      <w:r w:rsidR="00044C86" w:rsidRPr="00044C86">
        <w:t>to</w:t>
      </w:r>
      <w:r w:rsidR="00035DE5">
        <w:t xml:space="preserve"> </w:t>
      </w:r>
      <w:r w:rsidR="00044C86" w:rsidRPr="00044C86">
        <w:t>&lt; $200 million</w:t>
      </w:r>
      <w:bookmarkEnd w:id="60"/>
      <w:r w:rsidR="00044C86">
        <w:t xml:space="preserve"> </w:t>
      </w:r>
      <w:r w:rsidRPr="006B638D">
        <w:t xml:space="preserve">over 6 years. </w:t>
      </w:r>
    </w:p>
    <w:p w14:paraId="32E7840D" w14:textId="4D0E4831" w:rsidR="00D244B6" w:rsidRPr="0028085E" w:rsidRDefault="00C02C80" w:rsidP="00606FBA">
      <w:pPr>
        <w:pStyle w:val="ExecSumBodyText"/>
      </w:pPr>
      <w:bookmarkStart w:id="61" w:name="_Ref106293559"/>
      <w:r w:rsidRPr="0028085E">
        <w:t xml:space="preserve">Overall, </w:t>
      </w:r>
      <w:r w:rsidR="003364C3" w:rsidRPr="005E2E4D">
        <w:t xml:space="preserve">the ESC considered </w:t>
      </w:r>
      <w:r w:rsidRPr="005E2E4D">
        <w:t>the</w:t>
      </w:r>
      <w:r w:rsidRPr="0028085E">
        <w:t xml:space="preserve"> approach used in the resubmission failed to </w:t>
      </w:r>
      <w:r w:rsidR="00416A1C" w:rsidRPr="0028085E">
        <w:t xml:space="preserve">adequately </w:t>
      </w:r>
      <w:r w:rsidRPr="0028085E">
        <w:t>identify the pool of patients who would be eligible for treatment with romosozumab, particularly those eligible for first line therapy. Many of the estimates used to define the population eligible for first line treatment (e.g. prior fracture, BMD ≤</w:t>
      </w:r>
      <w:r w:rsidR="00774AC6">
        <w:t> </w:t>
      </w:r>
      <w:r w:rsidRPr="0028085E">
        <w:t>-2.5, risk of multiple fractures or single hip/vertebral fracture) were based on sources that included untreated patients but were applied to treated patient estimates. It may be more appropriate to use an epidemiological approach using an incident osteoporosis population rather than the prevalent population treated for less than 12 months.</w:t>
      </w:r>
      <w:bookmarkEnd w:id="61"/>
      <w:r w:rsidRPr="0028085E">
        <w:t xml:space="preserve"> </w:t>
      </w:r>
    </w:p>
    <w:p w14:paraId="01226333" w14:textId="4EDE7472" w:rsidR="00C02C80" w:rsidRPr="0028085E" w:rsidRDefault="007809FE" w:rsidP="00606FBA">
      <w:pPr>
        <w:pStyle w:val="ExecSumBodyText"/>
      </w:pPr>
      <w:bookmarkStart w:id="62" w:name="_Ref106293565"/>
      <w:r w:rsidRPr="0028085E">
        <w:t>Estimates of the first line population do not account for recency of fracture, which was inconsistent with the proposed PBS restriction.</w:t>
      </w:r>
      <w:bookmarkEnd w:id="62"/>
    </w:p>
    <w:p w14:paraId="47260D09" w14:textId="5198ED19" w:rsidR="007809FE" w:rsidRPr="0028085E" w:rsidRDefault="007809FE" w:rsidP="00044C86">
      <w:pPr>
        <w:pStyle w:val="ExecSumBodyText"/>
      </w:pPr>
      <w:r w:rsidRPr="0028085E">
        <w:t>The derivation of the eligible populations was also dependent on similar data sources and approaches used in the March 2020 submission that were considered issues of concern by the ESC. During the evaluation, a comparison of predicted versus actual utilisation of romosozumab on the PBS was conducted. There were 2,852 romosozumab scripts dispensed after 11 months of listing</w:t>
      </w:r>
      <w:r w:rsidR="003D5FD2" w:rsidRPr="0028085E">
        <w:t xml:space="preserve"> (April 2021 to February 2022)</w:t>
      </w:r>
      <w:r w:rsidRPr="0028085E">
        <w:t xml:space="preserve"> compared to </w:t>
      </w:r>
      <w:r w:rsidR="00044C86" w:rsidRPr="00044C86">
        <w:t>10,000</w:t>
      </w:r>
      <w:r w:rsidR="00774AC6">
        <w:t xml:space="preserve"> </w:t>
      </w:r>
      <w:r w:rsidR="00044C86" w:rsidRPr="00044C86">
        <w:t>to</w:t>
      </w:r>
      <w:r w:rsidR="00774AC6">
        <w:t xml:space="preserve"> </w:t>
      </w:r>
      <w:r w:rsidR="00044C86" w:rsidRPr="00044C86">
        <w:t>&lt; 20,000</w:t>
      </w:r>
      <w:r w:rsidR="00044C86">
        <w:t xml:space="preserve"> </w:t>
      </w:r>
      <w:r w:rsidRPr="0028085E">
        <w:t>scripts predicted in the first year in the March 2020 submission, with teriparatide maintaining the majority market share in 2021 (</w:t>
      </w:r>
      <w:r w:rsidR="009773D3" w:rsidRPr="0028085E">
        <w:t>more than 9,000 scripts</w:t>
      </w:r>
      <w:r w:rsidRPr="0028085E">
        <w:t xml:space="preserve">). The reasons for the large difference were uncertain, however, the </w:t>
      </w:r>
      <w:r w:rsidR="00B34ACF" w:rsidRPr="0028085E">
        <w:t>utilisation data</w:t>
      </w:r>
      <w:r w:rsidRPr="0028085E">
        <w:t xml:space="preserve"> </w:t>
      </w:r>
      <w:r w:rsidR="00E47862" w:rsidRPr="0028085E">
        <w:t>for</w:t>
      </w:r>
      <w:r w:rsidRPr="0028085E">
        <w:t xml:space="preserve"> romosozumab</w:t>
      </w:r>
      <w:r w:rsidR="00B34ACF" w:rsidRPr="0028085E">
        <w:t xml:space="preserve"> on the PBS</w:t>
      </w:r>
      <w:r w:rsidRPr="0028085E">
        <w:t xml:space="preserve"> </w:t>
      </w:r>
      <w:r w:rsidR="00882C6A">
        <w:t>wa</w:t>
      </w:r>
      <w:r w:rsidR="00E47862" w:rsidRPr="0028085E">
        <w:t xml:space="preserve">s immature and </w:t>
      </w:r>
      <w:r w:rsidRPr="0028085E">
        <w:t xml:space="preserve">increasing </w:t>
      </w:r>
      <w:r w:rsidR="009773D3" w:rsidRPr="0028085E">
        <w:t>on a month-to-month basis</w:t>
      </w:r>
      <w:r w:rsidRPr="0028085E">
        <w:t>.</w:t>
      </w:r>
    </w:p>
    <w:p w14:paraId="3E40EBEF" w14:textId="50D3E137" w:rsidR="003D0FFC" w:rsidRPr="0028085E" w:rsidRDefault="003D0FFC" w:rsidP="00606FBA">
      <w:pPr>
        <w:pStyle w:val="ExecSumBodyText"/>
      </w:pPr>
      <w:bookmarkStart w:id="63" w:name="_Ref106293594"/>
      <w:r w:rsidRPr="0028085E">
        <w:t>Uptake rates were assumed based on previously used uptake rates in the March 2020 submission, adjusted to account for 100% anabolic agent market share in the expanded listings. Uptake rates assumed for the restricted second line setting may not be applicable to the requested first line and expanded second line settings.</w:t>
      </w:r>
      <w:bookmarkEnd w:id="63"/>
      <w:r w:rsidR="003364C3">
        <w:t xml:space="preserve"> </w:t>
      </w:r>
    </w:p>
    <w:p w14:paraId="364BB204" w14:textId="4458D637" w:rsidR="003D0FFC" w:rsidRPr="0028085E" w:rsidRDefault="003D0FFC" w:rsidP="00606FBA">
      <w:pPr>
        <w:pStyle w:val="ExecSumBodyText"/>
      </w:pPr>
      <w:r w:rsidRPr="0028085E">
        <w:t xml:space="preserve">Based on the </w:t>
      </w:r>
      <w:r w:rsidR="003D5FD2" w:rsidRPr="0028085E">
        <w:t>re</w:t>
      </w:r>
      <w:r w:rsidRPr="0028085E">
        <w:t xml:space="preserve">submission’s estimates the additional severe osteoporosis population treated with romosozumab represents approximately </w:t>
      </w:r>
      <w:r w:rsidR="009A7DC1" w:rsidRPr="009A7DC1">
        <w:rPr>
          <w:color w:val="000000"/>
          <w:w w:val="15"/>
          <w:shd w:val="solid" w:color="000000" w:fill="000000"/>
          <w:fitText w:val="-20" w:id="-1435316721"/>
          <w14:textFill>
            <w14:solidFill>
              <w14:srgbClr w14:val="000000">
                <w14:alpha w14:val="100000"/>
              </w14:srgbClr>
            </w14:solidFill>
          </w14:textFill>
        </w:rPr>
        <w:t xml:space="preserve">|  </w:t>
      </w:r>
      <w:r w:rsidR="009A7DC1" w:rsidRPr="009A7DC1">
        <w:rPr>
          <w:color w:val="000000"/>
          <w:spacing w:val="-69"/>
          <w:w w:val="15"/>
          <w:shd w:val="solid" w:color="000000" w:fill="000000"/>
          <w:fitText w:val="-20" w:id="-1435316721"/>
          <w14:textFill>
            <w14:solidFill>
              <w14:srgbClr w14:val="000000">
                <w14:alpha w14:val="100000"/>
              </w14:srgbClr>
            </w14:solidFill>
          </w14:textFill>
        </w:rPr>
        <w:t>|</w:t>
      </w:r>
      <w:r w:rsidRPr="0028085E">
        <w:t xml:space="preserve">% of all patients treated for osteoporosis, with the majority of patients receiving romosozumab as first line treatment </w:t>
      </w:r>
      <w:r w:rsidR="009A7DC1" w:rsidRPr="009A7DC1">
        <w:rPr>
          <w:color w:val="000000"/>
          <w:w w:val="15"/>
          <w:shd w:val="solid" w:color="000000" w:fill="000000"/>
          <w:fitText w:val="-20" w:id="-1435316720"/>
          <w14:textFill>
            <w14:solidFill>
              <w14:srgbClr w14:val="000000">
                <w14:alpha w14:val="100000"/>
              </w14:srgbClr>
            </w14:solidFill>
          </w14:textFill>
        </w:rPr>
        <w:t xml:space="preserve">|  </w:t>
      </w:r>
      <w:r w:rsidR="009A7DC1" w:rsidRPr="009A7DC1">
        <w:rPr>
          <w:color w:val="000000"/>
          <w:spacing w:val="-69"/>
          <w:w w:val="15"/>
          <w:shd w:val="solid" w:color="000000" w:fill="000000"/>
          <w:fitText w:val="-20" w:id="-1435316720"/>
          <w14:textFill>
            <w14:solidFill>
              <w14:srgbClr w14:val="000000">
                <w14:alpha w14:val="100000"/>
              </w14:srgbClr>
            </w14:solidFill>
          </w14:textFill>
        </w:rPr>
        <w:t>|</w:t>
      </w:r>
      <w:r w:rsidRPr="0028085E">
        <w:t xml:space="preserve">%) followed by second line in those with multiple fractures and BMD </w:t>
      </w:r>
      <w:r w:rsidR="00774AC6">
        <w:br/>
      </w:r>
      <w:r w:rsidRPr="0028085E">
        <w:t>≤</w:t>
      </w:r>
      <w:r w:rsidR="00774AC6">
        <w:t> </w:t>
      </w:r>
      <w:r w:rsidRPr="0028085E">
        <w:t>-2.5 and &gt;</w:t>
      </w:r>
      <w:r w:rsidR="00774AC6">
        <w:t> </w:t>
      </w:r>
      <w:r w:rsidRPr="0028085E">
        <w:t>-3.0 (</w:t>
      </w:r>
      <w:r w:rsidR="009A7DC1" w:rsidRPr="009A7DC1">
        <w:rPr>
          <w:color w:val="000000"/>
          <w:w w:val="15"/>
          <w:shd w:val="solid" w:color="000000" w:fill="000000"/>
          <w:fitText w:val="-20" w:id="-1435316736"/>
          <w14:textFill>
            <w14:solidFill>
              <w14:srgbClr w14:val="000000">
                <w14:alpha w14:val="100000"/>
              </w14:srgbClr>
            </w14:solidFill>
          </w14:textFill>
        </w:rPr>
        <w:t xml:space="preserve">|  </w:t>
      </w:r>
      <w:r w:rsidR="009A7DC1" w:rsidRPr="009A7DC1">
        <w:rPr>
          <w:color w:val="000000"/>
          <w:spacing w:val="-69"/>
          <w:w w:val="15"/>
          <w:shd w:val="solid" w:color="000000" w:fill="000000"/>
          <w:fitText w:val="-20" w:id="-1435316736"/>
          <w14:textFill>
            <w14:solidFill>
              <w14:srgbClr w14:val="000000">
                <w14:alpha w14:val="100000"/>
              </w14:srgbClr>
            </w14:solidFill>
          </w14:textFill>
        </w:rPr>
        <w:t>|</w:t>
      </w:r>
      <w:r w:rsidRPr="0028085E">
        <w:t>%), and second line in those with a single hip/vertebral fracture and BMD ≤</w:t>
      </w:r>
      <w:r w:rsidR="00774AC6">
        <w:t> </w:t>
      </w:r>
      <w:r w:rsidRPr="0028085E">
        <w:t>-2.5 (</w:t>
      </w:r>
      <w:r w:rsidR="009A7DC1" w:rsidRPr="009A7DC1">
        <w:rPr>
          <w:color w:val="000000"/>
          <w:w w:val="15"/>
          <w:shd w:val="solid" w:color="000000" w:fill="000000"/>
          <w:fitText w:val="-20" w:id="-1435316735"/>
          <w14:textFill>
            <w14:solidFill>
              <w14:srgbClr w14:val="000000">
                <w14:alpha w14:val="100000"/>
              </w14:srgbClr>
            </w14:solidFill>
          </w14:textFill>
        </w:rPr>
        <w:t xml:space="preserve">|  </w:t>
      </w:r>
      <w:r w:rsidR="009A7DC1" w:rsidRPr="009A7DC1">
        <w:rPr>
          <w:color w:val="000000"/>
          <w:spacing w:val="-69"/>
          <w:w w:val="15"/>
          <w:shd w:val="solid" w:color="000000" w:fill="000000"/>
          <w:fitText w:val="-20" w:id="-1435316735"/>
          <w14:textFill>
            <w14:solidFill>
              <w14:srgbClr w14:val="000000">
                <w14:alpha w14:val="100000"/>
              </w14:srgbClr>
            </w14:solidFill>
          </w14:textFill>
        </w:rPr>
        <w:t>|</w:t>
      </w:r>
      <w:r w:rsidRPr="0028085E">
        <w:t xml:space="preserve">%). </w:t>
      </w:r>
      <w:r w:rsidRPr="005E2E4D">
        <w:t>T</w:t>
      </w:r>
      <w:r w:rsidR="003364C3" w:rsidRPr="005E2E4D">
        <w:t>he ESC considered</w:t>
      </w:r>
      <w:r w:rsidR="003364C3">
        <w:t xml:space="preserve"> t</w:t>
      </w:r>
      <w:r w:rsidRPr="0028085E">
        <w:t>hese estimates should not be considered reliable given the eligible second line population should be based on a larger patient population ever treated with osteoporosis medications</w:t>
      </w:r>
      <w:r w:rsidR="005D0C32" w:rsidRPr="0028085E">
        <w:t xml:space="preserve"> (for at least 12 months)</w:t>
      </w:r>
      <w:r w:rsidRPr="0028085E">
        <w:t xml:space="preserve">, whereas the eligible first line population would be based on a substantially smaller incident severe osteoporosis population who are treatment-naïve and experienced at least one recent clinical fracture.  </w:t>
      </w:r>
    </w:p>
    <w:p w14:paraId="175FC847" w14:textId="2841439A" w:rsidR="003D0FFC" w:rsidRPr="005E2E4D" w:rsidRDefault="003D0FFC" w:rsidP="00606FBA">
      <w:pPr>
        <w:pStyle w:val="ExecSumBodyText"/>
      </w:pPr>
      <w:bookmarkStart w:id="64" w:name="_Ref106293605"/>
      <w:r w:rsidRPr="0028085E">
        <w:t xml:space="preserve">Cost offsets due to displacement of anti-resorptives may be overestimated as the number of scripts were only adjusted using a 90% </w:t>
      </w:r>
      <w:r w:rsidR="005E5845" w:rsidRPr="0028085E">
        <w:t>adherenc</w:t>
      </w:r>
      <w:r w:rsidRPr="0028085E">
        <w:t>e rate based on the administration of romosozumab in the ARCH trial. This is particularly relevant when considering the displacement of therapies in the second line setting, as the resubmission did not account for less than ideal persistence to anti-resorptives, as reported in the DUSC 2020 review of denosumab</w:t>
      </w:r>
      <w:r w:rsidR="00A13683">
        <w:t xml:space="preserve"> </w:t>
      </w:r>
      <w:r w:rsidR="00A13683" w:rsidRPr="005E2E4D">
        <w:t xml:space="preserve">and the May 2022 analyses of anti-resorptive use after </w:t>
      </w:r>
      <w:r w:rsidR="00E6472F" w:rsidRPr="005E2E4D">
        <w:t>teriparatide</w:t>
      </w:r>
      <w:r w:rsidRPr="005E2E4D">
        <w:t>.</w:t>
      </w:r>
      <w:bookmarkEnd w:id="64"/>
    </w:p>
    <w:p w14:paraId="2238DEE9" w14:textId="3E6A228B" w:rsidR="00576972" w:rsidRPr="00262BDA" w:rsidRDefault="00576972" w:rsidP="00606FBA">
      <w:pPr>
        <w:pStyle w:val="3-SubsectionHeading"/>
      </w:pPr>
      <w:bookmarkStart w:id="65" w:name="_Toc22897648"/>
      <w:bookmarkStart w:id="66" w:name="_Toc103610481"/>
      <w:r w:rsidRPr="00262BDA">
        <w:t>Quality Use of Medicines</w:t>
      </w:r>
      <w:bookmarkEnd w:id="65"/>
      <w:bookmarkEnd w:id="66"/>
    </w:p>
    <w:p w14:paraId="38BD0AEF" w14:textId="4469AB02" w:rsidR="00576972" w:rsidRPr="00444E76" w:rsidRDefault="00520061" w:rsidP="00606FBA">
      <w:pPr>
        <w:pStyle w:val="ExecSumBodyText"/>
      </w:pPr>
      <w:r w:rsidRPr="00444E76">
        <w:t>The resubmission stated that the sponsor has a significant presence and reach in the osteoporosis setting, providing an extensive education program that covers specialists, GPs and patients. The resubmission claimed that this presence will be leveraged to provide initiatives to support the quality use of romosozumab, including successful transition to anti-resorptive therapy upon completion of romosozumab treatment.</w:t>
      </w:r>
    </w:p>
    <w:p w14:paraId="305E5A56" w14:textId="4BA29BE5" w:rsidR="00425F7A" w:rsidRPr="00425F7A" w:rsidRDefault="00425F7A" w:rsidP="00606FBA">
      <w:pPr>
        <w:pStyle w:val="ExecSumBodyText"/>
      </w:pPr>
      <w:r w:rsidRPr="00425F7A">
        <w:t>There are multiple ongoing post-marketing surveillance studies and published reviews assessing the risk of serious cardiovascular events associated with romosozumab</w:t>
      </w:r>
      <w:r>
        <w:t xml:space="preserve">. </w:t>
      </w:r>
      <w:r w:rsidRPr="00425F7A">
        <w:t>To date, the available evidence has been unable to rule in or rule out a causal relationship between romosozumab and serious cardiovascular adverse events.</w:t>
      </w:r>
    </w:p>
    <w:p w14:paraId="6015A395" w14:textId="2EDB6A4E" w:rsidR="00576972" w:rsidRPr="00262BDA" w:rsidRDefault="00576972" w:rsidP="00606FBA">
      <w:pPr>
        <w:pStyle w:val="3-SubsectionHeading"/>
      </w:pPr>
      <w:bookmarkStart w:id="67" w:name="_Toc22897649"/>
      <w:bookmarkStart w:id="68" w:name="_Toc103610482"/>
      <w:r w:rsidRPr="00262BDA">
        <w:t>Financial Management – Risk Sharing Arrangements</w:t>
      </w:r>
      <w:bookmarkEnd w:id="67"/>
      <w:bookmarkEnd w:id="68"/>
    </w:p>
    <w:p w14:paraId="0EBC8B54" w14:textId="06E572D4" w:rsidR="00576972" w:rsidRDefault="00E2098E" w:rsidP="00076B24">
      <w:pPr>
        <w:pStyle w:val="ExecSumBodyText"/>
      </w:pPr>
      <w:r w:rsidRPr="00152F1A">
        <w:t xml:space="preserve">The resubmission claimed the sponsor is willing to agree to a revised deed for romosozumab, extending the current risk-sharing arrangement for a further 5 years. The resubmission proposed that the new financial caps be </w:t>
      </w:r>
      <w:r w:rsidR="005E5845">
        <w:t>the</w:t>
      </w:r>
      <w:r w:rsidRPr="00152F1A">
        <w:t xml:space="preserve"> sum of the existing caps with the addition of financial estimates presented for the additional first- and second-line populations. The sponsor proposed a </w:t>
      </w:r>
      <w:r w:rsidR="009A7DC1" w:rsidRPr="009A7DC1">
        <w:rPr>
          <w:color w:val="000000"/>
          <w:w w:val="15"/>
          <w:shd w:val="solid" w:color="000000" w:fill="000000"/>
          <w:fitText w:val="-20" w:id="-1435316480"/>
          <w14:textFill>
            <w14:solidFill>
              <w14:srgbClr w14:val="000000">
                <w14:alpha w14:val="100000"/>
              </w14:srgbClr>
            </w14:solidFill>
          </w14:textFill>
        </w:rPr>
        <w:t xml:space="preserve">|  </w:t>
      </w:r>
      <w:r w:rsidR="009A7DC1" w:rsidRPr="009A7DC1">
        <w:rPr>
          <w:color w:val="000000"/>
          <w:spacing w:val="-69"/>
          <w:w w:val="15"/>
          <w:shd w:val="solid" w:color="000000" w:fill="000000"/>
          <w:fitText w:val="-20" w:id="-1435316480"/>
          <w14:textFill>
            <w14:solidFill>
              <w14:srgbClr w14:val="000000">
                <w14:alpha w14:val="100000"/>
              </w14:srgbClr>
            </w14:solidFill>
          </w14:textFill>
        </w:rPr>
        <w:t>|</w:t>
      </w:r>
      <w:r w:rsidRPr="00152F1A">
        <w:t>% rebate on any expenditure above the caps in place of the current hard caps.</w:t>
      </w:r>
      <w:r w:rsidR="00152F1A" w:rsidRPr="00152F1A">
        <w:t xml:space="preserve"> </w:t>
      </w:r>
      <w:r w:rsidR="00152F1A" w:rsidRPr="005E2E4D">
        <w:t xml:space="preserve">The </w:t>
      </w:r>
      <w:r w:rsidR="00F15987">
        <w:t xml:space="preserve">PBAC agreed with the </w:t>
      </w:r>
      <w:r w:rsidR="007031F3" w:rsidRPr="005E2E4D">
        <w:t xml:space="preserve">ESC </w:t>
      </w:r>
      <w:r w:rsidR="00F15987">
        <w:t>that</w:t>
      </w:r>
      <w:r w:rsidR="00F15987" w:rsidRPr="005E2E4D">
        <w:t xml:space="preserve"> </w:t>
      </w:r>
      <w:r w:rsidR="007031F3" w:rsidRPr="005E2E4D">
        <w:t xml:space="preserve">the </w:t>
      </w:r>
      <w:r w:rsidR="00152F1A" w:rsidRPr="005E2E4D">
        <w:t>nominated</w:t>
      </w:r>
      <w:r w:rsidR="00152F1A" w:rsidRPr="0028085E">
        <w:t xml:space="preserve"> caps were highly uncertain as they were associated with significant uncertainties regarding the size of the eligible and treated populations.</w:t>
      </w:r>
    </w:p>
    <w:p w14:paraId="1538AF62" w14:textId="6026CD1E" w:rsidR="006215FA" w:rsidRDefault="00F2109D" w:rsidP="00560E58">
      <w:pPr>
        <w:pStyle w:val="ExecSumBodyText"/>
        <w:numPr>
          <w:ilvl w:val="0"/>
          <w:numId w:val="0"/>
        </w:numPr>
        <w:ind w:left="720"/>
        <w:rPr>
          <w:i/>
          <w:iCs/>
        </w:rPr>
      </w:pPr>
      <w:r w:rsidRPr="00F2109D">
        <w:rPr>
          <w:i/>
          <w:iCs/>
        </w:rPr>
        <w:t>For more detail on PBAC’s view, see section 7 PBAC outcome.</w:t>
      </w:r>
    </w:p>
    <w:p w14:paraId="3A527E6D" w14:textId="77777777" w:rsidR="006215FA" w:rsidRPr="00A558B0" w:rsidRDefault="006215FA" w:rsidP="00A558B0">
      <w:pPr>
        <w:pStyle w:val="2-SectionHeading"/>
      </w:pPr>
      <w:r w:rsidRPr="00A558B0">
        <w:t>PBAC Outcome</w:t>
      </w:r>
    </w:p>
    <w:p w14:paraId="1C0A5604" w14:textId="59649D23" w:rsidR="00DF4C20" w:rsidRPr="00DF4C20" w:rsidRDefault="00530A8E" w:rsidP="009E214C">
      <w:pPr>
        <w:pStyle w:val="ExecSumBodyText"/>
      </w:pPr>
      <w:r>
        <w:t>The PBAC did not recommend romosozumab</w:t>
      </w:r>
      <w:r w:rsidRPr="00262BDA">
        <w:t xml:space="preserve"> for the treatment of </w:t>
      </w:r>
      <w:r>
        <w:t xml:space="preserve">severe osteoporosis in the first line setting, </w:t>
      </w:r>
      <w:r w:rsidR="00863EC7">
        <w:t xml:space="preserve">nor </w:t>
      </w:r>
      <w:r w:rsidR="00CF6F3C">
        <w:t xml:space="preserve">the </w:t>
      </w:r>
      <w:r>
        <w:t>expanded listing in the second line setting.</w:t>
      </w:r>
      <w:r w:rsidR="004A7DD4">
        <w:t xml:space="preserve"> </w:t>
      </w:r>
      <w:r w:rsidR="009E214C" w:rsidRPr="00CE42B4">
        <w:rPr>
          <w:iCs/>
        </w:rPr>
        <w:t>The</w:t>
      </w:r>
      <w:r w:rsidR="009E214C" w:rsidRPr="00CE42B4">
        <w:t xml:space="preserve"> PBAC considered the </w:t>
      </w:r>
      <w:r w:rsidR="00AD1926">
        <w:t xml:space="preserve">ARCH trial </w:t>
      </w:r>
      <w:r w:rsidR="00CF6F3C" w:rsidRPr="00442592">
        <w:rPr>
          <w:rFonts w:eastAsia="Calibri"/>
          <w:iCs/>
        </w:rPr>
        <w:t>supported a claim of superior efficacy of romosozumab followed by alendronate compared to alendronate alone</w:t>
      </w:r>
      <w:r w:rsidR="00CF6F3C">
        <w:t xml:space="preserve"> in treatment naïve patients; however, the magnitude of benefit was likely</w:t>
      </w:r>
      <w:r w:rsidR="00AD1926">
        <w:t xml:space="preserve"> overestimated</w:t>
      </w:r>
      <w:r w:rsidR="00AD1926">
        <w:rPr>
          <w:rFonts w:eastAsia="Calibri"/>
        </w:rPr>
        <w:t xml:space="preserve"> </w:t>
      </w:r>
      <w:r w:rsidR="00CF6F3C">
        <w:rPr>
          <w:rFonts w:eastAsia="Calibri"/>
        </w:rPr>
        <w:t>compared to the</w:t>
      </w:r>
      <w:r w:rsidR="00AD1926">
        <w:rPr>
          <w:rFonts w:eastAsia="Calibri"/>
        </w:rPr>
        <w:t xml:space="preserve"> </w:t>
      </w:r>
      <w:r w:rsidR="00863EC7">
        <w:t xml:space="preserve">clinical </w:t>
      </w:r>
      <w:r w:rsidR="00AD1926">
        <w:t>effectiveness</w:t>
      </w:r>
      <w:r w:rsidR="00863EC7">
        <w:t xml:space="preserve"> </w:t>
      </w:r>
      <w:r w:rsidR="00AD1926">
        <w:t xml:space="preserve">in the Australian treatment setting </w:t>
      </w:r>
      <w:r w:rsidR="009E214C">
        <w:rPr>
          <w:rFonts w:eastAsia="Calibri"/>
        </w:rPr>
        <w:t xml:space="preserve">due to </w:t>
      </w:r>
      <w:r w:rsidR="00AD1926">
        <w:rPr>
          <w:rFonts w:eastAsia="Calibri"/>
        </w:rPr>
        <w:t xml:space="preserve">prior use of, </w:t>
      </w:r>
      <w:r w:rsidR="009E214C">
        <w:rPr>
          <w:rFonts w:eastAsia="Calibri"/>
        </w:rPr>
        <w:t xml:space="preserve">poor transition to and </w:t>
      </w:r>
      <w:r w:rsidR="00061632">
        <w:rPr>
          <w:rFonts w:eastAsia="Calibri"/>
        </w:rPr>
        <w:t xml:space="preserve">lower </w:t>
      </w:r>
      <w:r w:rsidR="009E214C">
        <w:rPr>
          <w:rFonts w:eastAsia="Calibri"/>
        </w:rPr>
        <w:t xml:space="preserve">persistence with anti-resorptive therapy post romosozumab. The PBAC considered the comparative effectiveness for the additional second line subpopulations was uncertain due to data limitations. </w:t>
      </w:r>
      <w:r w:rsidR="00DF4C20">
        <w:rPr>
          <w:rFonts w:eastAsia="Calibri"/>
        </w:rPr>
        <w:t>The PBAC noted a</w:t>
      </w:r>
      <w:r w:rsidR="00DF4C20" w:rsidRPr="00483F9A">
        <w:rPr>
          <w:rFonts w:eastAsia="Calibri"/>
        </w:rPr>
        <w:t xml:space="preserve">n economic analysis was presented for romosozumab in the </w:t>
      </w:r>
      <w:r w:rsidR="00DF4C20">
        <w:rPr>
          <w:rFonts w:eastAsia="Calibri"/>
        </w:rPr>
        <w:t>first</w:t>
      </w:r>
      <w:r w:rsidR="00DF4C20" w:rsidRPr="00483F9A">
        <w:rPr>
          <w:rFonts w:eastAsia="Calibri"/>
        </w:rPr>
        <w:t xml:space="preserve"> line setting</w:t>
      </w:r>
      <w:r w:rsidR="00DF4C20">
        <w:rPr>
          <w:rFonts w:eastAsia="Calibri"/>
        </w:rPr>
        <w:t xml:space="preserve"> and considered that revised inputs </w:t>
      </w:r>
      <w:r w:rsidR="00AD1926">
        <w:rPr>
          <w:rFonts w:eastAsia="Calibri"/>
        </w:rPr>
        <w:t xml:space="preserve">and assumptions </w:t>
      </w:r>
      <w:r w:rsidR="00DF4C20">
        <w:rPr>
          <w:rFonts w:eastAsia="Calibri"/>
        </w:rPr>
        <w:t>were required</w:t>
      </w:r>
      <w:r w:rsidR="00087CE2">
        <w:rPr>
          <w:rFonts w:eastAsia="Calibri"/>
        </w:rPr>
        <w:t>,</w:t>
      </w:r>
      <w:r w:rsidR="00511389">
        <w:rPr>
          <w:rFonts w:eastAsia="Calibri"/>
        </w:rPr>
        <w:t xml:space="preserve"> </w:t>
      </w:r>
      <w:r w:rsidR="00087CE2">
        <w:rPr>
          <w:rFonts w:eastAsia="Calibri"/>
        </w:rPr>
        <w:t xml:space="preserve">along </w:t>
      </w:r>
      <w:r w:rsidR="00511389">
        <w:rPr>
          <w:rFonts w:eastAsia="Calibri"/>
        </w:rPr>
        <w:t xml:space="preserve">with </w:t>
      </w:r>
      <w:r w:rsidR="00511389" w:rsidRPr="00DF4C20">
        <w:rPr>
          <w:iCs/>
        </w:rPr>
        <w:t>a price reduction</w:t>
      </w:r>
      <w:r w:rsidR="00087CE2">
        <w:rPr>
          <w:iCs/>
        </w:rPr>
        <w:t>,</w:t>
      </w:r>
      <w:r w:rsidR="00511389" w:rsidRPr="00DF4C20">
        <w:rPr>
          <w:iCs/>
        </w:rPr>
        <w:t xml:space="preserve"> to achieve </w:t>
      </w:r>
      <w:r w:rsidR="00087CE2">
        <w:rPr>
          <w:iCs/>
        </w:rPr>
        <w:t xml:space="preserve">acceptable </w:t>
      </w:r>
      <w:r w:rsidR="00511389" w:rsidRPr="00DF4C20">
        <w:rPr>
          <w:iCs/>
        </w:rPr>
        <w:t>cost-effectiveness</w:t>
      </w:r>
      <w:r w:rsidR="00DF4C20">
        <w:rPr>
          <w:rFonts w:eastAsia="Calibri"/>
        </w:rPr>
        <w:t xml:space="preserve">. </w:t>
      </w:r>
      <w:r w:rsidR="00DF4C20" w:rsidRPr="00483F9A">
        <w:rPr>
          <w:rFonts w:eastAsia="Calibri"/>
        </w:rPr>
        <w:t xml:space="preserve">The </w:t>
      </w:r>
      <w:r w:rsidR="00DF4C20">
        <w:rPr>
          <w:rFonts w:eastAsia="Calibri"/>
        </w:rPr>
        <w:t xml:space="preserve">PBAC considered the </w:t>
      </w:r>
      <w:r w:rsidR="00DF4C20" w:rsidRPr="00483F9A">
        <w:rPr>
          <w:rFonts w:eastAsia="Calibri"/>
        </w:rPr>
        <w:t xml:space="preserve">cost-effectiveness of romosozumab in </w:t>
      </w:r>
      <w:r w:rsidR="00DF4C20">
        <w:rPr>
          <w:rFonts w:eastAsia="Calibri"/>
        </w:rPr>
        <w:t xml:space="preserve">the expanded second line setting </w:t>
      </w:r>
      <w:r w:rsidR="00DF4C20" w:rsidRPr="00483F9A">
        <w:rPr>
          <w:rFonts w:eastAsia="Calibri"/>
        </w:rPr>
        <w:t>was un</w:t>
      </w:r>
      <w:r w:rsidR="00DF4C20">
        <w:rPr>
          <w:rFonts w:eastAsia="Calibri"/>
        </w:rPr>
        <w:t>able to be adequately assessed using the data presented</w:t>
      </w:r>
      <w:r w:rsidR="00DF4C20" w:rsidRPr="00483F9A">
        <w:rPr>
          <w:rFonts w:eastAsia="Calibri"/>
        </w:rPr>
        <w:t>.</w:t>
      </w:r>
      <w:r w:rsidR="00DF4C20">
        <w:rPr>
          <w:rFonts w:eastAsia="Calibri"/>
        </w:rPr>
        <w:t xml:space="preserve"> The PBAC considered that the </w:t>
      </w:r>
      <w:r w:rsidR="00683947" w:rsidRPr="00683947">
        <w:rPr>
          <w:rFonts w:eastAsia="Calibri"/>
          <w:lang w:val="en-US"/>
        </w:rPr>
        <w:t xml:space="preserve">size of expanded population </w:t>
      </w:r>
      <w:r w:rsidR="00087CE2">
        <w:rPr>
          <w:rFonts w:eastAsia="Calibri"/>
          <w:lang w:val="en-US"/>
        </w:rPr>
        <w:t>wa</w:t>
      </w:r>
      <w:r w:rsidR="00683947" w:rsidRPr="00683947">
        <w:rPr>
          <w:rFonts w:eastAsia="Calibri"/>
          <w:lang w:val="en-US"/>
        </w:rPr>
        <w:t>s poorly defined</w:t>
      </w:r>
      <w:r w:rsidR="00683947">
        <w:rPr>
          <w:rFonts w:eastAsia="Calibri"/>
          <w:lang w:val="en-US"/>
        </w:rPr>
        <w:t xml:space="preserve"> and the </w:t>
      </w:r>
      <w:r w:rsidR="00DF4C20">
        <w:rPr>
          <w:rFonts w:eastAsia="Calibri"/>
        </w:rPr>
        <w:t xml:space="preserve">financial estimates were highly uncertain. </w:t>
      </w:r>
    </w:p>
    <w:p w14:paraId="62A94A46" w14:textId="6F268A25" w:rsidR="00560E58" w:rsidRPr="00560E58" w:rsidRDefault="00603246" w:rsidP="006215FA">
      <w:pPr>
        <w:pStyle w:val="ExecSumBodyText"/>
      </w:pPr>
      <w:r>
        <w:rPr>
          <w:rFonts w:cstheme="minorHAnsi"/>
        </w:rPr>
        <w:t xml:space="preserve">The PBAC </w:t>
      </w:r>
      <w:r w:rsidR="006348BB">
        <w:rPr>
          <w:rFonts w:cstheme="minorHAnsi"/>
        </w:rPr>
        <w:t xml:space="preserve">noted the input from individuals, health care professionals and organisations highlighting the potential role of romosozumab in the first line setting in those at highest risk of fracture recurrence. In addition, the comments described concerns regarding inequity in access associated with the current romosozumab PBS listing. </w:t>
      </w:r>
      <w:r w:rsidR="00560E58">
        <w:rPr>
          <w:rFonts w:cstheme="minorHAnsi"/>
        </w:rPr>
        <w:t xml:space="preserve">The PBAC considered there is likely a clinical </w:t>
      </w:r>
      <w:r w:rsidR="00507C06">
        <w:rPr>
          <w:rFonts w:cstheme="minorHAnsi"/>
        </w:rPr>
        <w:t>need</w:t>
      </w:r>
      <w:r w:rsidR="00560E58">
        <w:rPr>
          <w:rFonts w:cstheme="minorHAnsi"/>
        </w:rPr>
        <w:t xml:space="preserve"> for </w:t>
      </w:r>
      <w:r w:rsidR="00560E58" w:rsidRPr="00442592">
        <w:t xml:space="preserve">earlier use of </w:t>
      </w:r>
      <w:r w:rsidR="00560E58">
        <w:t>romosozumab in patients at very high risk of fracture</w:t>
      </w:r>
      <w:r w:rsidR="00507C06">
        <w:t>,</w:t>
      </w:r>
      <w:r w:rsidR="00560E58">
        <w:t xml:space="preserve"> noting that</w:t>
      </w:r>
      <w:r w:rsidR="00507C06">
        <w:t xml:space="preserve"> a number of</w:t>
      </w:r>
      <w:r w:rsidR="00560E58">
        <w:t xml:space="preserve"> international guidelines support the earlier use of </w:t>
      </w:r>
      <w:r w:rsidR="00560E58" w:rsidRPr="00442592">
        <w:t>anabolic agents</w:t>
      </w:r>
      <w:r w:rsidR="00560E58">
        <w:t xml:space="preserve"> in such patients (see paragraph </w:t>
      </w:r>
      <w:r w:rsidR="00560E58">
        <w:fldChar w:fldCharType="begin"/>
      </w:r>
      <w:r w:rsidR="00560E58">
        <w:instrText xml:space="preserve"> REF _Ref110419243 \r \h </w:instrText>
      </w:r>
      <w:r w:rsidR="00560E58">
        <w:fldChar w:fldCharType="separate"/>
      </w:r>
      <w:r w:rsidR="00F57113">
        <w:t>4.4</w:t>
      </w:r>
      <w:r w:rsidR="00560E58">
        <w:fldChar w:fldCharType="end"/>
      </w:r>
      <w:r w:rsidR="00560E58">
        <w:t xml:space="preserve">). </w:t>
      </w:r>
    </w:p>
    <w:p w14:paraId="5536951E" w14:textId="334C5DBB" w:rsidR="00507C06" w:rsidRDefault="00507C06" w:rsidP="003A53F3">
      <w:pPr>
        <w:pStyle w:val="ExecSumBodyText"/>
      </w:pPr>
      <w:r w:rsidRPr="00507C06">
        <w:t>T</w:t>
      </w:r>
      <w:r w:rsidR="006B37F3">
        <w:t xml:space="preserve">he </w:t>
      </w:r>
      <w:r w:rsidR="00324E95">
        <w:t xml:space="preserve">clinical criteria in the </w:t>
      </w:r>
      <w:r w:rsidRPr="00507C06">
        <w:t xml:space="preserve">requested first line restriction </w:t>
      </w:r>
      <w:r w:rsidR="006B37F3">
        <w:t xml:space="preserve">was based on a synthesis of fracture location, number of fractures, clinical symptoms, recency of fracture and BMD T-score. </w:t>
      </w:r>
      <w:r w:rsidR="003A53F3">
        <w:t xml:space="preserve">The PBAC considered the clinical criteria as presented in the submission did not appear consistent with the range of very high risk groups identified in published guidelines or the ARCH trial eligibility criteria. </w:t>
      </w:r>
      <w:r w:rsidRPr="00507C06">
        <w:t xml:space="preserve">The </w:t>
      </w:r>
      <w:r w:rsidR="006B37F3">
        <w:t xml:space="preserve">PBAC agreed </w:t>
      </w:r>
      <w:r w:rsidR="003A53F3">
        <w:t xml:space="preserve">with the </w:t>
      </w:r>
      <w:r w:rsidRPr="00507C06">
        <w:t xml:space="preserve">ESC </w:t>
      </w:r>
      <w:r w:rsidR="003A53F3">
        <w:t>that</w:t>
      </w:r>
      <w:r w:rsidRPr="00507C06">
        <w:t xml:space="preserve"> there were inconsistencies in the subpopulation definitions of very high risk between the restriction, clinical evidence, economic model and financial estimates.</w:t>
      </w:r>
      <w:r w:rsidR="006B37F3" w:rsidRPr="006B37F3">
        <w:t xml:space="preserve"> </w:t>
      </w:r>
      <w:r w:rsidR="003A53F3">
        <w:t>The pre-PBAC response provided a combined single restriction for romosozumab which encompassed both first</w:t>
      </w:r>
      <w:r w:rsidR="00227950">
        <w:t>-</w:t>
      </w:r>
      <w:r w:rsidR="003A53F3">
        <w:t xml:space="preserve"> and second-line use</w:t>
      </w:r>
      <w:r w:rsidR="0095562A">
        <w:t xml:space="preserve"> and included reference to minimal trauma fracture history. The PBAC considered a combined single restriction that included reference to minimal trauma fractures as part of identification of very high risk patients </w:t>
      </w:r>
      <w:r w:rsidR="00555852">
        <w:t xml:space="preserve">was consistent with existing osteoporosis listings and </w:t>
      </w:r>
      <w:r w:rsidR="0095562A">
        <w:t>would likely be appropriate.</w:t>
      </w:r>
    </w:p>
    <w:p w14:paraId="5532B8BA" w14:textId="48D94BBD" w:rsidR="007D7C6A" w:rsidRDefault="00AA3B38" w:rsidP="00106854">
      <w:pPr>
        <w:pStyle w:val="ExecSumBodyText"/>
      </w:pPr>
      <w:r>
        <w:t xml:space="preserve">The PBAC </w:t>
      </w:r>
      <w:r w:rsidR="007952F3">
        <w:t xml:space="preserve">considered that </w:t>
      </w:r>
      <w:r>
        <w:t>alendronate</w:t>
      </w:r>
      <w:r w:rsidR="007952F3">
        <w:t>, as a proxy for anti-resorptive therapy</w:t>
      </w:r>
      <w:r>
        <w:t xml:space="preserve">, was </w:t>
      </w:r>
      <w:r w:rsidR="007952F3">
        <w:t xml:space="preserve">appropriate as the nominated comparator. However, the PBAC reiterated its previous advice that </w:t>
      </w:r>
      <w:r w:rsidR="007952F3" w:rsidRPr="007952F3">
        <w:t>denosumab would be the therapy most likely to be replaced in practice</w:t>
      </w:r>
      <w:r w:rsidR="007952F3">
        <w:t xml:space="preserve"> (see </w:t>
      </w:r>
      <w:r w:rsidR="007952F3">
        <w:fldChar w:fldCharType="begin"/>
      </w:r>
      <w:r w:rsidR="007952F3">
        <w:instrText xml:space="preserve"> REF _Ref110426474 \h </w:instrText>
      </w:r>
      <w:r w:rsidR="007952F3">
        <w:fldChar w:fldCharType="separate"/>
      </w:r>
      <w:r w:rsidR="0062058A">
        <w:t xml:space="preserve">Table </w:t>
      </w:r>
      <w:r w:rsidR="0062058A">
        <w:rPr>
          <w:noProof/>
        </w:rPr>
        <w:t>2</w:t>
      </w:r>
      <w:r w:rsidR="007952F3">
        <w:fldChar w:fldCharType="end"/>
      </w:r>
      <w:r w:rsidR="007952F3">
        <w:t xml:space="preserve">).  </w:t>
      </w:r>
    </w:p>
    <w:p w14:paraId="0557EC88" w14:textId="5E835D50" w:rsidR="007D7C6A" w:rsidRDefault="00AA3B38" w:rsidP="007D7C6A">
      <w:pPr>
        <w:pStyle w:val="ExecSumBodyText"/>
      </w:pPr>
      <w:r>
        <w:t>The resubmission was based on a direct comparison of romosozumab versus alendronate in the ARCH trial</w:t>
      </w:r>
      <w:r w:rsidR="0062058A">
        <w:t>,</w:t>
      </w:r>
      <w:r w:rsidR="00EC29B8">
        <w:t xml:space="preserve"> </w:t>
      </w:r>
      <w:r w:rsidR="006133F3">
        <w:t>conducted in patients</w:t>
      </w:r>
      <w:r w:rsidR="00EC29B8">
        <w:t xml:space="preserve"> predominantly naïve to anti-resorptive therapy</w:t>
      </w:r>
      <w:r>
        <w:t>.</w:t>
      </w:r>
      <w:r w:rsidR="00FB2ABD">
        <w:t xml:space="preserve"> </w:t>
      </w:r>
      <w:r w:rsidR="006D6F67">
        <w:t xml:space="preserve">The PBAC noted that treatment </w:t>
      </w:r>
      <w:r w:rsidR="006D6F67" w:rsidRPr="00E217BE">
        <w:t>with romosozumab followed by alendronate was associated with statistically significant decreases in vertebral fractures, clinical fractures and non-vertebral fractures over</w:t>
      </w:r>
      <w:r w:rsidR="006D6F67">
        <w:t xml:space="preserve"> a median of 33 months</w:t>
      </w:r>
      <w:r w:rsidR="006D6F67" w:rsidRPr="00E217BE">
        <w:t xml:space="preserve"> </w:t>
      </w:r>
      <w:r w:rsidR="006D6F67" w:rsidRPr="00421471">
        <w:t>compared to alendronate alone</w:t>
      </w:r>
      <w:r w:rsidR="006D6F67">
        <w:t xml:space="preserve"> (see paragraph </w:t>
      </w:r>
      <w:r w:rsidR="006D6F67">
        <w:fldChar w:fldCharType="begin"/>
      </w:r>
      <w:r w:rsidR="006D6F67">
        <w:instrText xml:space="preserve"> REF _Ref110427741 \r \h </w:instrText>
      </w:r>
      <w:r w:rsidR="006D6F67">
        <w:fldChar w:fldCharType="separate"/>
      </w:r>
      <w:r w:rsidR="00F57113">
        <w:t>6.15</w:t>
      </w:r>
      <w:r w:rsidR="006D6F67">
        <w:fldChar w:fldCharType="end"/>
      </w:r>
      <w:r w:rsidR="006D6F67">
        <w:t>)</w:t>
      </w:r>
      <w:r w:rsidR="006D6F67" w:rsidRPr="00421471">
        <w:t>.</w:t>
      </w:r>
      <w:r w:rsidR="00983790">
        <w:t xml:space="preserve"> </w:t>
      </w:r>
    </w:p>
    <w:p w14:paraId="10B3E5A7" w14:textId="39AEB118" w:rsidR="007D7C6A" w:rsidRDefault="007D7C6A" w:rsidP="006133F3">
      <w:pPr>
        <w:pStyle w:val="ExecSumBodyText"/>
      </w:pPr>
      <w:r w:rsidRPr="007D7C6A">
        <w:t>The PBAC noted that no new data were presented in the resubmission to support an expanded second line listing.</w:t>
      </w:r>
      <w:r>
        <w:t xml:space="preserve"> The resubmission assumed that relative treatment effects in the ARCH trial are generalisable to the second line setting. </w:t>
      </w:r>
      <w:r w:rsidR="006133F3">
        <w:t>In addition, the PBAC</w:t>
      </w:r>
      <w:r w:rsidR="00090838">
        <w:t xml:space="preserve"> noted</w:t>
      </w:r>
      <w:r w:rsidR="006133F3">
        <w:t xml:space="preserve"> the results from post-hoc analyses of romosozumab trials suggest potentially lower BMD gains should anabolic agents be used following anti-resorptive therapy (see paragraph </w:t>
      </w:r>
      <w:r w:rsidR="006133F3">
        <w:fldChar w:fldCharType="begin"/>
      </w:r>
      <w:r w:rsidR="006133F3">
        <w:instrText xml:space="preserve"> REF _Ref102142083 \r \h  \* MERGEFORMAT </w:instrText>
      </w:r>
      <w:r w:rsidR="006133F3">
        <w:fldChar w:fldCharType="separate"/>
      </w:r>
      <w:r w:rsidR="00F57113">
        <w:t>6.23</w:t>
      </w:r>
      <w:r w:rsidR="006133F3">
        <w:fldChar w:fldCharType="end"/>
      </w:r>
      <w:r w:rsidR="006133F3">
        <w:t>)</w:t>
      </w:r>
      <w:r w:rsidR="00090838">
        <w:t xml:space="preserve">, although the Committee considered the impact of lower BMD gains on fracture risk was uncertain.  </w:t>
      </w:r>
      <w:r w:rsidR="006133F3">
        <w:t xml:space="preserve"> </w:t>
      </w:r>
    </w:p>
    <w:p w14:paraId="3B3DA831" w14:textId="7354A2D4" w:rsidR="00090838" w:rsidRPr="00B455E3" w:rsidRDefault="00090838" w:rsidP="00090838">
      <w:pPr>
        <w:pStyle w:val="ListParagraph"/>
        <w:numPr>
          <w:ilvl w:val="1"/>
          <w:numId w:val="1"/>
        </w:numPr>
        <w:spacing w:after="120"/>
        <w:contextualSpacing w:val="0"/>
      </w:pPr>
      <w:r>
        <w:t xml:space="preserve">The PBAC </w:t>
      </w:r>
      <w:r w:rsidR="006D2B07">
        <w:t xml:space="preserve">recalled previous concerns that </w:t>
      </w:r>
      <w:r>
        <w:t>the long-term comparative efficacy of romosozumab was uncertain and that maintenance of the treatment effect after discontinuation of romosozumab would likely depend on persistence with anti-resorptive therapy</w:t>
      </w:r>
      <w:r w:rsidR="006D2B07">
        <w:t xml:space="preserve"> (see paragraph </w:t>
      </w:r>
      <w:r w:rsidR="006D2B07">
        <w:fldChar w:fldCharType="begin"/>
      </w:r>
      <w:r w:rsidR="006D2B07">
        <w:instrText xml:space="preserve"> REF _Ref106113170 \r \h </w:instrText>
      </w:r>
      <w:r w:rsidR="006D2B07">
        <w:fldChar w:fldCharType="separate"/>
      </w:r>
      <w:r w:rsidR="00F57113">
        <w:t>6.26</w:t>
      </w:r>
      <w:r w:rsidR="006D2B07">
        <w:fldChar w:fldCharType="end"/>
      </w:r>
      <w:r w:rsidR="006D2B07">
        <w:t>)</w:t>
      </w:r>
      <w:r>
        <w:t xml:space="preserve">. </w:t>
      </w:r>
      <w:r w:rsidR="006D2B07">
        <w:t xml:space="preserve">The PBAC noted </w:t>
      </w:r>
      <w:r w:rsidR="006D2B07" w:rsidRPr="006D2B07">
        <w:rPr>
          <w:rFonts w:asciiTheme="minorHAnsi" w:eastAsia="Calibri" w:hAnsiTheme="minorHAnsi"/>
          <w:iCs/>
          <w:snapToGrid w:val="0"/>
        </w:rPr>
        <w:t xml:space="preserve">the May 2022 </w:t>
      </w:r>
      <w:r w:rsidR="006D2B07" w:rsidRPr="006D2B07">
        <w:rPr>
          <w:iCs/>
        </w:rPr>
        <w:t xml:space="preserve">DUSC Secretariat analysis </w:t>
      </w:r>
      <w:r w:rsidR="006D2B07">
        <w:rPr>
          <w:iCs/>
        </w:rPr>
        <w:t xml:space="preserve">reported </w:t>
      </w:r>
      <w:r w:rsidR="006D2B07" w:rsidRPr="006D2B07">
        <w:rPr>
          <w:iCs/>
        </w:rPr>
        <w:t xml:space="preserve">only </w:t>
      </w:r>
      <w:r w:rsidR="006D2B07" w:rsidRPr="006D2B07">
        <w:rPr>
          <w:iCs/>
          <w:snapToGrid w:val="0"/>
        </w:rPr>
        <w:t>46%</w:t>
      </w:r>
      <w:r w:rsidR="006D2B07" w:rsidRPr="006D2B07">
        <w:rPr>
          <w:iCs/>
        </w:rPr>
        <w:t xml:space="preserve"> (664/1,454)</w:t>
      </w:r>
      <w:r w:rsidR="006D2B07" w:rsidRPr="006D2B07">
        <w:rPr>
          <w:iCs/>
          <w:snapToGrid w:val="0"/>
        </w:rPr>
        <w:t xml:space="preserve"> of patients successfully transitioned to anti-resorptive therapy after stopping teriparatide (see paragraph </w:t>
      </w:r>
      <w:r w:rsidR="006D2B07" w:rsidRPr="006D2B07">
        <w:rPr>
          <w:iCs/>
          <w:snapToGrid w:val="0"/>
        </w:rPr>
        <w:fldChar w:fldCharType="begin"/>
      </w:r>
      <w:r w:rsidR="006D2B07" w:rsidRPr="006D2B07">
        <w:rPr>
          <w:iCs/>
          <w:snapToGrid w:val="0"/>
        </w:rPr>
        <w:instrText xml:space="preserve"> REF _Ref106096252 \r \h  \* MERGEFORMAT </w:instrText>
      </w:r>
      <w:r w:rsidR="006D2B07" w:rsidRPr="006D2B07">
        <w:rPr>
          <w:iCs/>
          <w:snapToGrid w:val="0"/>
        </w:rPr>
      </w:r>
      <w:r w:rsidR="006D2B07" w:rsidRPr="006D2B07">
        <w:rPr>
          <w:iCs/>
          <w:snapToGrid w:val="0"/>
        </w:rPr>
        <w:fldChar w:fldCharType="separate"/>
      </w:r>
      <w:r w:rsidR="00F57113">
        <w:rPr>
          <w:iCs/>
          <w:snapToGrid w:val="0"/>
        </w:rPr>
        <w:t>6.28</w:t>
      </w:r>
      <w:r w:rsidR="006D2B07" w:rsidRPr="006D2B07">
        <w:rPr>
          <w:iCs/>
          <w:snapToGrid w:val="0"/>
        </w:rPr>
        <w:fldChar w:fldCharType="end"/>
      </w:r>
      <w:r w:rsidR="006D2B07" w:rsidRPr="006D2B07">
        <w:rPr>
          <w:iCs/>
          <w:snapToGrid w:val="0"/>
        </w:rPr>
        <w:t>)</w:t>
      </w:r>
      <w:r w:rsidR="006D2B07">
        <w:rPr>
          <w:iCs/>
          <w:snapToGrid w:val="0"/>
        </w:rPr>
        <w:t>. The PBAC considered concerns regarding maintenance of treatment effect after discontinuation of romosozumab were relevant to both the first</w:t>
      </w:r>
      <w:r w:rsidR="00227950">
        <w:rPr>
          <w:iCs/>
          <w:snapToGrid w:val="0"/>
        </w:rPr>
        <w:t>-</w:t>
      </w:r>
      <w:r w:rsidR="006D2B07">
        <w:rPr>
          <w:iCs/>
          <w:snapToGrid w:val="0"/>
        </w:rPr>
        <w:t xml:space="preserve"> and second</w:t>
      </w:r>
      <w:r w:rsidR="00227950">
        <w:rPr>
          <w:iCs/>
          <w:snapToGrid w:val="0"/>
        </w:rPr>
        <w:t>-</w:t>
      </w:r>
      <w:r w:rsidR="006D2B07">
        <w:rPr>
          <w:iCs/>
          <w:snapToGrid w:val="0"/>
        </w:rPr>
        <w:t xml:space="preserve">line settings. </w:t>
      </w:r>
    </w:p>
    <w:p w14:paraId="3E54936A" w14:textId="51890ACE" w:rsidR="006133F3" w:rsidRPr="007D7C6A" w:rsidRDefault="003A11D0" w:rsidP="006133F3">
      <w:pPr>
        <w:pStyle w:val="ExecSumBodyText"/>
      </w:pPr>
      <w:r>
        <w:rPr>
          <w:rFonts w:eastAsia="Calibri"/>
        </w:rPr>
        <w:t xml:space="preserve">Overall, </w:t>
      </w:r>
      <w:bookmarkStart w:id="69" w:name="_Hlk110435357"/>
      <w:r>
        <w:rPr>
          <w:rFonts w:eastAsia="Calibri"/>
        </w:rPr>
        <w:t xml:space="preserve">the PBAC </w:t>
      </w:r>
      <w:r w:rsidR="004D2557">
        <w:rPr>
          <w:rFonts w:eastAsia="Calibri"/>
        </w:rPr>
        <w:t xml:space="preserve">reiterated its previous </w:t>
      </w:r>
      <w:r w:rsidR="004D2557" w:rsidRPr="00442592">
        <w:rPr>
          <w:rFonts w:eastAsia="Calibri"/>
          <w:iCs/>
        </w:rPr>
        <w:t>consider</w:t>
      </w:r>
      <w:r w:rsidR="004D2557">
        <w:rPr>
          <w:rFonts w:eastAsia="Calibri"/>
          <w:iCs/>
        </w:rPr>
        <w:t>ation</w:t>
      </w:r>
      <w:r w:rsidR="004D2557" w:rsidRPr="00442592">
        <w:rPr>
          <w:rFonts w:eastAsia="Calibri"/>
          <w:iCs/>
        </w:rPr>
        <w:t xml:space="preserve"> that fracture outcomes data from the ARCH trial supported a claim of superior efficacy of romosozumab followed by alendronate compared to alendronate alone. </w:t>
      </w:r>
      <w:r w:rsidR="00B769BA">
        <w:rPr>
          <w:rFonts w:eastAsia="Calibri"/>
          <w:iCs/>
        </w:rPr>
        <w:t>T</w:t>
      </w:r>
      <w:r w:rsidR="00B769BA">
        <w:rPr>
          <w:rFonts w:eastAsia="Calibri"/>
        </w:rPr>
        <w:t xml:space="preserve">he claim of superior </w:t>
      </w:r>
      <w:r w:rsidR="00B769BA" w:rsidRPr="00CE42B4">
        <w:t xml:space="preserve">comparative effectiveness </w:t>
      </w:r>
      <w:r w:rsidR="004A7DD4" w:rsidRPr="00CE42B4">
        <w:t>was reasonable</w:t>
      </w:r>
      <w:r w:rsidR="009E214C">
        <w:t xml:space="preserve"> for the first line setting</w:t>
      </w:r>
      <w:r w:rsidR="004D2557">
        <w:t xml:space="preserve"> in treatment </w:t>
      </w:r>
      <w:r w:rsidR="00B769BA">
        <w:t>naïve patients,</w:t>
      </w:r>
      <w:r w:rsidR="009E214C">
        <w:t xml:space="preserve"> </w:t>
      </w:r>
      <w:r w:rsidR="00B769BA">
        <w:t>but was uncertain in the</w:t>
      </w:r>
      <w:r w:rsidR="009E214C">
        <w:t xml:space="preserve"> second line setting</w:t>
      </w:r>
      <w:r w:rsidR="00B769BA">
        <w:t xml:space="preserve"> </w:t>
      </w:r>
      <w:r w:rsidR="00B769BA">
        <w:rPr>
          <w:rFonts w:eastAsia="Calibri"/>
        </w:rPr>
        <w:t>due to data limitations</w:t>
      </w:r>
      <w:r>
        <w:rPr>
          <w:rFonts w:eastAsia="Calibri"/>
        </w:rPr>
        <w:t xml:space="preserve">. </w:t>
      </w:r>
      <w:r w:rsidR="00B769BA">
        <w:rPr>
          <w:rFonts w:eastAsia="Calibri"/>
        </w:rPr>
        <w:t>Overall</w:t>
      </w:r>
      <w:r>
        <w:rPr>
          <w:rFonts w:eastAsia="Calibri"/>
        </w:rPr>
        <w:t xml:space="preserve">, the PBAC considered the magnitude of benefit </w:t>
      </w:r>
      <w:r w:rsidR="00817131">
        <w:rPr>
          <w:rFonts w:eastAsia="Calibri"/>
        </w:rPr>
        <w:t xml:space="preserve">in the Australian population </w:t>
      </w:r>
      <w:r>
        <w:rPr>
          <w:rFonts w:eastAsia="Calibri"/>
        </w:rPr>
        <w:t xml:space="preserve">was uncertain </w:t>
      </w:r>
      <w:r w:rsidR="00817131">
        <w:rPr>
          <w:rFonts w:eastAsia="Calibri"/>
        </w:rPr>
        <w:t>due to</w:t>
      </w:r>
      <w:r>
        <w:rPr>
          <w:rFonts w:eastAsia="Calibri"/>
        </w:rPr>
        <w:t xml:space="preserve"> </w:t>
      </w:r>
      <w:r w:rsidR="00817131">
        <w:rPr>
          <w:rFonts w:eastAsia="Calibri"/>
        </w:rPr>
        <w:t>known poor long-term persistence on anti-resorptive therapy</w:t>
      </w:r>
      <w:r w:rsidR="0032528A">
        <w:rPr>
          <w:rFonts w:eastAsia="Calibri"/>
        </w:rPr>
        <w:t xml:space="preserve">. </w:t>
      </w:r>
      <w:bookmarkEnd w:id="69"/>
    </w:p>
    <w:p w14:paraId="1639B133" w14:textId="77777777" w:rsidR="004A7DD4" w:rsidRPr="006215FA" w:rsidRDefault="004A7DD4" w:rsidP="004A7DD4">
      <w:pPr>
        <w:pStyle w:val="ExecSumBodyText"/>
      </w:pPr>
      <w:r w:rsidRPr="00CE42B4">
        <w:t>The PBAC considered that the claim of inferior comparative safety was reasonable.</w:t>
      </w:r>
    </w:p>
    <w:p w14:paraId="545315BF" w14:textId="46CADD89" w:rsidR="00D64360" w:rsidRPr="00044C86" w:rsidRDefault="009E214C" w:rsidP="00044C86">
      <w:pPr>
        <w:pStyle w:val="ListParagraph"/>
        <w:numPr>
          <w:ilvl w:val="1"/>
          <w:numId w:val="1"/>
        </w:numPr>
        <w:spacing w:after="120"/>
        <w:rPr>
          <w:iCs/>
          <w:snapToGrid w:val="0"/>
        </w:rPr>
      </w:pPr>
      <w:bookmarkStart w:id="70" w:name="_Ref110510867"/>
      <w:r w:rsidRPr="00DF4C20">
        <w:rPr>
          <w:iCs/>
          <w:snapToGrid w:val="0"/>
        </w:rPr>
        <w:t xml:space="preserve">The PBAC recalled </w:t>
      </w:r>
      <w:r w:rsidR="002C200B" w:rsidRPr="00DF4C20">
        <w:rPr>
          <w:iCs/>
          <w:snapToGrid w:val="0"/>
        </w:rPr>
        <w:t>that in November 2018 and March 2020 the</w:t>
      </w:r>
      <w:r w:rsidRPr="00DF4C20">
        <w:rPr>
          <w:iCs/>
          <w:snapToGrid w:val="0"/>
        </w:rPr>
        <w:t xml:space="preserve"> </w:t>
      </w:r>
      <w:r w:rsidR="002C200B" w:rsidRPr="00DF4C20">
        <w:rPr>
          <w:iCs/>
          <w:snapToGrid w:val="0"/>
        </w:rPr>
        <w:t xml:space="preserve">Committee considered the cost-effectiveness analysis of romosozumab versus alendronate presented was unreliable for decision-making (see paragraphs </w:t>
      </w:r>
      <w:r w:rsidR="002C200B" w:rsidRPr="00DF4C20">
        <w:rPr>
          <w:iCs/>
          <w:snapToGrid w:val="0"/>
        </w:rPr>
        <w:fldChar w:fldCharType="begin"/>
      </w:r>
      <w:r w:rsidR="002C200B" w:rsidRPr="00DF4C20">
        <w:rPr>
          <w:iCs/>
          <w:snapToGrid w:val="0"/>
        </w:rPr>
        <w:instrText xml:space="preserve"> REF _Ref110495779 \r \h </w:instrText>
      </w:r>
      <w:r w:rsidR="00DF4C20">
        <w:rPr>
          <w:iCs/>
          <w:snapToGrid w:val="0"/>
        </w:rPr>
        <w:instrText xml:space="preserve"> \* MERGEFORMAT </w:instrText>
      </w:r>
      <w:r w:rsidR="002C200B" w:rsidRPr="00DF4C20">
        <w:rPr>
          <w:iCs/>
          <w:snapToGrid w:val="0"/>
        </w:rPr>
      </w:r>
      <w:r w:rsidR="002C200B" w:rsidRPr="00DF4C20">
        <w:rPr>
          <w:iCs/>
          <w:snapToGrid w:val="0"/>
        </w:rPr>
        <w:fldChar w:fldCharType="separate"/>
      </w:r>
      <w:r w:rsidR="00F57113">
        <w:rPr>
          <w:iCs/>
          <w:snapToGrid w:val="0"/>
        </w:rPr>
        <w:t>6.50</w:t>
      </w:r>
      <w:r w:rsidR="002C200B" w:rsidRPr="00DF4C20">
        <w:rPr>
          <w:iCs/>
          <w:snapToGrid w:val="0"/>
        </w:rPr>
        <w:fldChar w:fldCharType="end"/>
      </w:r>
      <w:r w:rsidR="002C200B" w:rsidRPr="00DF4C20">
        <w:rPr>
          <w:iCs/>
          <w:snapToGrid w:val="0"/>
        </w:rPr>
        <w:t xml:space="preserve"> and </w:t>
      </w:r>
      <w:r w:rsidR="002C200B" w:rsidRPr="00DF4C20">
        <w:rPr>
          <w:iCs/>
          <w:snapToGrid w:val="0"/>
        </w:rPr>
        <w:fldChar w:fldCharType="begin"/>
      </w:r>
      <w:r w:rsidR="002C200B" w:rsidRPr="00DF4C20">
        <w:rPr>
          <w:iCs/>
          <w:snapToGrid w:val="0"/>
        </w:rPr>
        <w:instrText xml:space="preserve"> REF _Ref110495786 \r \h </w:instrText>
      </w:r>
      <w:r w:rsidR="00DF4C20">
        <w:rPr>
          <w:iCs/>
          <w:snapToGrid w:val="0"/>
        </w:rPr>
        <w:instrText xml:space="preserve"> \* MERGEFORMAT </w:instrText>
      </w:r>
      <w:r w:rsidR="002C200B" w:rsidRPr="00DF4C20">
        <w:rPr>
          <w:iCs/>
          <w:snapToGrid w:val="0"/>
        </w:rPr>
      </w:r>
      <w:r w:rsidR="002C200B" w:rsidRPr="00DF4C20">
        <w:rPr>
          <w:iCs/>
          <w:snapToGrid w:val="0"/>
        </w:rPr>
        <w:fldChar w:fldCharType="separate"/>
      </w:r>
      <w:r w:rsidR="00F57113">
        <w:rPr>
          <w:iCs/>
          <w:snapToGrid w:val="0"/>
        </w:rPr>
        <w:t>6.52</w:t>
      </w:r>
      <w:r w:rsidR="002C200B" w:rsidRPr="00DF4C20">
        <w:rPr>
          <w:iCs/>
          <w:snapToGrid w:val="0"/>
        </w:rPr>
        <w:fldChar w:fldCharType="end"/>
      </w:r>
      <w:r w:rsidR="002C200B" w:rsidRPr="00DF4C20">
        <w:rPr>
          <w:iCs/>
          <w:snapToGrid w:val="0"/>
        </w:rPr>
        <w:t xml:space="preserve">). The PBAC noted </w:t>
      </w:r>
      <w:r w:rsidR="000745FA" w:rsidRPr="00DF4C20">
        <w:rPr>
          <w:iCs/>
          <w:snapToGrid w:val="0"/>
        </w:rPr>
        <w:t xml:space="preserve">that </w:t>
      </w:r>
      <w:r w:rsidR="003D7CE4">
        <w:rPr>
          <w:iCs/>
          <w:snapToGrid w:val="0"/>
        </w:rPr>
        <w:t xml:space="preserve">in this resubmission </w:t>
      </w:r>
      <w:r w:rsidR="000745FA" w:rsidRPr="00DF4C20">
        <w:rPr>
          <w:iCs/>
          <w:snapToGrid w:val="0"/>
        </w:rPr>
        <w:t xml:space="preserve">multiple revisions were made to the model inputs to address previous concerns (see paragraph </w:t>
      </w:r>
      <w:r w:rsidR="000745FA" w:rsidRPr="00DF4C20">
        <w:rPr>
          <w:iCs/>
          <w:snapToGrid w:val="0"/>
        </w:rPr>
        <w:fldChar w:fldCharType="begin"/>
      </w:r>
      <w:r w:rsidR="000745FA" w:rsidRPr="00DF4C20">
        <w:rPr>
          <w:iCs/>
          <w:snapToGrid w:val="0"/>
        </w:rPr>
        <w:instrText xml:space="preserve"> REF _Ref110496428 \r \h </w:instrText>
      </w:r>
      <w:r w:rsidR="00DF4C20">
        <w:rPr>
          <w:iCs/>
          <w:snapToGrid w:val="0"/>
        </w:rPr>
        <w:instrText xml:space="preserve"> \* MERGEFORMAT </w:instrText>
      </w:r>
      <w:r w:rsidR="000745FA" w:rsidRPr="00DF4C20">
        <w:rPr>
          <w:iCs/>
          <w:snapToGrid w:val="0"/>
        </w:rPr>
      </w:r>
      <w:r w:rsidR="000745FA" w:rsidRPr="00DF4C20">
        <w:rPr>
          <w:iCs/>
          <w:snapToGrid w:val="0"/>
        </w:rPr>
        <w:fldChar w:fldCharType="separate"/>
      </w:r>
      <w:r w:rsidR="00F57113">
        <w:rPr>
          <w:iCs/>
          <w:snapToGrid w:val="0"/>
        </w:rPr>
        <w:t>6.59</w:t>
      </w:r>
      <w:r w:rsidR="000745FA" w:rsidRPr="00DF4C20">
        <w:rPr>
          <w:iCs/>
          <w:snapToGrid w:val="0"/>
        </w:rPr>
        <w:fldChar w:fldCharType="end"/>
      </w:r>
      <w:r w:rsidR="000745FA" w:rsidRPr="00DF4C20">
        <w:rPr>
          <w:iCs/>
          <w:snapToGrid w:val="0"/>
        </w:rPr>
        <w:t xml:space="preserve">). The PBAC agreed with the ESC that key issues for the revised model included the extrapolation of treatment benefits beyond the trial duration, treatment discontinuation assumptions and </w:t>
      </w:r>
      <w:r w:rsidR="003E77B4" w:rsidRPr="00DF4C20">
        <w:rPr>
          <w:iCs/>
          <w:snapToGrid w:val="0"/>
        </w:rPr>
        <w:t>applicability to the second line setting</w:t>
      </w:r>
      <w:r w:rsidR="000745FA" w:rsidRPr="00DF4C20">
        <w:rPr>
          <w:iCs/>
          <w:snapToGrid w:val="0"/>
        </w:rPr>
        <w:t xml:space="preserve">. </w:t>
      </w:r>
      <w:r w:rsidR="003E77B4" w:rsidRPr="00DF4C20">
        <w:rPr>
          <w:iCs/>
          <w:snapToGrid w:val="0"/>
        </w:rPr>
        <w:t xml:space="preserve">The PBAC considered there was high uncertainty in the extrapolation of treatment effects over 6 years given the lack of long-term efficacy data beyond the 3-year trial duration. Although the modelled treatment effect declines to zero incremental difference by year 6, the PBAC considered that the magnitude of treatment effects is uncertain and dependent on persistence to anti-resorptive therapy. The PBAC agreed with the ESC that convergence at 4 years would be more likely to reflect a real world setting, and noted this increased the ICER from a base case of </w:t>
      </w:r>
      <w:r w:rsidR="00044C86" w:rsidRPr="00044C86">
        <w:rPr>
          <w:iCs/>
          <w:snapToGrid w:val="0"/>
        </w:rPr>
        <w:t>$35,000</w:t>
      </w:r>
      <w:r w:rsidR="00774AC6">
        <w:rPr>
          <w:iCs/>
          <w:snapToGrid w:val="0"/>
        </w:rPr>
        <w:t xml:space="preserve"> </w:t>
      </w:r>
      <w:r w:rsidR="00044C86" w:rsidRPr="00044C86">
        <w:rPr>
          <w:iCs/>
          <w:snapToGrid w:val="0"/>
        </w:rPr>
        <w:t>to</w:t>
      </w:r>
      <w:r w:rsidR="00774AC6">
        <w:rPr>
          <w:iCs/>
          <w:snapToGrid w:val="0"/>
        </w:rPr>
        <w:t xml:space="preserve"> </w:t>
      </w:r>
      <w:r w:rsidR="00044C86" w:rsidRPr="00044C86">
        <w:rPr>
          <w:iCs/>
          <w:snapToGrid w:val="0"/>
        </w:rPr>
        <w:t>&lt; $45,000</w:t>
      </w:r>
      <w:r w:rsidR="00044C86">
        <w:rPr>
          <w:iCs/>
          <w:snapToGrid w:val="0"/>
        </w:rPr>
        <w:t xml:space="preserve"> </w:t>
      </w:r>
      <w:r w:rsidR="003E77B4" w:rsidRPr="00044C86">
        <w:rPr>
          <w:iCs/>
          <w:snapToGrid w:val="0"/>
        </w:rPr>
        <w:t xml:space="preserve">per QALY to </w:t>
      </w:r>
      <w:r w:rsidR="00044C86" w:rsidRPr="00044C86">
        <w:rPr>
          <w:iCs/>
          <w:snapToGrid w:val="0"/>
        </w:rPr>
        <w:t>$45,000</w:t>
      </w:r>
      <w:r w:rsidR="00774AC6">
        <w:rPr>
          <w:iCs/>
          <w:snapToGrid w:val="0"/>
        </w:rPr>
        <w:t xml:space="preserve"> </w:t>
      </w:r>
      <w:r w:rsidR="00044C86" w:rsidRPr="00044C86">
        <w:rPr>
          <w:iCs/>
          <w:snapToGrid w:val="0"/>
        </w:rPr>
        <w:t>to</w:t>
      </w:r>
      <w:r w:rsidR="00774AC6">
        <w:rPr>
          <w:iCs/>
          <w:snapToGrid w:val="0"/>
        </w:rPr>
        <w:t xml:space="preserve"> </w:t>
      </w:r>
      <w:r w:rsidR="00044C86" w:rsidRPr="00044C86">
        <w:rPr>
          <w:iCs/>
          <w:snapToGrid w:val="0"/>
        </w:rPr>
        <w:t xml:space="preserve">&lt; $55,000 </w:t>
      </w:r>
      <w:r w:rsidR="003E77B4" w:rsidRPr="00044C86">
        <w:rPr>
          <w:iCs/>
          <w:snapToGrid w:val="0"/>
        </w:rPr>
        <w:t xml:space="preserve">per QALY gained. The PBAC considered the 95% yearly persistence to anti-resorptive therapy appeared inconsistent with clinical practice (see paragraphs </w:t>
      </w:r>
      <w:r w:rsidR="003E77B4" w:rsidRPr="00044C86">
        <w:rPr>
          <w:iCs/>
          <w:snapToGrid w:val="0"/>
        </w:rPr>
        <w:fldChar w:fldCharType="begin"/>
      </w:r>
      <w:r w:rsidR="003E77B4" w:rsidRPr="00044C86">
        <w:rPr>
          <w:iCs/>
          <w:snapToGrid w:val="0"/>
        </w:rPr>
        <w:instrText xml:space="preserve"> REF _Ref106184241 \r \h </w:instrText>
      </w:r>
      <w:r w:rsidR="00DF4C20" w:rsidRPr="00044C86">
        <w:rPr>
          <w:iCs/>
          <w:snapToGrid w:val="0"/>
        </w:rPr>
        <w:instrText xml:space="preserve"> \* MERGEFORMAT </w:instrText>
      </w:r>
      <w:r w:rsidR="003E77B4" w:rsidRPr="00044C86">
        <w:rPr>
          <w:iCs/>
          <w:snapToGrid w:val="0"/>
        </w:rPr>
      </w:r>
      <w:r w:rsidR="003E77B4" w:rsidRPr="00044C86">
        <w:rPr>
          <w:iCs/>
          <w:snapToGrid w:val="0"/>
        </w:rPr>
        <w:fldChar w:fldCharType="separate"/>
      </w:r>
      <w:r w:rsidR="00F57113" w:rsidRPr="00044C86">
        <w:rPr>
          <w:iCs/>
          <w:snapToGrid w:val="0"/>
        </w:rPr>
        <w:t>6.27</w:t>
      </w:r>
      <w:r w:rsidR="003E77B4" w:rsidRPr="00044C86">
        <w:rPr>
          <w:iCs/>
          <w:snapToGrid w:val="0"/>
        </w:rPr>
        <w:fldChar w:fldCharType="end"/>
      </w:r>
      <w:r w:rsidR="00D64360" w:rsidRPr="00044C86">
        <w:rPr>
          <w:iCs/>
          <w:snapToGrid w:val="0"/>
        </w:rPr>
        <w:t xml:space="preserve"> and </w:t>
      </w:r>
      <w:r w:rsidR="003E77B4" w:rsidRPr="00044C86">
        <w:rPr>
          <w:iCs/>
          <w:snapToGrid w:val="0"/>
        </w:rPr>
        <w:fldChar w:fldCharType="begin"/>
      </w:r>
      <w:r w:rsidR="003E77B4" w:rsidRPr="00044C86">
        <w:rPr>
          <w:iCs/>
          <w:snapToGrid w:val="0"/>
        </w:rPr>
        <w:instrText xml:space="preserve"> REF _Ref106096252 \r \h </w:instrText>
      </w:r>
      <w:r w:rsidR="00DF4C20" w:rsidRPr="00044C86">
        <w:rPr>
          <w:iCs/>
          <w:snapToGrid w:val="0"/>
        </w:rPr>
        <w:instrText xml:space="preserve"> \* MERGEFORMAT </w:instrText>
      </w:r>
      <w:r w:rsidR="003E77B4" w:rsidRPr="00044C86">
        <w:rPr>
          <w:iCs/>
          <w:snapToGrid w:val="0"/>
        </w:rPr>
      </w:r>
      <w:r w:rsidR="003E77B4" w:rsidRPr="00044C86">
        <w:rPr>
          <w:iCs/>
          <w:snapToGrid w:val="0"/>
        </w:rPr>
        <w:fldChar w:fldCharType="separate"/>
      </w:r>
      <w:r w:rsidR="00F57113" w:rsidRPr="00044C86">
        <w:rPr>
          <w:iCs/>
          <w:snapToGrid w:val="0"/>
        </w:rPr>
        <w:t>6.28</w:t>
      </w:r>
      <w:r w:rsidR="003E77B4" w:rsidRPr="00044C86">
        <w:rPr>
          <w:iCs/>
          <w:snapToGrid w:val="0"/>
        </w:rPr>
        <w:fldChar w:fldCharType="end"/>
      </w:r>
      <w:r w:rsidR="00D64360" w:rsidRPr="00044C86">
        <w:rPr>
          <w:iCs/>
          <w:snapToGrid w:val="0"/>
        </w:rPr>
        <w:t>)</w:t>
      </w:r>
      <w:r w:rsidR="003E77B4" w:rsidRPr="00044C86">
        <w:rPr>
          <w:iCs/>
          <w:snapToGrid w:val="0"/>
        </w:rPr>
        <w:t xml:space="preserve">. The </w:t>
      </w:r>
      <w:r w:rsidR="00D64360" w:rsidRPr="00044C86">
        <w:rPr>
          <w:iCs/>
          <w:snapToGrid w:val="0"/>
        </w:rPr>
        <w:t xml:space="preserve">PBAC agreed with the </w:t>
      </w:r>
      <w:r w:rsidR="003E77B4" w:rsidRPr="00044C86">
        <w:rPr>
          <w:iCs/>
          <w:snapToGrid w:val="0"/>
        </w:rPr>
        <w:t xml:space="preserve">ESC </w:t>
      </w:r>
      <w:r w:rsidR="00D64360" w:rsidRPr="00044C86">
        <w:rPr>
          <w:iCs/>
          <w:snapToGrid w:val="0"/>
        </w:rPr>
        <w:t xml:space="preserve">that a 20% discontinuation rate would likely be the minimum discontinuation rate anticipated in clinical practice. The PBAC </w:t>
      </w:r>
      <w:r w:rsidR="00483F9A" w:rsidRPr="00044C86">
        <w:rPr>
          <w:iCs/>
          <w:snapToGrid w:val="0"/>
        </w:rPr>
        <w:t xml:space="preserve">considered both </w:t>
      </w:r>
      <w:r w:rsidR="00D64360" w:rsidRPr="00044C86">
        <w:rPr>
          <w:iCs/>
          <w:snapToGrid w:val="0"/>
        </w:rPr>
        <w:t>th</w:t>
      </w:r>
      <w:r w:rsidR="00483F9A" w:rsidRPr="00044C86">
        <w:rPr>
          <w:iCs/>
          <w:snapToGrid w:val="0"/>
        </w:rPr>
        <w:t>e</w:t>
      </w:r>
      <w:r w:rsidR="00D64360" w:rsidRPr="00044C86">
        <w:rPr>
          <w:iCs/>
          <w:snapToGrid w:val="0"/>
        </w:rPr>
        <w:t xml:space="preserve"> adjustment of discontinuation </w:t>
      </w:r>
      <w:r w:rsidR="00483F9A" w:rsidRPr="00044C86">
        <w:rPr>
          <w:iCs/>
          <w:snapToGrid w:val="0"/>
        </w:rPr>
        <w:t xml:space="preserve">(treatment discontinuation 20% per year, both arms) </w:t>
      </w:r>
      <w:r w:rsidR="00D64360" w:rsidRPr="00044C86">
        <w:rPr>
          <w:iCs/>
          <w:snapToGrid w:val="0"/>
        </w:rPr>
        <w:t xml:space="preserve">and convergence </w:t>
      </w:r>
      <w:r w:rsidR="00483F9A" w:rsidRPr="00044C86">
        <w:rPr>
          <w:iCs/>
          <w:snapToGrid w:val="0"/>
        </w:rPr>
        <w:t xml:space="preserve">by 4 years appropriate and noted this </w:t>
      </w:r>
      <w:r w:rsidR="00D64360" w:rsidRPr="00044C86">
        <w:rPr>
          <w:iCs/>
          <w:snapToGrid w:val="0"/>
        </w:rPr>
        <w:t xml:space="preserve">increased the ICER to </w:t>
      </w:r>
      <w:r w:rsidR="00044C86" w:rsidRPr="00044C86">
        <w:rPr>
          <w:iCs/>
          <w:snapToGrid w:val="0"/>
        </w:rPr>
        <w:t>$55,000</w:t>
      </w:r>
      <w:r w:rsidR="00774AC6">
        <w:rPr>
          <w:iCs/>
          <w:snapToGrid w:val="0"/>
        </w:rPr>
        <w:t xml:space="preserve"> </w:t>
      </w:r>
      <w:r w:rsidR="00044C86" w:rsidRPr="00044C86">
        <w:rPr>
          <w:iCs/>
          <w:snapToGrid w:val="0"/>
        </w:rPr>
        <w:t>to</w:t>
      </w:r>
      <w:r w:rsidR="00774AC6">
        <w:rPr>
          <w:iCs/>
          <w:snapToGrid w:val="0"/>
        </w:rPr>
        <w:t xml:space="preserve"> </w:t>
      </w:r>
      <w:r w:rsidR="00044C86" w:rsidRPr="00044C86">
        <w:rPr>
          <w:iCs/>
          <w:snapToGrid w:val="0"/>
        </w:rPr>
        <w:t xml:space="preserve">&lt; $75,000 </w:t>
      </w:r>
      <w:r w:rsidR="00D64360" w:rsidRPr="00044C86">
        <w:rPr>
          <w:iCs/>
          <w:snapToGrid w:val="0"/>
        </w:rPr>
        <w:t xml:space="preserve">per QALY gained. </w:t>
      </w:r>
      <w:r w:rsidR="00483F9A" w:rsidRPr="00044C86">
        <w:rPr>
          <w:iCs/>
          <w:snapToGrid w:val="0"/>
        </w:rPr>
        <w:t>The PBAC considered the resulting ICER unacceptably high and considered a price reduction would likely be required to achieve cost-effectiveness under this revised scenario.</w:t>
      </w:r>
      <w:bookmarkEnd w:id="70"/>
    </w:p>
    <w:p w14:paraId="29F7C40A" w14:textId="4292BBE9" w:rsidR="003E77B4" w:rsidRPr="00DF4C20" w:rsidRDefault="00483F9A" w:rsidP="00DF4C20">
      <w:pPr>
        <w:pStyle w:val="ListParagraph"/>
        <w:numPr>
          <w:ilvl w:val="1"/>
          <w:numId w:val="1"/>
        </w:numPr>
        <w:spacing w:after="120"/>
        <w:contextualSpacing w:val="0"/>
        <w:rPr>
          <w:iCs/>
          <w:snapToGrid w:val="0"/>
        </w:rPr>
      </w:pPr>
      <w:r w:rsidRPr="00DF4C20">
        <w:rPr>
          <w:iCs/>
          <w:snapToGrid w:val="0"/>
        </w:rPr>
        <w:t>The PBAC noted a</w:t>
      </w:r>
      <w:r w:rsidR="003E77B4" w:rsidRPr="00DF4C20">
        <w:rPr>
          <w:iCs/>
          <w:snapToGrid w:val="0"/>
        </w:rPr>
        <w:t xml:space="preserve">n economic analysis was not presented for romosozumab in the expanded second line setting. The </w:t>
      </w:r>
      <w:r w:rsidR="00C631F4" w:rsidRPr="00DF4C20">
        <w:rPr>
          <w:iCs/>
          <w:snapToGrid w:val="0"/>
        </w:rPr>
        <w:t xml:space="preserve">PBAC considered the </w:t>
      </w:r>
      <w:r w:rsidR="003E77B4" w:rsidRPr="00DF4C20">
        <w:rPr>
          <w:iCs/>
          <w:snapToGrid w:val="0"/>
        </w:rPr>
        <w:t xml:space="preserve">cost-effectiveness of romosozumab in </w:t>
      </w:r>
      <w:r w:rsidR="00C631F4" w:rsidRPr="00DF4C20">
        <w:rPr>
          <w:iCs/>
          <w:snapToGrid w:val="0"/>
        </w:rPr>
        <w:t>th</w:t>
      </w:r>
      <w:r w:rsidR="00BB7685" w:rsidRPr="00DF4C20">
        <w:rPr>
          <w:iCs/>
          <w:snapToGrid w:val="0"/>
        </w:rPr>
        <w:t>is</w:t>
      </w:r>
      <w:r w:rsidR="00C631F4" w:rsidRPr="00DF4C20">
        <w:rPr>
          <w:iCs/>
          <w:snapToGrid w:val="0"/>
        </w:rPr>
        <w:t xml:space="preserve"> expanded setting </w:t>
      </w:r>
      <w:r w:rsidR="003E77B4" w:rsidRPr="00DF4C20">
        <w:rPr>
          <w:iCs/>
          <w:snapToGrid w:val="0"/>
        </w:rPr>
        <w:t>was un</w:t>
      </w:r>
      <w:r w:rsidR="00C631F4" w:rsidRPr="00DF4C20">
        <w:rPr>
          <w:iCs/>
          <w:snapToGrid w:val="0"/>
        </w:rPr>
        <w:t>able to be adequately assessed using the data presented</w:t>
      </w:r>
      <w:r w:rsidR="003E77B4" w:rsidRPr="00DF4C20">
        <w:rPr>
          <w:iCs/>
          <w:snapToGrid w:val="0"/>
        </w:rPr>
        <w:t>.</w:t>
      </w:r>
      <w:r w:rsidR="00C631F4" w:rsidRPr="00DF4C20">
        <w:rPr>
          <w:iCs/>
          <w:snapToGrid w:val="0"/>
        </w:rPr>
        <w:t xml:space="preserve"> The PBAC </w:t>
      </w:r>
      <w:r w:rsidR="00BB7685" w:rsidRPr="00DF4C20">
        <w:rPr>
          <w:iCs/>
          <w:snapToGrid w:val="0"/>
        </w:rPr>
        <w:t xml:space="preserve">considered that </w:t>
      </w:r>
      <w:r w:rsidR="00B97C97">
        <w:rPr>
          <w:iCs/>
          <w:snapToGrid w:val="0"/>
        </w:rPr>
        <w:t xml:space="preserve">due to the uncertainty of the clinical benefit compared to alendronate in treatment experienced </w:t>
      </w:r>
      <w:r w:rsidR="00ED1145">
        <w:rPr>
          <w:iCs/>
          <w:snapToGrid w:val="0"/>
        </w:rPr>
        <w:t>patients</w:t>
      </w:r>
      <w:r w:rsidR="00B97C97">
        <w:rPr>
          <w:iCs/>
          <w:snapToGrid w:val="0"/>
        </w:rPr>
        <w:t xml:space="preserve">, a cost-minimisation approach was more appropriate in the expanded second-line setting. </w:t>
      </w:r>
    </w:p>
    <w:p w14:paraId="11B8138F" w14:textId="03D11A0F" w:rsidR="00F15987" w:rsidRPr="006641F0" w:rsidRDefault="00F15987" w:rsidP="006641F0">
      <w:pPr>
        <w:pStyle w:val="ExecSumBodyText"/>
        <w:rPr>
          <w:snapToGrid/>
        </w:rPr>
      </w:pPr>
      <w:r w:rsidRPr="00F15987">
        <w:rPr>
          <w:snapToGrid/>
        </w:rPr>
        <w:t xml:space="preserve">The </w:t>
      </w:r>
      <w:r w:rsidR="004241D2">
        <w:t xml:space="preserve">PBAC considered the </w:t>
      </w:r>
      <w:r w:rsidRPr="00F15987">
        <w:rPr>
          <w:snapToGrid/>
        </w:rPr>
        <w:t>approach used to estimate the eligible population failed to identify the pool of patients who would be eligible for treatment with romosozumab.</w:t>
      </w:r>
      <w:r w:rsidR="006641F0">
        <w:t xml:space="preserve"> In addition, the PBAC considered the </w:t>
      </w:r>
      <w:r w:rsidR="006641F0">
        <w:rPr>
          <w:snapToGrid/>
        </w:rPr>
        <w:t>t</w:t>
      </w:r>
      <w:r w:rsidR="006641F0" w:rsidRPr="00F15987">
        <w:rPr>
          <w:snapToGrid/>
        </w:rPr>
        <w:t xml:space="preserve">reated population estimates were highly uncertain, based on previously assumed uptake rates for the restricted second line setting that may not be applicable to the requested first line and expanded second line settings. </w:t>
      </w:r>
      <w:r w:rsidR="006641F0" w:rsidRPr="006641F0">
        <w:rPr>
          <w:iCs/>
        </w:rPr>
        <w:t>As such, t</w:t>
      </w:r>
      <w:r w:rsidR="004241D2" w:rsidRPr="006641F0">
        <w:rPr>
          <w:iCs/>
        </w:rPr>
        <w:t xml:space="preserve">he PBAC advised the </w:t>
      </w:r>
      <w:r w:rsidRPr="006641F0">
        <w:rPr>
          <w:iCs/>
        </w:rPr>
        <w:t xml:space="preserve">estimates </w:t>
      </w:r>
      <w:r w:rsidR="004241D2" w:rsidRPr="006641F0">
        <w:rPr>
          <w:iCs/>
        </w:rPr>
        <w:t>could</w:t>
      </w:r>
      <w:r w:rsidRPr="006641F0">
        <w:rPr>
          <w:iCs/>
        </w:rPr>
        <w:t xml:space="preserve"> not be considered reliable</w:t>
      </w:r>
      <w:r w:rsidR="006641F0" w:rsidRPr="006641F0">
        <w:rPr>
          <w:iCs/>
        </w:rPr>
        <w:t xml:space="preserve"> and would need to be revised in any future resubmission.</w:t>
      </w:r>
    </w:p>
    <w:p w14:paraId="7EFFCDA1" w14:textId="5429B762" w:rsidR="006641F0" w:rsidRDefault="006641F0" w:rsidP="006641F0">
      <w:pPr>
        <w:pStyle w:val="ListParagraph"/>
        <w:numPr>
          <w:ilvl w:val="1"/>
          <w:numId w:val="1"/>
        </w:numPr>
        <w:spacing w:after="120"/>
        <w:contextualSpacing w:val="0"/>
        <w:rPr>
          <w:iCs/>
          <w:snapToGrid w:val="0"/>
        </w:rPr>
      </w:pPr>
      <w:r w:rsidRPr="006641F0">
        <w:rPr>
          <w:iCs/>
          <w:snapToGrid w:val="0"/>
        </w:rPr>
        <w:t xml:space="preserve">The PBAC considered a resubmission for </w:t>
      </w:r>
      <w:r>
        <w:rPr>
          <w:iCs/>
          <w:snapToGrid w:val="0"/>
        </w:rPr>
        <w:t>romosozumab</w:t>
      </w:r>
      <w:r w:rsidRPr="006641F0">
        <w:rPr>
          <w:iCs/>
          <w:snapToGrid w:val="0"/>
        </w:rPr>
        <w:t xml:space="preserve"> should address the following issues:</w:t>
      </w:r>
    </w:p>
    <w:p w14:paraId="79B6E8D7" w14:textId="1A16D271" w:rsidR="00F24972" w:rsidRDefault="00F03956" w:rsidP="00F24972">
      <w:pPr>
        <w:pStyle w:val="ListParagraph"/>
        <w:numPr>
          <w:ilvl w:val="0"/>
          <w:numId w:val="14"/>
        </w:numPr>
        <w:rPr>
          <w:iCs/>
          <w:snapToGrid w:val="0"/>
        </w:rPr>
      </w:pPr>
      <w:r>
        <w:rPr>
          <w:iCs/>
          <w:snapToGrid w:val="0"/>
        </w:rPr>
        <w:t xml:space="preserve">Revise the economic model to include </w:t>
      </w:r>
      <w:r w:rsidR="003D7CE4">
        <w:rPr>
          <w:iCs/>
          <w:snapToGrid w:val="0"/>
        </w:rPr>
        <w:t xml:space="preserve">a </w:t>
      </w:r>
      <w:r w:rsidRPr="00DF4C20">
        <w:rPr>
          <w:iCs/>
          <w:snapToGrid w:val="0"/>
        </w:rPr>
        <w:t>treatment discontinuation</w:t>
      </w:r>
      <w:r w:rsidR="003D7CE4">
        <w:rPr>
          <w:iCs/>
          <w:snapToGrid w:val="0"/>
        </w:rPr>
        <w:t xml:space="preserve"> of</w:t>
      </w:r>
      <w:r w:rsidRPr="00DF4C20">
        <w:rPr>
          <w:iCs/>
          <w:snapToGrid w:val="0"/>
        </w:rPr>
        <w:t xml:space="preserve"> 20% per year</w:t>
      </w:r>
      <w:r>
        <w:rPr>
          <w:iCs/>
          <w:snapToGrid w:val="0"/>
        </w:rPr>
        <w:t xml:space="preserve"> </w:t>
      </w:r>
      <w:r w:rsidRPr="00DF4C20">
        <w:rPr>
          <w:iCs/>
          <w:snapToGrid w:val="0"/>
        </w:rPr>
        <w:t>and convergence by 4 years</w:t>
      </w:r>
      <w:r>
        <w:rPr>
          <w:iCs/>
          <w:snapToGrid w:val="0"/>
        </w:rPr>
        <w:t xml:space="preserve"> as outlined in paragraph </w:t>
      </w:r>
      <w:r>
        <w:rPr>
          <w:iCs/>
          <w:snapToGrid w:val="0"/>
        </w:rPr>
        <w:fldChar w:fldCharType="begin"/>
      </w:r>
      <w:r>
        <w:rPr>
          <w:iCs/>
          <w:snapToGrid w:val="0"/>
        </w:rPr>
        <w:instrText xml:space="preserve"> REF _Ref110510867 \r \h </w:instrText>
      </w:r>
      <w:r>
        <w:rPr>
          <w:iCs/>
          <w:snapToGrid w:val="0"/>
        </w:rPr>
      </w:r>
      <w:r>
        <w:rPr>
          <w:iCs/>
          <w:snapToGrid w:val="0"/>
        </w:rPr>
        <w:fldChar w:fldCharType="separate"/>
      </w:r>
      <w:r w:rsidR="00F11CF5">
        <w:rPr>
          <w:iCs/>
          <w:snapToGrid w:val="0"/>
        </w:rPr>
        <w:t>7.10</w:t>
      </w:r>
      <w:r>
        <w:rPr>
          <w:iCs/>
          <w:snapToGrid w:val="0"/>
        </w:rPr>
        <w:fldChar w:fldCharType="end"/>
      </w:r>
      <w:r>
        <w:rPr>
          <w:iCs/>
          <w:snapToGrid w:val="0"/>
        </w:rPr>
        <w:t>.</w:t>
      </w:r>
    </w:p>
    <w:p w14:paraId="25611EAB" w14:textId="523B0317" w:rsidR="00F03956" w:rsidRDefault="00F03956" w:rsidP="00F24972">
      <w:pPr>
        <w:pStyle w:val="ListParagraph"/>
        <w:numPr>
          <w:ilvl w:val="0"/>
          <w:numId w:val="14"/>
        </w:numPr>
        <w:rPr>
          <w:iCs/>
          <w:snapToGrid w:val="0"/>
        </w:rPr>
      </w:pPr>
      <w:r>
        <w:rPr>
          <w:iCs/>
          <w:snapToGrid w:val="0"/>
        </w:rPr>
        <w:t>A price reduction to achieve a</w:t>
      </w:r>
      <w:r w:rsidR="00D0540C">
        <w:rPr>
          <w:iCs/>
          <w:snapToGrid w:val="0"/>
        </w:rPr>
        <w:t>n</w:t>
      </w:r>
      <w:r>
        <w:rPr>
          <w:iCs/>
          <w:snapToGrid w:val="0"/>
        </w:rPr>
        <w:t xml:space="preserve"> ICER</w:t>
      </w:r>
      <w:r w:rsidR="00D0540C">
        <w:rPr>
          <w:iCs/>
          <w:snapToGrid w:val="0"/>
        </w:rPr>
        <w:t xml:space="preserve"> no higher than the revised base case ICER in this submission,</w:t>
      </w:r>
      <w:r>
        <w:rPr>
          <w:iCs/>
          <w:snapToGrid w:val="0"/>
        </w:rPr>
        <w:t xml:space="preserve"> using the revised economic model.  </w:t>
      </w:r>
    </w:p>
    <w:p w14:paraId="4D470059" w14:textId="31B88381" w:rsidR="00F03956" w:rsidRDefault="00F03956" w:rsidP="00F24972">
      <w:pPr>
        <w:pStyle w:val="ListParagraph"/>
        <w:numPr>
          <w:ilvl w:val="0"/>
          <w:numId w:val="14"/>
        </w:numPr>
        <w:rPr>
          <w:iCs/>
          <w:snapToGrid w:val="0"/>
        </w:rPr>
      </w:pPr>
      <w:r>
        <w:rPr>
          <w:iCs/>
          <w:snapToGrid w:val="0"/>
        </w:rPr>
        <w:t xml:space="preserve">Explore </w:t>
      </w:r>
      <w:r w:rsidRPr="00DF4C20">
        <w:rPr>
          <w:iCs/>
          <w:snapToGrid w:val="0"/>
        </w:rPr>
        <w:t xml:space="preserve">a weighted average </w:t>
      </w:r>
      <w:r w:rsidR="00D0540C">
        <w:rPr>
          <w:iCs/>
          <w:snapToGrid w:val="0"/>
        </w:rPr>
        <w:t>price</w:t>
      </w:r>
      <w:r w:rsidRPr="00DF4C20">
        <w:rPr>
          <w:iCs/>
          <w:snapToGrid w:val="0"/>
        </w:rPr>
        <w:t xml:space="preserve"> between </w:t>
      </w:r>
      <w:r w:rsidR="00D0540C">
        <w:rPr>
          <w:iCs/>
          <w:snapToGrid w:val="0"/>
        </w:rPr>
        <w:t xml:space="preserve">first and second-line settings using cost-minimisation to </w:t>
      </w:r>
      <w:r w:rsidRPr="00DF4C20">
        <w:rPr>
          <w:iCs/>
          <w:snapToGrid w:val="0"/>
        </w:rPr>
        <w:t xml:space="preserve">anti-resorptive therapy </w:t>
      </w:r>
      <w:r>
        <w:rPr>
          <w:iCs/>
          <w:snapToGrid w:val="0"/>
        </w:rPr>
        <w:t>to</w:t>
      </w:r>
      <w:r w:rsidRPr="00DF4C20">
        <w:rPr>
          <w:iCs/>
          <w:snapToGrid w:val="0"/>
        </w:rPr>
        <w:t xml:space="preserve"> </w:t>
      </w:r>
      <w:r w:rsidR="00D60DFC" w:rsidRPr="00DF4C20">
        <w:rPr>
          <w:iCs/>
          <w:snapToGrid w:val="0"/>
        </w:rPr>
        <w:t>determin</w:t>
      </w:r>
      <w:r w:rsidR="00D60DFC">
        <w:rPr>
          <w:iCs/>
          <w:snapToGrid w:val="0"/>
        </w:rPr>
        <w:t>e</w:t>
      </w:r>
      <w:r w:rsidR="00D60DFC" w:rsidRPr="00DF4C20">
        <w:rPr>
          <w:iCs/>
          <w:snapToGrid w:val="0"/>
        </w:rPr>
        <w:t xml:space="preserve"> </w:t>
      </w:r>
      <w:r w:rsidR="00D0540C">
        <w:rPr>
          <w:iCs/>
          <w:snapToGrid w:val="0"/>
        </w:rPr>
        <w:t xml:space="preserve">a </w:t>
      </w:r>
      <w:r w:rsidRPr="00DF4C20">
        <w:rPr>
          <w:iCs/>
          <w:snapToGrid w:val="0"/>
        </w:rPr>
        <w:t xml:space="preserve">price </w:t>
      </w:r>
      <w:r w:rsidR="00D0540C">
        <w:rPr>
          <w:iCs/>
          <w:snapToGrid w:val="0"/>
        </w:rPr>
        <w:t xml:space="preserve">for </w:t>
      </w:r>
      <w:r w:rsidRPr="00DF4C20">
        <w:rPr>
          <w:iCs/>
          <w:snapToGrid w:val="0"/>
        </w:rPr>
        <w:t>the expanded second line setting.</w:t>
      </w:r>
    </w:p>
    <w:p w14:paraId="05E78969" w14:textId="1E8F4781" w:rsidR="00F24972" w:rsidRDefault="00F24972" w:rsidP="00F24972">
      <w:pPr>
        <w:pStyle w:val="ListParagraph"/>
        <w:numPr>
          <w:ilvl w:val="0"/>
          <w:numId w:val="14"/>
        </w:numPr>
        <w:rPr>
          <w:iCs/>
          <w:snapToGrid w:val="0"/>
        </w:rPr>
      </w:pPr>
      <w:r>
        <w:rPr>
          <w:iCs/>
          <w:snapToGrid w:val="0"/>
        </w:rPr>
        <w:t xml:space="preserve">Revise the financial estimates to address concerns regarding the approach taken to determining the eligible and treated patient population. </w:t>
      </w:r>
    </w:p>
    <w:p w14:paraId="2B8E09E6" w14:textId="510F7FE1" w:rsidR="00F24972" w:rsidRPr="00F24972" w:rsidRDefault="00F24972" w:rsidP="00F03956">
      <w:pPr>
        <w:pStyle w:val="ListParagraph"/>
        <w:numPr>
          <w:ilvl w:val="0"/>
          <w:numId w:val="14"/>
        </w:numPr>
        <w:spacing w:after="120"/>
        <w:ind w:left="1077" w:hanging="357"/>
        <w:rPr>
          <w:iCs/>
          <w:snapToGrid w:val="0"/>
        </w:rPr>
      </w:pPr>
      <w:r>
        <w:rPr>
          <w:iCs/>
          <w:snapToGrid w:val="0"/>
        </w:rPr>
        <w:t>Propose an appropriate risk sharing arrangement to address any residual uncertainty regarding the population size</w:t>
      </w:r>
      <w:r w:rsidR="00D60DFC">
        <w:rPr>
          <w:iCs/>
          <w:snapToGrid w:val="0"/>
        </w:rPr>
        <w:t xml:space="preserve">, that takes into account that the current romosozumab listing is subject to a </w:t>
      </w:r>
      <w:r w:rsidR="009A7DC1" w:rsidRPr="009A7DC1">
        <w:rPr>
          <w:iCs/>
          <w:snapToGrid w:val="0"/>
          <w:color w:val="000000"/>
          <w:w w:val="15"/>
          <w:shd w:val="solid" w:color="000000" w:fill="000000"/>
          <w:fitText w:val="-20" w:id="-1435316479"/>
          <w14:textFill>
            <w14:solidFill>
              <w14:srgbClr w14:val="000000">
                <w14:alpha w14:val="100000"/>
              </w14:srgbClr>
            </w14:solidFill>
          </w14:textFill>
        </w:rPr>
        <w:t xml:space="preserve">|  </w:t>
      </w:r>
      <w:r w:rsidR="009A7DC1" w:rsidRPr="009A7DC1">
        <w:rPr>
          <w:iCs/>
          <w:snapToGrid w:val="0"/>
          <w:color w:val="000000"/>
          <w:spacing w:val="-69"/>
          <w:w w:val="15"/>
          <w:shd w:val="solid" w:color="000000" w:fill="000000"/>
          <w:fitText w:val="-20" w:id="-1435316479"/>
          <w14:textFill>
            <w14:solidFill>
              <w14:srgbClr w14:val="000000">
                <w14:alpha w14:val="100000"/>
              </w14:srgbClr>
            </w14:solidFill>
          </w14:textFill>
        </w:rPr>
        <w:t>|</w:t>
      </w:r>
      <w:r w:rsidR="00D60DFC">
        <w:rPr>
          <w:iCs/>
          <w:snapToGrid w:val="0"/>
        </w:rPr>
        <w:t>% rebate for expenditure above the subsidisation caps, and Commonwealth expenditure in the current population has been significantly lower than estimated</w:t>
      </w:r>
      <w:r w:rsidR="0063039C">
        <w:rPr>
          <w:iCs/>
          <w:snapToGrid w:val="0"/>
        </w:rPr>
        <w:t xml:space="preserve"> at time of listing</w:t>
      </w:r>
      <w:r>
        <w:rPr>
          <w:iCs/>
          <w:snapToGrid w:val="0"/>
        </w:rPr>
        <w:t xml:space="preserve">. </w:t>
      </w:r>
    </w:p>
    <w:p w14:paraId="7FDC9E4D" w14:textId="4D16536D" w:rsidR="006641F0" w:rsidRPr="006641F0" w:rsidRDefault="006641F0" w:rsidP="00F03956">
      <w:pPr>
        <w:pStyle w:val="ListParagraph"/>
        <w:numPr>
          <w:ilvl w:val="1"/>
          <w:numId w:val="1"/>
        </w:numPr>
        <w:spacing w:before="240" w:after="120"/>
        <w:contextualSpacing w:val="0"/>
        <w:rPr>
          <w:iCs/>
          <w:snapToGrid w:val="0"/>
        </w:rPr>
      </w:pPr>
      <w:r w:rsidRPr="006641F0">
        <w:rPr>
          <w:iCs/>
          <w:snapToGrid w:val="0"/>
        </w:rPr>
        <w:t>The resubmission may be lodged at any future standard due date for PBAC submissions using the standard re-entry pathw</w:t>
      </w:r>
      <w:r>
        <w:rPr>
          <w:iCs/>
          <w:snapToGrid w:val="0"/>
        </w:rPr>
        <w:t>ay</w:t>
      </w:r>
      <w:r w:rsidR="00F24972">
        <w:rPr>
          <w:iCs/>
          <w:snapToGrid w:val="0"/>
        </w:rPr>
        <w:t>.</w:t>
      </w:r>
    </w:p>
    <w:p w14:paraId="7D40ED2F" w14:textId="54B35101" w:rsidR="00B90123" w:rsidRPr="005E2E4D" w:rsidRDefault="00B90123" w:rsidP="00B90123">
      <w:pPr>
        <w:pStyle w:val="ExecSumBodyText"/>
      </w:pPr>
      <w:r>
        <w:t>The PBAC considered that it would be appropriate to allow general practitioners to continue treatment with romosozumab once it had been commenced by a Specialist/Consultant Physician</w:t>
      </w:r>
      <w:r w:rsidR="00DC4391">
        <w:t xml:space="preserve"> and advised that this change could be made to the current listing</w:t>
      </w:r>
      <w:r w:rsidR="00811826">
        <w:t xml:space="preserve"> as outlined in paragraph </w:t>
      </w:r>
      <w:r w:rsidR="00811826">
        <w:fldChar w:fldCharType="begin"/>
      </w:r>
      <w:r w:rsidR="00811826">
        <w:instrText xml:space="preserve"> REF _Ref110943900 \r \h </w:instrText>
      </w:r>
      <w:r w:rsidR="00811826">
        <w:fldChar w:fldCharType="separate"/>
      </w:r>
      <w:r w:rsidR="00811826">
        <w:t>8.1</w:t>
      </w:r>
      <w:r w:rsidR="00811826">
        <w:fldChar w:fldCharType="end"/>
      </w:r>
      <w:r>
        <w:t>.</w:t>
      </w:r>
      <w:r w:rsidR="00DC4391">
        <w:t xml:space="preserve"> </w:t>
      </w:r>
      <w:r w:rsidR="00AB4DBA">
        <w:t xml:space="preserve">The PBAC considered that </w:t>
      </w:r>
      <w:r w:rsidR="00811826">
        <w:t xml:space="preserve">for clarity </w:t>
      </w:r>
      <w:r w:rsidR="00AB4DBA">
        <w:t xml:space="preserve">the Treatment Criteria should </w:t>
      </w:r>
      <w:r w:rsidR="00811826">
        <w:t>remove</w:t>
      </w:r>
      <w:r w:rsidR="00AB4DBA">
        <w:t xml:space="preserve"> ‘Must be treated by a </w:t>
      </w:r>
      <w:r w:rsidR="00811826">
        <w:t>Specialist’</w:t>
      </w:r>
      <w:r w:rsidR="00AB4DBA">
        <w:t>.</w:t>
      </w:r>
      <w:r>
        <w:t xml:space="preserve"> </w:t>
      </w:r>
      <w:r w:rsidR="00DC4391">
        <w:t>T</w:t>
      </w:r>
      <w:r w:rsidR="00AB4DBA">
        <w:t xml:space="preserve">he </w:t>
      </w:r>
      <w:r>
        <w:t xml:space="preserve">PBAC did not consider a Streamlined Authority was appropriate for continuing treatment, given </w:t>
      </w:r>
      <w:r w:rsidRPr="005E2E4D">
        <w:rPr>
          <w:rFonts w:eastAsia="Batang"/>
          <w:lang w:eastAsia="ko-KR"/>
        </w:rPr>
        <w:t xml:space="preserve">the requirement for a lifetime maximum of 12 months therapy </w:t>
      </w:r>
      <w:r>
        <w:rPr>
          <w:rFonts w:eastAsia="Batang"/>
          <w:lang w:eastAsia="ko-KR"/>
        </w:rPr>
        <w:t>should</w:t>
      </w:r>
      <w:r w:rsidRPr="005E2E4D">
        <w:rPr>
          <w:rFonts w:eastAsia="Batang"/>
          <w:lang w:eastAsia="ko-KR"/>
        </w:rPr>
        <w:t xml:space="preserve"> be checked by Services Australia.</w:t>
      </w:r>
    </w:p>
    <w:p w14:paraId="6E5808AA" w14:textId="00C0D313" w:rsidR="006215FA" w:rsidRPr="00F03956" w:rsidRDefault="00F03956" w:rsidP="006215FA">
      <w:pPr>
        <w:pStyle w:val="3-BodyText"/>
        <w:numPr>
          <w:ilvl w:val="1"/>
          <w:numId w:val="1"/>
        </w:numPr>
        <w:rPr>
          <w:lang w:val="en-GB"/>
        </w:rPr>
      </w:pPr>
      <w:r w:rsidRPr="00C77AEB">
        <w:rPr>
          <w:lang w:val="en-GB"/>
        </w:rPr>
        <w:t>The PBAC noted that this submission is eligible for an Independent Review.</w:t>
      </w:r>
    </w:p>
    <w:p w14:paraId="42514D6E" w14:textId="77777777" w:rsidR="006215FA" w:rsidRPr="006215FA" w:rsidRDefault="006215FA" w:rsidP="006215FA">
      <w:pPr>
        <w:spacing w:before="240"/>
        <w:rPr>
          <w:rFonts w:asciiTheme="minorHAnsi" w:hAnsiTheme="minorHAnsi"/>
          <w:b/>
          <w:bCs/>
          <w:snapToGrid w:val="0"/>
          <w:lang w:val="en-GB"/>
        </w:rPr>
      </w:pPr>
      <w:r w:rsidRPr="006215FA">
        <w:rPr>
          <w:rFonts w:asciiTheme="minorHAnsi" w:hAnsiTheme="minorHAnsi"/>
          <w:b/>
          <w:bCs/>
          <w:snapToGrid w:val="0"/>
          <w:lang w:val="en-GB"/>
        </w:rPr>
        <w:t>Outcome:</w:t>
      </w:r>
    </w:p>
    <w:p w14:paraId="44144F8D" w14:textId="777541C5" w:rsidR="006215FA" w:rsidRPr="006215FA" w:rsidRDefault="006215FA" w:rsidP="006215FA">
      <w:pPr>
        <w:rPr>
          <w:rFonts w:asciiTheme="minorHAnsi" w:hAnsiTheme="minorHAnsi"/>
          <w:bCs/>
          <w:snapToGrid w:val="0"/>
          <w:lang w:val="en-GB"/>
        </w:rPr>
      </w:pPr>
      <w:r w:rsidRPr="006215FA">
        <w:rPr>
          <w:rFonts w:asciiTheme="minorHAnsi" w:hAnsiTheme="minorHAnsi"/>
          <w:bCs/>
          <w:snapToGrid w:val="0"/>
          <w:lang w:val="en-GB"/>
        </w:rPr>
        <w:t xml:space="preserve">Not recommended </w:t>
      </w:r>
    </w:p>
    <w:p w14:paraId="5A3C9EDA" w14:textId="77777777" w:rsidR="006215FA" w:rsidRPr="006215FA" w:rsidRDefault="006215FA" w:rsidP="006215FA">
      <w:pPr>
        <w:widowControl w:val="0"/>
        <w:rPr>
          <w:rFonts w:asciiTheme="minorHAnsi" w:hAnsiTheme="minorHAnsi"/>
          <w:b/>
          <w:bCs/>
          <w:snapToGrid w:val="0"/>
        </w:rPr>
      </w:pPr>
    </w:p>
    <w:p w14:paraId="1D523698" w14:textId="70A7833B" w:rsidR="001C55C0" w:rsidRPr="001C55C0" w:rsidRDefault="001C55C0" w:rsidP="001C55C0">
      <w:pPr>
        <w:pStyle w:val="2-SectionHeading"/>
      </w:pPr>
      <w:r>
        <w:t>Recommended listing</w:t>
      </w:r>
    </w:p>
    <w:p w14:paraId="34F0724C" w14:textId="6A23D3F0" w:rsidR="00AB4DBA" w:rsidRPr="001C55C0" w:rsidRDefault="00AB4DBA" w:rsidP="001C55C0">
      <w:pPr>
        <w:pStyle w:val="ExecSumBodyText"/>
        <w:rPr>
          <w:rFonts w:eastAsia="Batang"/>
          <w:lang w:eastAsia="ko-KR"/>
        </w:rPr>
      </w:pPr>
      <w:bookmarkStart w:id="71" w:name="_Ref110943900"/>
      <w:r w:rsidRPr="001C55C0">
        <w:rPr>
          <w:rFonts w:eastAsia="Batang"/>
          <w:lang w:eastAsia="ko-KR"/>
        </w:rPr>
        <w:t>Amend existing listing as follows:</w:t>
      </w:r>
      <w:bookmarkEnd w:id="71"/>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90"/>
        <w:gridCol w:w="491"/>
        <w:gridCol w:w="2133"/>
        <w:gridCol w:w="992"/>
        <w:gridCol w:w="992"/>
        <w:gridCol w:w="851"/>
        <w:gridCol w:w="992"/>
        <w:gridCol w:w="2126"/>
      </w:tblGrid>
      <w:tr w:rsidR="001C55C0" w:rsidRPr="009A610D" w14:paraId="117D93CC" w14:textId="77777777" w:rsidTr="00E051BD">
        <w:trPr>
          <w:cantSplit/>
          <w:trHeight w:val="471"/>
        </w:trPr>
        <w:tc>
          <w:tcPr>
            <w:tcW w:w="3114" w:type="dxa"/>
            <w:gridSpan w:val="3"/>
          </w:tcPr>
          <w:p w14:paraId="0706B3E9" w14:textId="77777777" w:rsidR="001C55C0" w:rsidRPr="00991CEC" w:rsidRDefault="001C55C0" w:rsidP="00E051BD">
            <w:pPr>
              <w:keepNext/>
              <w:ind w:left="-57"/>
              <w:rPr>
                <w:rFonts w:ascii="Arial Narrow" w:hAnsi="Arial Narrow"/>
                <w:b/>
                <w:bCs/>
                <w:sz w:val="20"/>
                <w:szCs w:val="20"/>
              </w:rPr>
            </w:pPr>
            <w:r w:rsidRPr="00991CEC">
              <w:rPr>
                <w:rFonts w:ascii="Arial Narrow" w:hAnsi="Arial Narrow"/>
                <w:b/>
                <w:bCs/>
                <w:sz w:val="20"/>
                <w:szCs w:val="20"/>
              </w:rPr>
              <w:t>MEDICINAL PRODUCT</w:t>
            </w:r>
          </w:p>
          <w:p w14:paraId="2730A2F3" w14:textId="77777777" w:rsidR="001C55C0" w:rsidRPr="00991CEC" w:rsidRDefault="001C55C0" w:rsidP="00E051BD">
            <w:pPr>
              <w:keepNext/>
              <w:ind w:left="-57"/>
              <w:rPr>
                <w:rFonts w:ascii="Arial Narrow" w:hAnsi="Arial Narrow"/>
                <w:b/>
                <w:sz w:val="20"/>
                <w:szCs w:val="20"/>
              </w:rPr>
            </w:pPr>
            <w:r w:rsidRPr="00991CEC">
              <w:rPr>
                <w:rFonts w:ascii="Arial Narrow" w:hAnsi="Arial Narrow"/>
                <w:b/>
                <w:bCs/>
                <w:sz w:val="20"/>
                <w:szCs w:val="20"/>
              </w:rPr>
              <w:t>medicinal product pack</w:t>
            </w:r>
          </w:p>
        </w:tc>
        <w:tc>
          <w:tcPr>
            <w:tcW w:w="992" w:type="dxa"/>
          </w:tcPr>
          <w:p w14:paraId="0FE80BB0" w14:textId="77777777" w:rsidR="001C55C0" w:rsidRPr="00991CEC" w:rsidRDefault="001C55C0" w:rsidP="00E051BD">
            <w:pPr>
              <w:keepNext/>
              <w:ind w:left="-108"/>
              <w:jc w:val="center"/>
              <w:rPr>
                <w:rFonts w:ascii="Arial Narrow" w:hAnsi="Arial Narrow"/>
                <w:b/>
                <w:sz w:val="20"/>
                <w:szCs w:val="20"/>
              </w:rPr>
            </w:pPr>
            <w:r w:rsidRPr="00991CEC">
              <w:rPr>
                <w:rFonts w:ascii="Arial Narrow" w:hAnsi="Arial Narrow"/>
                <w:b/>
                <w:sz w:val="20"/>
                <w:szCs w:val="20"/>
              </w:rPr>
              <w:t>PBS item code</w:t>
            </w:r>
          </w:p>
        </w:tc>
        <w:tc>
          <w:tcPr>
            <w:tcW w:w="992" w:type="dxa"/>
          </w:tcPr>
          <w:p w14:paraId="54151662" w14:textId="77777777" w:rsidR="001C55C0" w:rsidRPr="00991CEC" w:rsidRDefault="001C55C0" w:rsidP="00E051BD">
            <w:pPr>
              <w:keepNext/>
              <w:ind w:left="-108"/>
              <w:jc w:val="center"/>
              <w:rPr>
                <w:rFonts w:ascii="Arial Narrow" w:hAnsi="Arial Narrow"/>
                <w:b/>
                <w:sz w:val="20"/>
                <w:szCs w:val="20"/>
              </w:rPr>
            </w:pPr>
            <w:r w:rsidRPr="00991CEC">
              <w:rPr>
                <w:rFonts w:ascii="Arial Narrow" w:hAnsi="Arial Narrow"/>
                <w:b/>
                <w:sz w:val="20"/>
                <w:szCs w:val="20"/>
              </w:rPr>
              <w:t>Max. qty packs</w:t>
            </w:r>
          </w:p>
        </w:tc>
        <w:tc>
          <w:tcPr>
            <w:tcW w:w="851" w:type="dxa"/>
          </w:tcPr>
          <w:p w14:paraId="48089753" w14:textId="77777777" w:rsidR="001C55C0" w:rsidRPr="00991CEC" w:rsidRDefault="001C55C0" w:rsidP="00E051BD">
            <w:pPr>
              <w:keepNext/>
              <w:ind w:left="-108"/>
              <w:jc w:val="center"/>
              <w:rPr>
                <w:rFonts w:ascii="Arial Narrow" w:hAnsi="Arial Narrow"/>
                <w:b/>
                <w:sz w:val="20"/>
                <w:szCs w:val="20"/>
              </w:rPr>
            </w:pPr>
            <w:r w:rsidRPr="00991CEC">
              <w:rPr>
                <w:rFonts w:ascii="Arial Narrow" w:hAnsi="Arial Narrow"/>
                <w:b/>
                <w:sz w:val="20"/>
                <w:szCs w:val="20"/>
              </w:rPr>
              <w:t>Max. qty units</w:t>
            </w:r>
          </w:p>
        </w:tc>
        <w:tc>
          <w:tcPr>
            <w:tcW w:w="992" w:type="dxa"/>
          </w:tcPr>
          <w:p w14:paraId="0CA2304F" w14:textId="77777777" w:rsidR="001C55C0" w:rsidRPr="00991CEC" w:rsidRDefault="001C55C0" w:rsidP="00E051BD">
            <w:pPr>
              <w:keepNext/>
              <w:ind w:left="-108"/>
              <w:jc w:val="center"/>
              <w:rPr>
                <w:rFonts w:ascii="Arial Narrow" w:hAnsi="Arial Narrow"/>
                <w:b/>
                <w:sz w:val="20"/>
                <w:szCs w:val="20"/>
              </w:rPr>
            </w:pPr>
            <w:r w:rsidRPr="00991CEC">
              <w:rPr>
                <w:rFonts w:ascii="Arial Narrow" w:hAnsi="Arial Narrow"/>
                <w:b/>
                <w:sz w:val="20"/>
                <w:szCs w:val="20"/>
              </w:rPr>
              <w:t xml:space="preserve">№.of </w:t>
            </w:r>
            <w:r w:rsidRPr="00991CEC">
              <w:rPr>
                <w:rFonts w:ascii="Arial Narrow" w:hAnsi="Arial Narrow"/>
                <w:b/>
                <w:sz w:val="20"/>
                <w:szCs w:val="20"/>
              </w:rPr>
              <w:br/>
              <w:t>Rpts</w:t>
            </w:r>
          </w:p>
        </w:tc>
        <w:tc>
          <w:tcPr>
            <w:tcW w:w="2126" w:type="dxa"/>
          </w:tcPr>
          <w:p w14:paraId="4524026B" w14:textId="77777777" w:rsidR="001C55C0" w:rsidRPr="00991CEC" w:rsidRDefault="001C55C0" w:rsidP="00E051BD">
            <w:pPr>
              <w:keepNext/>
              <w:rPr>
                <w:rFonts w:ascii="Arial Narrow" w:hAnsi="Arial Narrow"/>
                <w:b/>
                <w:sz w:val="20"/>
                <w:szCs w:val="20"/>
                <w:lang w:val="fr-FR"/>
              </w:rPr>
            </w:pPr>
            <w:r w:rsidRPr="00991CEC">
              <w:rPr>
                <w:rFonts w:ascii="Arial Narrow" w:hAnsi="Arial Narrow"/>
                <w:b/>
                <w:sz w:val="20"/>
                <w:szCs w:val="20"/>
              </w:rPr>
              <w:t>Available brands</w:t>
            </w:r>
          </w:p>
        </w:tc>
      </w:tr>
      <w:tr w:rsidR="001C55C0" w:rsidRPr="009A610D" w14:paraId="0535BCCA" w14:textId="77777777" w:rsidTr="00E051BD">
        <w:trPr>
          <w:cantSplit/>
          <w:trHeight w:val="224"/>
        </w:trPr>
        <w:tc>
          <w:tcPr>
            <w:tcW w:w="9067" w:type="dxa"/>
            <w:gridSpan w:val="8"/>
          </w:tcPr>
          <w:p w14:paraId="199BB32E" w14:textId="77777777" w:rsidR="001C55C0" w:rsidRPr="00991CEC" w:rsidRDefault="001C55C0" w:rsidP="00E051BD">
            <w:pPr>
              <w:keepNext/>
              <w:ind w:left="-57"/>
              <w:rPr>
                <w:rFonts w:ascii="Arial Narrow" w:hAnsi="Arial Narrow"/>
                <w:sz w:val="20"/>
                <w:szCs w:val="20"/>
              </w:rPr>
            </w:pPr>
            <w:r w:rsidRPr="00991CEC">
              <w:rPr>
                <w:rFonts w:ascii="Arial Narrow" w:hAnsi="Arial Narrow"/>
                <w:sz w:val="20"/>
                <w:szCs w:val="20"/>
              </w:rPr>
              <w:t xml:space="preserve">ROMOSOZUMAB </w:t>
            </w:r>
          </w:p>
        </w:tc>
      </w:tr>
      <w:tr w:rsidR="001C55C0" w:rsidRPr="009A610D" w14:paraId="6CA5DCF7" w14:textId="77777777" w:rsidTr="00E051BD">
        <w:trPr>
          <w:cantSplit/>
          <w:trHeight w:val="553"/>
        </w:trPr>
        <w:tc>
          <w:tcPr>
            <w:tcW w:w="3114" w:type="dxa"/>
            <w:gridSpan w:val="3"/>
          </w:tcPr>
          <w:p w14:paraId="79983306" w14:textId="77777777" w:rsidR="001C55C0" w:rsidRPr="00991CEC" w:rsidRDefault="001C55C0" w:rsidP="00E051BD">
            <w:pPr>
              <w:keepNext/>
              <w:ind w:left="-57"/>
              <w:rPr>
                <w:rFonts w:ascii="Arial Narrow" w:hAnsi="Arial Narrow"/>
                <w:sz w:val="20"/>
                <w:szCs w:val="20"/>
              </w:rPr>
            </w:pPr>
            <w:r w:rsidRPr="00991CEC">
              <w:rPr>
                <w:rFonts w:ascii="Arial Narrow" w:hAnsi="Arial Narrow"/>
                <w:sz w:val="20"/>
                <w:szCs w:val="20"/>
              </w:rPr>
              <w:t>romosozumab 105 mg/1.17 mL injection, 2 x 1.17 mL syringes</w:t>
            </w:r>
          </w:p>
        </w:tc>
        <w:tc>
          <w:tcPr>
            <w:tcW w:w="992" w:type="dxa"/>
          </w:tcPr>
          <w:p w14:paraId="5EEA5C5F" w14:textId="77777777" w:rsidR="001C55C0" w:rsidRPr="00991CEC" w:rsidRDefault="001C55C0" w:rsidP="00E051BD">
            <w:pPr>
              <w:keepNext/>
              <w:jc w:val="center"/>
              <w:rPr>
                <w:rFonts w:ascii="Arial Narrow" w:hAnsi="Arial Narrow"/>
                <w:sz w:val="20"/>
                <w:szCs w:val="20"/>
              </w:rPr>
            </w:pPr>
            <w:r w:rsidRPr="00991CEC">
              <w:rPr>
                <w:rFonts w:ascii="Arial Narrow" w:hAnsi="Arial Narrow"/>
                <w:sz w:val="20"/>
                <w:szCs w:val="20"/>
              </w:rPr>
              <w:t>12301K</w:t>
            </w:r>
          </w:p>
        </w:tc>
        <w:tc>
          <w:tcPr>
            <w:tcW w:w="992" w:type="dxa"/>
          </w:tcPr>
          <w:p w14:paraId="5FE697A1" w14:textId="77777777" w:rsidR="001C55C0" w:rsidRPr="00991CEC" w:rsidRDefault="001C55C0" w:rsidP="00E051BD">
            <w:pPr>
              <w:keepNext/>
              <w:jc w:val="center"/>
              <w:rPr>
                <w:rFonts w:ascii="Arial Narrow" w:hAnsi="Arial Narrow"/>
                <w:sz w:val="20"/>
                <w:szCs w:val="20"/>
              </w:rPr>
            </w:pPr>
            <w:r w:rsidRPr="00991CEC">
              <w:rPr>
                <w:rFonts w:ascii="Arial Narrow" w:hAnsi="Arial Narrow"/>
                <w:sz w:val="20"/>
                <w:szCs w:val="20"/>
              </w:rPr>
              <w:t>1</w:t>
            </w:r>
          </w:p>
        </w:tc>
        <w:tc>
          <w:tcPr>
            <w:tcW w:w="851" w:type="dxa"/>
          </w:tcPr>
          <w:p w14:paraId="2C53E3A4" w14:textId="77777777" w:rsidR="001C55C0" w:rsidRPr="00991CEC" w:rsidRDefault="001C55C0" w:rsidP="00E051BD">
            <w:pPr>
              <w:keepNext/>
              <w:jc w:val="center"/>
              <w:rPr>
                <w:rFonts w:ascii="Arial Narrow" w:hAnsi="Arial Narrow"/>
                <w:sz w:val="20"/>
                <w:szCs w:val="20"/>
              </w:rPr>
            </w:pPr>
            <w:r w:rsidRPr="00991CEC">
              <w:rPr>
                <w:rFonts w:ascii="Arial Narrow" w:hAnsi="Arial Narrow"/>
                <w:sz w:val="20"/>
                <w:szCs w:val="20"/>
              </w:rPr>
              <w:t>2</w:t>
            </w:r>
          </w:p>
        </w:tc>
        <w:tc>
          <w:tcPr>
            <w:tcW w:w="992" w:type="dxa"/>
          </w:tcPr>
          <w:p w14:paraId="2950D07D" w14:textId="77777777" w:rsidR="001C55C0" w:rsidRPr="00991CEC" w:rsidRDefault="001C55C0" w:rsidP="00E051BD">
            <w:pPr>
              <w:keepNext/>
              <w:jc w:val="center"/>
              <w:rPr>
                <w:rFonts w:ascii="Arial Narrow" w:hAnsi="Arial Narrow"/>
                <w:sz w:val="20"/>
                <w:szCs w:val="20"/>
              </w:rPr>
            </w:pPr>
            <w:r w:rsidRPr="00991CEC">
              <w:rPr>
                <w:rFonts w:ascii="Arial Narrow" w:hAnsi="Arial Narrow"/>
                <w:sz w:val="20"/>
                <w:szCs w:val="20"/>
              </w:rPr>
              <w:t>5</w:t>
            </w:r>
          </w:p>
        </w:tc>
        <w:tc>
          <w:tcPr>
            <w:tcW w:w="2126" w:type="dxa"/>
          </w:tcPr>
          <w:p w14:paraId="1C5B10F2" w14:textId="77777777" w:rsidR="001C55C0" w:rsidRPr="00991CEC" w:rsidRDefault="001C55C0" w:rsidP="00E051BD">
            <w:pPr>
              <w:keepNext/>
              <w:rPr>
                <w:rFonts w:ascii="Arial Narrow" w:hAnsi="Arial Narrow"/>
                <w:sz w:val="20"/>
                <w:szCs w:val="20"/>
              </w:rPr>
            </w:pPr>
            <w:r w:rsidRPr="00991CEC">
              <w:rPr>
                <w:rFonts w:ascii="Arial Narrow" w:hAnsi="Arial Narrow"/>
                <w:sz w:val="20"/>
                <w:szCs w:val="20"/>
              </w:rPr>
              <w:t>evenity</w:t>
            </w:r>
          </w:p>
        </w:tc>
      </w:tr>
      <w:tr w:rsidR="001C55C0" w:rsidRPr="00120A12" w14:paraId="4F060F0D" w14:textId="77777777" w:rsidTr="00E051BD">
        <w:tblPrEx>
          <w:tblCellMar>
            <w:top w:w="15" w:type="dxa"/>
            <w:left w:w="15" w:type="dxa"/>
            <w:bottom w:w="15" w:type="dxa"/>
            <w:right w:w="15" w:type="dxa"/>
          </w:tblCellMar>
          <w:tblLook w:val="04A0" w:firstRow="1" w:lastRow="0" w:firstColumn="1" w:lastColumn="0" w:noHBand="0" w:noVBand="1"/>
        </w:tblPrEx>
        <w:tc>
          <w:tcPr>
            <w:tcW w:w="9067" w:type="dxa"/>
            <w:gridSpan w:val="8"/>
            <w:tcBorders>
              <w:top w:val="single" w:sz="4" w:space="0" w:color="auto"/>
              <w:left w:val="single" w:sz="4" w:space="0" w:color="auto"/>
              <w:right w:val="single" w:sz="4" w:space="0" w:color="auto"/>
            </w:tcBorders>
          </w:tcPr>
          <w:p w14:paraId="321AF3C1" w14:textId="77777777" w:rsidR="001C55C0" w:rsidRPr="00991CEC" w:rsidRDefault="001C55C0" w:rsidP="00E051BD">
            <w:pPr>
              <w:rPr>
                <w:rFonts w:ascii="Arial Narrow" w:hAnsi="Arial Narrow"/>
                <w:sz w:val="20"/>
                <w:szCs w:val="20"/>
              </w:rPr>
            </w:pPr>
          </w:p>
        </w:tc>
      </w:tr>
      <w:tr w:rsidR="001C55C0" w:rsidRPr="00120A12" w14:paraId="56E47164" w14:textId="77777777" w:rsidTr="00E051BD">
        <w:tblPrEx>
          <w:tblCellMar>
            <w:top w:w="15" w:type="dxa"/>
            <w:left w:w="15" w:type="dxa"/>
            <w:bottom w:w="15" w:type="dxa"/>
            <w:right w:w="15" w:type="dxa"/>
          </w:tblCellMar>
          <w:tblLook w:val="04A0" w:firstRow="1" w:lastRow="0" w:firstColumn="1" w:lastColumn="0" w:noHBand="0" w:noVBand="1"/>
        </w:tblPrEx>
        <w:tc>
          <w:tcPr>
            <w:tcW w:w="9067" w:type="dxa"/>
            <w:gridSpan w:val="8"/>
            <w:tcBorders>
              <w:top w:val="single" w:sz="4" w:space="0" w:color="auto"/>
              <w:left w:val="single" w:sz="4" w:space="0" w:color="auto"/>
              <w:right w:val="single" w:sz="4" w:space="0" w:color="auto"/>
            </w:tcBorders>
          </w:tcPr>
          <w:p w14:paraId="367C3AB1" w14:textId="4DEEAD1F" w:rsidR="001C55C0" w:rsidRPr="00991CEC" w:rsidRDefault="001C55C0" w:rsidP="00E051BD">
            <w:pPr>
              <w:rPr>
                <w:rFonts w:ascii="Arial Narrow" w:hAnsi="Arial Narrow"/>
                <w:b/>
                <w:sz w:val="20"/>
                <w:szCs w:val="20"/>
              </w:rPr>
            </w:pPr>
            <w:r w:rsidRPr="00991CEC">
              <w:rPr>
                <w:rFonts w:ascii="Arial Narrow" w:hAnsi="Arial Narrow"/>
                <w:b/>
                <w:sz w:val="20"/>
                <w:szCs w:val="20"/>
              </w:rPr>
              <w:t xml:space="preserve">Restriction Summary / Treatment of Concept: </w:t>
            </w:r>
          </w:p>
        </w:tc>
      </w:tr>
      <w:tr w:rsidR="001C55C0" w:rsidRPr="00120A12" w14:paraId="77257344" w14:textId="77777777" w:rsidTr="00E051BD">
        <w:tblPrEx>
          <w:tblCellMar>
            <w:top w:w="15" w:type="dxa"/>
            <w:left w:w="15" w:type="dxa"/>
            <w:bottom w:w="15" w:type="dxa"/>
            <w:right w:w="15" w:type="dxa"/>
          </w:tblCellMar>
          <w:tblLook w:val="04A0" w:firstRow="1" w:lastRow="0" w:firstColumn="1" w:lastColumn="0" w:noHBand="0" w:noVBand="1"/>
        </w:tblPrEx>
        <w:tc>
          <w:tcPr>
            <w:tcW w:w="981" w:type="dxa"/>
            <w:gridSpan w:val="2"/>
            <w:vMerge w:val="restart"/>
            <w:tcBorders>
              <w:top w:val="single" w:sz="4" w:space="0" w:color="auto"/>
              <w:left w:val="single" w:sz="4" w:space="0" w:color="auto"/>
              <w:right w:val="single" w:sz="4" w:space="0" w:color="auto"/>
            </w:tcBorders>
          </w:tcPr>
          <w:p w14:paraId="24807447" w14:textId="720A7686" w:rsidR="001C55C0" w:rsidRPr="00991CEC" w:rsidRDefault="001C55C0" w:rsidP="00E051BD">
            <w:pPr>
              <w:jc w:val="center"/>
              <w:rPr>
                <w:rFonts w:ascii="Arial Narrow" w:hAnsi="Arial Narrow"/>
                <w:sz w:val="20"/>
                <w:szCs w:val="20"/>
              </w:rPr>
            </w:pPr>
          </w:p>
        </w:tc>
        <w:tc>
          <w:tcPr>
            <w:tcW w:w="8086" w:type="dxa"/>
            <w:gridSpan w:val="6"/>
            <w:tcBorders>
              <w:top w:val="single" w:sz="4" w:space="0" w:color="auto"/>
              <w:left w:val="single" w:sz="4" w:space="0" w:color="auto"/>
              <w:bottom w:val="single" w:sz="4" w:space="0" w:color="auto"/>
              <w:right w:val="single" w:sz="4" w:space="0" w:color="auto"/>
            </w:tcBorders>
          </w:tcPr>
          <w:p w14:paraId="6EF99065" w14:textId="77777777" w:rsidR="001C55C0" w:rsidRPr="00991CEC" w:rsidRDefault="001C55C0" w:rsidP="00E051BD">
            <w:pPr>
              <w:rPr>
                <w:rFonts w:ascii="Arial Narrow" w:hAnsi="Arial Narrow"/>
                <w:sz w:val="20"/>
                <w:szCs w:val="20"/>
              </w:rPr>
            </w:pPr>
            <w:r w:rsidRPr="00991CEC">
              <w:rPr>
                <w:rFonts w:ascii="Arial Narrow" w:hAnsi="Arial Narrow"/>
                <w:b/>
                <w:sz w:val="20"/>
                <w:szCs w:val="20"/>
              </w:rPr>
              <w:t xml:space="preserve">Category / Program:   </w:t>
            </w:r>
            <w:r w:rsidRPr="00991CEC">
              <w:rPr>
                <w:rFonts w:ascii="Arial Narrow" w:hAnsi="Arial Narrow"/>
                <w:sz w:val="20"/>
                <w:szCs w:val="20"/>
              </w:rPr>
              <w:t xml:space="preserve">GENERAL – General Schedule (Code GE) </w:t>
            </w:r>
          </w:p>
        </w:tc>
      </w:tr>
      <w:tr w:rsidR="001C55C0" w:rsidRPr="00120A12" w14:paraId="6AEAD308" w14:textId="77777777" w:rsidTr="00E051BD">
        <w:tblPrEx>
          <w:tblCellMar>
            <w:top w:w="15" w:type="dxa"/>
            <w:left w:w="15" w:type="dxa"/>
            <w:bottom w:w="15" w:type="dxa"/>
            <w:right w:w="15" w:type="dxa"/>
          </w:tblCellMar>
          <w:tblLook w:val="04A0" w:firstRow="1" w:lastRow="0" w:firstColumn="1" w:lastColumn="0" w:noHBand="0" w:noVBand="1"/>
        </w:tblPrEx>
        <w:trPr>
          <w:trHeight w:val="240"/>
        </w:trPr>
        <w:tc>
          <w:tcPr>
            <w:tcW w:w="981" w:type="dxa"/>
            <w:gridSpan w:val="2"/>
            <w:vMerge/>
            <w:tcBorders>
              <w:left w:val="single" w:sz="4" w:space="0" w:color="auto"/>
              <w:right w:val="single" w:sz="4" w:space="0" w:color="auto"/>
            </w:tcBorders>
          </w:tcPr>
          <w:p w14:paraId="72C3EC37" w14:textId="77777777" w:rsidR="001C55C0" w:rsidRPr="00991CEC" w:rsidRDefault="001C55C0" w:rsidP="00E051BD">
            <w:pPr>
              <w:rPr>
                <w:rFonts w:ascii="Arial Narrow" w:hAnsi="Arial Narrow"/>
                <w:sz w:val="20"/>
                <w:szCs w:val="20"/>
              </w:rPr>
            </w:pPr>
          </w:p>
        </w:tc>
        <w:tc>
          <w:tcPr>
            <w:tcW w:w="8086" w:type="dxa"/>
            <w:gridSpan w:val="6"/>
            <w:tcBorders>
              <w:top w:val="single" w:sz="4" w:space="0" w:color="auto"/>
              <w:left w:val="single" w:sz="4" w:space="0" w:color="auto"/>
              <w:bottom w:val="single" w:sz="4" w:space="0" w:color="auto"/>
              <w:right w:val="single" w:sz="4" w:space="0" w:color="auto"/>
            </w:tcBorders>
          </w:tcPr>
          <w:p w14:paraId="6149E533" w14:textId="77777777" w:rsidR="001C55C0" w:rsidRPr="00991CEC" w:rsidRDefault="001C55C0" w:rsidP="00E051BD">
            <w:pPr>
              <w:rPr>
                <w:rFonts w:ascii="Arial Narrow" w:hAnsi="Arial Narrow"/>
                <w:b/>
                <w:sz w:val="20"/>
                <w:szCs w:val="20"/>
              </w:rPr>
            </w:pPr>
            <w:r w:rsidRPr="00991CEC">
              <w:rPr>
                <w:rFonts w:ascii="Arial Narrow" w:hAnsi="Arial Narrow"/>
                <w:b/>
                <w:sz w:val="20"/>
                <w:szCs w:val="20"/>
              </w:rPr>
              <w:t xml:space="preserve">Prescriber type:   </w:t>
            </w:r>
            <w:r w:rsidRPr="00991CEC">
              <w:rPr>
                <w:rFonts w:ascii="Arial Narrow" w:hAnsi="Arial Narrow"/>
                <w:sz w:val="20"/>
                <w:szCs w:val="20"/>
              </w:rPr>
              <w:fldChar w:fldCharType="begin">
                <w:ffData>
                  <w:name w:val=""/>
                  <w:enabled/>
                  <w:calcOnExit w:val="0"/>
                  <w:checkBox>
                    <w:sizeAuto/>
                    <w:default w:val="1"/>
                  </w:checkBox>
                </w:ffData>
              </w:fldChar>
            </w:r>
            <w:r w:rsidRPr="00991CEC">
              <w:rPr>
                <w:rFonts w:ascii="Arial Narrow" w:hAnsi="Arial Narrow"/>
                <w:sz w:val="20"/>
                <w:szCs w:val="20"/>
              </w:rPr>
              <w:instrText xml:space="preserve"> FORMCHECKBOX </w:instrText>
            </w:r>
            <w:r w:rsidR="00EC16BE">
              <w:rPr>
                <w:rFonts w:ascii="Arial Narrow" w:hAnsi="Arial Narrow"/>
                <w:sz w:val="20"/>
                <w:szCs w:val="20"/>
              </w:rPr>
            </w:r>
            <w:r w:rsidR="00EC16BE">
              <w:rPr>
                <w:rFonts w:ascii="Arial Narrow" w:hAnsi="Arial Narrow"/>
                <w:sz w:val="20"/>
                <w:szCs w:val="20"/>
              </w:rPr>
              <w:fldChar w:fldCharType="separate"/>
            </w:r>
            <w:r w:rsidRPr="00991CEC">
              <w:rPr>
                <w:rFonts w:ascii="Arial Narrow" w:hAnsi="Arial Narrow"/>
                <w:sz w:val="20"/>
                <w:szCs w:val="20"/>
              </w:rPr>
              <w:fldChar w:fldCharType="end"/>
            </w:r>
            <w:r w:rsidRPr="00991CEC">
              <w:rPr>
                <w:rFonts w:ascii="Arial Narrow" w:hAnsi="Arial Narrow"/>
                <w:sz w:val="20"/>
                <w:szCs w:val="20"/>
              </w:rPr>
              <w:t xml:space="preserve">Medical Practitioners </w:t>
            </w:r>
          </w:p>
        </w:tc>
      </w:tr>
      <w:tr w:rsidR="001C55C0" w:rsidRPr="00120A12" w14:paraId="5A28F8B1" w14:textId="77777777" w:rsidTr="00E051BD">
        <w:tblPrEx>
          <w:tblCellMar>
            <w:top w:w="15" w:type="dxa"/>
            <w:left w:w="15" w:type="dxa"/>
            <w:bottom w:w="15" w:type="dxa"/>
            <w:right w:w="15" w:type="dxa"/>
          </w:tblCellMar>
          <w:tblLook w:val="04A0" w:firstRow="1" w:lastRow="0" w:firstColumn="1" w:lastColumn="0" w:noHBand="0" w:noVBand="1"/>
        </w:tblPrEx>
        <w:trPr>
          <w:trHeight w:val="396"/>
        </w:trPr>
        <w:tc>
          <w:tcPr>
            <w:tcW w:w="981" w:type="dxa"/>
            <w:gridSpan w:val="2"/>
            <w:vMerge/>
            <w:tcBorders>
              <w:left w:val="single" w:sz="4" w:space="0" w:color="auto"/>
              <w:bottom w:val="single" w:sz="4" w:space="0" w:color="auto"/>
              <w:right w:val="single" w:sz="4" w:space="0" w:color="auto"/>
            </w:tcBorders>
          </w:tcPr>
          <w:p w14:paraId="4DAEBD43" w14:textId="77777777" w:rsidR="001C55C0" w:rsidRPr="00991CEC" w:rsidRDefault="001C55C0" w:rsidP="00E051BD">
            <w:pPr>
              <w:rPr>
                <w:rFonts w:ascii="Arial Narrow" w:hAnsi="Arial Narrow"/>
                <w:sz w:val="20"/>
                <w:szCs w:val="20"/>
              </w:rPr>
            </w:pPr>
          </w:p>
        </w:tc>
        <w:tc>
          <w:tcPr>
            <w:tcW w:w="8086" w:type="dxa"/>
            <w:gridSpan w:val="6"/>
            <w:tcBorders>
              <w:top w:val="single" w:sz="4" w:space="0" w:color="auto"/>
              <w:left w:val="single" w:sz="4" w:space="0" w:color="auto"/>
              <w:bottom w:val="single" w:sz="4" w:space="0" w:color="auto"/>
              <w:right w:val="single" w:sz="4" w:space="0" w:color="auto"/>
            </w:tcBorders>
          </w:tcPr>
          <w:p w14:paraId="439F87C9" w14:textId="77777777" w:rsidR="001C55C0" w:rsidRPr="00991CEC" w:rsidRDefault="001C55C0" w:rsidP="00E051BD">
            <w:pPr>
              <w:rPr>
                <w:rFonts w:ascii="Arial Narrow" w:eastAsia="Calibri" w:hAnsi="Arial Narrow"/>
                <w:sz w:val="20"/>
                <w:szCs w:val="20"/>
              </w:rPr>
            </w:pPr>
            <w:r w:rsidRPr="00991CEC">
              <w:rPr>
                <w:rFonts w:ascii="Arial Narrow" w:hAnsi="Arial Narrow"/>
                <w:b/>
                <w:sz w:val="20"/>
                <w:szCs w:val="20"/>
              </w:rPr>
              <w:t xml:space="preserve">Restriction type: </w:t>
            </w:r>
            <w:r w:rsidRPr="00991CEC">
              <w:rPr>
                <w:rFonts w:ascii="Arial Narrow" w:eastAsia="Calibri" w:hAnsi="Arial Narrow"/>
                <w:sz w:val="20"/>
                <w:szCs w:val="20"/>
              </w:rPr>
              <w:fldChar w:fldCharType="begin">
                <w:ffData>
                  <w:name w:val=""/>
                  <w:enabled/>
                  <w:calcOnExit w:val="0"/>
                  <w:checkBox>
                    <w:sizeAuto/>
                    <w:default w:val="1"/>
                  </w:checkBox>
                </w:ffData>
              </w:fldChar>
            </w:r>
            <w:r w:rsidRPr="00991CEC">
              <w:rPr>
                <w:rFonts w:ascii="Arial Narrow" w:eastAsia="Calibri" w:hAnsi="Arial Narrow"/>
                <w:sz w:val="20"/>
                <w:szCs w:val="20"/>
              </w:rPr>
              <w:instrText xml:space="preserve"> FORMCHECKBOX </w:instrText>
            </w:r>
            <w:r w:rsidR="00EC16BE">
              <w:rPr>
                <w:rFonts w:ascii="Arial Narrow" w:eastAsia="Calibri" w:hAnsi="Arial Narrow"/>
                <w:sz w:val="20"/>
                <w:szCs w:val="20"/>
              </w:rPr>
            </w:r>
            <w:r w:rsidR="00EC16BE">
              <w:rPr>
                <w:rFonts w:ascii="Arial Narrow" w:eastAsia="Calibri" w:hAnsi="Arial Narrow"/>
                <w:sz w:val="20"/>
                <w:szCs w:val="20"/>
              </w:rPr>
              <w:fldChar w:fldCharType="separate"/>
            </w:r>
            <w:r w:rsidRPr="00991CEC">
              <w:rPr>
                <w:rFonts w:ascii="Arial Narrow" w:eastAsia="Calibri" w:hAnsi="Arial Narrow"/>
                <w:sz w:val="20"/>
                <w:szCs w:val="20"/>
              </w:rPr>
              <w:fldChar w:fldCharType="end"/>
            </w:r>
            <w:r w:rsidRPr="00991CEC">
              <w:rPr>
                <w:rFonts w:ascii="Arial Narrow" w:eastAsia="Calibri" w:hAnsi="Arial Narrow"/>
                <w:sz w:val="20"/>
                <w:szCs w:val="20"/>
              </w:rPr>
              <w:t xml:space="preserve">Authority Required (telephone/online PBS Authorities system) </w:t>
            </w:r>
          </w:p>
        </w:tc>
      </w:tr>
      <w:tr w:rsidR="001C55C0" w:rsidRPr="00120A12" w14:paraId="6A409F53" w14:textId="77777777" w:rsidTr="00E051BD">
        <w:tblPrEx>
          <w:tblCellMar>
            <w:top w:w="15" w:type="dxa"/>
            <w:left w:w="15" w:type="dxa"/>
            <w:bottom w:w="15" w:type="dxa"/>
            <w:right w:w="15" w:type="dxa"/>
          </w:tblCellMar>
          <w:tblLook w:val="04A0" w:firstRow="1" w:lastRow="0" w:firstColumn="1" w:lastColumn="0" w:noHBand="0" w:noVBand="1"/>
        </w:tblPrEx>
        <w:tc>
          <w:tcPr>
            <w:tcW w:w="490" w:type="dxa"/>
            <w:vMerge w:val="restart"/>
            <w:tcBorders>
              <w:left w:val="single" w:sz="4" w:space="0" w:color="auto"/>
              <w:right w:val="single" w:sz="4" w:space="0" w:color="auto"/>
            </w:tcBorders>
            <w:textDirection w:val="btLr"/>
          </w:tcPr>
          <w:p w14:paraId="70D993DC" w14:textId="77777777" w:rsidR="001C55C0" w:rsidRPr="00991CEC" w:rsidRDefault="001C55C0" w:rsidP="00E051BD">
            <w:pPr>
              <w:ind w:left="113" w:right="113"/>
              <w:rPr>
                <w:rFonts w:ascii="Arial Narrow" w:hAnsi="Arial Narrow"/>
                <w:sz w:val="20"/>
                <w:szCs w:val="20"/>
              </w:rPr>
            </w:pPr>
            <w:r w:rsidRPr="00991CEC">
              <w:rPr>
                <w:rFonts w:ascii="Arial Narrow" w:hAnsi="Arial Narrow"/>
                <w:sz w:val="20"/>
                <w:szCs w:val="20"/>
              </w:rPr>
              <w:t>Prescribing rule level</w:t>
            </w:r>
          </w:p>
        </w:tc>
        <w:tc>
          <w:tcPr>
            <w:tcW w:w="491" w:type="dxa"/>
          </w:tcPr>
          <w:p w14:paraId="660A5EE6" w14:textId="58745D92" w:rsidR="001C55C0" w:rsidRPr="00991CEC" w:rsidRDefault="001C55C0" w:rsidP="00E051BD">
            <w:pPr>
              <w:jc w:val="center"/>
              <w:rPr>
                <w:rFonts w:ascii="Arial Narrow" w:hAnsi="Arial Narrow"/>
                <w:sz w:val="20"/>
                <w:szCs w:val="20"/>
              </w:rPr>
            </w:pPr>
          </w:p>
        </w:tc>
        <w:tc>
          <w:tcPr>
            <w:tcW w:w="8086" w:type="dxa"/>
            <w:gridSpan w:val="6"/>
          </w:tcPr>
          <w:p w14:paraId="36E780B0" w14:textId="77777777" w:rsidR="001C55C0" w:rsidRPr="00991CEC" w:rsidRDefault="001C55C0" w:rsidP="00E051BD">
            <w:pPr>
              <w:rPr>
                <w:rFonts w:ascii="Arial Narrow" w:hAnsi="Arial Narrow"/>
                <w:sz w:val="20"/>
                <w:szCs w:val="20"/>
              </w:rPr>
            </w:pPr>
            <w:r w:rsidRPr="00991CEC">
              <w:rPr>
                <w:rFonts w:ascii="Arial Narrow" w:hAnsi="Arial Narrow"/>
                <w:b/>
                <w:bCs/>
                <w:sz w:val="20"/>
                <w:szCs w:val="20"/>
              </w:rPr>
              <w:t>Administrative advice:</w:t>
            </w:r>
            <w:r w:rsidRPr="00991CEC">
              <w:rPr>
                <w:rFonts w:ascii="Arial Narrow" w:hAnsi="Arial Narrow"/>
                <w:sz w:val="20"/>
                <w:szCs w:val="20"/>
              </w:rPr>
              <w:t xml:space="preserve"> Applications for authorisation under this restriction may be made in real time using the Online PBS Authorities system (see www.servicesaustralia.gov.au/HPOS) or by telephone by contacting Services Australia 1800 888 333.  </w:t>
            </w:r>
          </w:p>
        </w:tc>
      </w:tr>
      <w:tr w:rsidR="001C55C0" w:rsidRPr="00120A12" w14:paraId="0A8211FC" w14:textId="77777777" w:rsidTr="00E051BD">
        <w:tblPrEx>
          <w:tblCellMar>
            <w:top w:w="15" w:type="dxa"/>
            <w:left w:w="15" w:type="dxa"/>
            <w:bottom w:w="15" w:type="dxa"/>
            <w:right w:w="15" w:type="dxa"/>
          </w:tblCellMar>
          <w:tblLook w:val="04A0" w:firstRow="1" w:lastRow="0" w:firstColumn="1" w:lastColumn="0" w:noHBand="0" w:noVBand="1"/>
        </w:tblPrEx>
        <w:tc>
          <w:tcPr>
            <w:tcW w:w="490" w:type="dxa"/>
            <w:vMerge/>
            <w:tcBorders>
              <w:left w:val="single" w:sz="4" w:space="0" w:color="auto"/>
              <w:right w:val="single" w:sz="4" w:space="0" w:color="auto"/>
            </w:tcBorders>
            <w:textDirection w:val="btLr"/>
          </w:tcPr>
          <w:p w14:paraId="4C2D269E" w14:textId="77777777" w:rsidR="001C55C0" w:rsidRPr="00991CEC" w:rsidRDefault="001C55C0" w:rsidP="00E051BD">
            <w:pPr>
              <w:ind w:left="113" w:right="113"/>
              <w:rPr>
                <w:rFonts w:ascii="Arial Narrow" w:hAnsi="Arial Narrow"/>
                <w:sz w:val="20"/>
                <w:szCs w:val="20"/>
              </w:rPr>
            </w:pPr>
          </w:p>
        </w:tc>
        <w:tc>
          <w:tcPr>
            <w:tcW w:w="491" w:type="dxa"/>
          </w:tcPr>
          <w:p w14:paraId="7B2F51B6" w14:textId="033685AE" w:rsidR="001C55C0" w:rsidRPr="00991CEC" w:rsidRDefault="001C55C0" w:rsidP="00E051BD">
            <w:pPr>
              <w:jc w:val="center"/>
              <w:rPr>
                <w:rFonts w:ascii="Arial Narrow" w:hAnsi="Arial Narrow"/>
                <w:sz w:val="20"/>
                <w:szCs w:val="20"/>
              </w:rPr>
            </w:pPr>
          </w:p>
        </w:tc>
        <w:tc>
          <w:tcPr>
            <w:tcW w:w="8086" w:type="dxa"/>
            <w:gridSpan w:val="6"/>
          </w:tcPr>
          <w:p w14:paraId="615EBCE9" w14:textId="77777777" w:rsidR="001C55C0" w:rsidRPr="00991CEC" w:rsidRDefault="001C55C0" w:rsidP="00E051BD">
            <w:pPr>
              <w:rPr>
                <w:rFonts w:ascii="Arial Narrow" w:hAnsi="Arial Narrow"/>
                <w:sz w:val="20"/>
                <w:szCs w:val="20"/>
              </w:rPr>
            </w:pPr>
            <w:r w:rsidRPr="00991CEC">
              <w:rPr>
                <w:rFonts w:ascii="Arial Narrow" w:hAnsi="Arial Narrow"/>
                <w:b/>
                <w:bCs/>
                <w:sz w:val="20"/>
                <w:szCs w:val="20"/>
              </w:rPr>
              <w:t>Administrative advice:</w:t>
            </w:r>
            <w:r w:rsidRPr="00991CEC">
              <w:rPr>
                <w:rFonts w:ascii="Arial Narrow" w:hAnsi="Arial Narrow"/>
                <w:sz w:val="20"/>
                <w:szCs w:val="20"/>
              </w:rPr>
              <w:t xml:space="preserve"> No increase in the maximum quantity or number of units may be authorised.</w:t>
            </w:r>
          </w:p>
        </w:tc>
      </w:tr>
      <w:tr w:rsidR="001C55C0" w:rsidRPr="00120A12" w14:paraId="7B367B4F" w14:textId="77777777" w:rsidTr="00E051BD">
        <w:tblPrEx>
          <w:tblCellMar>
            <w:top w:w="15" w:type="dxa"/>
            <w:left w:w="15" w:type="dxa"/>
            <w:bottom w:w="15" w:type="dxa"/>
            <w:right w:w="15" w:type="dxa"/>
          </w:tblCellMar>
          <w:tblLook w:val="04A0" w:firstRow="1" w:lastRow="0" w:firstColumn="1" w:lastColumn="0" w:noHBand="0" w:noVBand="1"/>
        </w:tblPrEx>
        <w:tc>
          <w:tcPr>
            <w:tcW w:w="490" w:type="dxa"/>
            <w:vMerge/>
            <w:tcBorders>
              <w:left w:val="single" w:sz="4" w:space="0" w:color="auto"/>
              <w:right w:val="single" w:sz="4" w:space="0" w:color="auto"/>
            </w:tcBorders>
          </w:tcPr>
          <w:p w14:paraId="3AF8B422" w14:textId="77777777" w:rsidR="001C55C0" w:rsidRPr="00991CEC" w:rsidRDefault="001C55C0" w:rsidP="00E051BD">
            <w:pPr>
              <w:rPr>
                <w:rFonts w:ascii="Arial Narrow" w:hAnsi="Arial Narrow"/>
                <w:sz w:val="20"/>
                <w:szCs w:val="20"/>
              </w:rPr>
            </w:pPr>
          </w:p>
        </w:tc>
        <w:tc>
          <w:tcPr>
            <w:tcW w:w="491" w:type="dxa"/>
          </w:tcPr>
          <w:p w14:paraId="7223500B" w14:textId="5DB31D4E" w:rsidR="001C55C0" w:rsidRPr="00991CEC" w:rsidRDefault="001C55C0" w:rsidP="00E051BD">
            <w:pPr>
              <w:jc w:val="center"/>
              <w:rPr>
                <w:rFonts w:ascii="Arial Narrow" w:hAnsi="Arial Narrow"/>
                <w:sz w:val="20"/>
                <w:szCs w:val="20"/>
              </w:rPr>
            </w:pPr>
          </w:p>
        </w:tc>
        <w:tc>
          <w:tcPr>
            <w:tcW w:w="8086" w:type="dxa"/>
            <w:gridSpan w:val="6"/>
          </w:tcPr>
          <w:p w14:paraId="4FC2B214" w14:textId="77777777" w:rsidR="001C55C0" w:rsidRPr="00991CEC" w:rsidRDefault="001C55C0" w:rsidP="00E051BD">
            <w:pPr>
              <w:rPr>
                <w:rFonts w:ascii="Arial Narrow" w:hAnsi="Arial Narrow"/>
                <w:sz w:val="20"/>
                <w:szCs w:val="20"/>
              </w:rPr>
            </w:pPr>
            <w:r w:rsidRPr="00991CEC">
              <w:rPr>
                <w:rFonts w:ascii="Arial Narrow" w:hAnsi="Arial Narrow"/>
                <w:b/>
                <w:bCs/>
                <w:sz w:val="20"/>
                <w:szCs w:val="20"/>
              </w:rPr>
              <w:t>Administrative advice:</w:t>
            </w:r>
            <w:r w:rsidRPr="00991CEC">
              <w:rPr>
                <w:rFonts w:ascii="Arial Narrow" w:hAnsi="Arial Narrow"/>
                <w:sz w:val="20"/>
                <w:szCs w:val="20"/>
              </w:rPr>
              <w:t xml:space="preserve"> No increase in the maximum number of repeats may be authorised.</w:t>
            </w:r>
          </w:p>
        </w:tc>
      </w:tr>
      <w:tr w:rsidR="001C55C0" w:rsidRPr="00120A12" w14:paraId="4AAD6A04" w14:textId="77777777" w:rsidTr="00E051BD">
        <w:tblPrEx>
          <w:tblCellMar>
            <w:top w:w="15" w:type="dxa"/>
            <w:left w:w="15" w:type="dxa"/>
            <w:bottom w:w="15" w:type="dxa"/>
            <w:right w:w="15" w:type="dxa"/>
          </w:tblCellMar>
          <w:tblLook w:val="04A0" w:firstRow="1" w:lastRow="0" w:firstColumn="1" w:lastColumn="0" w:noHBand="0" w:noVBand="1"/>
        </w:tblPrEx>
        <w:tc>
          <w:tcPr>
            <w:tcW w:w="490" w:type="dxa"/>
            <w:vMerge/>
            <w:tcBorders>
              <w:left w:val="single" w:sz="4" w:space="0" w:color="auto"/>
              <w:bottom w:val="single" w:sz="4" w:space="0" w:color="auto"/>
              <w:right w:val="single" w:sz="4" w:space="0" w:color="auto"/>
            </w:tcBorders>
          </w:tcPr>
          <w:p w14:paraId="742581ED" w14:textId="77777777" w:rsidR="001C55C0" w:rsidRPr="00991CEC" w:rsidRDefault="001C55C0" w:rsidP="00E051BD">
            <w:pPr>
              <w:rPr>
                <w:rFonts w:ascii="Arial Narrow" w:hAnsi="Arial Narrow"/>
                <w:sz w:val="20"/>
                <w:szCs w:val="20"/>
              </w:rPr>
            </w:pPr>
          </w:p>
        </w:tc>
        <w:tc>
          <w:tcPr>
            <w:tcW w:w="491" w:type="dxa"/>
          </w:tcPr>
          <w:p w14:paraId="5DF66798" w14:textId="3B7822EA" w:rsidR="001C55C0" w:rsidRPr="00991CEC" w:rsidRDefault="001C55C0" w:rsidP="00E051BD">
            <w:pPr>
              <w:jc w:val="center"/>
              <w:rPr>
                <w:rFonts w:ascii="Arial Narrow" w:hAnsi="Arial Narrow"/>
                <w:sz w:val="20"/>
                <w:szCs w:val="20"/>
              </w:rPr>
            </w:pPr>
          </w:p>
        </w:tc>
        <w:tc>
          <w:tcPr>
            <w:tcW w:w="8086" w:type="dxa"/>
            <w:gridSpan w:val="6"/>
          </w:tcPr>
          <w:p w14:paraId="50F10DDB" w14:textId="77777777" w:rsidR="001C55C0" w:rsidRPr="00991CEC" w:rsidRDefault="001C55C0" w:rsidP="00E051BD">
            <w:pPr>
              <w:rPr>
                <w:rFonts w:ascii="Arial Narrow" w:hAnsi="Arial Narrow"/>
                <w:sz w:val="20"/>
                <w:szCs w:val="20"/>
              </w:rPr>
            </w:pPr>
            <w:r w:rsidRPr="00991CEC">
              <w:rPr>
                <w:rFonts w:ascii="Arial Narrow" w:hAnsi="Arial Narrow"/>
                <w:b/>
                <w:bCs/>
                <w:sz w:val="20"/>
                <w:szCs w:val="20"/>
              </w:rPr>
              <w:t>Administrative advice</w:t>
            </w:r>
            <w:r w:rsidRPr="00991CEC">
              <w:rPr>
                <w:rFonts w:ascii="Arial Narrow" w:hAnsi="Arial Narrow"/>
                <w:sz w:val="20"/>
                <w:szCs w:val="20"/>
              </w:rPr>
              <w:t>: Special Pricing Arrangements apply.</w:t>
            </w:r>
          </w:p>
        </w:tc>
      </w:tr>
      <w:tr w:rsidR="001C55C0" w:rsidRPr="00120A12" w14:paraId="416D60CD" w14:textId="77777777" w:rsidTr="00991CEC">
        <w:tblPrEx>
          <w:tblCellMar>
            <w:top w:w="15" w:type="dxa"/>
            <w:left w:w="15" w:type="dxa"/>
            <w:bottom w:w="15" w:type="dxa"/>
            <w:right w:w="15" w:type="dxa"/>
          </w:tblCellMar>
          <w:tblLook w:val="04A0" w:firstRow="1" w:lastRow="0" w:firstColumn="1" w:lastColumn="0" w:noHBand="0" w:noVBand="1"/>
        </w:tblPrEx>
        <w:tc>
          <w:tcPr>
            <w:tcW w:w="981" w:type="dxa"/>
            <w:gridSpan w:val="2"/>
            <w:vAlign w:val="center"/>
          </w:tcPr>
          <w:p w14:paraId="79C90506" w14:textId="0AE032DE" w:rsidR="001C55C0" w:rsidRPr="00991CEC" w:rsidRDefault="001C55C0" w:rsidP="00E051BD">
            <w:pPr>
              <w:jc w:val="center"/>
              <w:rPr>
                <w:rFonts w:ascii="Arial Narrow" w:hAnsi="Arial Narrow"/>
                <w:sz w:val="20"/>
                <w:szCs w:val="20"/>
              </w:rPr>
            </w:pPr>
          </w:p>
        </w:tc>
        <w:tc>
          <w:tcPr>
            <w:tcW w:w="8086" w:type="dxa"/>
            <w:gridSpan w:val="6"/>
            <w:vAlign w:val="center"/>
            <w:hideMark/>
          </w:tcPr>
          <w:p w14:paraId="2FD2B4C3" w14:textId="77777777" w:rsidR="001C55C0" w:rsidRPr="00991CEC" w:rsidRDefault="001C55C0" w:rsidP="00E051BD">
            <w:pPr>
              <w:rPr>
                <w:rFonts w:ascii="Arial Narrow" w:hAnsi="Arial Narrow"/>
                <w:sz w:val="20"/>
                <w:szCs w:val="20"/>
              </w:rPr>
            </w:pPr>
            <w:r w:rsidRPr="00991CEC">
              <w:rPr>
                <w:rFonts w:ascii="Arial Narrow" w:hAnsi="Arial Narrow"/>
                <w:b/>
                <w:bCs/>
                <w:sz w:val="20"/>
                <w:szCs w:val="20"/>
              </w:rPr>
              <w:t>Indication:</w:t>
            </w:r>
            <w:r w:rsidRPr="00991CEC">
              <w:rPr>
                <w:rFonts w:ascii="Arial Narrow" w:hAnsi="Arial Narrow"/>
                <w:sz w:val="20"/>
                <w:szCs w:val="20"/>
              </w:rPr>
              <w:t xml:space="preserve"> Severe established osteoporosis </w:t>
            </w:r>
          </w:p>
        </w:tc>
      </w:tr>
      <w:tr w:rsidR="001C55C0" w:rsidRPr="00B90897" w14:paraId="586701CA" w14:textId="77777777" w:rsidTr="00991CEC">
        <w:tblPrEx>
          <w:tblCellMar>
            <w:top w:w="15" w:type="dxa"/>
            <w:left w:w="15" w:type="dxa"/>
            <w:bottom w:w="15" w:type="dxa"/>
            <w:right w:w="15" w:type="dxa"/>
          </w:tblCellMar>
          <w:tblLook w:val="04A0" w:firstRow="1" w:lastRow="0" w:firstColumn="1" w:lastColumn="0" w:noHBand="0" w:noVBand="1"/>
        </w:tblPrEx>
        <w:tc>
          <w:tcPr>
            <w:tcW w:w="981" w:type="dxa"/>
            <w:gridSpan w:val="2"/>
            <w:vAlign w:val="center"/>
          </w:tcPr>
          <w:p w14:paraId="1C2768A6" w14:textId="77777777" w:rsidR="001C55C0" w:rsidRPr="00991CEC" w:rsidRDefault="001C55C0" w:rsidP="00E051BD">
            <w:pPr>
              <w:jc w:val="center"/>
              <w:rPr>
                <w:rFonts w:ascii="Arial Narrow" w:hAnsi="Arial Narrow"/>
                <w:sz w:val="20"/>
                <w:szCs w:val="20"/>
              </w:rPr>
            </w:pPr>
          </w:p>
        </w:tc>
        <w:tc>
          <w:tcPr>
            <w:tcW w:w="8086" w:type="dxa"/>
            <w:gridSpan w:val="6"/>
            <w:vAlign w:val="center"/>
            <w:hideMark/>
          </w:tcPr>
          <w:p w14:paraId="2EE6696B" w14:textId="77777777" w:rsidR="001C55C0" w:rsidRPr="00991CEC" w:rsidRDefault="001C55C0" w:rsidP="00E051BD">
            <w:pPr>
              <w:rPr>
                <w:rFonts w:ascii="Arial Narrow" w:hAnsi="Arial Narrow"/>
                <w:sz w:val="20"/>
                <w:szCs w:val="20"/>
              </w:rPr>
            </w:pPr>
            <w:r w:rsidRPr="00991CEC">
              <w:rPr>
                <w:rFonts w:ascii="Arial Narrow" w:hAnsi="Arial Narrow"/>
                <w:b/>
                <w:bCs/>
                <w:sz w:val="20"/>
                <w:szCs w:val="20"/>
              </w:rPr>
              <w:t>Treatment Phase:</w:t>
            </w:r>
            <w:r w:rsidRPr="00991CEC">
              <w:rPr>
                <w:rFonts w:ascii="Arial Narrow" w:hAnsi="Arial Narrow"/>
                <w:sz w:val="20"/>
                <w:szCs w:val="20"/>
              </w:rPr>
              <w:t xml:space="preserve"> Initial treatment  </w:t>
            </w:r>
          </w:p>
        </w:tc>
      </w:tr>
      <w:tr w:rsidR="001C55C0" w:rsidRPr="007F2BB2" w14:paraId="6CABD223" w14:textId="77777777" w:rsidTr="00991CEC">
        <w:tblPrEx>
          <w:tblCellMar>
            <w:top w:w="15" w:type="dxa"/>
            <w:left w:w="15" w:type="dxa"/>
            <w:bottom w:w="15" w:type="dxa"/>
            <w:right w:w="15" w:type="dxa"/>
          </w:tblCellMar>
          <w:tblLook w:val="04A0" w:firstRow="1" w:lastRow="0" w:firstColumn="1" w:lastColumn="0" w:noHBand="0" w:noVBand="1"/>
        </w:tblPrEx>
        <w:tc>
          <w:tcPr>
            <w:tcW w:w="981" w:type="dxa"/>
            <w:gridSpan w:val="2"/>
            <w:vAlign w:val="center"/>
          </w:tcPr>
          <w:p w14:paraId="02BC8D03" w14:textId="560C298B" w:rsidR="001C55C0" w:rsidRPr="00991CEC" w:rsidRDefault="001C55C0" w:rsidP="00E051BD">
            <w:pPr>
              <w:jc w:val="center"/>
              <w:rPr>
                <w:rFonts w:ascii="Arial Narrow" w:hAnsi="Arial Narrow"/>
                <w:sz w:val="20"/>
                <w:szCs w:val="20"/>
              </w:rPr>
            </w:pPr>
          </w:p>
        </w:tc>
        <w:tc>
          <w:tcPr>
            <w:tcW w:w="8086" w:type="dxa"/>
            <w:gridSpan w:val="6"/>
            <w:vAlign w:val="center"/>
            <w:hideMark/>
          </w:tcPr>
          <w:p w14:paraId="167A4B6A" w14:textId="77777777" w:rsidR="001C55C0" w:rsidRPr="00991CEC" w:rsidRDefault="001C55C0" w:rsidP="00E051BD">
            <w:pPr>
              <w:rPr>
                <w:rFonts w:ascii="Arial Narrow" w:hAnsi="Arial Narrow"/>
                <w:sz w:val="20"/>
                <w:szCs w:val="20"/>
              </w:rPr>
            </w:pPr>
            <w:r w:rsidRPr="00991CEC">
              <w:rPr>
                <w:rFonts w:ascii="Arial Narrow" w:hAnsi="Arial Narrow"/>
                <w:b/>
                <w:bCs/>
                <w:sz w:val="20"/>
                <w:szCs w:val="20"/>
              </w:rPr>
              <w:t xml:space="preserve">Clinical criteria: </w:t>
            </w:r>
          </w:p>
        </w:tc>
      </w:tr>
      <w:tr w:rsidR="001C55C0" w:rsidRPr="00720161" w14:paraId="50C1391F" w14:textId="77777777" w:rsidTr="00991CEC">
        <w:tblPrEx>
          <w:tblCellMar>
            <w:top w:w="15" w:type="dxa"/>
            <w:left w:w="15" w:type="dxa"/>
            <w:bottom w:w="15" w:type="dxa"/>
            <w:right w:w="15" w:type="dxa"/>
          </w:tblCellMar>
          <w:tblLook w:val="04A0" w:firstRow="1" w:lastRow="0" w:firstColumn="1" w:lastColumn="0" w:noHBand="0" w:noVBand="1"/>
        </w:tblPrEx>
        <w:tc>
          <w:tcPr>
            <w:tcW w:w="981" w:type="dxa"/>
            <w:gridSpan w:val="2"/>
            <w:vAlign w:val="center"/>
          </w:tcPr>
          <w:p w14:paraId="16A97524" w14:textId="2BA28A7F" w:rsidR="001C55C0" w:rsidRPr="00991CEC" w:rsidRDefault="001C55C0" w:rsidP="00E051BD">
            <w:pPr>
              <w:jc w:val="center"/>
              <w:rPr>
                <w:rFonts w:ascii="Arial Narrow" w:hAnsi="Arial Narrow"/>
                <w:sz w:val="20"/>
                <w:szCs w:val="20"/>
              </w:rPr>
            </w:pPr>
          </w:p>
        </w:tc>
        <w:tc>
          <w:tcPr>
            <w:tcW w:w="8086" w:type="dxa"/>
            <w:gridSpan w:val="6"/>
            <w:vAlign w:val="center"/>
            <w:hideMark/>
          </w:tcPr>
          <w:p w14:paraId="7DFF9342" w14:textId="77777777" w:rsidR="001C55C0" w:rsidRPr="00991CEC" w:rsidRDefault="001C55C0" w:rsidP="00E051BD">
            <w:pPr>
              <w:rPr>
                <w:rFonts w:ascii="Arial Narrow" w:hAnsi="Arial Narrow"/>
                <w:sz w:val="20"/>
                <w:szCs w:val="20"/>
              </w:rPr>
            </w:pPr>
            <w:r w:rsidRPr="00991CEC">
              <w:rPr>
                <w:rFonts w:ascii="Arial Narrow" w:hAnsi="Arial Narrow"/>
                <w:sz w:val="20"/>
                <w:szCs w:val="20"/>
              </w:rPr>
              <w:t>Patient must be at very high risk of fracture.</w:t>
            </w:r>
          </w:p>
        </w:tc>
      </w:tr>
      <w:tr w:rsidR="001C55C0" w:rsidRPr="00120A12" w14:paraId="4D4EF66A" w14:textId="77777777" w:rsidTr="00991CEC">
        <w:tblPrEx>
          <w:tblCellMar>
            <w:top w:w="15" w:type="dxa"/>
            <w:left w:w="15" w:type="dxa"/>
            <w:bottom w:w="15" w:type="dxa"/>
            <w:right w:w="15" w:type="dxa"/>
          </w:tblCellMar>
          <w:tblLook w:val="04A0" w:firstRow="1" w:lastRow="0" w:firstColumn="1" w:lastColumn="0" w:noHBand="0" w:noVBand="1"/>
        </w:tblPrEx>
        <w:tc>
          <w:tcPr>
            <w:tcW w:w="981" w:type="dxa"/>
            <w:gridSpan w:val="2"/>
            <w:vAlign w:val="center"/>
          </w:tcPr>
          <w:p w14:paraId="1FB934B4" w14:textId="77777777" w:rsidR="001C55C0" w:rsidRPr="00991CEC" w:rsidRDefault="001C55C0" w:rsidP="00E051BD">
            <w:pPr>
              <w:jc w:val="center"/>
              <w:rPr>
                <w:rFonts w:ascii="Arial Narrow" w:hAnsi="Arial Narrow"/>
                <w:sz w:val="20"/>
                <w:szCs w:val="20"/>
              </w:rPr>
            </w:pPr>
          </w:p>
        </w:tc>
        <w:tc>
          <w:tcPr>
            <w:tcW w:w="8086" w:type="dxa"/>
            <w:gridSpan w:val="6"/>
            <w:vAlign w:val="center"/>
            <w:hideMark/>
          </w:tcPr>
          <w:p w14:paraId="1F279A16" w14:textId="77777777" w:rsidR="001C55C0" w:rsidRPr="00991CEC" w:rsidRDefault="001C55C0" w:rsidP="00E051BD">
            <w:pPr>
              <w:rPr>
                <w:rFonts w:ascii="Arial Narrow" w:hAnsi="Arial Narrow"/>
                <w:sz w:val="20"/>
                <w:szCs w:val="20"/>
              </w:rPr>
            </w:pPr>
            <w:r w:rsidRPr="00991CEC">
              <w:rPr>
                <w:rFonts w:ascii="Arial Narrow" w:hAnsi="Arial Narrow"/>
                <w:b/>
                <w:bCs/>
                <w:sz w:val="20"/>
                <w:szCs w:val="20"/>
              </w:rPr>
              <w:t>AND</w:t>
            </w:r>
          </w:p>
        </w:tc>
      </w:tr>
      <w:tr w:rsidR="001C55C0" w:rsidRPr="00120A12" w14:paraId="04F26055" w14:textId="77777777" w:rsidTr="00E051BD">
        <w:tblPrEx>
          <w:tblCellMar>
            <w:top w:w="15" w:type="dxa"/>
            <w:left w:w="15" w:type="dxa"/>
            <w:bottom w:w="15" w:type="dxa"/>
            <w:right w:w="15" w:type="dxa"/>
          </w:tblCellMar>
          <w:tblLook w:val="04A0" w:firstRow="1" w:lastRow="0" w:firstColumn="1" w:lastColumn="0" w:noHBand="0" w:noVBand="1"/>
        </w:tblPrEx>
        <w:tc>
          <w:tcPr>
            <w:tcW w:w="981" w:type="dxa"/>
            <w:gridSpan w:val="2"/>
            <w:vAlign w:val="center"/>
          </w:tcPr>
          <w:p w14:paraId="695011BA" w14:textId="15A7EB2D" w:rsidR="001C55C0" w:rsidRPr="00991CEC" w:rsidRDefault="001C55C0" w:rsidP="00E051BD">
            <w:pPr>
              <w:jc w:val="center"/>
              <w:rPr>
                <w:rFonts w:ascii="Arial Narrow" w:hAnsi="Arial Narrow"/>
                <w:sz w:val="20"/>
                <w:szCs w:val="20"/>
              </w:rPr>
            </w:pPr>
          </w:p>
        </w:tc>
        <w:tc>
          <w:tcPr>
            <w:tcW w:w="8086" w:type="dxa"/>
            <w:gridSpan w:val="6"/>
            <w:vAlign w:val="center"/>
            <w:hideMark/>
          </w:tcPr>
          <w:p w14:paraId="3FC508E0" w14:textId="77777777" w:rsidR="001C55C0" w:rsidRPr="00991CEC" w:rsidRDefault="001C55C0" w:rsidP="00E051BD">
            <w:pPr>
              <w:rPr>
                <w:rFonts w:ascii="Arial Narrow" w:hAnsi="Arial Narrow"/>
                <w:sz w:val="20"/>
                <w:szCs w:val="20"/>
              </w:rPr>
            </w:pPr>
            <w:r w:rsidRPr="00991CEC">
              <w:rPr>
                <w:rFonts w:ascii="Arial Narrow" w:hAnsi="Arial Narrow"/>
                <w:b/>
                <w:bCs/>
                <w:sz w:val="20"/>
                <w:szCs w:val="20"/>
              </w:rPr>
              <w:t>Clinical criteria:</w:t>
            </w:r>
          </w:p>
        </w:tc>
      </w:tr>
      <w:tr w:rsidR="001C55C0" w:rsidRPr="00720161" w14:paraId="2B6BA729" w14:textId="77777777" w:rsidTr="00E051BD">
        <w:tblPrEx>
          <w:tblCellMar>
            <w:top w:w="15" w:type="dxa"/>
            <w:left w:w="15" w:type="dxa"/>
            <w:bottom w:w="15" w:type="dxa"/>
            <w:right w:w="15" w:type="dxa"/>
          </w:tblCellMar>
          <w:tblLook w:val="04A0" w:firstRow="1" w:lastRow="0" w:firstColumn="1" w:lastColumn="0" w:noHBand="0" w:noVBand="1"/>
        </w:tblPrEx>
        <w:tc>
          <w:tcPr>
            <w:tcW w:w="981" w:type="dxa"/>
            <w:gridSpan w:val="2"/>
            <w:vAlign w:val="center"/>
          </w:tcPr>
          <w:p w14:paraId="61664005" w14:textId="65F5EA4C" w:rsidR="001C55C0" w:rsidRPr="00991CEC" w:rsidRDefault="001C55C0" w:rsidP="00E051BD">
            <w:pPr>
              <w:jc w:val="center"/>
              <w:rPr>
                <w:rFonts w:ascii="Arial Narrow" w:hAnsi="Arial Narrow"/>
                <w:sz w:val="20"/>
                <w:szCs w:val="20"/>
              </w:rPr>
            </w:pPr>
          </w:p>
        </w:tc>
        <w:tc>
          <w:tcPr>
            <w:tcW w:w="8086" w:type="dxa"/>
            <w:gridSpan w:val="6"/>
            <w:vAlign w:val="center"/>
            <w:hideMark/>
          </w:tcPr>
          <w:p w14:paraId="2AB2E0ED" w14:textId="77777777" w:rsidR="001C55C0" w:rsidRPr="00991CEC" w:rsidRDefault="001C55C0" w:rsidP="00E051BD">
            <w:pPr>
              <w:rPr>
                <w:rFonts w:ascii="Arial Narrow" w:hAnsi="Arial Narrow"/>
                <w:sz w:val="20"/>
                <w:szCs w:val="20"/>
              </w:rPr>
            </w:pPr>
            <w:r w:rsidRPr="00991CEC">
              <w:rPr>
                <w:rFonts w:ascii="Arial Narrow" w:hAnsi="Arial Narrow"/>
                <w:sz w:val="20"/>
                <w:szCs w:val="20"/>
              </w:rPr>
              <w:t>Patient must have a bone mineral density (BMD) T-score of -3.0 or less.</w:t>
            </w:r>
          </w:p>
        </w:tc>
      </w:tr>
      <w:tr w:rsidR="001C55C0" w:rsidRPr="00120A12" w14:paraId="3DDC33A6" w14:textId="77777777" w:rsidTr="00E051BD">
        <w:tblPrEx>
          <w:tblCellMar>
            <w:top w:w="15" w:type="dxa"/>
            <w:left w:w="15" w:type="dxa"/>
            <w:bottom w:w="15" w:type="dxa"/>
            <w:right w:w="15" w:type="dxa"/>
          </w:tblCellMar>
          <w:tblLook w:val="04A0" w:firstRow="1" w:lastRow="0" w:firstColumn="1" w:lastColumn="0" w:noHBand="0" w:noVBand="1"/>
        </w:tblPrEx>
        <w:tc>
          <w:tcPr>
            <w:tcW w:w="981" w:type="dxa"/>
            <w:gridSpan w:val="2"/>
            <w:vAlign w:val="center"/>
          </w:tcPr>
          <w:p w14:paraId="5BF8992C" w14:textId="77777777" w:rsidR="001C55C0" w:rsidRPr="00991CEC" w:rsidRDefault="001C55C0" w:rsidP="00E051BD">
            <w:pPr>
              <w:jc w:val="center"/>
              <w:rPr>
                <w:rFonts w:ascii="Arial Narrow" w:hAnsi="Arial Narrow"/>
                <w:sz w:val="20"/>
                <w:szCs w:val="20"/>
              </w:rPr>
            </w:pPr>
          </w:p>
        </w:tc>
        <w:tc>
          <w:tcPr>
            <w:tcW w:w="8086" w:type="dxa"/>
            <w:gridSpan w:val="6"/>
            <w:vAlign w:val="center"/>
            <w:hideMark/>
          </w:tcPr>
          <w:p w14:paraId="6B191F8C" w14:textId="77777777" w:rsidR="001C55C0" w:rsidRPr="00991CEC" w:rsidRDefault="001C55C0" w:rsidP="00E051BD">
            <w:pPr>
              <w:rPr>
                <w:rFonts w:ascii="Arial Narrow" w:hAnsi="Arial Narrow"/>
                <w:b/>
                <w:bCs/>
                <w:sz w:val="20"/>
                <w:szCs w:val="20"/>
              </w:rPr>
            </w:pPr>
            <w:r w:rsidRPr="00991CEC">
              <w:rPr>
                <w:rFonts w:ascii="Arial Narrow" w:hAnsi="Arial Narrow"/>
                <w:b/>
                <w:bCs/>
                <w:sz w:val="20"/>
                <w:szCs w:val="20"/>
              </w:rPr>
              <w:t>AND</w:t>
            </w:r>
          </w:p>
        </w:tc>
      </w:tr>
      <w:tr w:rsidR="001C55C0" w:rsidRPr="00120A12" w14:paraId="38B765BB" w14:textId="77777777" w:rsidTr="00E051BD">
        <w:tblPrEx>
          <w:tblCellMar>
            <w:top w:w="15" w:type="dxa"/>
            <w:left w:w="15" w:type="dxa"/>
            <w:bottom w:w="15" w:type="dxa"/>
            <w:right w:w="15" w:type="dxa"/>
          </w:tblCellMar>
          <w:tblLook w:val="04A0" w:firstRow="1" w:lastRow="0" w:firstColumn="1" w:lastColumn="0" w:noHBand="0" w:noVBand="1"/>
        </w:tblPrEx>
        <w:tc>
          <w:tcPr>
            <w:tcW w:w="981" w:type="dxa"/>
            <w:gridSpan w:val="2"/>
            <w:vAlign w:val="center"/>
          </w:tcPr>
          <w:p w14:paraId="43B62F76" w14:textId="262A545B" w:rsidR="001C55C0" w:rsidRPr="00991CEC" w:rsidRDefault="001C55C0" w:rsidP="00E051BD">
            <w:pPr>
              <w:jc w:val="center"/>
              <w:rPr>
                <w:rFonts w:ascii="Arial Narrow" w:hAnsi="Arial Narrow"/>
                <w:sz w:val="20"/>
                <w:szCs w:val="20"/>
              </w:rPr>
            </w:pPr>
          </w:p>
        </w:tc>
        <w:tc>
          <w:tcPr>
            <w:tcW w:w="8086" w:type="dxa"/>
            <w:gridSpan w:val="6"/>
            <w:vAlign w:val="center"/>
            <w:hideMark/>
          </w:tcPr>
          <w:p w14:paraId="3F4798A2" w14:textId="77777777" w:rsidR="001C55C0" w:rsidRPr="00991CEC" w:rsidRDefault="001C55C0" w:rsidP="00E051BD">
            <w:pPr>
              <w:rPr>
                <w:rFonts w:ascii="Arial Narrow" w:hAnsi="Arial Narrow"/>
                <w:b/>
                <w:bCs/>
                <w:sz w:val="20"/>
                <w:szCs w:val="20"/>
              </w:rPr>
            </w:pPr>
            <w:r w:rsidRPr="00991CEC">
              <w:rPr>
                <w:rFonts w:ascii="Arial Narrow" w:hAnsi="Arial Narrow"/>
                <w:b/>
                <w:bCs/>
                <w:sz w:val="20"/>
                <w:szCs w:val="20"/>
              </w:rPr>
              <w:t>Clinical criteria:</w:t>
            </w:r>
          </w:p>
        </w:tc>
      </w:tr>
      <w:tr w:rsidR="001C55C0" w:rsidRPr="00120A12" w14:paraId="52CDC26A" w14:textId="77777777" w:rsidTr="00E051BD">
        <w:tblPrEx>
          <w:tblCellMar>
            <w:top w:w="15" w:type="dxa"/>
            <w:left w:w="15" w:type="dxa"/>
            <w:bottom w:w="15" w:type="dxa"/>
            <w:right w:w="15" w:type="dxa"/>
          </w:tblCellMar>
          <w:tblLook w:val="04A0" w:firstRow="1" w:lastRow="0" w:firstColumn="1" w:lastColumn="0" w:noHBand="0" w:noVBand="1"/>
        </w:tblPrEx>
        <w:tc>
          <w:tcPr>
            <w:tcW w:w="981" w:type="dxa"/>
            <w:gridSpan w:val="2"/>
            <w:vAlign w:val="center"/>
          </w:tcPr>
          <w:p w14:paraId="6EC67978" w14:textId="40F2EC5E" w:rsidR="001C55C0" w:rsidRPr="00991CEC" w:rsidRDefault="001C55C0" w:rsidP="00E051BD">
            <w:pPr>
              <w:jc w:val="center"/>
              <w:rPr>
                <w:rFonts w:ascii="Arial Narrow" w:hAnsi="Arial Narrow"/>
                <w:sz w:val="20"/>
                <w:szCs w:val="20"/>
              </w:rPr>
            </w:pPr>
          </w:p>
        </w:tc>
        <w:tc>
          <w:tcPr>
            <w:tcW w:w="8086" w:type="dxa"/>
            <w:gridSpan w:val="6"/>
            <w:vAlign w:val="center"/>
            <w:hideMark/>
          </w:tcPr>
          <w:p w14:paraId="4F2ED5D2" w14:textId="77777777" w:rsidR="001C55C0" w:rsidRPr="00991CEC" w:rsidRDefault="001C55C0" w:rsidP="00E051BD">
            <w:pPr>
              <w:rPr>
                <w:rFonts w:ascii="Arial Narrow" w:hAnsi="Arial Narrow"/>
                <w:sz w:val="20"/>
                <w:szCs w:val="20"/>
              </w:rPr>
            </w:pPr>
            <w:r w:rsidRPr="00991CEC">
              <w:rPr>
                <w:rFonts w:ascii="Arial Narrow" w:hAnsi="Arial Narrow"/>
                <w:sz w:val="20"/>
                <w:szCs w:val="20"/>
              </w:rPr>
              <w:t>Patient must have had 2 or more fractures due to minimal trauma</w:t>
            </w:r>
          </w:p>
        </w:tc>
      </w:tr>
      <w:tr w:rsidR="001C55C0" w:rsidRPr="00120A12" w14:paraId="79266C9B" w14:textId="77777777" w:rsidTr="00E051BD">
        <w:tblPrEx>
          <w:tblCellMar>
            <w:top w:w="15" w:type="dxa"/>
            <w:left w:w="15" w:type="dxa"/>
            <w:bottom w:w="15" w:type="dxa"/>
            <w:right w:w="15" w:type="dxa"/>
          </w:tblCellMar>
          <w:tblLook w:val="04A0" w:firstRow="1" w:lastRow="0" w:firstColumn="1" w:lastColumn="0" w:noHBand="0" w:noVBand="1"/>
        </w:tblPrEx>
        <w:tc>
          <w:tcPr>
            <w:tcW w:w="981" w:type="dxa"/>
            <w:gridSpan w:val="2"/>
            <w:vAlign w:val="center"/>
          </w:tcPr>
          <w:p w14:paraId="3AA83047" w14:textId="77777777" w:rsidR="001C55C0" w:rsidRPr="00991CEC" w:rsidRDefault="001C55C0" w:rsidP="00E051BD">
            <w:pPr>
              <w:jc w:val="center"/>
              <w:rPr>
                <w:rFonts w:ascii="Arial Narrow" w:hAnsi="Arial Narrow"/>
                <w:sz w:val="20"/>
                <w:szCs w:val="20"/>
              </w:rPr>
            </w:pPr>
          </w:p>
        </w:tc>
        <w:tc>
          <w:tcPr>
            <w:tcW w:w="8086" w:type="dxa"/>
            <w:gridSpan w:val="6"/>
            <w:vAlign w:val="center"/>
          </w:tcPr>
          <w:p w14:paraId="6150F07A" w14:textId="77777777" w:rsidR="001C55C0" w:rsidRPr="00991CEC" w:rsidRDefault="001C55C0" w:rsidP="00E051BD">
            <w:pPr>
              <w:rPr>
                <w:rFonts w:ascii="Arial Narrow" w:hAnsi="Arial Narrow"/>
                <w:sz w:val="20"/>
                <w:szCs w:val="20"/>
              </w:rPr>
            </w:pPr>
            <w:r w:rsidRPr="00991CEC">
              <w:rPr>
                <w:rFonts w:ascii="Arial Narrow" w:hAnsi="Arial Narrow"/>
                <w:b/>
                <w:bCs/>
                <w:sz w:val="20"/>
                <w:szCs w:val="20"/>
              </w:rPr>
              <w:t>AND</w:t>
            </w:r>
          </w:p>
        </w:tc>
      </w:tr>
      <w:tr w:rsidR="001C55C0" w:rsidRPr="00120A12" w14:paraId="542555D9" w14:textId="77777777" w:rsidTr="00E051BD">
        <w:tblPrEx>
          <w:tblCellMar>
            <w:top w:w="15" w:type="dxa"/>
            <w:left w:w="15" w:type="dxa"/>
            <w:bottom w:w="15" w:type="dxa"/>
            <w:right w:w="15" w:type="dxa"/>
          </w:tblCellMar>
          <w:tblLook w:val="04A0" w:firstRow="1" w:lastRow="0" w:firstColumn="1" w:lastColumn="0" w:noHBand="0" w:noVBand="1"/>
        </w:tblPrEx>
        <w:tc>
          <w:tcPr>
            <w:tcW w:w="981" w:type="dxa"/>
            <w:gridSpan w:val="2"/>
            <w:vAlign w:val="center"/>
          </w:tcPr>
          <w:p w14:paraId="522172EA" w14:textId="4262ACA9" w:rsidR="001C55C0" w:rsidRPr="00991CEC" w:rsidRDefault="001C55C0" w:rsidP="00E051BD">
            <w:pPr>
              <w:jc w:val="center"/>
              <w:rPr>
                <w:rFonts w:ascii="Arial Narrow" w:hAnsi="Arial Narrow"/>
                <w:sz w:val="20"/>
                <w:szCs w:val="20"/>
              </w:rPr>
            </w:pPr>
          </w:p>
        </w:tc>
        <w:tc>
          <w:tcPr>
            <w:tcW w:w="8086" w:type="dxa"/>
            <w:gridSpan w:val="6"/>
            <w:vAlign w:val="center"/>
          </w:tcPr>
          <w:p w14:paraId="6842578B" w14:textId="77777777" w:rsidR="001C55C0" w:rsidRPr="00991CEC" w:rsidRDefault="001C55C0" w:rsidP="00E051BD">
            <w:pPr>
              <w:rPr>
                <w:rFonts w:ascii="Arial Narrow" w:hAnsi="Arial Narrow"/>
                <w:sz w:val="20"/>
                <w:szCs w:val="20"/>
              </w:rPr>
            </w:pPr>
            <w:r w:rsidRPr="00991CEC">
              <w:rPr>
                <w:rFonts w:ascii="Arial Narrow" w:hAnsi="Arial Narrow"/>
                <w:b/>
                <w:bCs/>
                <w:sz w:val="20"/>
                <w:szCs w:val="20"/>
              </w:rPr>
              <w:t>Clinical criteria:</w:t>
            </w:r>
          </w:p>
        </w:tc>
      </w:tr>
      <w:tr w:rsidR="001C55C0" w:rsidRPr="00120A12" w14:paraId="3CDD2C24" w14:textId="77777777" w:rsidTr="00E051BD">
        <w:tblPrEx>
          <w:tblCellMar>
            <w:top w:w="15" w:type="dxa"/>
            <w:left w:w="15" w:type="dxa"/>
            <w:bottom w:w="15" w:type="dxa"/>
            <w:right w:w="15" w:type="dxa"/>
          </w:tblCellMar>
          <w:tblLook w:val="04A0" w:firstRow="1" w:lastRow="0" w:firstColumn="1" w:lastColumn="0" w:noHBand="0" w:noVBand="1"/>
        </w:tblPrEx>
        <w:tc>
          <w:tcPr>
            <w:tcW w:w="981" w:type="dxa"/>
            <w:gridSpan w:val="2"/>
            <w:vAlign w:val="center"/>
          </w:tcPr>
          <w:p w14:paraId="375B4451" w14:textId="5E86B96B" w:rsidR="001C55C0" w:rsidRPr="00991CEC" w:rsidRDefault="001C55C0" w:rsidP="00E051BD">
            <w:pPr>
              <w:jc w:val="center"/>
              <w:rPr>
                <w:rFonts w:ascii="Arial Narrow" w:hAnsi="Arial Narrow"/>
                <w:sz w:val="20"/>
                <w:szCs w:val="20"/>
              </w:rPr>
            </w:pPr>
          </w:p>
        </w:tc>
        <w:tc>
          <w:tcPr>
            <w:tcW w:w="8086" w:type="dxa"/>
            <w:gridSpan w:val="6"/>
            <w:vAlign w:val="center"/>
          </w:tcPr>
          <w:p w14:paraId="4358B323" w14:textId="77777777" w:rsidR="001C55C0" w:rsidRPr="00991CEC" w:rsidRDefault="001C55C0" w:rsidP="00E051BD">
            <w:pPr>
              <w:rPr>
                <w:rFonts w:ascii="Arial Narrow" w:hAnsi="Arial Narrow"/>
                <w:sz w:val="20"/>
                <w:szCs w:val="20"/>
              </w:rPr>
            </w:pPr>
            <w:r w:rsidRPr="00991CEC">
              <w:rPr>
                <w:rFonts w:ascii="Arial Narrow" w:hAnsi="Arial Narrow"/>
                <w:sz w:val="20"/>
                <w:szCs w:val="20"/>
              </w:rPr>
              <w:t>Patient must have experienced at least 1 symptomatic new fracture after at least 12 months continuous therapy with an anti-resorptive agent at adequate doses</w:t>
            </w:r>
          </w:p>
        </w:tc>
      </w:tr>
      <w:tr w:rsidR="001C55C0" w:rsidRPr="00120A12" w14:paraId="1B446B71" w14:textId="77777777" w:rsidTr="00E051BD">
        <w:tblPrEx>
          <w:tblCellMar>
            <w:top w:w="15" w:type="dxa"/>
            <w:left w:w="15" w:type="dxa"/>
            <w:bottom w:w="15" w:type="dxa"/>
            <w:right w:w="15" w:type="dxa"/>
          </w:tblCellMar>
          <w:tblLook w:val="04A0" w:firstRow="1" w:lastRow="0" w:firstColumn="1" w:lastColumn="0" w:noHBand="0" w:noVBand="1"/>
        </w:tblPrEx>
        <w:tc>
          <w:tcPr>
            <w:tcW w:w="981" w:type="dxa"/>
            <w:gridSpan w:val="2"/>
            <w:vAlign w:val="center"/>
          </w:tcPr>
          <w:p w14:paraId="0BF34689" w14:textId="77777777" w:rsidR="001C55C0" w:rsidRPr="00991CEC" w:rsidRDefault="001C55C0" w:rsidP="00E051BD">
            <w:pPr>
              <w:jc w:val="center"/>
              <w:rPr>
                <w:rFonts w:ascii="Arial Narrow" w:hAnsi="Arial Narrow"/>
                <w:sz w:val="20"/>
                <w:szCs w:val="20"/>
              </w:rPr>
            </w:pPr>
          </w:p>
        </w:tc>
        <w:tc>
          <w:tcPr>
            <w:tcW w:w="8086" w:type="dxa"/>
            <w:gridSpan w:val="6"/>
          </w:tcPr>
          <w:p w14:paraId="0EE5A700" w14:textId="77777777" w:rsidR="001C55C0" w:rsidRPr="00991CEC" w:rsidRDefault="001C55C0" w:rsidP="00E051BD">
            <w:pPr>
              <w:rPr>
                <w:rFonts w:ascii="Arial Narrow" w:hAnsi="Arial Narrow"/>
                <w:b/>
                <w:bCs/>
                <w:sz w:val="20"/>
                <w:szCs w:val="20"/>
              </w:rPr>
            </w:pPr>
            <w:r w:rsidRPr="00991CEC">
              <w:rPr>
                <w:rFonts w:ascii="Arial Narrow" w:hAnsi="Arial Narrow"/>
                <w:b/>
                <w:bCs/>
                <w:sz w:val="20"/>
                <w:szCs w:val="20"/>
              </w:rPr>
              <w:t>AND</w:t>
            </w:r>
          </w:p>
        </w:tc>
      </w:tr>
      <w:tr w:rsidR="001C55C0" w:rsidRPr="00120A12" w14:paraId="19729710" w14:textId="77777777" w:rsidTr="00E051BD">
        <w:tblPrEx>
          <w:tblCellMar>
            <w:top w:w="15" w:type="dxa"/>
            <w:left w:w="15" w:type="dxa"/>
            <w:bottom w:w="15" w:type="dxa"/>
            <w:right w:w="15" w:type="dxa"/>
          </w:tblCellMar>
          <w:tblLook w:val="04A0" w:firstRow="1" w:lastRow="0" w:firstColumn="1" w:lastColumn="0" w:noHBand="0" w:noVBand="1"/>
        </w:tblPrEx>
        <w:tc>
          <w:tcPr>
            <w:tcW w:w="981" w:type="dxa"/>
            <w:gridSpan w:val="2"/>
            <w:vAlign w:val="center"/>
          </w:tcPr>
          <w:p w14:paraId="2ADA899F" w14:textId="71841888" w:rsidR="001C55C0" w:rsidRPr="00991CEC" w:rsidRDefault="001C55C0" w:rsidP="00E051BD">
            <w:pPr>
              <w:jc w:val="center"/>
              <w:rPr>
                <w:rFonts w:ascii="Arial Narrow" w:hAnsi="Arial Narrow"/>
                <w:sz w:val="20"/>
                <w:szCs w:val="20"/>
              </w:rPr>
            </w:pPr>
          </w:p>
        </w:tc>
        <w:tc>
          <w:tcPr>
            <w:tcW w:w="8086" w:type="dxa"/>
            <w:gridSpan w:val="6"/>
          </w:tcPr>
          <w:p w14:paraId="1CDE5BC0" w14:textId="77777777" w:rsidR="001C55C0" w:rsidRPr="00991CEC" w:rsidRDefault="001C55C0" w:rsidP="00E051BD">
            <w:pPr>
              <w:rPr>
                <w:rFonts w:ascii="Arial Narrow" w:hAnsi="Arial Narrow"/>
                <w:b/>
                <w:bCs/>
                <w:sz w:val="20"/>
                <w:szCs w:val="20"/>
              </w:rPr>
            </w:pPr>
            <w:r w:rsidRPr="00991CEC">
              <w:rPr>
                <w:rFonts w:ascii="Arial Narrow" w:hAnsi="Arial Narrow"/>
                <w:b/>
                <w:bCs/>
                <w:sz w:val="20"/>
                <w:szCs w:val="20"/>
              </w:rPr>
              <w:t>Clinical criteria:</w:t>
            </w:r>
          </w:p>
        </w:tc>
      </w:tr>
      <w:tr w:rsidR="001C55C0" w:rsidRPr="00120A12" w14:paraId="5CAB3CE1" w14:textId="77777777" w:rsidTr="00E051BD">
        <w:tblPrEx>
          <w:tblCellMar>
            <w:top w:w="15" w:type="dxa"/>
            <w:left w:w="15" w:type="dxa"/>
            <w:bottom w:w="15" w:type="dxa"/>
            <w:right w:w="15" w:type="dxa"/>
          </w:tblCellMar>
          <w:tblLook w:val="04A0" w:firstRow="1" w:lastRow="0" w:firstColumn="1" w:lastColumn="0" w:noHBand="0" w:noVBand="1"/>
        </w:tblPrEx>
        <w:tc>
          <w:tcPr>
            <w:tcW w:w="981" w:type="dxa"/>
            <w:gridSpan w:val="2"/>
            <w:vAlign w:val="center"/>
          </w:tcPr>
          <w:p w14:paraId="5C1A1122" w14:textId="73AE115D" w:rsidR="001C55C0" w:rsidRPr="00991CEC" w:rsidRDefault="001C55C0" w:rsidP="00E051BD">
            <w:pPr>
              <w:jc w:val="center"/>
              <w:rPr>
                <w:rFonts w:ascii="Arial Narrow" w:hAnsi="Arial Narrow"/>
                <w:sz w:val="20"/>
                <w:szCs w:val="20"/>
              </w:rPr>
            </w:pPr>
          </w:p>
        </w:tc>
        <w:tc>
          <w:tcPr>
            <w:tcW w:w="8086" w:type="dxa"/>
            <w:gridSpan w:val="6"/>
            <w:vAlign w:val="center"/>
          </w:tcPr>
          <w:p w14:paraId="6F103AC3" w14:textId="77777777" w:rsidR="001C55C0" w:rsidRPr="00991CEC" w:rsidRDefault="001C55C0" w:rsidP="00E051BD">
            <w:pPr>
              <w:rPr>
                <w:rFonts w:ascii="Arial Narrow" w:hAnsi="Arial Narrow"/>
                <w:sz w:val="20"/>
                <w:szCs w:val="20"/>
              </w:rPr>
            </w:pPr>
            <w:r w:rsidRPr="00991CEC">
              <w:rPr>
                <w:rFonts w:ascii="Arial Narrow" w:hAnsi="Arial Narrow"/>
                <w:sz w:val="20"/>
                <w:szCs w:val="20"/>
              </w:rPr>
              <w:t>The treatment must be the sole PBS-subsidised therapy for this condition.</w:t>
            </w:r>
          </w:p>
        </w:tc>
      </w:tr>
      <w:tr w:rsidR="001C55C0" w:rsidRPr="00120A12" w14:paraId="436CE846" w14:textId="77777777" w:rsidTr="00E051BD">
        <w:tblPrEx>
          <w:tblCellMar>
            <w:top w:w="15" w:type="dxa"/>
            <w:left w:w="15" w:type="dxa"/>
            <w:bottom w:w="15" w:type="dxa"/>
            <w:right w:w="15" w:type="dxa"/>
          </w:tblCellMar>
          <w:tblLook w:val="04A0" w:firstRow="1" w:lastRow="0" w:firstColumn="1" w:lastColumn="0" w:noHBand="0" w:noVBand="1"/>
        </w:tblPrEx>
        <w:tc>
          <w:tcPr>
            <w:tcW w:w="981" w:type="dxa"/>
            <w:gridSpan w:val="2"/>
            <w:vAlign w:val="center"/>
          </w:tcPr>
          <w:p w14:paraId="304B6F43" w14:textId="77777777" w:rsidR="001C55C0" w:rsidRPr="00991CEC" w:rsidRDefault="001C55C0" w:rsidP="00E051BD">
            <w:pPr>
              <w:jc w:val="center"/>
              <w:rPr>
                <w:rFonts w:ascii="Arial Narrow" w:hAnsi="Arial Narrow"/>
                <w:sz w:val="20"/>
                <w:szCs w:val="20"/>
              </w:rPr>
            </w:pPr>
          </w:p>
        </w:tc>
        <w:tc>
          <w:tcPr>
            <w:tcW w:w="8086" w:type="dxa"/>
            <w:gridSpan w:val="6"/>
          </w:tcPr>
          <w:p w14:paraId="58F829EA" w14:textId="77777777" w:rsidR="001C55C0" w:rsidRPr="00991CEC" w:rsidRDefault="001C55C0" w:rsidP="00E051BD">
            <w:pPr>
              <w:rPr>
                <w:rFonts w:ascii="Arial Narrow" w:hAnsi="Arial Narrow"/>
                <w:b/>
                <w:bCs/>
                <w:sz w:val="20"/>
                <w:szCs w:val="20"/>
              </w:rPr>
            </w:pPr>
            <w:r w:rsidRPr="00991CEC">
              <w:rPr>
                <w:rFonts w:ascii="Arial Narrow" w:hAnsi="Arial Narrow"/>
                <w:b/>
                <w:bCs/>
                <w:sz w:val="20"/>
                <w:szCs w:val="20"/>
              </w:rPr>
              <w:t>AND</w:t>
            </w:r>
          </w:p>
        </w:tc>
      </w:tr>
      <w:tr w:rsidR="001C55C0" w:rsidRPr="00120A12" w14:paraId="58B7F4F0" w14:textId="77777777" w:rsidTr="00E051BD">
        <w:tblPrEx>
          <w:tblCellMar>
            <w:top w:w="15" w:type="dxa"/>
            <w:left w:w="15" w:type="dxa"/>
            <w:bottom w:w="15" w:type="dxa"/>
            <w:right w:w="15" w:type="dxa"/>
          </w:tblCellMar>
          <w:tblLook w:val="04A0" w:firstRow="1" w:lastRow="0" w:firstColumn="1" w:lastColumn="0" w:noHBand="0" w:noVBand="1"/>
        </w:tblPrEx>
        <w:tc>
          <w:tcPr>
            <w:tcW w:w="981" w:type="dxa"/>
            <w:gridSpan w:val="2"/>
            <w:vAlign w:val="center"/>
          </w:tcPr>
          <w:p w14:paraId="44179F58" w14:textId="77DD15A4" w:rsidR="001C55C0" w:rsidRPr="00991CEC" w:rsidRDefault="001C55C0" w:rsidP="00E051BD">
            <w:pPr>
              <w:jc w:val="center"/>
              <w:rPr>
                <w:rFonts w:ascii="Arial Narrow" w:hAnsi="Arial Narrow"/>
                <w:sz w:val="20"/>
                <w:szCs w:val="20"/>
              </w:rPr>
            </w:pPr>
          </w:p>
        </w:tc>
        <w:tc>
          <w:tcPr>
            <w:tcW w:w="8086" w:type="dxa"/>
            <w:gridSpan w:val="6"/>
          </w:tcPr>
          <w:p w14:paraId="5948CB9C" w14:textId="77777777" w:rsidR="001C55C0" w:rsidRPr="00991CEC" w:rsidRDefault="001C55C0" w:rsidP="00E051BD">
            <w:pPr>
              <w:rPr>
                <w:rFonts w:ascii="Arial Narrow" w:hAnsi="Arial Narrow"/>
                <w:b/>
                <w:bCs/>
                <w:sz w:val="20"/>
                <w:szCs w:val="20"/>
              </w:rPr>
            </w:pPr>
            <w:r w:rsidRPr="00991CEC">
              <w:rPr>
                <w:rFonts w:ascii="Arial Narrow" w:hAnsi="Arial Narrow"/>
                <w:b/>
                <w:bCs/>
                <w:sz w:val="20"/>
                <w:szCs w:val="20"/>
              </w:rPr>
              <w:t>Clinical criteria:</w:t>
            </w:r>
          </w:p>
        </w:tc>
      </w:tr>
      <w:tr w:rsidR="001C55C0" w:rsidRPr="00120A12" w14:paraId="4E7D56CA" w14:textId="77777777" w:rsidTr="00E051BD">
        <w:tblPrEx>
          <w:tblCellMar>
            <w:top w:w="15" w:type="dxa"/>
            <w:left w:w="15" w:type="dxa"/>
            <w:bottom w:w="15" w:type="dxa"/>
            <w:right w:w="15" w:type="dxa"/>
          </w:tblCellMar>
          <w:tblLook w:val="04A0" w:firstRow="1" w:lastRow="0" w:firstColumn="1" w:lastColumn="0" w:noHBand="0" w:noVBand="1"/>
        </w:tblPrEx>
        <w:tc>
          <w:tcPr>
            <w:tcW w:w="981" w:type="dxa"/>
            <w:gridSpan w:val="2"/>
            <w:vAlign w:val="center"/>
          </w:tcPr>
          <w:p w14:paraId="243C9027" w14:textId="77943454" w:rsidR="001C55C0" w:rsidRPr="00991CEC" w:rsidRDefault="001C55C0" w:rsidP="00E051BD">
            <w:pPr>
              <w:jc w:val="center"/>
              <w:rPr>
                <w:rFonts w:ascii="Arial Narrow" w:hAnsi="Arial Narrow"/>
                <w:sz w:val="20"/>
                <w:szCs w:val="20"/>
              </w:rPr>
            </w:pPr>
          </w:p>
        </w:tc>
        <w:tc>
          <w:tcPr>
            <w:tcW w:w="8086" w:type="dxa"/>
            <w:gridSpan w:val="6"/>
            <w:vAlign w:val="center"/>
          </w:tcPr>
          <w:p w14:paraId="4272F066" w14:textId="77777777" w:rsidR="001C55C0" w:rsidRPr="00991CEC" w:rsidRDefault="001C55C0" w:rsidP="00E051BD">
            <w:pPr>
              <w:rPr>
                <w:rFonts w:ascii="Arial Narrow" w:hAnsi="Arial Narrow"/>
                <w:sz w:val="20"/>
                <w:szCs w:val="20"/>
              </w:rPr>
            </w:pPr>
            <w:r w:rsidRPr="00991CEC">
              <w:rPr>
                <w:rFonts w:ascii="Arial Narrow" w:hAnsi="Arial Narrow"/>
                <w:sz w:val="20"/>
                <w:szCs w:val="20"/>
              </w:rPr>
              <w:t>The treatment must not exceed a lifetime maximum of 12 months</w:t>
            </w:r>
            <w:r w:rsidRPr="00991CEC">
              <w:rPr>
                <w:rFonts w:ascii="Arial Narrow" w:hAnsi="Arial Narrow"/>
                <w:i/>
                <w:iCs/>
                <w:sz w:val="20"/>
                <w:szCs w:val="20"/>
              </w:rPr>
              <w:t xml:space="preserve"> </w:t>
            </w:r>
            <w:r w:rsidRPr="00991CEC">
              <w:rPr>
                <w:rFonts w:ascii="Arial Narrow" w:hAnsi="Arial Narrow"/>
                <w:sz w:val="20"/>
                <w:szCs w:val="20"/>
              </w:rPr>
              <w:t>therapy</w:t>
            </w:r>
          </w:p>
        </w:tc>
      </w:tr>
      <w:tr w:rsidR="001C55C0" w:rsidRPr="00120A12" w14:paraId="01A20C9F" w14:textId="77777777" w:rsidTr="00E051BD">
        <w:tblPrEx>
          <w:tblCellMar>
            <w:top w:w="15" w:type="dxa"/>
            <w:left w:w="15" w:type="dxa"/>
            <w:bottom w:w="15" w:type="dxa"/>
            <w:right w:w="15" w:type="dxa"/>
          </w:tblCellMar>
          <w:tblLook w:val="04A0" w:firstRow="1" w:lastRow="0" w:firstColumn="1" w:lastColumn="0" w:noHBand="0" w:noVBand="1"/>
        </w:tblPrEx>
        <w:tc>
          <w:tcPr>
            <w:tcW w:w="981" w:type="dxa"/>
            <w:gridSpan w:val="2"/>
            <w:vAlign w:val="center"/>
          </w:tcPr>
          <w:p w14:paraId="39776624" w14:textId="77777777" w:rsidR="001C55C0" w:rsidRPr="00991CEC" w:rsidRDefault="001C55C0" w:rsidP="00E051BD">
            <w:pPr>
              <w:jc w:val="center"/>
              <w:rPr>
                <w:rFonts w:ascii="Arial Narrow" w:hAnsi="Arial Narrow"/>
                <w:sz w:val="20"/>
                <w:szCs w:val="20"/>
              </w:rPr>
            </w:pPr>
          </w:p>
        </w:tc>
        <w:tc>
          <w:tcPr>
            <w:tcW w:w="8086" w:type="dxa"/>
            <w:gridSpan w:val="6"/>
          </w:tcPr>
          <w:p w14:paraId="349635FD" w14:textId="77777777" w:rsidR="001C55C0" w:rsidRPr="00991CEC" w:rsidRDefault="001C55C0" w:rsidP="00E051BD">
            <w:pPr>
              <w:rPr>
                <w:rFonts w:ascii="Arial Narrow" w:hAnsi="Arial Narrow"/>
                <w:b/>
                <w:bCs/>
                <w:sz w:val="20"/>
                <w:szCs w:val="20"/>
              </w:rPr>
            </w:pPr>
            <w:r w:rsidRPr="00991CEC">
              <w:rPr>
                <w:rFonts w:ascii="Arial Narrow" w:hAnsi="Arial Narrow"/>
                <w:b/>
                <w:bCs/>
                <w:sz w:val="20"/>
                <w:szCs w:val="20"/>
              </w:rPr>
              <w:t>AND</w:t>
            </w:r>
          </w:p>
        </w:tc>
      </w:tr>
      <w:tr w:rsidR="001C55C0" w:rsidRPr="00120A12" w14:paraId="369A441B" w14:textId="77777777" w:rsidTr="00E051BD">
        <w:tblPrEx>
          <w:tblCellMar>
            <w:top w:w="15" w:type="dxa"/>
            <w:left w:w="15" w:type="dxa"/>
            <w:bottom w:w="15" w:type="dxa"/>
            <w:right w:w="15" w:type="dxa"/>
          </w:tblCellMar>
          <w:tblLook w:val="04A0" w:firstRow="1" w:lastRow="0" w:firstColumn="1" w:lastColumn="0" w:noHBand="0" w:noVBand="1"/>
        </w:tblPrEx>
        <w:tc>
          <w:tcPr>
            <w:tcW w:w="981" w:type="dxa"/>
            <w:gridSpan w:val="2"/>
            <w:vAlign w:val="center"/>
          </w:tcPr>
          <w:p w14:paraId="40CADDD8" w14:textId="0BA86F2F" w:rsidR="001C55C0" w:rsidRPr="00991CEC" w:rsidRDefault="001C55C0" w:rsidP="00E051BD">
            <w:pPr>
              <w:jc w:val="center"/>
              <w:rPr>
                <w:rFonts w:ascii="Arial Narrow" w:hAnsi="Arial Narrow"/>
                <w:sz w:val="20"/>
                <w:szCs w:val="20"/>
              </w:rPr>
            </w:pPr>
          </w:p>
        </w:tc>
        <w:tc>
          <w:tcPr>
            <w:tcW w:w="8086" w:type="dxa"/>
            <w:gridSpan w:val="6"/>
          </w:tcPr>
          <w:p w14:paraId="41AD7625" w14:textId="77777777" w:rsidR="001C55C0" w:rsidRPr="00991CEC" w:rsidRDefault="001C55C0" w:rsidP="00E051BD">
            <w:pPr>
              <w:rPr>
                <w:rFonts w:ascii="Arial Narrow" w:hAnsi="Arial Narrow"/>
                <w:b/>
                <w:bCs/>
                <w:sz w:val="20"/>
                <w:szCs w:val="20"/>
              </w:rPr>
            </w:pPr>
            <w:r w:rsidRPr="00991CEC">
              <w:rPr>
                <w:rFonts w:ascii="Arial Narrow" w:hAnsi="Arial Narrow"/>
                <w:b/>
                <w:bCs/>
                <w:sz w:val="20"/>
                <w:szCs w:val="20"/>
              </w:rPr>
              <w:t>Clinical criteria:</w:t>
            </w:r>
          </w:p>
        </w:tc>
      </w:tr>
      <w:tr w:rsidR="001C55C0" w:rsidRPr="00120A12" w14:paraId="64603E3C" w14:textId="77777777" w:rsidTr="00E051BD">
        <w:tblPrEx>
          <w:tblCellMar>
            <w:top w:w="15" w:type="dxa"/>
            <w:left w:w="15" w:type="dxa"/>
            <w:bottom w:w="15" w:type="dxa"/>
            <w:right w:w="15" w:type="dxa"/>
          </w:tblCellMar>
          <w:tblLook w:val="04A0" w:firstRow="1" w:lastRow="0" w:firstColumn="1" w:lastColumn="0" w:noHBand="0" w:noVBand="1"/>
        </w:tblPrEx>
        <w:tc>
          <w:tcPr>
            <w:tcW w:w="981" w:type="dxa"/>
            <w:gridSpan w:val="2"/>
            <w:vAlign w:val="center"/>
          </w:tcPr>
          <w:p w14:paraId="57339168" w14:textId="57BE0A81" w:rsidR="001C55C0" w:rsidRPr="00991CEC" w:rsidRDefault="001C55C0" w:rsidP="00E051BD">
            <w:pPr>
              <w:jc w:val="center"/>
              <w:rPr>
                <w:rFonts w:ascii="Arial Narrow" w:hAnsi="Arial Narrow"/>
                <w:sz w:val="20"/>
                <w:szCs w:val="20"/>
              </w:rPr>
            </w:pPr>
          </w:p>
        </w:tc>
        <w:tc>
          <w:tcPr>
            <w:tcW w:w="8086" w:type="dxa"/>
            <w:gridSpan w:val="6"/>
            <w:vAlign w:val="center"/>
          </w:tcPr>
          <w:p w14:paraId="705E1533" w14:textId="77777777" w:rsidR="001C55C0" w:rsidRPr="00991CEC" w:rsidRDefault="001C55C0" w:rsidP="00E051BD">
            <w:pPr>
              <w:rPr>
                <w:rFonts w:ascii="Arial Narrow" w:hAnsi="Arial Narrow"/>
                <w:sz w:val="20"/>
                <w:szCs w:val="20"/>
              </w:rPr>
            </w:pPr>
            <w:r w:rsidRPr="00991CEC">
              <w:rPr>
                <w:rFonts w:ascii="Arial Narrow" w:hAnsi="Arial Narrow"/>
                <w:sz w:val="20"/>
                <w:szCs w:val="20"/>
              </w:rPr>
              <w:t>Patient must not have received treatment with PBS-subsidised teriparatide; or</w:t>
            </w:r>
          </w:p>
        </w:tc>
      </w:tr>
      <w:tr w:rsidR="001C55C0" w:rsidRPr="00120A12" w14:paraId="6420C5DD" w14:textId="77777777" w:rsidTr="00E051BD">
        <w:tblPrEx>
          <w:tblCellMar>
            <w:top w:w="15" w:type="dxa"/>
            <w:left w:w="15" w:type="dxa"/>
            <w:bottom w:w="15" w:type="dxa"/>
            <w:right w:w="15" w:type="dxa"/>
          </w:tblCellMar>
          <w:tblLook w:val="04A0" w:firstRow="1" w:lastRow="0" w:firstColumn="1" w:lastColumn="0" w:noHBand="0" w:noVBand="1"/>
        </w:tblPrEx>
        <w:tc>
          <w:tcPr>
            <w:tcW w:w="981" w:type="dxa"/>
            <w:gridSpan w:val="2"/>
            <w:vAlign w:val="center"/>
          </w:tcPr>
          <w:p w14:paraId="5B40759D" w14:textId="30A5EC0D" w:rsidR="001C55C0" w:rsidRPr="00991CEC" w:rsidRDefault="001C55C0" w:rsidP="00E051BD">
            <w:pPr>
              <w:jc w:val="center"/>
              <w:rPr>
                <w:rFonts w:ascii="Arial Narrow" w:hAnsi="Arial Narrow"/>
                <w:sz w:val="20"/>
                <w:szCs w:val="20"/>
              </w:rPr>
            </w:pPr>
          </w:p>
        </w:tc>
        <w:tc>
          <w:tcPr>
            <w:tcW w:w="8086" w:type="dxa"/>
            <w:gridSpan w:val="6"/>
            <w:vAlign w:val="center"/>
          </w:tcPr>
          <w:p w14:paraId="52ECDE80" w14:textId="77777777" w:rsidR="001C55C0" w:rsidRPr="00991CEC" w:rsidRDefault="001C55C0" w:rsidP="00E051BD">
            <w:pPr>
              <w:rPr>
                <w:rFonts w:ascii="Arial Narrow" w:hAnsi="Arial Narrow"/>
                <w:sz w:val="20"/>
                <w:szCs w:val="20"/>
              </w:rPr>
            </w:pPr>
            <w:r w:rsidRPr="00991CEC">
              <w:rPr>
                <w:rFonts w:ascii="Arial Narrow" w:hAnsi="Arial Narrow"/>
                <w:sz w:val="20"/>
                <w:szCs w:val="20"/>
              </w:rPr>
              <w:t>Patient must have developed intolerance to teriparatide of a severity necessitating permanent treatment withdrawal within the first 6 months of therapy.</w:t>
            </w:r>
          </w:p>
        </w:tc>
      </w:tr>
      <w:tr w:rsidR="001C55C0" w:rsidRPr="00120A12" w14:paraId="2453FAF8" w14:textId="77777777" w:rsidTr="00E051BD">
        <w:tblPrEx>
          <w:tblCellMar>
            <w:top w:w="15" w:type="dxa"/>
            <w:left w:w="15" w:type="dxa"/>
            <w:bottom w:w="15" w:type="dxa"/>
            <w:right w:w="15" w:type="dxa"/>
          </w:tblCellMar>
          <w:tblLook w:val="04A0" w:firstRow="1" w:lastRow="0" w:firstColumn="1" w:lastColumn="0" w:noHBand="0" w:noVBand="1"/>
        </w:tblPrEx>
        <w:tc>
          <w:tcPr>
            <w:tcW w:w="981" w:type="dxa"/>
            <w:gridSpan w:val="2"/>
            <w:vAlign w:val="center"/>
          </w:tcPr>
          <w:p w14:paraId="5853A8AB" w14:textId="685D8BDB" w:rsidR="001C55C0" w:rsidRPr="00991CEC" w:rsidRDefault="001C55C0" w:rsidP="00E051BD">
            <w:pPr>
              <w:jc w:val="center"/>
              <w:rPr>
                <w:rFonts w:ascii="Arial Narrow" w:hAnsi="Arial Narrow"/>
                <w:strike/>
                <w:sz w:val="20"/>
                <w:szCs w:val="20"/>
              </w:rPr>
            </w:pPr>
          </w:p>
        </w:tc>
        <w:tc>
          <w:tcPr>
            <w:tcW w:w="8086" w:type="dxa"/>
            <w:gridSpan w:val="6"/>
            <w:vAlign w:val="center"/>
            <w:hideMark/>
          </w:tcPr>
          <w:p w14:paraId="1C7A8BDA" w14:textId="77777777" w:rsidR="001C55C0" w:rsidRPr="00991CEC" w:rsidRDefault="001C55C0" w:rsidP="00E051BD">
            <w:pPr>
              <w:rPr>
                <w:rFonts w:ascii="Arial Narrow" w:hAnsi="Arial Narrow"/>
                <w:sz w:val="20"/>
                <w:szCs w:val="20"/>
              </w:rPr>
            </w:pPr>
            <w:r w:rsidRPr="00991CEC">
              <w:rPr>
                <w:rFonts w:ascii="Arial Narrow" w:hAnsi="Arial Narrow"/>
                <w:b/>
                <w:bCs/>
                <w:sz w:val="20"/>
                <w:szCs w:val="20"/>
              </w:rPr>
              <w:t>Treatment criteria:</w:t>
            </w:r>
          </w:p>
        </w:tc>
      </w:tr>
      <w:tr w:rsidR="001C55C0" w:rsidRPr="00120A12" w14:paraId="52256D79" w14:textId="77777777" w:rsidTr="00E051BD">
        <w:tblPrEx>
          <w:tblCellMar>
            <w:top w:w="15" w:type="dxa"/>
            <w:left w:w="15" w:type="dxa"/>
            <w:bottom w:w="15" w:type="dxa"/>
            <w:right w:w="15" w:type="dxa"/>
          </w:tblCellMar>
          <w:tblLook w:val="04A0" w:firstRow="1" w:lastRow="0" w:firstColumn="1" w:lastColumn="0" w:noHBand="0" w:noVBand="1"/>
        </w:tblPrEx>
        <w:trPr>
          <w:trHeight w:val="337"/>
        </w:trPr>
        <w:tc>
          <w:tcPr>
            <w:tcW w:w="981" w:type="dxa"/>
            <w:gridSpan w:val="2"/>
            <w:vAlign w:val="center"/>
          </w:tcPr>
          <w:p w14:paraId="7335502B" w14:textId="67CB484B" w:rsidR="001C55C0" w:rsidRPr="00991CEC" w:rsidRDefault="001C55C0" w:rsidP="00E051BD">
            <w:pPr>
              <w:jc w:val="center"/>
              <w:rPr>
                <w:rFonts w:ascii="Arial Narrow" w:hAnsi="Arial Narrow"/>
                <w:sz w:val="20"/>
                <w:szCs w:val="20"/>
              </w:rPr>
            </w:pPr>
          </w:p>
        </w:tc>
        <w:tc>
          <w:tcPr>
            <w:tcW w:w="8086" w:type="dxa"/>
            <w:gridSpan w:val="6"/>
            <w:vAlign w:val="center"/>
            <w:hideMark/>
          </w:tcPr>
          <w:p w14:paraId="5F516F3D" w14:textId="77777777" w:rsidR="001C55C0" w:rsidRPr="00991CEC" w:rsidRDefault="001C55C0" w:rsidP="00E051BD">
            <w:pPr>
              <w:tabs>
                <w:tab w:val="num" w:pos="720"/>
              </w:tabs>
              <w:rPr>
                <w:rFonts w:ascii="Arial Narrow" w:hAnsi="Arial Narrow" w:cs="Arial Narrow"/>
                <w:iCs/>
                <w:sz w:val="20"/>
                <w:szCs w:val="20"/>
              </w:rPr>
            </w:pPr>
            <w:r w:rsidRPr="00991CEC">
              <w:rPr>
                <w:rFonts w:ascii="Arial Narrow" w:hAnsi="Arial Narrow" w:cs="Arial Narrow"/>
                <w:iCs/>
                <w:sz w:val="20"/>
                <w:szCs w:val="20"/>
              </w:rPr>
              <w:t xml:space="preserve">Must be treated by a </w:t>
            </w:r>
            <w:r w:rsidRPr="00991CEC">
              <w:rPr>
                <w:rFonts w:ascii="Arial Narrow" w:hAnsi="Arial Narrow" w:cs="Arial Narrow"/>
                <w:iCs/>
                <w:strike/>
                <w:sz w:val="20"/>
                <w:szCs w:val="20"/>
              </w:rPr>
              <w:t>Specialist; OR Must be treated by a</w:t>
            </w:r>
            <w:r w:rsidRPr="00991CEC">
              <w:rPr>
                <w:rFonts w:ascii="Arial Narrow" w:hAnsi="Arial Narrow" w:cs="Arial Narrow"/>
                <w:iCs/>
                <w:sz w:val="20"/>
                <w:szCs w:val="20"/>
              </w:rPr>
              <w:t xml:space="preserve"> Consultant Physician.</w:t>
            </w:r>
          </w:p>
        </w:tc>
      </w:tr>
      <w:tr w:rsidR="001C55C0" w:rsidRPr="00E03D40" w14:paraId="4076DDA7" w14:textId="77777777" w:rsidTr="00991CEC">
        <w:tblPrEx>
          <w:tblCellMar>
            <w:top w:w="15" w:type="dxa"/>
            <w:left w:w="15" w:type="dxa"/>
            <w:bottom w:w="15" w:type="dxa"/>
            <w:right w:w="15" w:type="dxa"/>
          </w:tblCellMar>
          <w:tblLook w:val="04A0" w:firstRow="1" w:lastRow="0" w:firstColumn="1" w:lastColumn="0" w:noHBand="0" w:noVBand="1"/>
        </w:tblPrEx>
        <w:tc>
          <w:tcPr>
            <w:tcW w:w="981" w:type="dxa"/>
            <w:gridSpan w:val="2"/>
            <w:vAlign w:val="center"/>
          </w:tcPr>
          <w:p w14:paraId="00E58D88" w14:textId="7CA1491F" w:rsidR="001C55C0" w:rsidRPr="00991CEC" w:rsidRDefault="001C55C0" w:rsidP="00E051BD">
            <w:pPr>
              <w:jc w:val="center"/>
              <w:rPr>
                <w:rFonts w:ascii="Arial Narrow" w:hAnsi="Arial Narrow"/>
                <w:sz w:val="20"/>
                <w:szCs w:val="20"/>
              </w:rPr>
            </w:pPr>
          </w:p>
        </w:tc>
        <w:tc>
          <w:tcPr>
            <w:tcW w:w="8086" w:type="dxa"/>
            <w:gridSpan w:val="6"/>
            <w:vAlign w:val="center"/>
            <w:hideMark/>
          </w:tcPr>
          <w:p w14:paraId="01735454" w14:textId="77777777" w:rsidR="001C55C0" w:rsidRPr="00991CEC" w:rsidRDefault="001C55C0" w:rsidP="00E051BD">
            <w:pPr>
              <w:rPr>
                <w:rFonts w:ascii="Arial Narrow" w:hAnsi="Arial Narrow" w:cs="Arial Narrow"/>
                <w:iCs/>
                <w:sz w:val="20"/>
                <w:szCs w:val="20"/>
              </w:rPr>
            </w:pPr>
            <w:r w:rsidRPr="00991CEC">
              <w:rPr>
                <w:rFonts w:ascii="Arial Narrow" w:hAnsi="Arial Narrow"/>
                <w:b/>
                <w:bCs/>
                <w:sz w:val="20"/>
                <w:szCs w:val="20"/>
              </w:rPr>
              <w:t xml:space="preserve">Prescribing Instructions: </w:t>
            </w:r>
            <w:r w:rsidRPr="00991CEC">
              <w:rPr>
                <w:rFonts w:ascii="Arial Narrow" w:hAnsi="Arial Narrow" w:cs="Arial Narrow"/>
                <w:iCs/>
                <w:sz w:val="20"/>
                <w:szCs w:val="20"/>
              </w:rPr>
              <w:t>A vertebral fracture is defined as a 20% or greater reduction in height of the anterior or mid portion of a vertebral body relative to the posterior height of that body, or a 20% or greater reduction in any of these heights compared to the vertebral body above or below the affected vertebral body.</w:t>
            </w:r>
          </w:p>
        </w:tc>
      </w:tr>
      <w:tr w:rsidR="001C55C0" w:rsidRPr="00E03D40" w14:paraId="66DCA1CB" w14:textId="77777777" w:rsidTr="00E051BD">
        <w:tblPrEx>
          <w:tblCellMar>
            <w:top w:w="15" w:type="dxa"/>
            <w:left w:w="15" w:type="dxa"/>
            <w:bottom w:w="15" w:type="dxa"/>
            <w:right w:w="15" w:type="dxa"/>
          </w:tblCellMar>
          <w:tblLook w:val="04A0" w:firstRow="1" w:lastRow="0" w:firstColumn="1" w:lastColumn="0" w:noHBand="0" w:noVBand="1"/>
        </w:tblPrEx>
        <w:tc>
          <w:tcPr>
            <w:tcW w:w="981" w:type="dxa"/>
            <w:gridSpan w:val="2"/>
            <w:vAlign w:val="center"/>
          </w:tcPr>
          <w:p w14:paraId="2B222B6B" w14:textId="527F2F55" w:rsidR="001C55C0" w:rsidRPr="00991CEC" w:rsidRDefault="001C55C0" w:rsidP="00E051BD">
            <w:pPr>
              <w:jc w:val="center"/>
              <w:rPr>
                <w:rFonts w:ascii="Arial Narrow" w:hAnsi="Arial Narrow"/>
                <w:sz w:val="20"/>
                <w:szCs w:val="20"/>
              </w:rPr>
            </w:pPr>
          </w:p>
        </w:tc>
        <w:tc>
          <w:tcPr>
            <w:tcW w:w="8086" w:type="dxa"/>
            <w:gridSpan w:val="6"/>
            <w:vAlign w:val="center"/>
          </w:tcPr>
          <w:p w14:paraId="58E867A2" w14:textId="77777777" w:rsidR="001C55C0" w:rsidRPr="00991CEC" w:rsidRDefault="001C55C0" w:rsidP="00E051BD">
            <w:pPr>
              <w:rPr>
                <w:rFonts w:ascii="Arial Narrow" w:hAnsi="Arial Narrow" w:cs="Arial Narrow"/>
                <w:iCs/>
                <w:sz w:val="20"/>
                <w:szCs w:val="20"/>
              </w:rPr>
            </w:pPr>
            <w:r w:rsidRPr="00991CEC">
              <w:rPr>
                <w:rFonts w:ascii="Arial Narrow" w:hAnsi="Arial Narrow"/>
                <w:b/>
                <w:bCs/>
                <w:sz w:val="20"/>
                <w:szCs w:val="20"/>
              </w:rPr>
              <w:t xml:space="preserve">Prescribing Instructions: </w:t>
            </w:r>
            <w:r w:rsidRPr="00991CEC">
              <w:rPr>
                <w:rFonts w:ascii="Arial Narrow" w:hAnsi="Arial Narrow" w:cs="Arial Narrow"/>
                <w:iCs/>
                <w:sz w:val="20"/>
                <w:szCs w:val="20"/>
              </w:rPr>
              <w:t>If treatment with anti-resorptive therapy is contraindicated according to the relevant TGA-approved Product Information, details of the contraindication must be documented in the patient's medical record at the time treatment with this drug</w:t>
            </w:r>
            <w:r w:rsidRPr="00991CEC">
              <w:rPr>
                <w:rFonts w:ascii="Arial Narrow" w:hAnsi="Arial Narrow" w:cs="Arial Narrow"/>
                <w:i/>
                <w:sz w:val="20"/>
                <w:szCs w:val="20"/>
              </w:rPr>
              <w:t xml:space="preserve"> </w:t>
            </w:r>
            <w:r w:rsidRPr="00991CEC">
              <w:rPr>
                <w:rFonts w:ascii="Arial Narrow" w:hAnsi="Arial Narrow" w:cs="Arial Narrow"/>
                <w:iCs/>
                <w:sz w:val="20"/>
                <w:szCs w:val="20"/>
              </w:rPr>
              <w:t>is initiated.</w:t>
            </w:r>
          </w:p>
        </w:tc>
      </w:tr>
      <w:tr w:rsidR="001C55C0" w:rsidRPr="00E03D40" w14:paraId="6171A9DF" w14:textId="77777777" w:rsidTr="00E051BD">
        <w:tblPrEx>
          <w:tblCellMar>
            <w:top w:w="15" w:type="dxa"/>
            <w:left w:w="15" w:type="dxa"/>
            <w:bottom w:w="15" w:type="dxa"/>
            <w:right w:w="15" w:type="dxa"/>
          </w:tblCellMar>
          <w:tblLook w:val="04A0" w:firstRow="1" w:lastRow="0" w:firstColumn="1" w:lastColumn="0" w:noHBand="0" w:noVBand="1"/>
        </w:tblPrEx>
        <w:tc>
          <w:tcPr>
            <w:tcW w:w="981" w:type="dxa"/>
            <w:gridSpan w:val="2"/>
            <w:vAlign w:val="center"/>
          </w:tcPr>
          <w:p w14:paraId="3937D0D2" w14:textId="7447C07E" w:rsidR="001C55C0" w:rsidRPr="00991CEC" w:rsidRDefault="001C55C0" w:rsidP="00E051BD">
            <w:pPr>
              <w:jc w:val="center"/>
              <w:rPr>
                <w:rFonts w:ascii="Arial Narrow" w:hAnsi="Arial Narrow"/>
                <w:sz w:val="20"/>
                <w:szCs w:val="20"/>
              </w:rPr>
            </w:pPr>
          </w:p>
        </w:tc>
        <w:tc>
          <w:tcPr>
            <w:tcW w:w="8086" w:type="dxa"/>
            <w:gridSpan w:val="6"/>
            <w:vAlign w:val="center"/>
          </w:tcPr>
          <w:p w14:paraId="2D52ED98" w14:textId="77777777" w:rsidR="001C55C0" w:rsidRPr="00991CEC" w:rsidRDefault="001C55C0" w:rsidP="00E051BD">
            <w:pPr>
              <w:rPr>
                <w:rFonts w:ascii="Arial Narrow" w:hAnsi="Arial Narrow"/>
                <w:sz w:val="20"/>
                <w:szCs w:val="20"/>
              </w:rPr>
            </w:pPr>
            <w:r w:rsidRPr="00991CEC">
              <w:rPr>
                <w:rFonts w:ascii="Arial Narrow" w:hAnsi="Arial Narrow"/>
                <w:b/>
                <w:bCs/>
                <w:sz w:val="20"/>
                <w:szCs w:val="20"/>
              </w:rPr>
              <w:t xml:space="preserve">Prescribing Instructions: </w:t>
            </w:r>
            <w:r w:rsidRPr="00991CEC">
              <w:rPr>
                <w:rFonts w:ascii="Arial Narrow" w:hAnsi="Arial Narrow" w:cs="Arial Narrow"/>
                <w:iCs/>
                <w:sz w:val="20"/>
                <w:szCs w:val="20"/>
              </w:rPr>
              <w:t>If an intolerance of a severity necessitating permanent treatment withdrawal develops during the relevant period of use of one anti-resorptive agent, alternate anti-resorptive agents must be trialled so that the patient achieves the minimum requirement of 12 months continuous therapy.  Details must be documented in the patient's medical record at the time treatment with this drug is initiated.</w:t>
            </w:r>
          </w:p>
        </w:tc>
      </w:tr>
      <w:tr w:rsidR="001C55C0" w:rsidRPr="00E03D40" w14:paraId="5CBAEA18" w14:textId="77777777" w:rsidTr="00E051BD">
        <w:tblPrEx>
          <w:tblCellMar>
            <w:top w:w="15" w:type="dxa"/>
            <w:left w:w="15" w:type="dxa"/>
            <w:bottom w:w="15" w:type="dxa"/>
            <w:right w:w="15" w:type="dxa"/>
          </w:tblCellMar>
          <w:tblLook w:val="04A0" w:firstRow="1" w:lastRow="0" w:firstColumn="1" w:lastColumn="0" w:noHBand="0" w:noVBand="1"/>
        </w:tblPrEx>
        <w:tc>
          <w:tcPr>
            <w:tcW w:w="981" w:type="dxa"/>
            <w:gridSpan w:val="2"/>
            <w:vAlign w:val="center"/>
          </w:tcPr>
          <w:p w14:paraId="608EBF0E" w14:textId="7FB0A232" w:rsidR="001C55C0" w:rsidRPr="00991CEC" w:rsidRDefault="001C55C0" w:rsidP="00E051BD">
            <w:pPr>
              <w:jc w:val="center"/>
              <w:rPr>
                <w:rFonts w:ascii="Arial Narrow" w:hAnsi="Arial Narrow"/>
                <w:sz w:val="20"/>
                <w:szCs w:val="20"/>
              </w:rPr>
            </w:pPr>
          </w:p>
        </w:tc>
        <w:tc>
          <w:tcPr>
            <w:tcW w:w="8086" w:type="dxa"/>
            <w:gridSpan w:val="6"/>
            <w:vAlign w:val="center"/>
          </w:tcPr>
          <w:p w14:paraId="5F445D44" w14:textId="77777777" w:rsidR="001C55C0" w:rsidRPr="00991CEC" w:rsidRDefault="001C55C0" w:rsidP="00E051BD">
            <w:pPr>
              <w:rPr>
                <w:rFonts w:ascii="Arial Narrow" w:hAnsi="Arial Narrow"/>
                <w:sz w:val="20"/>
                <w:szCs w:val="20"/>
              </w:rPr>
            </w:pPr>
            <w:r w:rsidRPr="00991CEC">
              <w:rPr>
                <w:rFonts w:ascii="Arial Narrow" w:hAnsi="Arial Narrow"/>
                <w:b/>
                <w:bCs/>
                <w:sz w:val="20"/>
                <w:szCs w:val="20"/>
              </w:rPr>
              <w:t xml:space="preserve">Prescribing Instructions: </w:t>
            </w:r>
            <w:r w:rsidRPr="00991CEC">
              <w:rPr>
                <w:rFonts w:ascii="Arial Narrow" w:hAnsi="Arial Narrow" w:cs="Arial Narrow"/>
                <w:iCs/>
                <w:sz w:val="20"/>
                <w:szCs w:val="20"/>
              </w:rPr>
              <w:t>Anti-resorptive therapies for osteoporosis and their adequate doses which will be accepted for the purposes of administering this restriction are alendronate sodium 10 mg per day or 70 mg once weekly, risedronate sodium 5 mg per day or 35 mg once weekly or 150 mg once monthly, raloxifene hydrochloride 60 mg per day (women only), denosumab 60 mg once every 6 months and zoledronic acid 5 mg per annum.</w:t>
            </w:r>
          </w:p>
        </w:tc>
      </w:tr>
      <w:tr w:rsidR="001C55C0" w:rsidRPr="00E03D40" w14:paraId="5B634259" w14:textId="77777777" w:rsidTr="00E051BD">
        <w:tblPrEx>
          <w:tblCellMar>
            <w:top w:w="15" w:type="dxa"/>
            <w:left w:w="15" w:type="dxa"/>
            <w:bottom w:w="15" w:type="dxa"/>
            <w:right w:w="15" w:type="dxa"/>
          </w:tblCellMar>
          <w:tblLook w:val="04A0" w:firstRow="1" w:lastRow="0" w:firstColumn="1" w:lastColumn="0" w:noHBand="0" w:noVBand="1"/>
        </w:tblPrEx>
        <w:tc>
          <w:tcPr>
            <w:tcW w:w="981" w:type="dxa"/>
            <w:gridSpan w:val="2"/>
            <w:vAlign w:val="center"/>
          </w:tcPr>
          <w:p w14:paraId="09B3863F" w14:textId="364B6541" w:rsidR="001C55C0" w:rsidRPr="00991CEC" w:rsidRDefault="001C55C0" w:rsidP="00E051BD">
            <w:pPr>
              <w:jc w:val="center"/>
              <w:rPr>
                <w:rFonts w:ascii="Arial Narrow" w:hAnsi="Arial Narrow"/>
                <w:sz w:val="20"/>
                <w:szCs w:val="20"/>
              </w:rPr>
            </w:pPr>
          </w:p>
        </w:tc>
        <w:tc>
          <w:tcPr>
            <w:tcW w:w="8086" w:type="dxa"/>
            <w:gridSpan w:val="6"/>
            <w:vAlign w:val="center"/>
          </w:tcPr>
          <w:p w14:paraId="4731C51A" w14:textId="77777777" w:rsidR="001C55C0" w:rsidRPr="00991CEC" w:rsidRDefault="001C55C0" w:rsidP="00E051BD">
            <w:pPr>
              <w:rPr>
                <w:rFonts w:ascii="Arial Narrow" w:hAnsi="Arial Narrow"/>
                <w:b/>
                <w:bCs/>
                <w:sz w:val="20"/>
                <w:szCs w:val="20"/>
              </w:rPr>
            </w:pPr>
            <w:r w:rsidRPr="00991CEC">
              <w:rPr>
                <w:rFonts w:ascii="Arial Narrow" w:hAnsi="Arial Narrow"/>
                <w:b/>
                <w:bCs/>
                <w:sz w:val="20"/>
                <w:szCs w:val="20"/>
              </w:rPr>
              <w:t xml:space="preserve">Prescribing Instructions: </w:t>
            </w:r>
            <w:r w:rsidRPr="00991CEC">
              <w:rPr>
                <w:rFonts w:ascii="Arial Narrow" w:hAnsi="Arial Narrow" w:cs="Arial Narrow"/>
                <w:iCs/>
                <w:sz w:val="20"/>
                <w:szCs w:val="20"/>
              </w:rPr>
              <w:t>Details of prior anti-resorptive therapy, fracture history including the date(s), site(s), the symptoms associated with the fracture(s) which developed after at least 12 months continuous anti-resorptive therapy and the score of the qualifying BMD measurement must be provided at the time of application.</w:t>
            </w:r>
          </w:p>
        </w:tc>
      </w:tr>
      <w:tr w:rsidR="001C55C0" w:rsidRPr="00120A12" w14:paraId="688F8F4F" w14:textId="77777777" w:rsidTr="00E051BD">
        <w:tblPrEx>
          <w:tblCellMar>
            <w:top w:w="15" w:type="dxa"/>
            <w:left w:w="15" w:type="dxa"/>
            <w:bottom w:w="15" w:type="dxa"/>
            <w:right w:w="15" w:type="dxa"/>
          </w:tblCellMar>
          <w:tblLook w:val="04A0" w:firstRow="1" w:lastRow="0" w:firstColumn="1" w:lastColumn="0" w:noHBand="0" w:noVBand="1"/>
        </w:tblPrEx>
        <w:tc>
          <w:tcPr>
            <w:tcW w:w="9067" w:type="dxa"/>
            <w:gridSpan w:val="8"/>
            <w:vAlign w:val="center"/>
          </w:tcPr>
          <w:p w14:paraId="09F52A40" w14:textId="77777777" w:rsidR="001C55C0" w:rsidRPr="00991CEC" w:rsidRDefault="001C55C0" w:rsidP="00E051BD">
            <w:pPr>
              <w:rPr>
                <w:rFonts w:ascii="Arial Narrow" w:hAnsi="Arial Narrow"/>
                <w:bCs/>
                <w:sz w:val="20"/>
                <w:szCs w:val="20"/>
              </w:rPr>
            </w:pPr>
          </w:p>
          <w:p w14:paraId="1D628B88" w14:textId="77777777" w:rsidR="001C55C0" w:rsidRPr="00991CEC" w:rsidRDefault="001C55C0" w:rsidP="00E051BD">
            <w:pPr>
              <w:rPr>
                <w:rFonts w:ascii="Arial Narrow" w:hAnsi="Arial Narrow"/>
                <w:bCs/>
                <w:sz w:val="20"/>
                <w:szCs w:val="20"/>
              </w:rPr>
            </w:pPr>
          </w:p>
        </w:tc>
      </w:tr>
      <w:tr w:rsidR="001C55C0" w14:paraId="679447FD" w14:textId="77777777" w:rsidTr="00E051BD">
        <w:tblPrEx>
          <w:tblCellMar>
            <w:top w:w="15" w:type="dxa"/>
            <w:left w:w="15" w:type="dxa"/>
            <w:bottom w:w="15" w:type="dxa"/>
            <w:right w:w="15" w:type="dxa"/>
          </w:tblCellMar>
          <w:tblLook w:val="04A0" w:firstRow="1" w:lastRow="0" w:firstColumn="1" w:lastColumn="0" w:noHBand="0" w:noVBand="1"/>
        </w:tblPrEx>
        <w:tc>
          <w:tcPr>
            <w:tcW w:w="9067" w:type="dxa"/>
            <w:gridSpan w:val="8"/>
            <w:vAlign w:val="center"/>
          </w:tcPr>
          <w:p w14:paraId="6679BEA9" w14:textId="72AE59BE" w:rsidR="001C55C0" w:rsidRPr="00991CEC" w:rsidRDefault="001C55C0" w:rsidP="00E051BD">
            <w:pPr>
              <w:rPr>
                <w:rFonts w:ascii="Arial Narrow" w:hAnsi="Arial Narrow"/>
                <w:b/>
                <w:bCs/>
                <w:sz w:val="20"/>
                <w:szCs w:val="20"/>
              </w:rPr>
            </w:pPr>
            <w:r w:rsidRPr="00991CEC">
              <w:rPr>
                <w:rFonts w:ascii="Arial Narrow" w:hAnsi="Arial Narrow"/>
                <w:b/>
                <w:bCs/>
                <w:sz w:val="20"/>
                <w:szCs w:val="20"/>
              </w:rPr>
              <w:t xml:space="preserve">Restriction Summary  / Treatment of Concept: </w:t>
            </w:r>
          </w:p>
        </w:tc>
      </w:tr>
      <w:tr w:rsidR="001C55C0" w:rsidRPr="00120A12" w14:paraId="7C9DD8A2" w14:textId="77777777" w:rsidTr="00E051BD">
        <w:tblPrEx>
          <w:tblCellMar>
            <w:top w:w="15" w:type="dxa"/>
            <w:left w:w="15" w:type="dxa"/>
            <w:bottom w:w="15" w:type="dxa"/>
            <w:right w:w="15" w:type="dxa"/>
          </w:tblCellMar>
          <w:tblLook w:val="04A0" w:firstRow="1" w:lastRow="0" w:firstColumn="1" w:lastColumn="0" w:noHBand="0" w:noVBand="1"/>
        </w:tblPrEx>
        <w:tc>
          <w:tcPr>
            <w:tcW w:w="981" w:type="dxa"/>
            <w:gridSpan w:val="2"/>
            <w:vMerge w:val="restart"/>
            <w:tcBorders>
              <w:top w:val="single" w:sz="4" w:space="0" w:color="auto"/>
              <w:left w:val="single" w:sz="4" w:space="0" w:color="auto"/>
              <w:right w:val="single" w:sz="4" w:space="0" w:color="auto"/>
            </w:tcBorders>
          </w:tcPr>
          <w:p w14:paraId="3E9A92A5" w14:textId="77777777" w:rsidR="001C55C0" w:rsidRPr="00991CEC" w:rsidRDefault="001C55C0" w:rsidP="00E051BD">
            <w:pPr>
              <w:jc w:val="center"/>
              <w:rPr>
                <w:rFonts w:ascii="Arial Narrow" w:hAnsi="Arial Narrow"/>
                <w:b/>
                <w:sz w:val="20"/>
                <w:szCs w:val="20"/>
              </w:rPr>
            </w:pPr>
            <w:r w:rsidRPr="00991CEC">
              <w:rPr>
                <w:rFonts w:ascii="Arial Narrow" w:hAnsi="Arial Narrow"/>
                <w:b/>
                <w:sz w:val="20"/>
                <w:szCs w:val="20"/>
              </w:rPr>
              <w:t>Concept ID</w:t>
            </w:r>
          </w:p>
          <w:p w14:paraId="4AF8A6B2" w14:textId="77777777" w:rsidR="001C55C0" w:rsidRPr="00991CEC" w:rsidRDefault="001C55C0" w:rsidP="00E051BD">
            <w:pPr>
              <w:rPr>
                <w:rFonts w:ascii="Arial Narrow" w:hAnsi="Arial Narrow"/>
                <w:i/>
                <w:sz w:val="20"/>
                <w:szCs w:val="20"/>
              </w:rPr>
            </w:pPr>
          </w:p>
          <w:p w14:paraId="401FE3F0" w14:textId="77777777" w:rsidR="001C55C0" w:rsidRPr="00991CEC" w:rsidRDefault="001C55C0" w:rsidP="00E051BD">
            <w:pPr>
              <w:jc w:val="center"/>
              <w:rPr>
                <w:rFonts w:ascii="Arial Narrow" w:hAnsi="Arial Narrow"/>
                <w:sz w:val="20"/>
                <w:szCs w:val="20"/>
              </w:rPr>
            </w:pPr>
            <w:r w:rsidRPr="00991CEC">
              <w:rPr>
                <w:rFonts w:ascii="Arial Narrow" w:hAnsi="Arial Narrow"/>
                <w:sz w:val="20"/>
                <w:szCs w:val="20"/>
              </w:rPr>
              <w:t>(for internal Dept. use)</w:t>
            </w:r>
          </w:p>
        </w:tc>
        <w:tc>
          <w:tcPr>
            <w:tcW w:w="8086" w:type="dxa"/>
            <w:gridSpan w:val="6"/>
            <w:tcBorders>
              <w:top w:val="single" w:sz="4" w:space="0" w:color="auto"/>
              <w:left w:val="single" w:sz="4" w:space="0" w:color="auto"/>
              <w:bottom w:val="single" w:sz="4" w:space="0" w:color="auto"/>
              <w:right w:val="single" w:sz="4" w:space="0" w:color="auto"/>
            </w:tcBorders>
          </w:tcPr>
          <w:p w14:paraId="22784FE5" w14:textId="77777777" w:rsidR="001C55C0" w:rsidRPr="00991CEC" w:rsidRDefault="001C55C0" w:rsidP="00E051BD">
            <w:pPr>
              <w:rPr>
                <w:rFonts w:ascii="Arial Narrow" w:hAnsi="Arial Narrow"/>
                <w:sz w:val="20"/>
                <w:szCs w:val="20"/>
              </w:rPr>
            </w:pPr>
            <w:r w:rsidRPr="00991CEC">
              <w:rPr>
                <w:rFonts w:ascii="Arial Narrow" w:hAnsi="Arial Narrow"/>
                <w:b/>
                <w:sz w:val="20"/>
                <w:szCs w:val="20"/>
              </w:rPr>
              <w:t xml:space="preserve">Category / Program:   </w:t>
            </w:r>
            <w:r w:rsidRPr="00991CEC">
              <w:rPr>
                <w:rFonts w:ascii="Arial Narrow" w:hAnsi="Arial Narrow"/>
                <w:sz w:val="20"/>
                <w:szCs w:val="20"/>
              </w:rPr>
              <w:t xml:space="preserve">GENERAL – General Schedule (Code GE) </w:t>
            </w:r>
          </w:p>
        </w:tc>
      </w:tr>
      <w:tr w:rsidR="001C55C0" w:rsidRPr="00120A12" w14:paraId="0DE002E7" w14:textId="77777777" w:rsidTr="00E051BD">
        <w:tblPrEx>
          <w:tblCellMar>
            <w:top w:w="15" w:type="dxa"/>
            <w:left w:w="15" w:type="dxa"/>
            <w:bottom w:w="15" w:type="dxa"/>
            <w:right w:w="15" w:type="dxa"/>
          </w:tblCellMar>
          <w:tblLook w:val="04A0" w:firstRow="1" w:lastRow="0" w:firstColumn="1" w:lastColumn="0" w:noHBand="0" w:noVBand="1"/>
        </w:tblPrEx>
        <w:trPr>
          <w:trHeight w:val="240"/>
        </w:trPr>
        <w:tc>
          <w:tcPr>
            <w:tcW w:w="981" w:type="dxa"/>
            <w:gridSpan w:val="2"/>
            <w:vMerge/>
            <w:tcBorders>
              <w:left w:val="single" w:sz="4" w:space="0" w:color="auto"/>
              <w:right w:val="single" w:sz="4" w:space="0" w:color="auto"/>
            </w:tcBorders>
          </w:tcPr>
          <w:p w14:paraId="4E8CB3E4" w14:textId="77777777" w:rsidR="001C55C0" w:rsidRPr="00991CEC" w:rsidRDefault="001C55C0" w:rsidP="00E051BD">
            <w:pPr>
              <w:rPr>
                <w:rFonts w:ascii="Arial Narrow" w:hAnsi="Arial Narrow"/>
                <w:sz w:val="20"/>
                <w:szCs w:val="20"/>
              </w:rPr>
            </w:pPr>
          </w:p>
        </w:tc>
        <w:tc>
          <w:tcPr>
            <w:tcW w:w="8086" w:type="dxa"/>
            <w:gridSpan w:val="6"/>
            <w:tcBorders>
              <w:top w:val="single" w:sz="4" w:space="0" w:color="auto"/>
              <w:left w:val="single" w:sz="4" w:space="0" w:color="auto"/>
              <w:bottom w:val="single" w:sz="4" w:space="0" w:color="auto"/>
              <w:right w:val="single" w:sz="4" w:space="0" w:color="auto"/>
            </w:tcBorders>
          </w:tcPr>
          <w:p w14:paraId="06DE012E" w14:textId="77777777" w:rsidR="001C55C0" w:rsidRPr="00991CEC" w:rsidRDefault="001C55C0" w:rsidP="00E051BD">
            <w:pPr>
              <w:rPr>
                <w:rFonts w:ascii="Arial Narrow" w:hAnsi="Arial Narrow"/>
                <w:b/>
                <w:sz w:val="20"/>
                <w:szCs w:val="20"/>
              </w:rPr>
            </w:pPr>
            <w:r w:rsidRPr="00991CEC">
              <w:rPr>
                <w:rFonts w:ascii="Arial Narrow" w:hAnsi="Arial Narrow"/>
                <w:b/>
                <w:sz w:val="20"/>
                <w:szCs w:val="20"/>
              </w:rPr>
              <w:t xml:space="preserve">Prescriber type:   </w:t>
            </w:r>
            <w:r w:rsidRPr="00991CEC">
              <w:rPr>
                <w:rFonts w:ascii="Arial Narrow" w:hAnsi="Arial Narrow"/>
                <w:sz w:val="20"/>
                <w:szCs w:val="20"/>
              </w:rPr>
              <w:fldChar w:fldCharType="begin">
                <w:ffData>
                  <w:name w:val=""/>
                  <w:enabled/>
                  <w:calcOnExit w:val="0"/>
                  <w:checkBox>
                    <w:sizeAuto/>
                    <w:default w:val="1"/>
                  </w:checkBox>
                </w:ffData>
              </w:fldChar>
            </w:r>
            <w:r w:rsidRPr="00991CEC">
              <w:rPr>
                <w:rFonts w:ascii="Arial Narrow" w:hAnsi="Arial Narrow"/>
                <w:sz w:val="20"/>
                <w:szCs w:val="20"/>
              </w:rPr>
              <w:instrText xml:space="preserve"> FORMCHECKBOX </w:instrText>
            </w:r>
            <w:r w:rsidR="00EC16BE">
              <w:rPr>
                <w:rFonts w:ascii="Arial Narrow" w:hAnsi="Arial Narrow"/>
                <w:sz w:val="20"/>
                <w:szCs w:val="20"/>
              </w:rPr>
            </w:r>
            <w:r w:rsidR="00EC16BE">
              <w:rPr>
                <w:rFonts w:ascii="Arial Narrow" w:hAnsi="Arial Narrow"/>
                <w:sz w:val="20"/>
                <w:szCs w:val="20"/>
              </w:rPr>
              <w:fldChar w:fldCharType="separate"/>
            </w:r>
            <w:r w:rsidRPr="00991CEC">
              <w:rPr>
                <w:rFonts w:ascii="Arial Narrow" w:hAnsi="Arial Narrow"/>
                <w:sz w:val="20"/>
                <w:szCs w:val="20"/>
              </w:rPr>
              <w:fldChar w:fldCharType="end"/>
            </w:r>
            <w:r w:rsidRPr="00991CEC">
              <w:rPr>
                <w:rFonts w:ascii="Arial Narrow" w:hAnsi="Arial Narrow"/>
                <w:sz w:val="20"/>
                <w:szCs w:val="20"/>
              </w:rPr>
              <w:t xml:space="preserve">Medical Practitioners </w:t>
            </w:r>
          </w:p>
        </w:tc>
      </w:tr>
      <w:tr w:rsidR="001C55C0" w:rsidRPr="00120A12" w14:paraId="4537DAA5" w14:textId="77777777" w:rsidTr="00E051BD">
        <w:tblPrEx>
          <w:tblCellMar>
            <w:top w:w="15" w:type="dxa"/>
            <w:left w:w="15" w:type="dxa"/>
            <w:bottom w:w="15" w:type="dxa"/>
            <w:right w:w="15" w:type="dxa"/>
          </w:tblCellMar>
          <w:tblLook w:val="04A0" w:firstRow="1" w:lastRow="0" w:firstColumn="1" w:lastColumn="0" w:noHBand="0" w:noVBand="1"/>
        </w:tblPrEx>
        <w:trPr>
          <w:trHeight w:val="396"/>
        </w:trPr>
        <w:tc>
          <w:tcPr>
            <w:tcW w:w="981" w:type="dxa"/>
            <w:gridSpan w:val="2"/>
            <w:vMerge/>
            <w:tcBorders>
              <w:left w:val="single" w:sz="4" w:space="0" w:color="auto"/>
              <w:bottom w:val="single" w:sz="4" w:space="0" w:color="auto"/>
              <w:right w:val="single" w:sz="4" w:space="0" w:color="auto"/>
            </w:tcBorders>
          </w:tcPr>
          <w:p w14:paraId="65DC0C71" w14:textId="77777777" w:rsidR="001C55C0" w:rsidRPr="00991CEC" w:rsidRDefault="001C55C0" w:rsidP="00E051BD">
            <w:pPr>
              <w:rPr>
                <w:rFonts w:ascii="Arial Narrow" w:hAnsi="Arial Narrow"/>
                <w:sz w:val="20"/>
                <w:szCs w:val="20"/>
              </w:rPr>
            </w:pPr>
          </w:p>
        </w:tc>
        <w:tc>
          <w:tcPr>
            <w:tcW w:w="8086" w:type="dxa"/>
            <w:gridSpan w:val="6"/>
            <w:tcBorders>
              <w:top w:val="single" w:sz="4" w:space="0" w:color="auto"/>
              <w:left w:val="single" w:sz="4" w:space="0" w:color="auto"/>
              <w:bottom w:val="single" w:sz="4" w:space="0" w:color="auto"/>
              <w:right w:val="single" w:sz="4" w:space="0" w:color="auto"/>
            </w:tcBorders>
          </w:tcPr>
          <w:p w14:paraId="45D6318D" w14:textId="77777777" w:rsidR="001C55C0" w:rsidRPr="00991CEC" w:rsidRDefault="001C55C0" w:rsidP="00E051BD">
            <w:pPr>
              <w:rPr>
                <w:rFonts w:ascii="Arial Narrow" w:eastAsia="Calibri" w:hAnsi="Arial Narrow"/>
                <w:sz w:val="20"/>
                <w:szCs w:val="20"/>
              </w:rPr>
            </w:pPr>
            <w:r w:rsidRPr="00991CEC">
              <w:rPr>
                <w:rFonts w:ascii="Arial Narrow" w:hAnsi="Arial Narrow"/>
                <w:b/>
                <w:sz w:val="20"/>
                <w:szCs w:val="20"/>
              </w:rPr>
              <w:t xml:space="preserve">Restriction type: </w:t>
            </w:r>
            <w:r w:rsidRPr="00991CEC">
              <w:rPr>
                <w:rFonts w:ascii="Arial Narrow" w:eastAsia="Calibri" w:hAnsi="Arial Narrow"/>
                <w:sz w:val="20"/>
                <w:szCs w:val="20"/>
              </w:rPr>
              <w:fldChar w:fldCharType="begin">
                <w:ffData>
                  <w:name w:val=""/>
                  <w:enabled/>
                  <w:calcOnExit w:val="0"/>
                  <w:checkBox>
                    <w:sizeAuto/>
                    <w:default w:val="1"/>
                  </w:checkBox>
                </w:ffData>
              </w:fldChar>
            </w:r>
            <w:r w:rsidRPr="00991CEC">
              <w:rPr>
                <w:rFonts w:ascii="Arial Narrow" w:eastAsia="Calibri" w:hAnsi="Arial Narrow"/>
                <w:sz w:val="20"/>
                <w:szCs w:val="20"/>
              </w:rPr>
              <w:instrText xml:space="preserve"> FORMCHECKBOX </w:instrText>
            </w:r>
            <w:r w:rsidR="00EC16BE">
              <w:rPr>
                <w:rFonts w:ascii="Arial Narrow" w:eastAsia="Calibri" w:hAnsi="Arial Narrow"/>
                <w:sz w:val="20"/>
                <w:szCs w:val="20"/>
              </w:rPr>
            </w:r>
            <w:r w:rsidR="00EC16BE">
              <w:rPr>
                <w:rFonts w:ascii="Arial Narrow" w:eastAsia="Calibri" w:hAnsi="Arial Narrow"/>
                <w:sz w:val="20"/>
                <w:szCs w:val="20"/>
              </w:rPr>
              <w:fldChar w:fldCharType="separate"/>
            </w:r>
            <w:r w:rsidRPr="00991CEC">
              <w:rPr>
                <w:rFonts w:ascii="Arial Narrow" w:eastAsia="Calibri" w:hAnsi="Arial Narrow"/>
                <w:sz w:val="20"/>
                <w:szCs w:val="20"/>
              </w:rPr>
              <w:fldChar w:fldCharType="end"/>
            </w:r>
            <w:r w:rsidRPr="00991CEC">
              <w:rPr>
                <w:rFonts w:ascii="Arial Narrow" w:eastAsia="Calibri" w:hAnsi="Arial Narrow"/>
                <w:sz w:val="20"/>
                <w:szCs w:val="20"/>
              </w:rPr>
              <w:t>Authority Required (telephone/online PBS Authorities system)</w:t>
            </w:r>
          </w:p>
        </w:tc>
      </w:tr>
      <w:tr w:rsidR="001C55C0" w:rsidRPr="00120A12" w14:paraId="1BAE5634" w14:textId="77777777" w:rsidTr="00991CEC">
        <w:tblPrEx>
          <w:tblCellMar>
            <w:top w:w="15" w:type="dxa"/>
            <w:left w:w="15" w:type="dxa"/>
            <w:bottom w:w="15" w:type="dxa"/>
            <w:right w:w="15" w:type="dxa"/>
          </w:tblCellMar>
          <w:tblLook w:val="04A0" w:firstRow="1" w:lastRow="0" w:firstColumn="1" w:lastColumn="0" w:noHBand="0" w:noVBand="1"/>
        </w:tblPrEx>
        <w:tc>
          <w:tcPr>
            <w:tcW w:w="981" w:type="dxa"/>
            <w:gridSpan w:val="2"/>
            <w:vAlign w:val="center"/>
          </w:tcPr>
          <w:p w14:paraId="0ACBBF6A" w14:textId="25B5B234" w:rsidR="001C55C0" w:rsidRPr="00991CEC" w:rsidRDefault="001C55C0" w:rsidP="00E051BD">
            <w:pPr>
              <w:jc w:val="center"/>
              <w:rPr>
                <w:rFonts w:ascii="Arial Narrow" w:hAnsi="Arial Narrow"/>
                <w:sz w:val="20"/>
                <w:szCs w:val="20"/>
              </w:rPr>
            </w:pPr>
          </w:p>
        </w:tc>
        <w:tc>
          <w:tcPr>
            <w:tcW w:w="8086" w:type="dxa"/>
            <w:gridSpan w:val="6"/>
            <w:vAlign w:val="center"/>
            <w:hideMark/>
          </w:tcPr>
          <w:p w14:paraId="457B0652" w14:textId="77777777" w:rsidR="001C55C0" w:rsidRPr="00991CEC" w:rsidRDefault="001C55C0" w:rsidP="00E051BD">
            <w:pPr>
              <w:rPr>
                <w:rFonts w:ascii="Arial Narrow" w:hAnsi="Arial Narrow"/>
                <w:sz w:val="20"/>
                <w:szCs w:val="20"/>
              </w:rPr>
            </w:pPr>
            <w:r w:rsidRPr="00991CEC">
              <w:rPr>
                <w:rFonts w:ascii="Arial Narrow" w:hAnsi="Arial Narrow"/>
                <w:b/>
                <w:bCs/>
                <w:sz w:val="20"/>
                <w:szCs w:val="20"/>
              </w:rPr>
              <w:t>Indication:</w:t>
            </w:r>
            <w:r w:rsidRPr="00991CEC">
              <w:rPr>
                <w:rFonts w:ascii="Arial Narrow" w:hAnsi="Arial Narrow"/>
                <w:sz w:val="20"/>
                <w:szCs w:val="20"/>
              </w:rPr>
              <w:t xml:space="preserve"> Severe established osteoporosis </w:t>
            </w:r>
          </w:p>
        </w:tc>
      </w:tr>
      <w:tr w:rsidR="001C55C0" w:rsidRPr="00B90897" w14:paraId="2D3CB81D" w14:textId="77777777" w:rsidTr="00991CEC">
        <w:tblPrEx>
          <w:tblCellMar>
            <w:top w:w="15" w:type="dxa"/>
            <w:left w:w="15" w:type="dxa"/>
            <w:bottom w:w="15" w:type="dxa"/>
            <w:right w:w="15" w:type="dxa"/>
          </w:tblCellMar>
          <w:tblLook w:val="04A0" w:firstRow="1" w:lastRow="0" w:firstColumn="1" w:lastColumn="0" w:noHBand="0" w:noVBand="1"/>
        </w:tblPrEx>
        <w:tc>
          <w:tcPr>
            <w:tcW w:w="981" w:type="dxa"/>
            <w:gridSpan w:val="2"/>
            <w:vAlign w:val="center"/>
          </w:tcPr>
          <w:p w14:paraId="0A2DB746" w14:textId="77777777" w:rsidR="001C55C0" w:rsidRPr="00991CEC" w:rsidRDefault="001C55C0" w:rsidP="00E051BD">
            <w:pPr>
              <w:jc w:val="center"/>
              <w:rPr>
                <w:rFonts w:ascii="Arial Narrow" w:hAnsi="Arial Narrow"/>
                <w:sz w:val="20"/>
                <w:szCs w:val="20"/>
              </w:rPr>
            </w:pPr>
          </w:p>
        </w:tc>
        <w:tc>
          <w:tcPr>
            <w:tcW w:w="8086" w:type="dxa"/>
            <w:gridSpan w:val="6"/>
            <w:vAlign w:val="center"/>
            <w:hideMark/>
          </w:tcPr>
          <w:p w14:paraId="16DCBC9E" w14:textId="77777777" w:rsidR="001C55C0" w:rsidRPr="00991CEC" w:rsidRDefault="001C55C0" w:rsidP="00E051BD">
            <w:pPr>
              <w:rPr>
                <w:rFonts w:ascii="Arial Narrow" w:hAnsi="Arial Narrow"/>
                <w:sz w:val="20"/>
                <w:szCs w:val="20"/>
              </w:rPr>
            </w:pPr>
            <w:r w:rsidRPr="00991CEC">
              <w:rPr>
                <w:rFonts w:ascii="Arial Narrow" w:hAnsi="Arial Narrow"/>
                <w:b/>
                <w:bCs/>
                <w:sz w:val="20"/>
                <w:szCs w:val="20"/>
              </w:rPr>
              <w:t>Treatment Phase:</w:t>
            </w:r>
            <w:r w:rsidRPr="00991CEC">
              <w:rPr>
                <w:rFonts w:ascii="Arial Narrow" w:hAnsi="Arial Narrow"/>
                <w:sz w:val="20"/>
                <w:szCs w:val="20"/>
              </w:rPr>
              <w:t xml:space="preserve"> Continuing treatment  </w:t>
            </w:r>
          </w:p>
        </w:tc>
      </w:tr>
      <w:tr w:rsidR="001C55C0" w:rsidRPr="007F2BB2" w14:paraId="0AC29A65" w14:textId="77777777" w:rsidTr="00991CEC">
        <w:tblPrEx>
          <w:tblCellMar>
            <w:top w:w="15" w:type="dxa"/>
            <w:left w:w="15" w:type="dxa"/>
            <w:bottom w:w="15" w:type="dxa"/>
            <w:right w:w="15" w:type="dxa"/>
          </w:tblCellMar>
          <w:tblLook w:val="04A0" w:firstRow="1" w:lastRow="0" w:firstColumn="1" w:lastColumn="0" w:noHBand="0" w:noVBand="1"/>
        </w:tblPrEx>
        <w:tc>
          <w:tcPr>
            <w:tcW w:w="981" w:type="dxa"/>
            <w:gridSpan w:val="2"/>
          </w:tcPr>
          <w:p w14:paraId="0D700BA7" w14:textId="4682492F" w:rsidR="001C55C0" w:rsidRPr="00991CEC" w:rsidRDefault="001C55C0" w:rsidP="00E051BD">
            <w:pPr>
              <w:jc w:val="center"/>
              <w:rPr>
                <w:rFonts w:ascii="Arial Narrow" w:hAnsi="Arial Narrow"/>
                <w:sz w:val="20"/>
                <w:szCs w:val="20"/>
              </w:rPr>
            </w:pPr>
          </w:p>
        </w:tc>
        <w:tc>
          <w:tcPr>
            <w:tcW w:w="8086" w:type="dxa"/>
            <w:gridSpan w:val="6"/>
            <w:hideMark/>
          </w:tcPr>
          <w:p w14:paraId="1E7BB45A" w14:textId="77777777" w:rsidR="001C55C0" w:rsidRPr="00991CEC" w:rsidRDefault="001C55C0" w:rsidP="00E051BD">
            <w:pPr>
              <w:rPr>
                <w:rFonts w:ascii="Arial Narrow" w:hAnsi="Arial Narrow"/>
                <w:sz w:val="20"/>
                <w:szCs w:val="20"/>
              </w:rPr>
            </w:pPr>
            <w:r w:rsidRPr="00991CEC">
              <w:rPr>
                <w:rFonts w:ascii="Arial Narrow" w:hAnsi="Arial Narrow"/>
                <w:b/>
                <w:bCs/>
                <w:sz w:val="20"/>
                <w:szCs w:val="20"/>
              </w:rPr>
              <w:t>Clinical</w:t>
            </w:r>
            <w:r w:rsidRPr="00991CEC">
              <w:rPr>
                <w:sz w:val="20"/>
                <w:szCs w:val="20"/>
              </w:rPr>
              <w:t xml:space="preserve"> </w:t>
            </w:r>
            <w:r w:rsidRPr="00991CEC">
              <w:rPr>
                <w:rFonts w:ascii="Arial Narrow" w:hAnsi="Arial Narrow"/>
                <w:b/>
                <w:bCs/>
                <w:sz w:val="20"/>
                <w:szCs w:val="20"/>
              </w:rPr>
              <w:t>criteria</w:t>
            </w:r>
            <w:r w:rsidRPr="00991CEC">
              <w:rPr>
                <w:sz w:val="20"/>
                <w:szCs w:val="20"/>
              </w:rPr>
              <w:t xml:space="preserve">: </w:t>
            </w:r>
          </w:p>
        </w:tc>
      </w:tr>
      <w:tr w:rsidR="001C55C0" w:rsidRPr="00720161" w14:paraId="51BE814A" w14:textId="77777777" w:rsidTr="00991CEC">
        <w:tblPrEx>
          <w:tblCellMar>
            <w:top w:w="15" w:type="dxa"/>
            <w:left w:w="15" w:type="dxa"/>
            <w:bottom w:w="15" w:type="dxa"/>
            <w:right w:w="15" w:type="dxa"/>
          </w:tblCellMar>
          <w:tblLook w:val="04A0" w:firstRow="1" w:lastRow="0" w:firstColumn="1" w:lastColumn="0" w:noHBand="0" w:noVBand="1"/>
        </w:tblPrEx>
        <w:tc>
          <w:tcPr>
            <w:tcW w:w="981" w:type="dxa"/>
            <w:gridSpan w:val="2"/>
          </w:tcPr>
          <w:p w14:paraId="66A9C2EC" w14:textId="0F3E772E" w:rsidR="001C55C0" w:rsidRPr="00991CEC" w:rsidRDefault="001C55C0" w:rsidP="00E051BD">
            <w:pPr>
              <w:jc w:val="center"/>
              <w:rPr>
                <w:rFonts w:ascii="Arial Narrow" w:hAnsi="Arial Narrow"/>
                <w:sz w:val="20"/>
                <w:szCs w:val="20"/>
              </w:rPr>
            </w:pPr>
          </w:p>
        </w:tc>
        <w:tc>
          <w:tcPr>
            <w:tcW w:w="8086" w:type="dxa"/>
            <w:gridSpan w:val="6"/>
            <w:hideMark/>
          </w:tcPr>
          <w:p w14:paraId="19A7B459" w14:textId="77777777" w:rsidR="001C55C0" w:rsidRPr="00991CEC" w:rsidRDefault="001C55C0" w:rsidP="00E051BD">
            <w:pPr>
              <w:rPr>
                <w:rFonts w:ascii="Arial Narrow" w:hAnsi="Arial Narrow"/>
                <w:sz w:val="20"/>
                <w:szCs w:val="20"/>
              </w:rPr>
            </w:pPr>
            <w:r w:rsidRPr="00991CEC">
              <w:rPr>
                <w:rFonts w:ascii="Arial Narrow" w:hAnsi="Arial Narrow"/>
                <w:sz w:val="20"/>
                <w:szCs w:val="20"/>
              </w:rPr>
              <w:t>Patient must have previously received PBS-subsidised treatment with this drug for this condition.</w:t>
            </w:r>
          </w:p>
        </w:tc>
      </w:tr>
      <w:tr w:rsidR="001C55C0" w:rsidRPr="00120A12" w14:paraId="43CD8D5D" w14:textId="77777777" w:rsidTr="00E051BD">
        <w:tblPrEx>
          <w:tblCellMar>
            <w:top w:w="15" w:type="dxa"/>
            <w:left w:w="15" w:type="dxa"/>
            <w:bottom w:w="15" w:type="dxa"/>
            <w:right w:w="15" w:type="dxa"/>
          </w:tblCellMar>
          <w:tblLook w:val="04A0" w:firstRow="1" w:lastRow="0" w:firstColumn="1" w:lastColumn="0" w:noHBand="0" w:noVBand="1"/>
        </w:tblPrEx>
        <w:tc>
          <w:tcPr>
            <w:tcW w:w="981" w:type="dxa"/>
            <w:gridSpan w:val="2"/>
            <w:vAlign w:val="center"/>
          </w:tcPr>
          <w:p w14:paraId="1472CE40" w14:textId="77777777" w:rsidR="001C55C0" w:rsidRPr="00991CEC" w:rsidRDefault="001C55C0" w:rsidP="00E051BD">
            <w:pPr>
              <w:jc w:val="center"/>
              <w:rPr>
                <w:rFonts w:ascii="Arial Narrow" w:hAnsi="Arial Narrow"/>
                <w:sz w:val="20"/>
                <w:szCs w:val="20"/>
              </w:rPr>
            </w:pPr>
          </w:p>
        </w:tc>
        <w:tc>
          <w:tcPr>
            <w:tcW w:w="8086" w:type="dxa"/>
            <w:gridSpan w:val="6"/>
          </w:tcPr>
          <w:p w14:paraId="135F22FA" w14:textId="77777777" w:rsidR="001C55C0" w:rsidRPr="00991CEC" w:rsidRDefault="001C55C0" w:rsidP="00E051BD">
            <w:pPr>
              <w:rPr>
                <w:rFonts w:ascii="Arial Narrow" w:hAnsi="Arial Narrow"/>
                <w:b/>
                <w:bCs/>
                <w:sz w:val="20"/>
                <w:szCs w:val="20"/>
              </w:rPr>
            </w:pPr>
            <w:r w:rsidRPr="00991CEC">
              <w:rPr>
                <w:rFonts w:ascii="Arial Narrow" w:hAnsi="Arial Narrow"/>
                <w:b/>
                <w:bCs/>
                <w:sz w:val="20"/>
                <w:szCs w:val="20"/>
              </w:rPr>
              <w:t>AND</w:t>
            </w:r>
          </w:p>
        </w:tc>
      </w:tr>
      <w:tr w:rsidR="001C55C0" w:rsidRPr="00120A12" w14:paraId="6242199E" w14:textId="77777777" w:rsidTr="00E051BD">
        <w:tblPrEx>
          <w:tblCellMar>
            <w:top w:w="15" w:type="dxa"/>
            <w:left w:w="15" w:type="dxa"/>
            <w:bottom w:w="15" w:type="dxa"/>
            <w:right w:w="15" w:type="dxa"/>
          </w:tblCellMar>
          <w:tblLook w:val="04A0" w:firstRow="1" w:lastRow="0" w:firstColumn="1" w:lastColumn="0" w:noHBand="0" w:noVBand="1"/>
        </w:tblPrEx>
        <w:tc>
          <w:tcPr>
            <w:tcW w:w="981" w:type="dxa"/>
            <w:gridSpan w:val="2"/>
            <w:vAlign w:val="center"/>
          </w:tcPr>
          <w:p w14:paraId="3FB4F9A2" w14:textId="6A6ED0C9" w:rsidR="001C55C0" w:rsidRPr="00991CEC" w:rsidRDefault="001C55C0" w:rsidP="00E051BD">
            <w:pPr>
              <w:jc w:val="center"/>
              <w:rPr>
                <w:rFonts w:ascii="Arial Narrow" w:hAnsi="Arial Narrow"/>
                <w:sz w:val="20"/>
                <w:szCs w:val="20"/>
              </w:rPr>
            </w:pPr>
          </w:p>
        </w:tc>
        <w:tc>
          <w:tcPr>
            <w:tcW w:w="8086" w:type="dxa"/>
            <w:gridSpan w:val="6"/>
          </w:tcPr>
          <w:p w14:paraId="1CD99552" w14:textId="77777777" w:rsidR="001C55C0" w:rsidRPr="00991CEC" w:rsidRDefault="001C55C0" w:rsidP="00E051BD">
            <w:pPr>
              <w:rPr>
                <w:rFonts w:ascii="Arial Narrow" w:hAnsi="Arial Narrow"/>
                <w:b/>
                <w:bCs/>
                <w:sz w:val="20"/>
                <w:szCs w:val="20"/>
              </w:rPr>
            </w:pPr>
            <w:r w:rsidRPr="00991CEC">
              <w:rPr>
                <w:rFonts w:ascii="Arial Narrow" w:hAnsi="Arial Narrow"/>
                <w:b/>
                <w:bCs/>
                <w:sz w:val="20"/>
                <w:szCs w:val="20"/>
              </w:rPr>
              <w:t>Clinical criteria:</w:t>
            </w:r>
          </w:p>
        </w:tc>
      </w:tr>
      <w:tr w:rsidR="001C55C0" w:rsidRPr="00120A12" w14:paraId="3EAD865B" w14:textId="77777777" w:rsidTr="00E051BD">
        <w:tblPrEx>
          <w:tblCellMar>
            <w:top w:w="15" w:type="dxa"/>
            <w:left w:w="15" w:type="dxa"/>
            <w:bottom w:w="15" w:type="dxa"/>
            <w:right w:w="15" w:type="dxa"/>
          </w:tblCellMar>
          <w:tblLook w:val="04A0" w:firstRow="1" w:lastRow="0" w:firstColumn="1" w:lastColumn="0" w:noHBand="0" w:noVBand="1"/>
        </w:tblPrEx>
        <w:tc>
          <w:tcPr>
            <w:tcW w:w="981" w:type="dxa"/>
            <w:gridSpan w:val="2"/>
            <w:vAlign w:val="center"/>
          </w:tcPr>
          <w:p w14:paraId="1CDDB065" w14:textId="384CAE40" w:rsidR="001C55C0" w:rsidRPr="00991CEC" w:rsidRDefault="001C55C0" w:rsidP="00E051BD">
            <w:pPr>
              <w:jc w:val="center"/>
              <w:rPr>
                <w:rFonts w:ascii="Arial Narrow" w:hAnsi="Arial Narrow"/>
                <w:sz w:val="20"/>
                <w:szCs w:val="20"/>
              </w:rPr>
            </w:pPr>
          </w:p>
        </w:tc>
        <w:tc>
          <w:tcPr>
            <w:tcW w:w="8086" w:type="dxa"/>
            <w:gridSpan w:val="6"/>
            <w:vAlign w:val="center"/>
          </w:tcPr>
          <w:p w14:paraId="7FC4DF0A" w14:textId="77777777" w:rsidR="001C55C0" w:rsidRPr="00991CEC" w:rsidRDefault="001C55C0" w:rsidP="00E051BD">
            <w:pPr>
              <w:rPr>
                <w:rFonts w:ascii="Arial Narrow" w:hAnsi="Arial Narrow"/>
                <w:sz w:val="20"/>
                <w:szCs w:val="20"/>
              </w:rPr>
            </w:pPr>
            <w:r w:rsidRPr="00991CEC">
              <w:rPr>
                <w:rFonts w:ascii="Arial Narrow" w:hAnsi="Arial Narrow"/>
                <w:sz w:val="20"/>
                <w:szCs w:val="20"/>
              </w:rPr>
              <w:t>The treatment must not exceed a lifetime maximum of 12 months therapy</w:t>
            </w:r>
          </w:p>
        </w:tc>
      </w:tr>
      <w:tr w:rsidR="001C55C0" w:rsidRPr="00120A12" w14:paraId="73B98717" w14:textId="77777777" w:rsidTr="00F57113">
        <w:tblPrEx>
          <w:tblCellMar>
            <w:top w:w="15" w:type="dxa"/>
            <w:left w:w="15" w:type="dxa"/>
            <w:bottom w:w="15" w:type="dxa"/>
            <w:right w:w="15" w:type="dxa"/>
          </w:tblCellMar>
          <w:tblLook w:val="04A0" w:firstRow="1" w:lastRow="0" w:firstColumn="1" w:lastColumn="0" w:noHBand="0" w:noVBand="1"/>
        </w:tblPrEx>
        <w:tc>
          <w:tcPr>
            <w:tcW w:w="981" w:type="dxa"/>
            <w:gridSpan w:val="2"/>
            <w:shd w:val="clear" w:color="auto" w:fill="auto"/>
            <w:vAlign w:val="center"/>
          </w:tcPr>
          <w:p w14:paraId="2208377D" w14:textId="70C5910F" w:rsidR="001C55C0" w:rsidRPr="00991CEC" w:rsidRDefault="001C55C0" w:rsidP="00E051BD">
            <w:pPr>
              <w:jc w:val="center"/>
              <w:rPr>
                <w:rFonts w:ascii="Arial Narrow" w:hAnsi="Arial Narrow"/>
                <w:strike/>
                <w:sz w:val="20"/>
                <w:szCs w:val="20"/>
              </w:rPr>
            </w:pPr>
          </w:p>
        </w:tc>
        <w:tc>
          <w:tcPr>
            <w:tcW w:w="8086" w:type="dxa"/>
            <w:gridSpan w:val="6"/>
            <w:shd w:val="clear" w:color="auto" w:fill="auto"/>
            <w:vAlign w:val="center"/>
            <w:hideMark/>
          </w:tcPr>
          <w:p w14:paraId="30457580" w14:textId="77777777" w:rsidR="001C55C0" w:rsidRPr="00991CEC" w:rsidRDefault="001C55C0" w:rsidP="00E051BD">
            <w:pPr>
              <w:rPr>
                <w:rFonts w:ascii="Arial Narrow" w:hAnsi="Arial Narrow"/>
                <w:sz w:val="20"/>
                <w:szCs w:val="20"/>
              </w:rPr>
            </w:pPr>
            <w:r w:rsidRPr="00991CEC">
              <w:rPr>
                <w:rFonts w:ascii="Arial Narrow" w:hAnsi="Arial Narrow"/>
                <w:b/>
                <w:bCs/>
                <w:sz w:val="20"/>
                <w:szCs w:val="20"/>
              </w:rPr>
              <w:t>Treatment criteria:</w:t>
            </w:r>
          </w:p>
        </w:tc>
      </w:tr>
      <w:tr w:rsidR="001C55C0" w:rsidRPr="00120A12" w14:paraId="3527E72C" w14:textId="77777777" w:rsidTr="00F57113">
        <w:tblPrEx>
          <w:tblCellMar>
            <w:top w:w="15" w:type="dxa"/>
            <w:left w:w="15" w:type="dxa"/>
            <w:bottom w:w="15" w:type="dxa"/>
            <w:right w:w="15" w:type="dxa"/>
          </w:tblCellMar>
          <w:tblLook w:val="04A0" w:firstRow="1" w:lastRow="0" w:firstColumn="1" w:lastColumn="0" w:noHBand="0" w:noVBand="1"/>
        </w:tblPrEx>
        <w:trPr>
          <w:trHeight w:val="337"/>
        </w:trPr>
        <w:tc>
          <w:tcPr>
            <w:tcW w:w="981" w:type="dxa"/>
            <w:gridSpan w:val="2"/>
            <w:shd w:val="clear" w:color="auto" w:fill="auto"/>
            <w:vAlign w:val="center"/>
          </w:tcPr>
          <w:p w14:paraId="6FDC7C37" w14:textId="665AD50C" w:rsidR="001C55C0" w:rsidRPr="00991CEC" w:rsidRDefault="001C55C0" w:rsidP="00E051BD">
            <w:pPr>
              <w:jc w:val="center"/>
              <w:rPr>
                <w:rFonts w:ascii="Arial Narrow" w:hAnsi="Arial Narrow"/>
                <w:sz w:val="20"/>
                <w:szCs w:val="20"/>
              </w:rPr>
            </w:pPr>
          </w:p>
        </w:tc>
        <w:tc>
          <w:tcPr>
            <w:tcW w:w="8086" w:type="dxa"/>
            <w:gridSpan w:val="6"/>
            <w:shd w:val="clear" w:color="auto" w:fill="auto"/>
            <w:vAlign w:val="center"/>
            <w:hideMark/>
          </w:tcPr>
          <w:p w14:paraId="789632CD" w14:textId="77777777" w:rsidR="001C55C0" w:rsidRPr="00991CEC" w:rsidRDefault="001C55C0" w:rsidP="00E051BD">
            <w:pPr>
              <w:tabs>
                <w:tab w:val="num" w:pos="720"/>
              </w:tabs>
              <w:rPr>
                <w:rFonts w:ascii="Arial Narrow" w:hAnsi="Arial Narrow" w:cs="Arial Narrow"/>
                <w:sz w:val="20"/>
                <w:szCs w:val="20"/>
              </w:rPr>
            </w:pPr>
            <w:r w:rsidRPr="00991CEC">
              <w:rPr>
                <w:rFonts w:ascii="Arial Narrow" w:hAnsi="Arial Narrow" w:cs="Arial Narrow"/>
                <w:sz w:val="20"/>
                <w:szCs w:val="20"/>
              </w:rPr>
              <w:t xml:space="preserve">Must be treated by a </w:t>
            </w:r>
            <w:r w:rsidRPr="00991CEC">
              <w:rPr>
                <w:rFonts w:ascii="Arial Narrow" w:hAnsi="Arial Narrow" w:cs="Arial Narrow"/>
                <w:i/>
                <w:iCs/>
                <w:sz w:val="20"/>
                <w:szCs w:val="20"/>
              </w:rPr>
              <w:t xml:space="preserve">medical practitioner identifying as either: </w:t>
            </w:r>
            <w:r w:rsidRPr="00991CEC">
              <w:rPr>
                <w:rFonts w:ascii="Arial Narrow" w:hAnsi="Arial Narrow" w:cs="Arial Narrow"/>
                <w:strike/>
                <w:sz w:val="20"/>
                <w:szCs w:val="20"/>
              </w:rPr>
              <w:t>Specialist, OR</w:t>
            </w:r>
            <w:r w:rsidRPr="00991CEC">
              <w:rPr>
                <w:rFonts w:ascii="Arial Narrow" w:hAnsi="Arial Narrow" w:cs="Arial Narrow"/>
                <w:sz w:val="20"/>
                <w:szCs w:val="20"/>
              </w:rPr>
              <w:t xml:space="preserve"> </w:t>
            </w:r>
            <w:r w:rsidRPr="00991CEC">
              <w:rPr>
                <w:rFonts w:ascii="Arial Narrow" w:hAnsi="Arial Narrow" w:cs="Arial Narrow"/>
                <w:strike/>
                <w:sz w:val="20"/>
                <w:szCs w:val="20"/>
              </w:rPr>
              <w:t xml:space="preserve">Must be treated by </w:t>
            </w:r>
            <w:r w:rsidRPr="00991CEC">
              <w:rPr>
                <w:rFonts w:ascii="Arial Narrow" w:hAnsi="Arial Narrow" w:cs="Arial Narrow"/>
                <w:sz w:val="20"/>
                <w:szCs w:val="20"/>
              </w:rPr>
              <w:t xml:space="preserve"> </w:t>
            </w:r>
            <w:r w:rsidRPr="00991CEC">
              <w:rPr>
                <w:rFonts w:ascii="Arial Narrow" w:hAnsi="Arial Narrow" w:cs="Arial Narrow"/>
                <w:i/>
                <w:iCs/>
                <w:sz w:val="20"/>
                <w:szCs w:val="20"/>
              </w:rPr>
              <w:t xml:space="preserve">(i) </w:t>
            </w:r>
            <w:r w:rsidRPr="00991CEC">
              <w:rPr>
                <w:rFonts w:ascii="Arial Narrow" w:hAnsi="Arial Narrow" w:cs="Arial Narrow"/>
                <w:sz w:val="20"/>
                <w:szCs w:val="20"/>
              </w:rPr>
              <w:t>a</w:t>
            </w:r>
            <w:r w:rsidRPr="00991CEC">
              <w:rPr>
                <w:rFonts w:ascii="Arial Narrow" w:hAnsi="Arial Narrow" w:cs="Arial Narrow"/>
                <w:i/>
                <w:iCs/>
                <w:sz w:val="20"/>
                <w:szCs w:val="20"/>
              </w:rPr>
              <w:t xml:space="preserve"> </w:t>
            </w:r>
            <w:r w:rsidRPr="00991CEC">
              <w:rPr>
                <w:rFonts w:ascii="Arial Narrow" w:hAnsi="Arial Narrow" w:cs="Arial Narrow"/>
                <w:sz w:val="20"/>
                <w:szCs w:val="20"/>
              </w:rPr>
              <w:t xml:space="preserve">Consultant Physician, </w:t>
            </w:r>
            <w:r w:rsidRPr="00991CEC">
              <w:rPr>
                <w:rFonts w:ascii="Arial Narrow" w:hAnsi="Arial Narrow" w:cs="Arial Narrow"/>
                <w:i/>
                <w:iCs/>
                <w:sz w:val="20"/>
                <w:szCs w:val="20"/>
              </w:rPr>
              <w:t xml:space="preserve">(ii) a General Practitioner </w:t>
            </w:r>
          </w:p>
        </w:tc>
      </w:tr>
    </w:tbl>
    <w:p w14:paraId="56DC50D5" w14:textId="77777777" w:rsidR="001C55C0" w:rsidRDefault="001C55C0" w:rsidP="001C55C0"/>
    <w:p w14:paraId="540DDC05" w14:textId="5DF49911" w:rsidR="00B029A5" w:rsidRDefault="00A558B0" w:rsidP="006215FA">
      <w:pPr>
        <w:widowControl w:val="0"/>
        <w:rPr>
          <w:rFonts w:asciiTheme="minorHAnsi" w:hAnsiTheme="minorHAnsi"/>
          <w:snapToGrid w:val="0"/>
        </w:rPr>
      </w:pPr>
      <w:r w:rsidRPr="00BB6D30">
        <w:rPr>
          <w:rFonts w:asciiTheme="minorHAnsi" w:hAnsiTheme="minorHAnsi"/>
          <w:b/>
          <w:bCs/>
          <w:i/>
          <w:szCs w:val="22"/>
        </w:rPr>
        <w:t>This restriction may be subject to further review. Should there be any changes made to the restriction the sponsor will be informed</w:t>
      </w:r>
      <w:r w:rsidRPr="007F262A">
        <w:rPr>
          <w:rFonts w:asciiTheme="minorHAnsi" w:hAnsiTheme="minorHAnsi"/>
          <w:szCs w:val="22"/>
        </w:rPr>
        <w:t>.</w:t>
      </w:r>
    </w:p>
    <w:p w14:paraId="493F813F" w14:textId="77777777" w:rsidR="00444382" w:rsidRDefault="00444382" w:rsidP="00444382">
      <w:pPr>
        <w:pStyle w:val="2-SectionHeading"/>
        <w:rPr>
          <w:bCs/>
          <w:lang w:val="en-GB"/>
        </w:rPr>
      </w:pPr>
      <w:bookmarkStart w:id="72" w:name="_Hlk112834232"/>
      <w:r w:rsidRPr="00C07617">
        <w:t>Context for Decision</w:t>
      </w:r>
    </w:p>
    <w:p w14:paraId="244E190B" w14:textId="77777777" w:rsidR="00444382" w:rsidRPr="007129F2" w:rsidRDefault="00444382" w:rsidP="00444382">
      <w:pPr>
        <w:pStyle w:val="3-BodyText"/>
        <w:ind w:firstLine="0"/>
        <w:rPr>
          <w:bCs/>
          <w:lang w:val="en-GB"/>
        </w:rPr>
      </w:pPr>
      <w:r w:rsidRPr="007129F2">
        <w:rPr>
          <w:bCs/>
          <w:lang w:val="en-GB"/>
        </w:rPr>
        <w:t xml:space="preserve">The PBAC </w:t>
      </w:r>
      <w:r w:rsidRPr="00523D08">
        <w:rPr>
          <w:lang w:val="en-GB"/>
        </w:rPr>
        <w:t>helps</w:t>
      </w:r>
      <w:r w:rsidRPr="007129F2">
        <w:rPr>
          <w:bCs/>
          <w:lang w:val="en-GB"/>
        </w:rPr>
        <w:t xml:space="preserve"> decide whether and, if so, how medicines should be subsidised through the Pharmaceutical Benefits Scheme (PBS) in Australia. It considers applications regarding the listing of medicines on the PBS and provides advice about other matters relating to the operation of the PBS in this context. A PBAC decision in relation to PBS listings does not necessarily represent a final PBAC view about the merits of the medicine or the circumstances in which it should be made available through the PBS. The PBAC welcomes applications containing new information at any time.</w:t>
      </w:r>
    </w:p>
    <w:p w14:paraId="63237597" w14:textId="77777777" w:rsidR="00444382" w:rsidRPr="00C07617" w:rsidRDefault="00444382" w:rsidP="00444382">
      <w:pPr>
        <w:pStyle w:val="2-SectionHeading"/>
        <w:rPr>
          <w:b w:val="0"/>
        </w:rPr>
      </w:pPr>
      <w:r>
        <w:t>Sponsor’s Comment</w:t>
      </w:r>
    </w:p>
    <w:bookmarkEnd w:id="72"/>
    <w:p w14:paraId="6257942F" w14:textId="496DFD21" w:rsidR="002632F7" w:rsidRPr="00523D08" w:rsidRDefault="002632F7" w:rsidP="00444382">
      <w:pPr>
        <w:pStyle w:val="3-BodyText"/>
        <w:ind w:firstLine="0"/>
        <w:rPr>
          <w:bCs/>
        </w:rPr>
      </w:pPr>
      <w:r>
        <w:t xml:space="preserve">Amgen is disappointed with this outcome and will continue to work with the PBAC to provide improved access to romosozumab. </w:t>
      </w:r>
      <w:r w:rsidR="00F13111">
        <w:t>Amgen would like to thank all of the healthcare professionals, professional societies, patient organisations and consumers for their support of the romosozumab submission.</w:t>
      </w:r>
    </w:p>
    <w:p w14:paraId="263BEFCE" w14:textId="06B1A34F" w:rsidR="00972AAC" w:rsidRDefault="00972AAC">
      <w:pPr>
        <w:jc w:val="left"/>
        <w:rPr>
          <w:rFonts w:asciiTheme="minorHAnsi" w:eastAsiaTheme="majorEastAsia" w:hAnsiTheme="minorHAnsi" w:cstheme="majorBidi"/>
          <w:b/>
          <w:spacing w:val="5"/>
          <w:kern w:val="28"/>
          <w:sz w:val="32"/>
          <w:szCs w:val="32"/>
        </w:rPr>
      </w:pPr>
    </w:p>
    <w:sectPr w:rsidR="00972AAC" w:rsidSect="00540BA2">
      <w:type w:val="continuous"/>
      <w:pgSz w:w="11907" w:h="16840" w:code="9"/>
      <w:pgMar w:top="1440" w:right="1440" w:bottom="1440" w:left="1440" w:header="1440" w:footer="1440"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13443CE" w14:textId="77777777" w:rsidR="00D37222" w:rsidRDefault="00D37222" w:rsidP="00124A51">
      <w:r>
        <w:separator/>
      </w:r>
    </w:p>
    <w:p w14:paraId="7D1A2B3F" w14:textId="77777777" w:rsidR="00D37222" w:rsidRDefault="00D37222"/>
  </w:endnote>
  <w:endnote w:type="continuationSeparator" w:id="0">
    <w:p w14:paraId="652BAC6A" w14:textId="77777777" w:rsidR="00D37222" w:rsidRDefault="00D37222" w:rsidP="00124A51">
      <w:r>
        <w:continuationSeparator/>
      </w:r>
    </w:p>
    <w:p w14:paraId="5782466F" w14:textId="77777777" w:rsidR="00D37222" w:rsidRDefault="00D37222"/>
  </w:endnote>
  <w:endnote w:type="continuationNotice" w:id="1">
    <w:p w14:paraId="71C94332" w14:textId="77777777" w:rsidR="00D37222" w:rsidRDefault="00D3722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0EC794" w14:textId="77777777" w:rsidR="009A7DC1" w:rsidRDefault="009A7DC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6D6631" w14:textId="77777777" w:rsidR="00E051BD" w:rsidRDefault="00E051BD">
    <w:pPr>
      <w:pStyle w:val="Footer"/>
      <w:jc w:val="center"/>
    </w:pPr>
  </w:p>
  <w:sdt>
    <w:sdtPr>
      <w:id w:val="-1206319856"/>
      <w:docPartObj>
        <w:docPartGallery w:val="Page Numbers (Bottom of Page)"/>
        <w:docPartUnique/>
      </w:docPartObj>
    </w:sdtPr>
    <w:sdtEndPr>
      <w:rPr>
        <w:noProof/>
      </w:rPr>
    </w:sdtEndPr>
    <w:sdtContent>
      <w:p w14:paraId="37484CD3" w14:textId="10597945" w:rsidR="00E051BD" w:rsidRPr="007C1CD9" w:rsidRDefault="00E051BD" w:rsidP="005E2E4D">
        <w:pPr>
          <w:pStyle w:val="Footer"/>
          <w:jc w:val="center"/>
        </w:pPr>
        <w:r w:rsidRPr="005E2E4D">
          <w:rPr>
            <w:b/>
            <w:bCs/>
          </w:rPr>
          <w:fldChar w:fldCharType="begin"/>
        </w:r>
        <w:r w:rsidRPr="005E2E4D">
          <w:rPr>
            <w:b/>
            <w:bCs/>
          </w:rPr>
          <w:instrText xml:space="preserve"> PAGE   \* MERGEFORMAT </w:instrText>
        </w:r>
        <w:r w:rsidRPr="005E2E4D">
          <w:rPr>
            <w:b/>
            <w:bCs/>
          </w:rPr>
          <w:fldChar w:fldCharType="separate"/>
        </w:r>
        <w:r w:rsidRPr="005E2E4D">
          <w:rPr>
            <w:b/>
            <w:bCs/>
            <w:noProof/>
          </w:rPr>
          <w:t>2</w:t>
        </w:r>
        <w:r w:rsidRPr="005E2E4D">
          <w:rPr>
            <w:b/>
            <w:bCs/>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9F541A" w14:textId="77777777" w:rsidR="009A7DC1" w:rsidRDefault="009A7DC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0FB4A4F" w14:textId="77777777" w:rsidR="00D37222" w:rsidRDefault="00D37222" w:rsidP="00124A51">
      <w:r>
        <w:separator/>
      </w:r>
    </w:p>
    <w:p w14:paraId="035E9F21" w14:textId="77777777" w:rsidR="00D37222" w:rsidRDefault="00D37222"/>
  </w:footnote>
  <w:footnote w:type="continuationSeparator" w:id="0">
    <w:p w14:paraId="3270FADC" w14:textId="77777777" w:rsidR="00D37222" w:rsidRDefault="00D37222" w:rsidP="00124A51">
      <w:r>
        <w:continuationSeparator/>
      </w:r>
    </w:p>
    <w:p w14:paraId="33548A5C" w14:textId="77777777" w:rsidR="00D37222" w:rsidRDefault="00D37222"/>
  </w:footnote>
  <w:footnote w:type="continuationNotice" w:id="1">
    <w:p w14:paraId="166EDF0C" w14:textId="77777777" w:rsidR="00D37222" w:rsidRDefault="00D37222"/>
  </w:footnote>
  <w:footnote w:id="2">
    <w:p w14:paraId="38B8FD99" w14:textId="24F20FDC" w:rsidR="00E051BD" w:rsidRDefault="00E051BD">
      <w:pPr>
        <w:pStyle w:val="FootnoteText"/>
      </w:pPr>
      <w:r>
        <w:rPr>
          <w:rStyle w:val="FootnoteReference"/>
        </w:rPr>
        <w:footnoteRef/>
      </w:r>
      <w:r>
        <w:t xml:space="preserve"> National Institute for Health and Care Excellence, (2022) Romosozumab for treating severe osteoporosis. Technology appraisal guidance. www.nice.org.uk/guidance/ta791</w:t>
      </w:r>
    </w:p>
  </w:footnote>
  <w:footnote w:id="3">
    <w:p w14:paraId="3E022D19" w14:textId="0C63B690" w:rsidR="00E051BD" w:rsidRPr="00F22120" w:rsidRDefault="00E051BD">
      <w:pPr>
        <w:pStyle w:val="FootnoteText"/>
        <w:rPr>
          <w:i/>
          <w:iCs/>
        </w:rPr>
      </w:pPr>
      <w:r w:rsidRPr="00F22120">
        <w:rPr>
          <w:rStyle w:val="FootnoteReference"/>
          <w:i/>
          <w:iCs/>
        </w:rPr>
        <w:footnoteRef/>
      </w:r>
      <w:r w:rsidRPr="00F22120">
        <w:rPr>
          <w:i/>
          <w:iCs/>
        </w:rPr>
        <w:t xml:space="preserve"> </w:t>
      </w:r>
      <w:r w:rsidRPr="00227950">
        <w:t>Persistence estimates were based on patients having at least 1 anti-resorptive script after stopping teriparatide, and subsequent anti-resorptive scripts within allowed treatment gaps.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A344D6" w14:textId="77777777" w:rsidR="009A7DC1" w:rsidRDefault="009A7DC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92F7DC" w14:textId="1524A253" w:rsidR="00E051BD" w:rsidRPr="005E2E4D" w:rsidRDefault="00EA1790" w:rsidP="005E2E4D">
    <w:pPr>
      <w:keepNext/>
      <w:tabs>
        <w:tab w:val="center" w:pos="4153"/>
        <w:tab w:val="right" w:pos="8306"/>
      </w:tabs>
      <w:ind w:left="360"/>
      <w:jc w:val="center"/>
      <w:rPr>
        <w:rFonts w:asciiTheme="minorHAnsi" w:hAnsiTheme="minorHAnsi"/>
        <w:i/>
        <w:color w:val="808080"/>
        <w:lang w:eastAsia="en-US"/>
      </w:rPr>
    </w:pPr>
    <w:bookmarkStart w:id="58" w:name="_Hlk76375146"/>
    <w:r>
      <w:rPr>
        <w:rFonts w:asciiTheme="minorHAnsi" w:hAnsiTheme="minorHAnsi"/>
        <w:i/>
        <w:color w:val="808080"/>
        <w:lang w:eastAsia="en-US"/>
      </w:rPr>
      <w:t>Public Summary Document</w:t>
    </w:r>
    <w:r w:rsidR="00E051BD" w:rsidRPr="005E2E4D">
      <w:rPr>
        <w:rFonts w:asciiTheme="minorHAnsi" w:hAnsiTheme="minorHAnsi"/>
        <w:i/>
        <w:color w:val="808080"/>
        <w:lang w:eastAsia="en-US"/>
      </w:rPr>
      <w:t xml:space="preserve"> –</w:t>
    </w:r>
    <w:r w:rsidR="00E051BD">
      <w:rPr>
        <w:rFonts w:asciiTheme="minorHAnsi" w:hAnsiTheme="minorHAnsi"/>
        <w:i/>
        <w:color w:val="808080"/>
        <w:lang w:eastAsia="en-US"/>
      </w:rPr>
      <w:t xml:space="preserve"> July</w:t>
    </w:r>
    <w:r w:rsidR="00E051BD" w:rsidRPr="005E2E4D">
      <w:rPr>
        <w:rFonts w:asciiTheme="minorHAnsi" w:hAnsiTheme="minorHAnsi"/>
        <w:i/>
        <w:color w:val="808080"/>
        <w:lang w:eastAsia="en-US"/>
      </w:rPr>
      <w:t xml:space="preserve"> 2022 PBAC Meeting</w:t>
    </w:r>
  </w:p>
  <w:bookmarkEnd w:id="58"/>
  <w:p w14:paraId="03AF943B" w14:textId="77777777" w:rsidR="00E051BD" w:rsidRPr="008C7ECB" w:rsidRDefault="00E051BD"/>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9D3155" w14:textId="77777777" w:rsidR="009A7DC1" w:rsidRDefault="009A7DC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CE39633"/>
    <w:multiLevelType w:val="hybridMultilevel"/>
    <w:tmpl w:val="8E2F1F15"/>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FFFFFF89"/>
    <w:multiLevelType w:val="singleLevel"/>
    <w:tmpl w:val="84EE4700"/>
    <w:lvl w:ilvl="0">
      <w:start w:val="1"/>
      <w:numFmt w:val="bullet"/>
      <w:pStyle w:val="ListBullet"/>
      <w:lvlText w:val=""/>
      <w:lvlJc w:val="left"/>
      <w:pPr>
        <w:tabs>
          <w:tab w:val="num" w:pos="360"/>
        </w:tabs>
        <w:ind w:left="360" w:hanging="360"/>
      </w:pPr>
      <w:rPr>
        <w:rFonts w:ascii="Symbol" w:hAnsi="Symbol" w:hint="default"/>
      </w:rPr>
    </w:lvl>
  </w:abstractNum>
  <w:abstractNum w:abstractNumId="2" w15:restartNumberingAfterBreak="0">
    <w:nsid w:val="045563A2"/>
    <w:multiLevelType w:val="hybridMultilevel"/>
    <w:tmpl w:val="21342F44"/>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3" w15:restartNumberingAfterBreak="0">
    <w:nsid w:val="141C2AE4"/>
    <w:multiLevelType w:val="hybridMultilevel"/>
    <w:tmpl w:val="4E50BE20"/>
    <w:lvl w:ilvl="0" w:tplc="0C090001">
      <w:start w:val="1"/>
      <w:numFmt w:val="bullet"/>
      <w:lvlText w:val=""/>
      <w:lvlJc w:val="left"/>
      <w:pPr>
        <w:ind w:left="1077" w:hanging="360"/>
      </w:pPr>
      <w:rPr>
        <w:rFonts w:ascii="Symbol" w:hAnsi="Symbol" w:hint="default"/>
      </w:rPr>
    </w:lvl>
    <w:lvl w:ilvl="1" w:tplc="0C090003" w:tentative="1">
      <w:start w:val="1"/>
      <w:numFmt w:val="bullet"/>
      <w:lvlText w:val="o"/>
      <w:lvlJc w:val="left"/>
      <w:pPr>
        <w:ind w:left="1797" w:hanging="360"/>
      </w:pPr>
      <w:rPr>
        <w:rFonts w:ascii="Courier New" w:hAnsi="Courier New" w:cs="Courier New" w:hint="default"/>
      </w:rPr>
    </w:lvl>
    <w:lvl w:ilvl="2" w:tplc="0C090005" w:tentative="1">
      <w:start w:val="1"/>
      <w:numFmt w:val="bullet"/>
      <w:lvlText w:val=""/>
      <w:lvlJc w:val="left"/>
      <w:pPr>
        <w:ind w:left="2517" w:hanging="360"/>
      </w:pPr>
      <w:rPr>
        <w:rFonts w:ascii="Wingdings" w:hAnsi="Wingdings" w:hint="default"/>
      </w:rPr>
    </w:lvl>
    <w:lvl w:ilvl="3" w:tplc="0C090001" w:tentative="1">
      <w:start w:val="1"/>
      <w:numFmt w:val="bullet"/>
      <w:lvlText w:val=""/>
      <w:lvlJc w:val="left"/>
      <w:pPr>
        <w:ind w:left="3237" w:hanging="360"/>
      </w:pPr>
      <w:rPr>
        <w:rFonts w:ascii="Symbol" w:hAnsi="Symbol" w:hint="default"/>
      </w:rPr>
    </w:lvl>
    <w:lvl w:ilvl="4" w:tplc="0C090003" w:tentative="1">
      <w:start w:val="1"/>
      <w:numFmt w:val="bullet"/>
      <w:lvlText w:val="o"/>
      <w:lvlJc w:val="left"/>
      <w:pPr>
        <w:ind w:left="3957" w:hanging="360"/>
      </w:pPr>
      <w:rPr>
        <w:rFonts w:ascii="Courier New" w:hAnsi="Courier New" w:cs="Courier New" w:hint="default"/>
      </w:rPr>
    </w:lvl>
    <w:lvl w:ilvl="5" w:tplc="0C090005" w:tentative="1">
      <w:start w:val="1"/>
      <w:numFmt w:val="bullet"/>
      <w:lvlText w:val=""/>
      <w:lvlJc w:val="left"/>
      <w:pPr>
        <w:ind w:left="4677" w:hanging="360"/>
      </w:pPr>
      <w:rPr>
        <w:rFonts w:ascii="Wingdings" w:hAnsi="Wingdings" w:hint="default"/>
      </w:rPr>
    </w:lvl>
    <w:lvl w:ilvl="6" w:tplc="0C090001" w:tentative="1">
      <w:start w:val="1"/>
      <w:numFmt w:val="bullet"/>
      <w:lvlText w:val=""/>
      <w:lvlJc w:val="left"/>
      <w:pPr>
        <w:ind w:left="5397" w:hanging="360"/>
      </w:pPr>
      <w:rPr>
        <w:rFonts w:ascii="Symbol" w:hAnsi="Symbol" w:hint="default"/>
      </w:rPr>
    </w:lvl>
    <w:lvl w:ilvl="7" w:tplc="0C090003" w:tentative="1">
      <w:start w:val="1"/>
      <w:numFmt w:val="bullet"/>
      <w:lvlText w:val="o"/>
      <w:lvlJc w:val="left"/>
      <w:pPr>
        <w:ind w:left="6117" w:hanging="360"/>
      </w:pPr>
      <w:rPr>
        <w:rFonts w:ascii="Courier New" w:hAnsi="Courier New" w:cs="Courier New" w:hint="default"/>
      </w:rPr>
    </w:lvl>
    <w:lvl w:ilvl="8" w:tplc="0C090005" w:tentative="1">
      <w:start w:val="1"/>
      <w:numFmt w:val="bullet"/>
      <w:lvlText w:val=""/>
      <w:lvlJc w:val="left"/>
      <w:pPr>
        <w:ind w:left="6837" w:hanging="360"/>
      </w:pPr>
      <w:rPr>
        <w:rFonts w:ascii="Wingdings" w:hAnsi="Wingdings" w:hint="default"/>
      </w:rPr>
    </w:lvl>
  </w:abstractNum>
  <w:abstractNum w:abstractNumId="4" w15:restartNumberingAfterBreak="0">
    <w:nsid w:val="1DF1507A"/>
    <w:multiLevelType w:val="hybridMultilevel"/>
    <w:tmpl w:val="3F806FF4"/>
    <w:lvl w:ilvl="0" w:tplc="FFFFFFFF">
      <w:start w:val="1"/>
      <w:numFmt w:val="bullet"/>
      <w:lvlText w:val=""/>
      <w:lvlJc w:val="left"/>
      <w:pPr>
        <w:ind w:left="720" w:hanging="360"/>
      </w:pPr>
      <w:rPr>
        <w:rFonts w:ascii="Symbol" w:hAnsi="Symbol" w:hint="default"/>
      </w:rPr>
    </w:lvl>
    <w:lvl w:ilvl="1" w:tplc="B3FAF3BC">
      <w:start w:val="1"/>
      <w:numFmt w:val="bullet"/>
      <w:lvlText w:val="o"/>
      <w:lvlJc w:val="left"/>
      <w:pPr>
        <w:ind w:left="907" w:hanging="283"/>
      </w:pPr>
      <w:rPr>
        <w:rFonts w:ascii="Courier New" w:hAnsi="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 w15:restartNumberingAfterBreak="0">
    <w:nsid w:val="21811C08"/>
    <w:multiLevelType w:val="hybridMultilevel"/>
    <w:tmpl w:val="28662BBA"/>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6" w15:restartNumberingAfterBreak="0">
    <w:nsid w:val="22B53CBC"/>
    <w:multiLevelType w:val="hybridMultilevel"/>
    <w:tmpl w:val="63DC673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255A2E6B"/>
    <w:multiLevelType w:val="hybridMultilevel"/>
    <w:tmpl w:val="569C1A66"/>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8" w15:restartNumberingAfterBreak="0">
    <w:nsid w:val="2D3B5EAA"/>
    <w:multiLevelType w:val="hybridMultilevel"/>
    <w:tmpl w:val="ACB87AF4"/>
    <w:lvl w:ilvl="0" w:tplc="0C09000F">
      <w:start w:val="1"/>
      <w:numFmt w:val="decimal"/>
      <w:lvlText w:val="%1."/>
      <w:lvlJc w:val="left"/>
      <w:pPr>
        <w:ind w:left="1077" w:hanging="360"/>
      </w:pPr>
    </w:lvl>
    <w:lvl w:ilvl="1" w:tplc="0C090019" w:tentative="1">
      <w:start w:val="1"/>
      <w:numFmt w:val="lowerLetter"/>
      <w:lvlText w:val="%2."/>
      <w:lvlJc w:val="left"/>
      <w:pPr>
        <w:ind w:left="1797" w:hanging="360"/>
      </w:pPr>
    </w:lvl>
    <w:lvl w:ilvl="2" w:tplc="0C09001B" w:tentative="1">
      <w:start w:val="1"/>
      <w:numFmt w:val="lowerRoman"/>
      <w:lvlText w:val="%3."/>
      <w:lvlJc w:val="right"/>
      <w:pPr>
        <w:ind w:left="2517" w:hanging="180"/>
      </w:pPr>
    </w:lvl>
    <w:lvl w:ilvl="3" w:tplc="0C09000F" w:tentative="1">
      <w:start w:val="1"/>
      <w:numFmt w:val="decimal"/>
      <w:lvlText w:val="%4."/>
      <w:lvlJc w:val="left"/>
      <w:pPr>
        <w:ind w:left="3237" w:hanging="360"/>
      </w:pPr>
    </w:lvl>
    <w:lvl w:ilvl="4" w:tplc="0C090019" w:tentative="1">
      <w:start w:val="1"/>
      <w:numFmt w:val="lowerLetter"/>
      <w:lvlText w:val="%5."/>
      <w:lvlJc w:val="left"/>
      <w:pPr>
        <w:ind w:left="3957" w:hanging="360"/>
      </w:pPr>
    </w:lvl>
    <w:lvl w:ilvl="5" w:tplc="0C09001B" w:tentative="1">
      <w:start w:val="1"/>
      <w:numFmt w:val="lowerRoman"/>
      <w:lvlText w:val="%6."/>
      <w:lvlJc w:val="right"/>
      <w:pPr>
        <w:ind w:left="4677" w:hanging="180"/>
      </w:pPr>
    </w:lvl>
    <w:lvl w:ilvl="6" w:tplc="0C09000F" w:tentative="1">
      <w:start w:val="1"/>
      <w:numFmt w:val="decimal"/>
      <w:lvlText w:val="%7."/>
      <w:lvlJc w:val="left"/>
      <w:pPr>
        <w:ind w:left="5397" w:hanging="360"/>
      </w:pPr>
    </w:lvl>
    <w:lvl w:ilvl="7" w:tplc="0C090019" w:tentative="1">
      <w:start w:val="1"/>
      <w:numFmt w:val="lowerLetter"/>
      <w:lvlText w:val="%8."/>
      <w:lvlJc w:val="left"/>
      <w:pPr>
        <w:ind w:left="6117" w:hanging="360"/>
      </w:pPr>
    </w:lvl>
    <w:lvl w:ilvl="8" w:tplc="0C09001B" w:tentative="1">
      <w:start w:val="1"/>
      <w:numFmt w:val="lowerRoman"/>
      <w:lvlText w:val="%9."/>
      <w:lvlJc w:val="right"/>
      <w:pPr>
        <w:ind w:left="6837" w:hanging="180"/>
      </w:pPr>
    </w:lvl>
  </w:abstractNum>
  <w:abstractNum w:abstractNumId="9" w15:restartNumberingAfterBreak="0">
    <w:nsid w:val="2F377CBC"/>
    <w:multiLevelType w:val="hybridMultilevel"/>
    <w:tmpl w:val="38CEC0F0"/>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0" w15:restartNumberingAfterBreak="0">
    <w:nsid w:val="30C81C84"/>
    <w:multiLevelType w:val="hybridMultilevel"/>
    <w:tmpl w:val="369C827E"/>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1" w15:restartNumberingAfterBreak="0">
    <w:nsid w:val="44442297"/>
    <w:multiLevelType w:val="hybridMultilevel"/>
    <w:tmpl w:val="E6FE4E00"/>
    <w:lvl w:ilvl="0" w:tplc="C324F4FC">
      <w:start w:val="1"/>
      <w:numFmt w:val="bullet"/>
      <w:pStyle w:val="Bulletpoints"/>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3011D4D"/>
    <w:multiLevelType w:val="hybridMultilevel"/>
    <w:tmpl w:val="97D06DF8"/>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3" w15:restartNumberingAfterBreak="0">
    <w:nsid w:val="582F57C9"/>
    <w:multiLevelType w:val="hybridMultilevel"/>
    <w:tmpl w:val="3C12C750"/>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4" w15:restartNumberingAfterBreak="0">
    <w:nsid w:val="5A76300F"/>
    <w:multiLevelType w:val="hybridMultilevel"/>
    <w:tmpl w:val="66D45F42"/>
    <w:lvl w:ilvl="0" w:tplc="0246780A">
      <w:start w:val="1"/>
      <w:numFmt w:val="bullet"/>
      <w:lvlText w:val=""/>
      <w:lvlJc w:val="left"/>
      <w:pPr>
        <w:tabs>
          <w:tab w:val="num" w:pos="357"/>
        </w:tabs>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start w:val="1"/>
      <w:numFmt w:val="bullet"/>
      <w:pStyle w:val="ListBulletlvl3"/>
      <w:lvlText w:val=""/>
      <w:lvlJc w:val="left"/>
      <w:pPr>
        <w:ind w:left="2160" w:hanging="360"/>
      </w:pPr>
      <w:rPr>
        <w:rFonts w:ascii="Wingdings" w:hAnsi="Wingdings" w:hint="default"/>
      </w:rPr>
    </w:lvl>
    <w:lvl w:ilvl="3" w:tplc="04090001">
      <w:start w:val="1"/>
      <w:numFmt w:val="bullet"/>
      <w:pStyle w:val="ListBulletlvl4"/>
      <w:lvlText w:val=""/>
      <w:lvlJc w:val="left"/>
      <w:pPr>
        <w:ind w:left="2880" w:hanging="360"/>
      </w:pPr>
      <w:rPr>
        <w:rFonts w:ascii="Symbol" w:hAnsi="Symbol" w:hint="default"/>
      </w:rPr>
    </w:lvl>
    <w:lvl w:ilvl="4" w:tplc="04090003">
      <w:start w:val="1"/>
      <w:numFmt w:val="bullet"/>
      <w:pStyle w:val="ListBulletlvl5"/>
      <w:lvlText w:val="o"/>
      <w:lvlJc w:val="left"/>
      <w:pPr>
        <w:ind w:left="3600" w:hanging="360"/>
      </w:pPr>
      <w:rPr>
        <w:rFonts w:ascii="Courier New" w:hAnsi="Courier New" w:hint="default"/>
      </w:rPr>
    </w:lvl>
    <w:lvl w:ilvl="5" w:tplc="04090005">
      <w:start w:val="1"/>
      <w:numFmt w:val="bullet"/>
      <w:pStyle w:val="ListBulletlvl6"/>
      <w:lvlText w:val=""/>
      <w:lvlJc w:val="left"/>
      <w:pPr>
        <w:ind w:left="4320" w:hanging="360"/>
      </w:pPr>
      <w:rPr>
        <w:rFonts w:ascii="Wingdings" w:hAnsi="Wingdings" w:hint="default"/>
      </w:rPr>
    </w:lvl>
    <w:lvl w:ilvl="6" w:tplc="04090001">
      <w:start w:val="1"/>
      <w:numFmt w:val="bullet"/>
      <w:pStyle w:val="ListBulletlvl7"/>
      <w:lvlText w:val=""/>
      <w:lvlJc w:val="left"/>
      <w:pPr>
        <w:ind w:left="5040" w:hanging="360"/>
      </w:pPr>
      <w:rPr>
        <w:rFonts w:ascii="Symbol" w:hAnsi="Symbol" w:hint="default"/>
      </w:rPr>
    </w:lvl>
    <w:lvl w:ilvl="7" w:tplc="04090003">
      <w:start w:val="1"/>
      <w:numFmt w:val="bullet"/>
      <w:pStyle w:val="ListBulletlvl8"/>
      <w:lvlText w:val="o"/>
      <w:lvlJc w:val="left"/>
      <w:pPr>
        <w:ind w:left="5760" w:hanging="360"/>
      </w:pPr>
      <w:rPr>
        <w:rFonts w:ascii="Courier New" w:hAnsi="Courier New" w:hint="default"/>
      </w:rPr>
    </w:lvl>
    <w:lvl w:ilvl="8" w:tplc="04090005">
      <w:start w:val="1"/>
      <w:numFmt w:val="bullet"/>
      <w:pStyle w:val="ListBulletlvl9"/>
      <w:lvlText w:val=""/>
      <w:lvlJc w:val="left"/>
      <w:pPr>
        <w:ind w:left="6480" w:hanging="360"/>
      </w:pPr>
      <w:rPr>
        <w:rFonts w:ascii="Wingdings" w:hAnsi="Wingdings" w:hint="default"/>
      </w:rPr>
    </w:lvl>
  </w:abstractNum>
  <w:abstractNum w:abstractNumId="15" w15:restartNumberingAfterBreak="0">
    <w:nsid w:val="5B591ED9"/>
    <w:multiLevelType w:val="hybridMultilevel"/>
    <w:tmpl w:val="535E96E4"/>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6" w15:restartNumberingAfterBreak="0">
    <w:nsid w:val="5DAC5FFD"/>
    <w:multiLevelType w:val="multilevel"/>
    <w:tmpl w:val="FCFABC72"/>
    <w:lvl w:ilvl="0">
      <w:start w:val="1"/>
      <w:numFmt w:val="decimal"/>
      <w:lvlText w:val="%1"/>
      <w:lvlJc w:val="left"/>
      <w:pPr>
        <w:ind w:left="720" w:hanging="720"/>
      </w:pPr>
      <w:rPr>
        <w:rFonts w:hint="default"/>
        <w:b/>
        <w:bCs/>
      </w:rPr>
    </w:lvl>
    <w:lvl w:ilvl="1">
      <w:start w:val="1"/>
      <w:numFmt w:val="decimal"/>
      <w:lvlText w:val="%1.%2"/>
      <w:lvlJc w:val="left"/>
      <w:pPr>
        <w:ind w:left="720" w:hanging="720"/>
      </w:pPr>
      <w:rPr>
        <w:rFonts w:hint="default"/>
        <w:i w:val="0"/>
        <w:iCs/>
        <w:color w:val="auto"/>
      </w:rPr>
    </w:lvl>
    <w:lvl w:ilvl="2">
      <w:start w:val="1"/>
      <w:numFmt w:val="lowerRoman"/>
      <w:lvlText w:val="%3."/>
      <w:lvlJc w:val="right"/>
      <w:pPr>
        <w:ind w:left="2517" w:hanging="177"/>
      </w:pPr>
      <w:rPr>
        <w:rFonts w:hint="default"/>
      </w:rPr>
    </w:lvl>
    <w:lvl w:ilvl="3">
      <w:start w:val="1"/>
      <w:numFmt w:val="decimal"/>
      <w:lvlText w:val="%4."/>
      <w:lvlJc w:val="left"/>
      <w:pPr>
        <w:ind w:left="3240" w:hanging="360"/>
      </w:pPr>
      <w:rPr>
        <w:rFonts w:hint="default"/>
      </w:rPr>
    </w:lvl>
    <w:lvl w:ilvl="4">
      <w:start w:val="1"/>
      <w:numFmt w:val="lowerLetter"/>
      <w:lvlText w:val="%5."/>
      <w:lvlJc w:val="left"/>
      <w:pPr>
        <w:ind w:left="3960" w:hanging="360"/>
      </w:pPr>
      <w:rPr>
        <w:rFonts w:hint="default"/>
      </w:rPr>
    </w:lvl>
    <w:lvl w:ilvl="5">
      <w:start w:val="1"/>
      <w:numFmt w:val="lowerRoman"/>
      <w:lvlText w:val="%6."/>
      <w:lvlJc w:val="right"/>
      <w:pPr>
        <w:ind w:left="4680" w:hanging="180"/>
      </w:pPr>
      <w:rPr>
        <w:rFonts w:hint="default"/>
      </w:rPr>
    </w:lvl>
    <w:lvl w:ilvl="6">
      <w:start w:val="1"/>
      <w:numFmt w:val="decimal"/>
      <w:lvlText w:val="%7."/>
      <w:lvlJc w:val="left"/>
      <w:pPr>
        <w:ind w:left="5400" w:hanging="360"/>
      </w:pPr>
      <w:rPr>
        <w:rFonts w:hint="default"/>
      </w:rPr>
    </w:lvl>
    <w:lvl w:ilvl="7">
      <w:start w:val="1"/>
      <w:numFmt w:val="lowerLetter"/>
      <w:lvlText w:val="%8."/>
      <w:lvlJc w:val="left"/>
      <w:pPr>
        <w:ind w:left="6120" w:hanging="360"/>
      </w:pPr>
      <w:rPr>
        <w:rFonts w:hint="default"/>
      </w:rPr>
    </w:lvl>
    <w:lvl w:ilvl="8">
      <w:start w:val="1"/>
      <w:numFmt w:val="lowerRoman"/>
      <w:lvlText w:val="%9."/>
      <w:lvlJc w:val="right"/>
      <w:pPr>
        <w:ind w:left="6840" w:hanging="180"/>
      </w:pPr>
      <w:rPr>
        <w:rFonts w:hint="default"/>
      </w:rPr>
    </w:lvl>
  </w:abstractNum>
  <w:abstractNum w:abstractNumId="17" w15:restartNumberingAfterBreak="0">
    <w:nsid w:val="6335270A"/>
    <w:multiLevelType w:val="hybridMultilevel"/>
    <w:tmpl w:val="BCD274C2"/>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8" w15:restartNumberingAfterBreak="0">
    <w:nsid w:val="689E4A70"/>
    <w:multiLevelType w:val="hybridMultilevel"/>
    <w:tmpl w:val="DF545BB4"/>
    <w:lvl w:ilvl="0" w:tplc="B3F2F0F6">
      <w:start w:val="1"/>
      <w:numFmt w:val="decimal"/>
      <w:lvlText w:val="%1."/>
      <w:lvlJc w:val="left"/>
      <w:pPr>
        <w:ind w:left="1077" w:hanging="360"/>
      </w:pPr>
      <w:rPr>
        <w:rFonts w:hint="default"/>
      </w:rPr>
    </w:lvl>
    <w:lvl w:ilvl="1" w:tplc="0C090019" w:tentative="1">
      <w:start w:val="1"/>
      <w:numFmt w:val="lowerLetter"/>
      <w:lvlText w:val="%2."/>
      <w:lvlJc w:val="left"/>
      <w:pPr>
        <w:ind w:left="1797" w:hanging="360"/>
      </w:pPr>
    </w:lvl>
    <w:lvl w:ilvl="2" w:tplc="0C09001B" w:tentative="1">
      <w:start w:val="1"/>
      <w:numFmt w:val="lowerRoman"/>
      <w:lvlText w:val="%3."/>
      <w:lvlJc w:val="right"/>
      <w:pPr>
        <w:ind w:left="2517" w:hanging="180"/>
      </w:pPr>
    </w:lvl>
    <w:lvl w:ilvl="3" w:tplc="0C09000F" w:tentative="1">
      <w:start w:val="1"/>
      <w:numFmt w:val="decimal"/>
      <w:lvlText w:val="%4."/>
      <w:lvlJc w:val="left"/>
      <w:pPr>
        <w:ind w:left="3237" w:hanging="360"/>
      </w:pPr>
    </w:lvl>
    <w:lvl w:ilvl="4" w:tplc="0C090019" w:tentative="1">
      <w:start w:val="1"/>
      <w:numFmt w:val="lowerLetter"/>
      <w:lvlText w:val="%5."/>
      <w:lvlJc w:val="left"/>
      <w:pPr>
        <w:ind w:left="3957" w:hanging="360"/>
      </w:pPr>
    </w:lvl>
    <w:lvl w:ilvl="5" w:tplc="0C09001B" w:tentative="1">
      <w:start w:val="1"/>
      <w:numFmt w:val="lowerRoman"/>
      <w:lvlText w:val="%6."/>
      <w:lvlJc w:val="right"/>
      <w:pPr>
        <w:ind w:left="4677" w:hanging="180"/>
      </w:pPr>
    </w:lvl>
    <w:lvl w:ilvl="6" w:tplc="0C09000F" w:tentative="1">
      <w:start w:val="1"/>
      <w:numFmt w:val="decimal"/>
      <w:lvlText w:val="%7."/>
      <w:lvlJc w:val="left"/>
      <w:pPr>
        <w:ind w:left="5397" w:hanging="360"/>
      </w:pPr>
    </w:lvl>
    <w:lvl w:ilvl="7" w:tplc="0C090019" w:tentative="1">
      <w:start w:val="1"/>
      <w:numFmt w:val="lowerLetter"/>
      <w:lvlText w:val="%8."/>
      <w:lvlJc w:val="left"/>
      <w:pPr>
        <w:ind w:left="6117" w:hanging="360"/>
      </w:pPr>
    </w:lvl>
    <w:lvl w:ilvl="8" w:tplc="0C09001B" w:tentative="1">
      <w:start w:val="1"/>
      <w:numFmt w:val="lowerRoman"/>
      <w:lvlText w:val="%9."/>
      <w:lvlJc w:val="right"/>
      <w:pPr>
        <w:ind w:left="6837" w:hanging="180"/>
      </w:pPr>
    </w:lvl>
  </w:abstractNum>
  <w:abstractNum w:abstractNumId="19" w15:restartNumberingAfterBreak="0">
    <w:nsid w:val="6B187E04"/>
    <w:multiLevelType w:val="hybridMultilevel"/>
    <w:tmpl w:val="6EBA4604"/>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0" w15:restartNumberingAfterBreak="0">
    <w:nsid w:val="74512095"/>
    <w:multiLevelType w:val="hybridMultilevel"/>
    <w:tmpl w:val="A678D6C6"/>
    <w:lvl w:ilvl="0" w:tplc="0C090001">
      <w:start w:val="1"/>
      <w:numFmt w:val="bullet"/>
      <w:lvlText w:val=""/>
      <w:lvlJc w:val="left"/>
      <w:pPr>
        <w:ind w:left="1110" w:hanging="360"/>
      </w:pPr>
      <w:rPr>
        <w:rFonts w:ascii="Symbol" w:hAnsi="Symbol" w:hint="default"/>
      </w:rPr>
    </w:lvl>
    <w:lvl w:ilvl="1" w:tplc="0C090003">
      <w:start w:val="1"/>
      <w:numFmt w:val="bullet"/>
      <w:lvlText w:val="o"/>
      <w:lvlJc w:val="left"/>
      <w:pPr>
        <w:ind w:left="1830" w:hanging="360"/>
      </w:pPr>
      <w:rPr>
        <w:rFonts w:ascii="Courier New" w:hAnsi="Courier New" w:cs="Courier New" w:hint="default"/>
      </w:rPr>
    </w:lvl>
    <w:lvl w:ilvl="2" w:tplc="0C090005">
      <w:start w:val="1"/>
      <w:numFmt w:val="bullet"/>
      <w:lvlText w:val=""/>
      <w:lvlJc w:val="left"/>
      <w:pPr>
        <w:ind w:left="2550" w:hanging="360"/>
      </w:pPr>
      <w:rPr>
        <w:rFonts w:ascii="Wingdings" w:hAnsi="Wingdings" w:hint="default"/>
      </w:rPr>
    </w:lvl>
    <w:lvl w:ilvl="3" w:tplc="0C090001">
      <w:start w:val="1"/>
      <w:numFmt w:val="bullet"/>
      <w:lvlText w:val=""/>
      <w:lvlJc w:val="left"/>
      <w:pPr>
        <w:ind w:left="3270" w:hanging="360"/>
      </w:pPr>
      <w:rPr>
        <w:rFonts w:ascii="Symbol" w:hAnsi="Symbol" w:hint="default"/>
      </w:rPr>
    </w:lvl>
    <w:lvl w:ilvl="4" w:tplc="0C090003" w:tentative="1">
      <w:start w:val="1"/>
      <w:numFmt w:val="bullet"/>
      <w:lvlText w:val="o"/>
      <w:lvlJc w:val="left"/>
      <w:pPr>
        <w:ind w:left="3990" w:hanging="360"/>
      </w:pPr>
      <w:rPr>
        <w:rFonts w:ascii="Courier New" w:hAnsi="Courier New" w:cs="Courier New" w:hint="default"/>
      </w:rPr>
    </w:lvl>
    <w:lvl w:ilvl="5" w:tplc="0C090005" w:tentative="1">
      <w:start w:val="1"/>
      <w:numFmt w:val="bullet"/>
      <w:lvlText w:val=""/>
      <w:lvlJc w:val="left"/>
      <w:pPr>
        <w:ind w:left="4710" w:hanging="360"/>
      </w:pPr>
      <w:rPr>
        <w:rFonts w:ascii="Wingdings" w:hAnsi="Wingdings" w:hint="default"/>
      </w:rPr>
    </w:lvl>
    <w:lvl w:ilvl="6" w:tplc="0C090001" w:tentative="1">
      <w:start w:val="1"/>
      <w:numFmt w:val="bullet"/>
      <w:lvlText w:val=""/>
      <w:lvlJc w:val="left"/>
      <w:pPr>
        <w:ind w:left="5430" w:hanging="360"/>
      </w:pPr>
      <w:rPr>
        <w:rFonts w:ascii="Symbol" w:hAnsi="Symbol" w:hint="default"/>
      </w:rPr>
    </w:lvl>
    <w:lvl w:ilvl="7" w:tplc="0C090003" w:tentative="1">
      <w:start w:val="1"/>
      <w:numFmt w:val="bullet"/>
      <w:lvlText w:val="o"/>
      <w:lvlJc w:val="left"/>
      <w:pPr>
        <w:ind w:left="6150" w:hanging="360"/>
      </w:pPr>
      <w:rPr>
        <w:rFonts w:ascii="Courier New" w:hAnsi="Courier New" w:cs="Courier New" w:hint="default"/>
      </w:rPr>
    </w:lvl>
    <w:lvl w:ilvl="8" w:tplc="0C090005" w:tentative="1">
      <w:start w:val="1"/>
      <w:numFmt w:val="bullet"/>
      <w:lvlText w:val=""/>
      <w:lvlJc w:val="left"/>
      <w:pPr>
        <w:ind w:left="6870" w:hanging="360"/>
      </w:pPr>
      <w:rPr>
        <w:rFonts w:ascii="Wingdings" w:hAnsi="Wingdings" w:hint="default"/>
      </w:rPr>
    </w:lvl>
  </w:abstractNum>
  <w:abstractNum w:abstractNumId="21" w15:restartNumberingAfterBreak="0">
    <w:nsid w:val="784D033C"/>
    <w:multiLevelType w:val="multilevel"/>
    <w:tmpl w:val="CC92A716"/>
    <w:lvl w:ilvl="0">
      <w:start w:val="1"/>
      <w:numFmt w:val="decimal"/>
      <w:pStyle w:val="2-SectionHeading"/>
      <w:lvlText w:val="%1"/>
      <w:lvlJc w:val="left"/>
      <w:pPr>
        <w:ind w:left="720" w:hanging="720"/>
      </w:pPr>
      <w:rPr>
        <w:rFonts w:hint="default"/>
        <w:b/>
      </w:rPr>
    </w:lvl>
    <w:lvl w:ilvl="1">
      <w:start w:val="1"/>
      <w:numFmt w:val="decimal"/>
      <w:pStyle w:val="ExecSumBodyText"/>
      <w:lvlText w:val="%1.%2"/>
      <w:lvlJc w:val="left"/>
      <w:pPr>
        <w:ind w:left="720" w:hanging="720"/>
      </w:pPr>
      <w:rPr>
        <w:rFonts w:asciiTheme="minorHAnsi" w:hAnsiTheme="minorHAnsi" w:cstheme="minorHAnsi" w:hint="default"/>
        <w:b w:val="0"/>
        <w:bCs w:val="0"/>
        <w:i w:val="0"/>
        <w:iCs w:val="0"/>
        <w:caps w:val="0"/>
        <w:smallCaps w:val="0"/>
        <w:strike w:val="0"/>
        <w:dstrike w:val="0"/>
        <w:outline w:val="0"/>
        <w:shadow w:val="0"/>
        <w:emboss w:val="0"/>
        <w:imprint w:val="0"/>
        <w:noProof w:val="0"/>
        <w:vanish w:val="0"/>
        <w:color w:val="auto"/>
        <w:spacing w:val="0"/>
        <w:kern w:val="0"/>
        <w:position w:val="0"/>
        <w:sz w:val="24"/>
        <w:szCs w:val="24"/>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num w:numId="1">
    <w:abstractNumId w:val="21"/>
  </w:num>
  <w:num w:numId="2">
    <w:abstractNumId w:val="11"/>
  </w:num>
  <w:num w:numId="3">
    <w:abstractNumId w:val="1"/>
  </w:num>
  <w:num w:numId="4">
    <w:abstractNumId w:val="21"/>
  </w:num>
  <w:num w:numId="5">
    <w:abstractNumId w:val="14"/>
  </w:num>
  <w:num w:numId="6">
    <w:abstractNumId w:val="13"/>
  </w:num>
  <w:num w:numId="7">
    <w:abstractNumId w:val="20"/>
  </w:num>
  <w:num w:numId="8">
    <w:abstractNumId w:val="5"/>
  </w:num>
  <w:num w:numId="9">
    <w:abstractNumId w:val="17"/>
  </w:num>
  <w:num w:numId="10">
    <w:abstractNumId w:val="2"/>
  </w:num>
  <w:num w:numId="11">
    <w:abstractNumId w:val="7"/>
  </w:num>
  <w:num w:numId="12">
    <w:abstractNumId w:val="10"/>
  </w:num>
  <w:num w:numId="13">
    <w:abstractNumId w:val="12"/>
  </w:num>
  <w:num w:numId="14">
    <w:abstractNumId w:val="9"/>
  </w:num>
  <w:num w:numId="15">
    <w:abstractNumId w:val="4"/>
  </w:num>
  <w:num w:numId="16">
    <w:abstractNumId w:val="15"/>
  </w:num>
  <w:num w:numId="17">
    <w:abstractNumId w:val="8"/>
  </w:num>
  <w:num w:numId="18">
    <w:abstractNumId w:val="3"/>
  </w:num>
  <w:num w:numId="19">
    <w:abstractNumId w:val="18"/>
  </w:num>
  <w:num w:numId="20">
    <w:abstractNumId w:val="21"/>
  </w:num>
  <w:num w:numId="21">
    <w:abstractNumId w:val="21"/>
  </w:num>
  <w:num w:numId="22">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1"/>
  </w:num>
  <w:num w:numId="24">
    <w:abstractNumId w:val="21"/>
  </w:num>
  <w:num w:numId="25">
    <w:abstractNumId w:val="19"/>
  </w:num>
  <w:num w:numId="26">
    <w:abstractNumId w:val="0"/>
  </w:num>
  <w:num w:numId="27">
    <w:abstractNumId w:val="21"/>
  </w:num>
  <w:num w:numId="28">
    <w:abstractNumId w:val="21"/>
  </w:num>
  <w:num w:numId="29">
    <w:abstractNumId w:val="16"/>
  </w:num>
  <w:num w:numId="30">
    <w:abstractNumId w:val="21"/>
  </w:num>
  <w:num w:numId="31">
    <w:abstractNumId w:val="21"/>
  </w:num>
  <w:num w:numId="32">
    <w:abstractNumId w:val="6"/>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removePersonalInformation/>
  <w:removeDateAndTime/>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oNotTrackFormatting/>
  <w:defaultTabStop w:val="720"/>
  <w:characterSpacingControl w:val="doNotCompress"/>
  <w:hdrShapeDefaults>
    <o:shapedefaults v:ext="edit" spidmax="1228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65E79"/>
    <w:rsid w:val="000001AA"/>
    <w:rsid w:val="00000790"/>
    <w:rsid w:val="00000829"/>
    <w:rsid w:val="000009E5"/>
    <w:rsid w:val="00000C85"/>
    <w:rsid w:val="00000E04"/>
    <w:rsid w:val="00001046"/>
    <w:rsid w:val="0000110B"/>
    <w:rsid w:val="00001495"/>
    <w:rsid w:val="000014E5"/>
    <w:rsid w:val="000014F1"/>
    <w:rsid w:val="00001574"/>
    <w:rsid w:val="000015BF"/>
    <w:rsid w:val="00001759"/>
    <w:rsid w:val="00002488"/>
    <w:rsid w:val="00002590"/>
    <w:rsid w:val="000025D1"/>
    <w:rsid w:val="000028C0"/>
    <w:rsid w:val="00002E32"/>
    <w:rsid w:val="00003499"/>
    <w:rsid w:val="000038E5"/>
    <w:rsid w:val="000039B7"/>
    <w:rsid w:val="00003C6E"/>
    <w:rsid w:val="00003E92"/>
    <w:rsid w:val="00003FDF"/>
    <w:rsid w:val="000040A6"/>
    <w:rsid w:val="00004930"/>
    <w:rsid w:val="00005EBA"/>
    <w:rsid w:val="00005F61"/>
    <w:rsid w:val="0000638E"/>
    <w:rsid w:val="0000639A"/>
    <w:rsid w:val="0000663E"/>
    <w:rsid w:val="00006723"/>
    <w:rsid w:val="000067B0"/>
    <w:rsid w:val="00006D0A"/>
    <w:rsid w:val="000073D9"/>
    <w:rsid w:val="0000781F"/>
    <w:rsid w:val="00007A0B"/>
    <w:rsid w:val="00007DEE"/>
    <w:rsid w:val="00010235"/>
    <w:rsid w:val="0001025E"/>
    <w:rsid w:val="00010704"/>
    <w:rsid w:val="00010792"/>
    <w:rsid w:val="0001086F"/>
    <w:rsid w:val="000109BC"/>
    <w:rsid w:val="00010DE5"/>
    <w:rsid w:val="00011369"/>
    <w:rsid w:val="0001173F"/>
    <w:rsid w:val="0001196E"/>
    <w:rsid w:val="00012134"/>
    <w:rsid w:val="0001219D"/>
    <w:rsid w:val="00012328"/>
    <w:rsid w:val="0001232E"/>
    <w:rsid w:val="00012937"/>
    <w:rsid w:val="0001298A"/>
    <w:rsid w:val="00012B31"/>
    <w:rsid w:val="00012E3D"/>
    <w:rsid w:val="00013247"/>
    <w:rsid w:val="000134ED"/>
    <w:rsid w:val="00013523"/>
    <w:rsid w:val="000135E3"/>
    <w:rsid w:val="00013670"/>
    <w:rsid w:val="000138BB"/>
    <w:rsid w:val="0001459C"/>
    <w:rsid w:val="00015039"/>
    <w:rsid w:val="00015364"/>
    <w:rsid w:val="00015886"/>
    <w:rsid w:val="0001623E"/>
    <w:rsid w:val="000162EF"/>
    <w:rsid w:val="00016309"/>
    <w:rsid w:val="00016A3C"/>
    <w:rsid w:val="00016A98"/>
    <w:rsid w:val="00016BD8"/>
    <w:rsid w:val="00017043"/>
    <w:rsid w:val="00017336"/>
    <w:rsid w:val="00017C4D"/>
    <w:rsid w:val="00017FD4"/>
    <w:rsid w:val="0002050F"/>
    <w:rsid w:val="000207C9"/>
    <w:rsid w:val="00020D82"/>
    <w:rsid w:val="00021188"/>
    <w:rsid w:val="00021559"/>
    <w:rsid w:val="0002188E"/>
    <w:rsid w:val="00021E0E"/>
    <w:rsid w:val="00022128"/>
    <w:rsid w:val="0002217B"/>
    <w:rsid w:val="0002225F"/>
    <w:rsid w:val="00022926"/>
    <w:rsid w:val="00022A01"/>
    <w:rsid w:val="00022A54"/>
    <w:rsid w:val="00022B17"/>
    <w:rsid w:val="00022E1F"/>
    <w:rsid w:val="00022E45"/>
    <w:rsid w:val="0002336A"/>
    <w:rsid w:val="0002349F"/>
    <w:rsid w:val="00023763"/>
    <w:rsid w:val="00023913"/>
    <w:rsid w:val="000239A6"/>
    <w:rsid w:val="00023F3B"/>
    <w:rsid w:val="00024322"/>
    <w:rsid w:val="00024414"/>
    <w:rsid w:val="00024B57"/>
    <w:rsid w:val="00024D98"/>
    <w:rsid w:val="0002517A"/>
    <w:rsid w:val="00025486"/>
    <w:rsid w:val="0002551A"/>
    <w:rsid w:val="00025764"/>
    <w:rsid w:val="00025C02"/>
    <w:rsid w:val="00025C9E"/>
    <w:rsid w:val="00025E9D"/>
    <w:rsid w:val="000260AF"/>
    <w:rsid w:val="0002619F"/>
    <w:rsid w:val="0002660A"/>
    <w:rsid w:val="00026664"/>
    <w:rsid w:val="00026773"/>
    <w:rsid w:val="000271DF"/>
    <w:rsid w:val="00027323"/>
    <w:rsid w:val="0002745E"/>
    <w:rsid w:val="000274B8"/>
    <w:rsid w:val="0002753A"/>
    <w:rsid w:val="000279EF"/>
    <w:rsid w:val="00027CA1"/>
    <w:rsid w:val="00027E96"/>
    <w:rsid w:val="00030277"/>
    <w:rsid w:val="0003077C"/>
    <w:rsid w:val="000307CA"/>
    <w:rsid w:val="00030A69"/>
    <w:rsid w:val="00030C32"/>
    <w:rsid w:val="00031136"/>
    <w:rsid w:val="000316FE"/>
    <w:rsid w:val="00031896"/>
    <w:rsid w:val="00031B5D"/>
    <w:rsid w:val="000320FF"/>
    <w:rsid w:val="00032280"/>
    <w:rsid w:val="00032298"/>
    <w:rsid w:val="0003242A"/>
    <w:rsid w:val="000327DE"/>
    <w:rsid w:val="000329BF"/>
    <w:rsid w:val="00032B50"/>
    <w:rsid w:val="00033324"/>
    <w:rsid w:val="000337EA"/>
    <w:rsid w:val="00033863"/>
    <w:rsid w:val="00033D30"/>
    <w:rsid w:val="00033EEA"/>
    <w:rsid w:val="000340E5"/>
    <w:rsid w:val="000341E0"/>
    <w:rsid w:val="000345E5"/>
    <w:rsid w:val="00034692"/>
    <w:rsid w:val="00034A23"/>
    <w:rsid w:val="00034D44"/>
    <w:rsid w:val="00034EEE"/>
    <w:rsid w:val="000351B2"/>
    <w:rsid w:val="000352F4"/>
    <w:rsid w:val="0003550B"/>
    <w:rsid w:val="0003590C"/>
    <w:rsid w:val="00035B80"/>
    <w:rsid w:val="00035DC0"/>
    <w:rsid w:val="00035DE5"/>
    <w:rsid w:val="00035E4C"/>
    <w:rsid w:val="000361B0"/>
    <w:rsid w:val="00036460"/>
    <w:rsid w:val="000364E5"/>
    <w:rsid w:val="00036829"/>
    <w:rsid w:val="00036E74"/>
    <w:rsid w:val="00036ECF"/>
    <w:rsid w:val="00037052"/>
    <w:rsid w:val="0003739E"/>
    <w:rsid w:val="000377F8"/>
    <w:rsid w:val="000378F6"/>
    <w:rsid w:val="00037AF4"/>
    <w:rsid w:val="00037B1A"/>
    <w:rsid w:val="00037DB6"/>
    <w:rsid w:val="0004014A"/>
    <w:rsid w:val="0004045F"/>
    <w:rsid w:val="000406F6"/>
    <w:rsid w:val="00040895"/>
    <w:rsid w:val="00040BC3"/>
    <w:rsid w:val="00040F0A"/>
    <w:rsid w:val="000411D8"/>
    <w:rsid w:val="000414E9"/>
    <w:rsid w:val="0004155E"/>
    <w:rsid w:val="000417AE"/>
    <w:rsid w:val="0004298B"/>
    <w:rsid w:val="00042D42"/>
    <w:rsid w:val="000432DC"/>
    <w:rsid w:val="000435EE"/>
    <w:rsid w:val="0004375B"/>
    <w:rsid w:val="000438D2"/>
    <w:rsid w:val="0004392C"/>
    <w:rsid w:val="00043C37"/>
    <w:rsid w:val="000440F6"/>
    <w:rsid w:val="0004460D"/>
    <w:rsid w:val="00044C86"/>
    <w:rsid w:val="00044DF3"/>
    <w:rsid w:val="00045017"/>
    <w:rsid w:val="00045660"/>
    <w:rsid w:val="00045A2B"/>
    <w:rsid w:val="00045E45"/>
    <w:rsid w:val="0004698F"/>
    <w:rsid w:val="00046C0B"/>
    <w:rsid w:val="00046F0B"/>
    <w:rsid w:val="00047295"/>
    <w:rsid w:val="00047525"/>
    <w:rsid w:val="00047843"/>
    <w:rsid w:val="00047EF6"/>
    <w:rsid w:val="0005002E"/>
    <w:rsid w:val="000502FE"/>
    <w:rsid w:val="00050483"/>
    <w:rsid w:val="00050BC6"/>
    <w:rsid w:val="00050EC4"/>
    <w:rsid w:val="000510D2"/>
    <w:rsid w:val="000511C3"/>
    <w:rsid w:val="00051674"/>
    <w:rsid w:val="0005168A"/>
    <w:rsid w:val="000516C8"/>
    <w:rsid w:val="0005199F"/>
    <w:rsid w:val="00051CDF"/>
    <w:rsid w:val="00051F93"/>
    <w:rsid w:val="0005217C"/>
    <w:rsid w:val="000527A6"/>
    <w:rsid w:val="00052901"/>
    <w:rsid w:val="00052FBC"/>
    <w:rsid w:val="0005357A"/>
    <w:rsid w:val="000535D5"/>
    <w:rsid w:val="00053762"/>
    <w:rsid w:val="00053883"/>
    <w:rsid w:val="000539D0"/>
    <w:rsid w:val="00053ABF"/>
    <w:rsid w:val="00054154"/>
    <w:rsid w:val="0005454A"/>
    <w:rsid w:val="00054621"/>
    <w:rsid w:val="000546D7"/>
    <w:rsid w:val="00054BAD"/>
    <w:rsid w:val="00054F72"/>
    <w:rsid w:val="0005505B"/>
    <w:rsid w:val="000551F1"/>
    <w:rsid w:val="00055930"/>
    <w:rsid w:val="00056213"/>
    <w:rsid w:val="00056AAC"/>
    <w:rsid w:val="00056C29"/>
    <w:rsid w:val="00056ECF"/>
    <w:rsid w:val="00056FF0"/>
    <w:rsid w:val="000571D9"/>
    <w:rsid w:val="00057EC9"/>
    <w:rsid w:val="000600F0"/>
    <w:rsid w:val="000604DF"/>
    <w:rsid w:val="0006082E"/>
    <w:rsid w:val="000608F0"/>
    <w:rsid w:val="000611BF"/>
    <w:rsid w:val="00061632"/>
    <w:rsid w:val="0006248D"/>
    <w:rsid w:val="000627ED"/>
    <w:rsid w:val="000628A7"/>
    <w:rsid w:val="00062958"/>
    <w:rsid w:val="00062D6B"/>
    <w:rsid w:val="000630D1"/>
    <w:rsid w:val="00063111"/>
    <w:rsid w:val="00063122"/>
    <w:rsid w:val="000631DF"/>
    <w:rsid w:val="0006320F"/>
    <w:rsid w:val="0006340D"/>
    <w:rsid w:val="00063633"/>
    <w:rsid w:val="00063761"/>
    <w:rsid w:val="000638C5"/>
    <w:rsid w:val="0006397F"/>
    <w:rsid w:val="00064197"/>
    <w:rsid w:val="00064231"/>
    <w:rsid w:val="0006429F"/>
    <w:rsid w:val="0006438B"/>
    <w:rsid w:val="000643BC"/>
    <w:rsid w:val="0006441A"/>
    <w:rsid w:val="00064BDE"/>
    <w:rsid w:val="00064C95"/>
    <w:rsid w:val="00065130"/>
    <w:rsid w:val="000651A1"/>
    <w:rsid w:val="000653B5"/>
    <w:rsid w:val="00065D3F"/>
    <w:rsid w:val="00065EF5"/>
    <w:rsid w:val="00066228"/>
    <w:rsid w:val="00066360"/>
    <w:rsid w:val="00066917"/>
    <w:rsid w:val="00066AF8"/>
    <w:rsid w:val="00066F90"/>
    <w:rsid w:val="00067193"/>
    <w:rsid w:val="000675E1"/>
    <w:rsid w:val="00067D61"/>
    <w:rsid w:val="00067E73"/>
    <w:rsid w:val="0007034F"/>
    <w:rsid w:val="000705C0"/>
    <w:rsid w:val="00070BFD"/>
    <w:rsid w:val="00071248"/>
    <w:rsid w:val="00071610"/>
    <w:rsid w:val="0007162B"/>
    <w:rsid w:val="00071A57"/>
    <w:rsid w:val="00071E06"/>
    <w:rsid w:val="00071EF2"/>
    <w:rsid w:val="000720B9"/>
    <w:rsid w:val="00072330"/>
    <w:rsid w:val="00072397"/>
    <w:rsid w:val="00072B61"/>
    <w:rsid w:val="00072BB0"/>
    <w:rsid w:val="00073323"/>
    <w:rsid w:val="000737F7"/>
    <w:rsid w:val="00074165"/>
    <w:rsid w:val="00074336"/>
    <w:rsid w:val="000745FA"/>
    <w:rsid w:val="00074641"/>
    <w:rsid w:val="00075052"/>
    <w:rsid w:val="00075167"/>
    <w:rsid w:val="00075805"/>
    <w:rsid w:val="00075F35"/>
    <w:rsid w:val="00075F74"/>
    <w:rsid w:val="0007636B"/>
    <w:rsid w:val="0007646B"/>
    <w:rsid w:val="0007672F"/>
    <w:rsid w:val="00076B24"/>
    <w:rsid w:val="00076B54"/>
    <w:rsid w:val="000770B8"/>
    <w:rsid w:val="000774F0"/>
    <w:rsid w:val="00077668"/>
    <w:rsid w:val="000776F2"/>
    <w:rsid w:val="00077757"/>
    <w:rsid w:val="000778F7"/>
    <w:rsid w:val="00077938"/>
    <w:rsid w:val="0007798C"/>
    <w:rsid w:val="00077D06"/>
    <w:rsid w:val="000802C6"/>
    <w:rsid w:val="000808A7"/>
    <w:rsid w:val="00080909"/>
    <w:rsid w:val="000810DE"/>
    <w:rsid w:val="000812CA"/>
    <w:rsid w:val="000818F3"/>
    <w:rsid w:val="00081C82"/>
    <w:rsid w:val="00081E63"/>
    <w:rsid w:val="00081FAC"/>
    <w:rsid w:val="00082281"/>
    <w:rsid w:val="0008258D"/>
    <w:rsid w:val="00082845"/>
    <w:rsid w:val="00082CDC"/>
    <w:rsid w:val="00083086"/>
    <w:rsid w:val="0008339D"/>
    <w:rsid w:val="000839DD"/>
    <w:rsid w:val="00083B57"/>
    <w:rsid w:val="00083E99"/>
    <w:rsid w:val="000844B5"/>
    <w:rsid w:val="000847D2"/>
    <w:rsid w:val="00084B59"/>
    <w:rsid w:val="00084D10"/>
    <w:rsid w:val="00084F61"/>
    <w:rsid w:val="00084FA8"/>
    <w:rsid w:val="00085214"/>
    <w:rsid w:val="000856C5"/>
    <w:rsid w:val="0008581E"/>
    <w:rsid w:val="00085896"/>
    <w:rsid w:val="00085C31"/>
    <w:rsid w:val="000860CC"/>
    <w:rsid w:val="00086343"/>
    <w:rsid w:val="0008657F"/>
    <w:rsid w:val="00086620"/>
    <w:rsid w:val="0008675E"/>
    <w:rsid w:val="00086A23"/>
    <w:rsid w:val="00086A7F"/>
    <w:rsid w:val="00086C81"/>
    <w:rsid w:val="00086CF9"/>
    <w:rsid w:val="0008725D"/>
    <w:rsid w:val="0008784A"/>
    <w:rsid w:val="00087965"/>
    <w:rsid w:val="00087CE2"/>
    <w:rsid w:val="00087FC3"/>
    <w:rsid w:val="000902D9"/>
    <w:rsid w:val="0009058F"/>
    <w:rsid w:val="00090766"/>
    <w:rsid w:val="00090838"/>
    <w:rsid w:val="00090C7E"/>
    <w:rsid w:val="000914E5"/>
    <w:rsid w:val="000918E2"/>
    <w:rsid w:val="00091979"/>
    <w:rsid w:val="00091B3B"/>
    <w:rsid w:val="00091D4C"/>
    <w:rsid w:val="00091F09"/>
    <w:rsid w:val="0009242F"/>
    <w:rsid w:val="00092600"/>
    <w:rsid w:val="0009262B"/>
    <w:rsid w:val="00092CA6"/>
    <w:rsid w:val="00093310"/>
    <w:rsid w:val="000938FD"/>
    <w:rsid w:val="00094141"/>
    <w:rsid w:val="000942F2"/>
    <w:rsid w:val="0009445C"/>
    <w:rsid w:val="000946E0"/>
    <w:rsid w:val="00094A2B"/>
    <w:rsid w:val="00094C63"/>
    <w:rsid w:val="00094D3B"/>
    <w:rsid w:val="00094E4E"/>
    <w:rsid w:val="00094F7B"/>
    <w:rsid w:val="00095200"/>
    <w:rsid w:val="00095597"/>
    <w:rsid w:val="0009565C"/>
    <w:rsid w:val="000956D7"/>
    <w:rsid w:val="00095FE5"/>
    <w:rsid w:val="00096264"/>
    <w:rsid w:val="00096284"/>
    <w:rsid w:val="000964F5"/>
    <w:rsid w:val="00096816"/>
    <w:rsid w:val="00096C18"/>
    <w:rsid w:val="000976AA"/>
    <w:rsid w:val="000977D8"/>
    <w:rsid w:val="0009795A"/>
    <w:rsid w:val="00097C67"/>
    <w:rsid w:val="00097D53"/>
    <w:rsid w:val="00097DFE"/>
    <w:rsid w:val="000A00C5"/>
    <w:rsid w:val="000A01F2"/>
    <w:rsid w:val="000A0662"/>
    <w:rsid w:val="000A0AE0"/>
    <w:rsid w:val="000A0B99"/>
    <w:rsid w:val="000A0CC7"/>
    <w:rsid w:val="000A0CFC"/>
    <w:rsid w:val="000A1249"/>
    <w:rsid w:val="000A1316"/>
    <w:rsid w:val="000A150F"/>
    <w:rsid w:val="000A1958"/>
    <w:rsid w:val="000A1BC0"/>
    <w:rsid w:val="000A23C4"/>
    <w:rsid w:val="000A2490"/>
    <w:rsid w:val="000A3616"/>
    <w:rsid w:val="000A3686"/>
    <w:rsid w:val="000A3DF8"/>
    <w:rsid w:val="000A3FC1"/>
    <w:rsid w:val="000A4475"/>
    <w:rsid w:val="000A453D"/>
    <w:rsid w:val="000A4BA7"/>
    <w:rsid w:val="000A4E2D"/>
    <w:rsid w:val="000A4F1E"/>
    <w:rsid w:val="000A4FFE"/>
    <w:rsid w:val="000A565C"/>
    <w:rsid w:val="000A5670"/>
    <w:rsid w:val="000A56F3"/>
    <w:rsid w:val="000A58D8"/>
    <w:rsid w:val="000A6039"/>
    <w:rsid w:val="000A60C0"/>
    <w:rsid w:val="000A61FC"/>
    <w:rsid w:val="000A66C5"/>
    <w:rsid w:val="000A6843"/>
    <w:rsid w:val="000A6A15"/>
    <w:rsid w:val="000A6AA6"/>
    <w:rsid w:val="000A6ED6"/>
    <w:rsid w:val="000A7052"/>
    <w:rsid w:val="000A70C0"/>
    <w:rsid w:val="000A741C"/>
    <w:rsid w:val="000A7453"/>
    <w:rsid w:val="000A7767"/>
    <w:rsid w:val="000A77BA"/>
    <w:rsid w:val="000A79D3"/>
    <w:rsid w:val="000A7D08"/>
    <w:rsid w:val="000B00EB"/>
    <w:rsid w:val="000B0121"/>
    <w:rsid w:val="000B0158"/>
    <w:rsid w:val="000B01AC"/>
    <w:rsid w:val="000B0670"/>
    <w:rsid w:val="000B0AC1"/>
    <w:rsid w:val="000B0E75"/>
    <w:rsid w:val="000B1099"/>
    <w:rsid w:val="000B133E"/>
    <w:rsid w:val="000B14A5"/>
    <w:rsid w:val="000B156C"/>
    <w:rsid w:val="000B1885"/>
    <w:rsid w:val="000B19A7"/>
    <w:rsid w:val="000B210E"/>
    <w:rsid w:val="000B27AC"/>
    <w:rsid w:val="000B2AA2"/>
    <w:rsid w:val="000B2DCB"/>
    <w:rsid w:val="000B3170"/>
    <w:rsid w:val="000B34C0"/>
    <w:rsid w:val="000B3640"/>
    <w:rsid w:val="000B3A1F"/>
    <w:rsid w:val="000B4148"/>
    <w:rsid w:val="000B42D7"/>
    <w:rsid w:val="000B4393"/>
    <w:rsid w:val="000B43B0"/>
    <w:rsid w:val="000B4A24"/>
    <w:rsid w:val="000B4B5F"/>
    <w:rsid w:val="000B4E95"/>
    <w:rsid w:val="000B4EA6"/>
    <w:rsid w:val="000B4ED5"/>
    <w:rsid w:val="000B50AC"/>
    <w:rsid w:val="000B530D"/>
    <w:rsid w:val="000B5479"/>
    <w:rsid w:val="000B5C30"/>
    <w:rsid w:val="000B5CE0"/>
    <w:rsid w:val="000B5E6D"/>
    <w:rsid w:val="000B616C"/>
    <w:rsid w:val="000B6CAC"/>
    <w:rsid w:val="000B7209"/>
    <w:rsid w:val="000B7218"/>
    <w:rsid w:val="000B7504"/>
    <w:rsid w:val="000B7612"/>
    <w:rsid w:val="000B78AE"/>
    <w:rsid w:val="000B7BB1"/>
    <w:rsid w:val="000B7C31"/>
    <w:rsid w:val="000B7C49"/>
    <w:rsid w:val="000C06A1"/>
    <w:rsid w:val="000C097C"/>
    <w:rsid w:val="000C0F46"/>
    <w:rsid w:val="000C1152"/>
    <w:rsid w:val="000C1221"/>
    <w:rsid w:val="000C191A"/>
    <w:rsid w:val="000C1C13"/>
    <w:rsid w:val="000C266F"/>
    <w:rsid w:val="000C2909"/>
    <w:rsid w:val="000C2ADF"/>
    <w:rsid w:val="000C2B6F"/>
    <w:rsid w:val="000C2EBF"/>
    <w:rsid w:val="000C3793"/>
    <w:rsid w:val="000C3AED"/>
    <w:rsid w:val="000C3B3E"/>
    <w:rsid w:val="000C3C1B"/>
    <w:rsid w:val="000C3DF9"/>
    <w:rsid w:val="000C405F"/>
    <w:rsid w:val="000C4812"/>
    <w:rsid w:val="000C489F"/>
    <w:rsid w:val="000C4D34"/>
    <w:rsid w:val="000C55AF"/>
    <w:rsid w:val="000C55C3"/>
    <w:rsid w:val="000C56F6"/>
    <w:rsid w:val="000C58CA"/>
    <w:rsid w:val="000C5F22"/>
    <w:rsid w:val="000C608D"/>
    <w:rsid w:val="000C61F0"/>
    <w:rsid w:val="000C64E5"/>
    <w:rsid w:val="000C66DD"/>
    <w:rsid w:val="000C6713"/>
    <w:rsid w:val="000C6B57"/>
    <w:rsid w:val="000C6BB2"/>
    <w:rsid w:val="000C6C6D"/>
    <w:rsid w:val="000C6D88"/>
    <w:rsid w:val="000C6F88"/>
    <w:rsid w:val="000C71F8"/>
    <w:rsid w:val="000C74B6"/>
    <w:rsid w:val="000C777A"/>
    <w:rsid w:val="000C7A23"/>
    <w:rsid w:val="000C7ADC"/>
    <w:rsid w:val="000D021C"/>
    <w:rsid w:val="000D0471"/>
    <w:rsid w:val="000D0FE8"/>
    <w:rsid w:val="000D1570"/>
    <w:rsid w:val="000D16DD"/>
    <w:rsid w:val="000D17D7"/>
    <w:rsid w:val="000D184A"/>
    <w:rsid w:val="000D1BFC"/>
    <w:rsid w:val="000D1D5D"/>
    <w:rsid w:val="000D1DC2"/>
    <w:rsid w:val="000D1F5B"/>
    <w:rsid w:val="000D25D0"/>
    <w:rsid w:val="000D274E"/>
    <w:rsid w:val="000D281A"/>
    <w:rsid w:val="000D2822"/>
    <w:rsid w:val="000D2848"/>
    <w:rsid w:val="000D2AEE"/>
    <w:rsid w:val="000D2E9F"/>
    <w:rsid w:val="000D326A"/>
    <w:rsid w:val="000D3538"/>
    <w:rsid w:val="000D371E"/>
    <w:rsid w:val="000D378D"/>
    <w:rsid w:val="000D3AFC"/>
    <w:rsid w:val="000D3B3A"/>
    <w:rsid w:val="000D3C67"/>
    <w:rsid w:val="000D3CE3"/>
    <w:rsid w:val="000D3E04"/>
    <w:rsid w:val="000D43E7"/>
    <w:rsid w:val="000D4525"/>
    <w:rsid w:val="000D468D"/>
    <w:rsid w:val="000D4700"/>
    <w:rsid w:val="000D4B08"/>
    <w:rsid w:val="000D4DF2"/>
    <w:rsid w:val="000D51FB"/>
    <w:rsid w:val="000D588C"/>
    <w:rsid w:val="000D5AA4"/>
    <w:rsid w:val="000D5B92"/>
    <w:rsid w:val="000D62EE"/>
    <w:rsid w:val="000D638E"/>
    <w:rsid w:val="000D65D6"/>
    <w:rsid w:val="000D66E3"/>
    <w:rsid w:val="000D68B8"/>
    <w:rsid w:val="000D6AF9"/>
    <w:rsid w:val="000D6B8D"/>
    <w:rsid w:val="000D6BD6"/>
    <w:rsid w:val="000D78B4"/>
    <w:rsid w:val="000D795D"/>
    <w:rsid w:val="000D7AF9"/>
    <w:rsid w:val="000E0640"/>
    <w:rsid w:val="000E069E"/>
    <w:rsid w:val="000E0746"/>
    <w:rsid w:val="000E0C4C"/>
    <w:rsid w:val="000E135D"/>
    <w:rsid w:val="000E15BB"/>
    <w:rsid w:val="000E1E69"/>
    <w:rsid w:val="000E2150"/>
    <w:rsid w:val="000E21B1"/>
    <w:rsid w:val="000E2371"/>
    <w:rsid w:val="000E2415"/>
    <w:rsid w:val="000E2766"/>
    <w:rsid w:val="000E2E64"/>
    <w:rsid w:val="000E2EF3"/>
    <w:rsid w:val="000E2F30"/>
    <w:rsid w:val="000E3388"/>
    <w:rsid w:val="000E3746"/>
    <w:rsid w:val="000E3E28"/>
    <w:rsid w:val="000E427A"/>
    <w:rsid w:val="000E42C0"/>
    <w:rsid w:val="000E493F"/>
    <w:rsid w:val="000E5B6B"/>
    <w:rsid w:val="000E5C83"/>
    <w:rsid w:val="000E5CB4"/>
    <w:rsid w:val="000E5F03"/>
    <w:rsid w:val="000E5F17"/>
    <w:rsid w:val="000E61B3"/>
    <w:rsid w:val="000E6305"/>
    <w:rsid w:val="000E696A"/>
    <w:rsid w:val="000E6F4D"/>
    <w:rsid w:val="000E7F6B"/>
    <w:rsid w:val="000F00BA"/>
    <w:rsid w:val="000F00C3"/>
    <w:rsid w:val="000F0A0E"/>
    <w:rsid w:val="000F0C9D"/>
    <w:rsid w:val="000F0F89"/>
    <w:rsid w:val="000F128B"/>
    <w:rsid w:val="000F1D4F"/>
    <w:rsid w:val="000F1F43"/>
    <w:rsid w:val="000F2408"/>
    <w:rsid w:val="000F2F94"/>
    <w:rsid w:val="000F310F"/>
    <w:rsid w:val="000F316A"/>
    <w:rsid w:val="000F3580"/>
    <w:rsid w:val="000F388C"/>
    <w:rsid w:val="000F396E"/>
    <w:rsid w:val="000F3A59"/>
    <w:rsid w:val="000F3B78"/>
    <w:rsid w:val="000F3C74"/>
    <w:rsid w:val="000F3CCF"/>
    <w:rsid w:val="000F3E75"/>
    <w:rsid w:val="000F403A"/>
    <w:rsid w:val="000F4245"/>
    <w:rsid w:val="000F4568"/>
    <w:rsid w:val="000F4BB8"/>
    <w:rsid w:val="000F4FA9"/>
    <w:rsid w:val="000F50A1"/>
    <w:rsid w:val="000F53F1"/>
    <w:rsid w:val="000F53FB"/>
    <w:rsid w:val="000F596C"/>
    <w:rsid w:val="000F5D4E"/>
    <w:rsid w:val="000F62F1"/>
    <w:rsid w:val="000F63F0"/>
    <w:rsid w:val="000F67A4"/>
    <w:rsid w:val="000F706A"/>
    <w:rsid w:val="000F7127"/>
    <w:rsid w:val="000F73AB"/>
    <w:rsid w:val="000F751E"/>
    <w:rsid w:val="000F7908"/>
    <w:rsid w:val="000F799A"/>
    <w:rsid w:val="000F7B54"/>
    <w:rsid w:val="000F7D5B"/>
    <w:rsid w:val="00100745"/>
    <w:rsid w:val="001008F0"/>
    <w:rsid w:val="00100C26"/>
    <w:rsid w:val="00100F8A"/>
    <w:rsid w:val="00101378"/>
    <w:rsid w:val="00101503"/>
    <w:rsid w:val="001017E2"/>
    <w:rsid w:val="00101A95"/>
    <w:rsid w:val="00101D91"/>
    <w:rsid w:val="00101DDD"/>
    <w:rsid w:val="00102228"/>
    <w:rsid w:val="0010248A"/>
    <w:rsid w:val="001029BA"/>
    <w:rsid w:val="00102E77"/>
    <w:rsid w:val="0010310C"/>
    <w:rsid w:val="001032B4"/>
    <w:rsid w:val="001036A1"/>
    <w:rsid w:val="001039CA"/>
    <w:rsid w:val="00103CAA"/>
    <w:rsid w:val="00103DBA"/>
    <w:rsid w:val="00103E76"/>
    <w:rsid w:val="0010452E"/>
    <w:rsid w:val="00104581"/>
    <w:rsid w:val="00104B7A"/>
    <w:rsid w:val="00104C71"/>
    <w:rsid w:val="0010555D"/>
    <w:rsid w:val="00105669"/>
    <w:rsid w:val="00105A6D"/>
    <w:rsid w:val="00105AE2"/>
    <w:rsid w:val="00105D28"/>
    <w:rsid w:val="00105E40"/>
    <w:rsid w:val="001060C6"/>
    <w:rsid w:val="0010625E"/>
    <w:rsid w:val="00106854"/>
    <w:rsid w:val="00106B80"/>
    <w:rsid w:val="00106B99"/>
    <w:rsid w:val="00106E5C"/>
    <w:rsid w:val="001073DB"/>
    <w:rsid w:val="00107664"/>
    <w:rsid w:val="001078FC"/>
    <w:rsid w:val="00107B4A"/>
    <w:rsid w:val="00107C75"/>
    <w:rsid w:val="00107E1B"/>
    <w:rsid w:val="0011032E"/>
    <w:rsid w:val="00110445"/>
    <w:rsid w:val="0011070E"/>
    <w:rsid w:val="001108B7"/>
    <w:rsid w:val="00110AD0"/>
    <w:rsid w:val="001114F9"/>
    <w:rsid w:val="0011178E"/>
    <w:rsid w:val="00111816"/>
    <w:rsid w:val="001118A6"/>
    <w:rsid w:val="00111A48"/>
    <w:rsid w:val="00111C6C"/>
    <w:rsid w:val="00111C81"/>
    <w:rsid w:val="00112482"/>
    <w:rsid w:val="00112598"/>
    <w:rsid w:val="0011263D"/>
    <w:rsid w:val="00112988"/>
    <w:rsid w:val="001129A0"/>
    <w:rsid w:val="00112AF1"/>
    <w:rsid w:val="00112B04"/>
    <w:rsid w:val="00112EAA"/>
    <w:rsid w:val="00112FAA"/>
    <w:rsid w:val="00113192"/>
    <w:rsid w:val="0011348B"/>
    <w:rsid w:val="00113773"/>
    <w:rsid w:val="00113EA9"/>
    <w:rsid w:val="001142F1"/>
    <w:rsid w:val="00114519"/>
    <w:rsid w:val="00114C4B"/>
    <w:rsid w:val="00114CB0"/>
    <w:rsid w:val="00114CCA"/>
    <w:rsid w:val="001153E5"/>
    <w:rsid w:val="001157FE"/>
    <w:rsid w:val="00115982"/>
    <w:rsid w:val="00116C53"/>
    <w:rsid w:val="00117809"/>
    <w:rsid w:val="0012007D"/>
    <w:rsid w:val="0012017B"/>
    <w:rsid w:val="001203D4"/>
    <w:rsid w:val="00120AD2"/>
    <w:rsid w:val="00120B4C"/>
    <w:rsid w:val="00121284"/>
    <w:rsid w:val="001212BF"/>
    <w:rsid w:val="00121799"/>
    <w:rsid w:val="00121A95"/>
    <w:rsid w:val="00121B06"/>
    <w:rsid w:val="00121C6C"/>
    <w:rsid w:val="001222FC"/>
    <w:rsid w:val="0012237B"/>
    <w:rsid w:val="001227D5"/>
    <w:rsid w:val="00122A84"/>
    <w:rsid w:val="00122AA6"/>
    <w:rsid w:val="00122B5C"/>
    <w:rsid w:val="00122D12"/>
    <w:rsid w:val="00123138"/>
    <w:rsid w:val="00123207"/>
    <w:rsid w:val="0012370D"/>
    <w:rsid w:val="00123902"/>
    <w:rsid w:val="00123C08"/>
    <w:rsid w:val="00123E82"/>
    <w:rsid w:val="00124624"/>
    <w:rsid w:val="00124A51"/>
    <w:rsid w:val="00124CCC"/>
    <w:rsid w:val="001251D9"/>
    <w:rsid w:val="001257B0"/>
    <w:rsid w:val="001258CA"/>
    <w:rsid w:val="00125CB4"/>
    <w:rsid w:val="00125FC1"/>
    <w:rsid w:val="00126621"/>
    <w:rsid w:val="00126B1D"/>
    <w:rsid w:val="00126FAD"/>
    <w:rsid w:val="001273BF"/>
    <w:rsid w:val="00127460"/>
    <w:rsid w:val="00127525"/>
    <w:rsid w:val="00127684"/>
    <w:rsid w:val="00127BB0"/>
    <w:rsid w:val="00127C79"/>
    <w:rsid w:val="00127E92"/>
    <w:rsid w:val="00127F0C"/>
    <w:rsid w:val="001301DB"/>
    <w:rsid w:val="001301E9"/>
    <w:rsid w:val="001301FE"/>
    <w:rsid w:val="001302F2"/>
    <w:rsid w:val="001302FE"/>
    <w:rsid w:val="0013033C"/>
    <w:rsid w:val="001303CD"/>
    <w:rsid w:val="00130502"/>
    <w:rsid w:val="0013099F"/>
    <w:rsid w:val="00130C03"/>
    <w:rsid w:val="00130E54"/>
    <w:rsid w:val="00131007"/>
    <w:rsid w:val="0013101E"/>
    <w:rsid w:val="0013107C"/>
    <w:rsid w:val="00131356"/>
    <w:rsid w:val="001314BE"/>
    <w:rsid w:val="00131818"/>
    <w:rsid w:val="001318A4"/>
    <w:rsid w:val="00131B7E"/>
    <w:rsid w:val="00131D82"/>
    <w:rsid w:val="00132088"/>
    <w:rsid w:val="0013264B"/>
    <w:rsid w:val="00132B22"/>
    <w:rsid w:val="00132BE5"/>
    <w:rsid w:val="00132F7F"/>
    <w:rsid w:val="0013375A"/>
    <w:rsid w:val="00133C8C"/>
    <w:rsid w:val="00133D36"/>
    <w:rsid w:val="00133DCD"/>
    <w:rsid w:val="001341F6"/>
    <w:rsid w:val="001343CA"/>
    <w:rsid w:val="001346A9"/>
    <w:rsid w:val="00134C43"/>
    <w:rsid w:val="00134D2D"/>
    <w:rsid w:val="00134F0F"/>
    <w:rsid w:val="001356A7"/>
    <w:rsid w:val="00136190"/>
    <w:rsid w:val="001363A4"/>
    <w:rsid w:val="0013676D"/>
    <w:rsid w:val="00136A2F"/>
    <w:rsid w:val="00136CAF"/>
    <w:rsid w:val="00137645"/>
    <w:rsid w:val="00137952"/>
    <w:rsid w:val="0014015A"/>
    <w:rsid w:val="00140178"/>
    <w:rsid w:val="001402BC"/>
    <w:rsid w:val="00140859"/>
    <w:rsid w:val="00140E99"/>
    <w:rsid w:val="00141234"/>
    <w:rsid w:val="001421D6"/>
    <w:rsid w:val="001424EA"/>
    <w:rsid w:val="00142A49"/>
    <w:rsid w:val="001436EE"/>
    <w:rsid w:val="00143D12"/>
    <w:rsid w:val="00143EFF"/>
    <w:rsid w:val="00143F67"/>
    <w:rsid w:val="00144009"/>
    <w:rsid w:val="00144519"/>
    <w:rsid w:val="001448AA"/>
    <w:rsid w:val="00144915"/>
    <w:rsid w:val="00144BAB"/>
    <w:rsid w:val="001450A4"/>
    <w:rsid w:val="00145540"/>
    <w:rsid w:val="0014569E"/>
    <w:rsid w:val="001456B0"/>
    <w:rsid w:val="001458BE"/>
    <w:rsid w:val="00145A9A"/>
    <w:rsid w:val="00145E7F"/>
    <w:rsid w:val="00145EDA"/>
    <w:rsid w:val="001462EB"/>
    <w:rsid w:val="001462F4"/>
    <w:rsid w:val="00146424"/>
    <w:rsid w:val="0014657F"/>
    <w:rsid w:val="0014664F"/>
    <w:rsid w:val="00146A39"/>
    <w:rsid w:val="00146AAE"/>
    <w:rsid w:val="00146C98"/>
    <w:rsid w:val="0014710A"/>
    <w:rsid w:val="00147415"/>
    <w:rsid w:val="00147628"/>
    <w:rsid w:val="00147699"/>
    <w:rsid w:val="00147A2F"/>
    <w:rsid w:val="00147B6F"/>
    <w:rsid w:val="00150083"/>
    <w:rsid w:val="00150340"/>
    <w:rsid w:val="001505FD"/>
    <w:rsid w:val="00150E3A"/>
    <w:rsid w:val="00150E4E"/>
    <w:rsid w:val="00151333"/>
    <w:rsid w:val="001513F4"/>
    <w:rsid w:val="0015169F"/>
    <w:rsid w:val="00151737"/>
    <w:rsid w:val="001517D1"/>
    <w:rsid w:val="0015180E"/>
    <w:rsid w:val="00151F80"/>
    <w:rsid w:val="001520F5"/>
    <w:rsid w:val="001529AE"/>
    <w:rsid w:val="00152F1A"/>
    <w:rsid w:val="001530F0"/>
    <w:rsid w:val="0015367A"/>
    <w:rsid w:val="001536FD"/>
    <w:rsid w:val="0015383F"/>
    <w:rsid w:val="00153E5F"/>
    <w:rsid w:val="001544E3"/>
    <w:rsid w:val="001545DE"/>
    <w:rsid w:val="00154962"/>
    <w:rsid w:val="00154C58"/>
    <w:rsid w:val="00154CD9"/>
    <w:rsid w:val="00154FDD"/>
    <w:rsid w:val="0015551A"/>
    <w:rsid w:val="00155590"/>
    <w:rsid w:val="00155623"/>
    <w:rsid w:val="00155C9B"/>
    <w:rsid w:val="00155DF3"/>
    <w:rsid w:val="00156279"/>
    <w:rsid w:val="0015635E"/>
    <w:rsid w:val="001563BB"/>
    <w:rsid w:val="0015692E"/>
    <w:rsid w:val="00156EB2"/>
    <w:rsid w:val="00156F67"/>
    <w:rsid w:val="00156F8F"/>
    <w:rsid w:val="00157130"/>
    <w:rsid w:val="001576B1"/>
    <w:rsid w:val="00157A0B"/>
    <w:rsid w:val="0016047B"/>
    <w:rsid w:val="00160737"/>
    <w:rsid w:val="00160A4C"/>
    <w:rsid w:val="00160ACF"/>
    <w:rsid w:val="00160E24"/>
    <w:rsid w:val="001611D6"/>
    <w:rsid w:val="00161A97"/>
    <w:rsid w:val="00161BAA"/>
    <w:rsid w:val="0016214B"/>
    <w:rsid w:val="001621CC"/>
    <w:rsid w:val="00162219"/>
    <w:rsid w:val="00162913"/>
    <w:rsid w:val="00163345"/>
    <w:rsid w:val="00163500"/>
    <w:rsid w:val="00163698"/>
    <w:rsid w:val="00163CA5"/>
    <w:rsid w:val="00163D13"/>
    <w:rsid w:val="00163EFF"/>
    <w:rsid w:val="00163F64"/>
    <w:rsid w:val="00163F66"/>
    <w:rsid w:val="001640C0"/>
    <w:rsid w:val="0016425A"/>
    <w:rsid w:val="0016467B"/>
    <w:rsid w:val="00164B47"/>
    <w:rsid w:val="00165119"/>
    <w:rsid w:val="001653B1"/>
    <w:rsid w:val="001653E7"/>
    <w:rsid w:val="001659B6"/>
    <w:rsid w:val="00165A9B"/>
    <w:rsid w:val="00165E2A"/>
    <w:rsid w:val="001660F2"/>
    <w:rsid w:val="001661FB"/>
    <w:rsid w:val="00166A29"/>
    <w:rsid w:val="00166B3F"/>
    <w:rsid w:val="001671A0"/>
    <w:rsid w:val="00167418"/>
    <w:rsid w:val="00167546"/>
    <w:rsid w:val="0016767F"/>
    <w:rsid w:val="0016798E"/>
    <w:rsid w:val="00167C06"/>
    <w:rsid w:val="00170648"/>
    <w:rsid w:val="001708AA"/>
    <w:rsid w:val="00170907"/>
    <w:rsid w:val="00170AD8"/>
    <w:rsid w:val="001710A7"/>
    <w:rsid w:val="001713B7"/>
    <w:rsid w:val="001716F6"/>
    <w:rsid w:val="001718A6"/>
    <w:rsid w:val="00171BFF"/>
    <w:rsid w:val="00172701"/>
    <w:rsid w:val="00172ABC"/>
    <w:rsid w:val="00172CEA"/>
    <w:rsid w:val="00172DB9"/>
    <w:rsid w:val="00172F42"/>
    <w:rsid w:val="00173211"/>
    <w:rsid w:val="00173565"/>
    <w:rsid w:val="0017360E"/>
    <w:rsid w:val="0017364B"/>
    <w:rsid w:val="00173B07"/>
    <w:rsid w:val="00173B96"/>
    <w:rsid w:val="00173BCA"/>
    <w:rsid w:val="00173C84"/>
    <w:rsid w:val="00173D82"/>
    <w:rsid w:val="00173E33"/>
    <w:rsid w:val="00174D4A"/>
    <w:rsid w:val="00174EF8"/>
    <w:rsid w:val="001751FA"/>
    <w:rsid w:val="00175263"/>
    <w:rsid w:val="00175FFA"/>
    <w:rsid w:val="00176361"/>
    <w:rsid w:val="00177090"/>
    <w:rsid w:val="001770BA"/>
    <w:rsid w:val="001772FA"/>
    <w:rsid w:val="0017755A"/>
    <w:rsid w:val="00177AF8"/>
    <w:rsid w:val="00177BE5"/>
    <w:rsid w:val="00177E53"/>
    <w:rsid w:val="001801E2"/>
    <w:rsid w:val="001803EF"/>
    <w:rsid w:val="0018091C"/>
    <w:rsid w:val="00181291"/>
    <w:rsid w:val="001814EE"/>
    <w:rsid w:val="00181AC8"/>
    <w:rsid w:val="00181BB1"/>
    <w:rsid w:val="00181C62"/>
    <w:rsid w:val="00181D6D"/>
    <w:rsid w:val="00181D9C"/>
    <w:rsid w:val="00182C6D"/>
    <w:rsid w:val="00182E03"/>
    <w:rsid w:val="00183396"/>
    <w:rsid w:val="0018343F"/>
    <w:rsid w:val="001834A1"/>
    <w:rsid w:val="001834AB"/>
    <w:rsid w:val="00183C37"/>
    <w:rsid w:val="00183F0F"/>
    <w:rsid w:val="001843E8"/>
    <w:rsid w:val="00184554"/>
    <w:rsid w:val="00184812"/>
    <w:rsid w:val="00184866"/>
    <w:rsid w:val="001849C5"/>
    <w:rsid w:val="00184A44"/>
    <w:rsid w:val="00184B0E"/>
    <w:rsid w:val="00184C28"/>
    <w:rsid w:val="00185611"/>
    <w:rsid w:val="001856D2"/>
    <w:rsid w:val="00185896"/>
    <w:rsid w:val="00185F3D"/>
    <w:rsid w:val="0018656C"/>
    <w:rsid w:val="001867A6"/>
    <w:rsid w:val="00186922"/>
    <w:rsid w:val="00186ACB"/>
    <w:rsid w:val="00186BFD"/>
    <w:rsid w:val="00186CED"/>
    <w:rsid w:val="00187087"/>
    <w:rsid w:val="001870BE"/>
    <w:rsid w:val="00187132"/>
    <w:rsid w:val="001871B3"/>
    <w:rsid w:val="001873C9"/>
    <w:rsid w:val="001874A5"/>
    <w:rsid w:val="0018752F"/>
    <w:rsid w:val="001903B8"/>
    <w:rsid w:val="00190E0E"/>
    <w:rsid w:val="00190F58"/>
    <w:rsid w:val="0019146B"/>
    <w:rsid w:val="001915DB"/>
    <w:rsid w:val="001917CA"/>
    <w:rsid w:val="00191DEC"/>
    <w:rsid w:val="00191FEB"/>
    <w:rsid w:val="001920D7"/>
    <w:rsid w:val="001928C2"/>
    <w:rsid w:val="00192D15"/>
    <w:rsid w:val="00192FB6"/>
    <w:rsid w:val="00193369"/>
    <w:rsid w:val="00193838"/>
    <w:rsid w:val="00193DB5"/>
    <w:rsid w:val="00194188"/>
    <w:rsid w:val="001945B1"/>
    <w:rsid w:val="00194715"/>
    <w:rsid w:val="00194AD8"/>
    <w:rsid w:val="00194D3B"/>
    <w:rsid w:val="00195222"/>
    <w:rsid w:val="001953EA"/>
    <w:rsid w:val="0019553F"/>
    <w:rsid w:val="0019563C"/>
    <w:rsid w:val="00195B01"/>
    <w:rsid w:val="00195C80"/>
    <w:rsid w:val="0019622E"/>
    <w:rsid w:val="00196588"/>
    <w:rsid w:val="001965F5"/>
    <w:rsid w:val="00196760"/>
    <w:rsid w:val="00196962"/>
    <w:rsid w:val="00196AC7"/>
    <w:rsid w:val="00196C65"/>
    <w:rsid w:val="00196D18"/>
    <w:rsid w:val="00196DA8"/>
    <w:rsid w:val="00196F7F"/>
    <w:rsid w:val="00197085"/>
    <w:rsid w:val="0019736C"/>
    <w:rsid w:val="001974B1"/>
    <w:rsid w:val="001975D8"/>
    <w:rsid w:val="0019764D"/>
    <w:rsid w:val="00197A57"/>
    <w:rsid w:val="001A03D9"/>
    <w:rsid w:val="001A048E"/>
    <w:rsid w:val="001A061C"/>
    <w:rsid w:val="001A1392"/>
    <w:rsid w:val="001A1501"/>
    <w:rsid w:val="001A15BD"/>
    <w:rsid w:val="001A1781"/>
    <w:rsid w:val="001A178E"/>
    <w:rsid w:val="001A1A69"/>
    <w:rsid w:val="001A1F09"/>
    <w:rsid w:val="001A2001"/>
    <w:rsid w:val="001A229A"/>
    <w:rsid w:val="001A2706"/>
    <w:rsid w:val="001A32E9"/>
    <w:rsid w:val="001A36B2"/>
    <w:rsid w:val="001A373E"/>
    <w:rsid w:val="001A37F7"/>
    <w:rsid w:val="001A38C2"/>
    <w:rsid w:val="001A3A21"/>
    <w:rsid w:val="001A3C54"/>
    <w:rsid w:val="001A43FA"/>
    <w:rsid w:val="001A47C5"/>
    <w:rsid w:val="001A47F0"/>
    <w:rsid w:val="001A48EC"/>
    <w:rsid w:val="001A4E32"/>
    <w:rsid w:val="001A4E44"/>
    <w:rsid w:val="001A51C3"/>
    <w:rsid w:val="001A52F2"/>
    <w:rsid w:val="001A54A4"/>
    <w:rsid w:val="001A59FB"/>
    <w:rsid w:val="001A5A1F"/>
    <w:rsid w:val="001A5B65"/>
    <w:rsid w:val="001A5E9E"/>
    <w:rsid w:val="001A5F9C"/>
    <w:rsid w:val="001A600F"/>
    <w:rsid w:val="001A62BB"/>
    <w:rsid w:val="001A6354"/>
    <w:rsid w:val="001A6366"/>
    <w:rsid w:val="001A6711"/>
    <w:rsid w:val="001A67B5"/>
    <w:rsid w:val="001A6C09"/>
    <w:rsid w:val="001A7467"/>
    <w:rsid w:val="001A7516"/>
    <w:rsid w:val="001A7686"/>
    <w:rsid w:val="001A7AE8"/>
    <w:rsid w:val="001A7BCC"/>
    <w:rsid w:val="001A7EEF"/>
    <w:rsid w:val="001A7F04"/>
    <w:rsid w:val="001B00E1"/>
    <w:rsid w:val="001B03A6"/>
    <w:rsid w:val="001B04B3"/>
    <w:rsid w:val="001B0829"/>
    <w:rsid w:val="001B0A2C"/>
    <w:rsid w:val="001B10BD"/>
    <w:rsid w:val="001B12BC"/>
    <w:rsid w:val="001B12ED"/>
    <w:rsid w:val="001B139B"/>
    <w:rsid w:val="001B14EC"/>
    <w:rsid w:val="001B1522"/>
    <w:rsid w:val="001B168F"/>
    <w:rsid w:val="001B171F"/>
    <w:rsid w:val="001B191F"/>
    <w:rsid w:val="001B1B66"/>
    <w:rsid w:val="001B204E"/>
    <w:rsid w:val="001B20C7"/>
    <w:rsid w:val="001B227E"/>
    <w:rsid w:val="001B2372"/>
    <w:rsid w:val="001B2426"/>
    <w:rsid w:val="001B2AA9"/>
    <w:rsid w:val="001B2CD4"/>
    <w:rsid w:val="001B2DFB"/>
    <w:rsid w:val="001B2F14"/>
    <w:rsid w:val="001B3443"/>
    <w:rsid w:val="001B3470"/>
    <w:rsid w:val="001B34F4"/>
    <w:rsid w:val="001B38C3"/>
    <w:rsid w:val="001B3A27"/>
    <w:rsid w:val="001B3AC9"/>
    <w:rsid w:val="001B3D39"/>
    <w:rsid w:val="001B416F"/>
    <w:rsid w:val="001B43CD"/>
    <w:rsid w:val="001B43E4"/>
    <w:rsid w:val="001B43F0"/>
    <w:rsid w:val="001B4947"/>
    <w:rsid w:val="001B4D20"/>
    <w:rsid w:val="001B4D62"/>
    <w:rsid w:val="001B5DA4"/>
    <w:rsid w:val="001B5F6D"/>
    <w:rsid w:val="001B609D"/>
    <w:rsid w:val="001B6918"/>
    <w:rsid w:val="001B6E4D"/>
    <w:rsid w:val="001B6E83"/>
    <w:rsid w:val="001B6F50"/>
    <w:rsid w:val="001B7484"/>
    <w:rsid w:val="001B760B"/>
    <w:rsid w:val="001B7A34"/>
    <w:rsid w:val="001B7E35"/>
    <w:rsid w:val="001B7F05"/>
    <w:rsid w:val="001B7F99"/>
    <w:rsid w:val="001C0088"/>
    <w:rsid w:val="001C0899"/>
    <w:rsid w:val="001C138C"/>
    <w:rsid w:val="001C1504"/>
    <w:rsid w:val="001C169E"/>
    <w:rsid w:val="001C19D3"/>
    <w:rsid w:val="001C207A"/>
    <w:rsid w:val="001C237F"/>
    <w:rsid w:val="001C28AF"/>
    <w:rsid w:val="001C28F7"/>
    <w:rsid w:val="001C2A0D"/>
    <w:rsid w:val="001C2A9B"/>
    <w:rsid w:val="001C2B9A"/>
    <w:rsid w:val="001C3208"/>
    <w:rsid w:val="001C33A9"/>
    <w:rsid w:val="001C399D"/>
    <w:rsid w:val="001C3B10"/>
    <w:rsid w:val="001C4299"/>
    <w:rsid w:val="001C439F"/>
    <w:rsid w:val="001C456B"/>
    <w:rsid w:val="001C4593"/>
    <w:rsid w:val="001C4618"/>
    <w:rsid w:val="001C4874"/>
    <w:rsid w:val="001C4E73"/>
    <w:rsid w:val="001C4F27"/>
    <w:rsid w:val="001C513B"/>
    <w:rsid w:val="001C52EB"/>
    <w:rsid w:val="001C55C0"/>
    <w:rsid w:val="001C5F94"/>
    <w:rsid w:val="001C611E"/>
    <w:rsid w:val="001C626B"/>
    <w:rsid w:val="001C6327"/>
    <w:rsid w:val="001C6CC9"/>
    <w:rsid w:val="001C6CED"/>
    <w:rsid w:val="001C6DB8"/>
    <w:rsid w:val="001C6E66"/>
    <w:rsid w:val="001C796D"/>
    <w:rsid w:val="001C7ACB"/>
    <w:rsid w:val="001C7B69"/>
    <w:rsid w:val="001C7F82"/>
    <w:rsid w:val="001C7FFA"/>
    <w:rsid w:val="001D05B7"/>
    <w:rsid w:val="001D1100"/>
    <w:rsid w:val="001D1109"/>
    <w:rsid w:val="001D1309"/>
    <w:rsid w:val="001D1391"/>
    <w:rsid w:val="001D1777"/>
    <w:rsid w:val="001D1C33"/>
    <w:rsid w:val="001D1EA9"/>
    <w:rsid w:val="001D25D7"/>
    <w:rsid w:val="001D2C87"/>
    <w:rsid w:val="001D2F67"/>
    <w:rsid w:val="001D32FD"/>
    <w:rsid w:val="001D3A1D"/>
    <w:rsid w:val="001D401D"/>
    <w:rsid w:val="001D428D"/>
    <w:rsid w:val="001D45B4"/>
    <w:rsid w:val="001D4992"/>
    <w:rsid w:val="001D4CB5"/>
    <w:rsid w:val="001D4F43"/>
    <w:rsid w:val="001D504D"/>
    <w:rsid w:val="001D50B2"/>
    <w:rsid w:val="001D528E"/>
    <w:rsid w:val="001D52C4"/>
    <w:rsid w:val="001D5808"/>
    <w:rsid w:val="001D5A8D"/>
    <w:rsid w:val="001D60BB"/>
    <w:rsid w:val="001D6272"/>
    <w:rsid w:val="001D673A"/>
    <w:rsid w:val="001D6777"/>
    <w:rsid w:val="001D6AFF"/>
    <w:rsid w:val="001D7050"/>
    <w:rsid w:val="001D74A6"/>
    <w:rsid w:val="001D7507"/>
    <w:rsid w:val="001D7645"/>
    <w:rsid w:val="001D7AD7"/>
    <w:rsid w:val="001D7B6B"/>
    <w:rsid w:val="001E00A3"/>
    <w:rsid w:val="001E0697"/>
    <w:rsid w:val="001E0B1E"/>
    <w:rsid w:val="001E0B81"/>
    <w:rsid w:val="001E0DB5"/>
    <w:rsid w:val="001E0E21"/>
    <w:rsid w:val="001E11B9"/>
    <w:rsid w:val="001E1252"/>
    <w:rsid w:val="001E1C79"/>
    <w:rsid w:val="001E1E86"/>
    <w:rsid w:val="001E2254"/>
    <w:rsid w:val="001E238E"/>
    <w:rsid w:val="001E2483"/>
    <w:rsid w:val="001E2B1E"/>
    <w:rsid w:val="001E2CFF"/>
    <w:rsid w:val="001E2F24"/>
    <w:rsid w:val="001E30D4"/>
    <w:rsid w:val="001E3208"/>
    <w:rsid w:val="001E34DF"/>
    <w:rsid w:val="001E35FC"/>
    <w:rsid w:val="001E36B7"/>
    <w:rsid w:val="001E3883"/>
    <w:rsid w:val="001E3A61"/>
    <w:rsid w:val="001E3AA2"/>
    <w:rsid w:val="001E3D3B"/>
    <w:rsid w:val="001E44C2"/>
    <w:rsid w:val="001E474A"/>
    <w:rsid w:val="001E49DE"/>
    <w:rsid w:val="001E52EB"/>
    <w:rsid w:val="001E5378"/>
    <w:rsid w:val="001E5687"/>
    <w:rsid w:val="001E58E8"/>
    <w:rsid w:val="001E5DCD"/>
    <w:rsid w:val="001E6182"/>
    <w:rsid w:val="001E61D2"/>
    <w:rsid w:val="001E63DA"/>
    <w:rsid w:val="001E6662"/>
    <w:rsid w:val="001E6AB7"/>
    <w:rsid w:val="001E6B7E"/>
    <w:rsid w:val="001E6E5B"/>
    <w:rsid w:val="001E6FDC"/>
    <w:rsid w:val="001E740C"/>
    <w:rsid w:val="001E784C"/>
    <w:rsid w:val="001E7898"/>
    <w:rsid w:val="001E7BD6"/>
    <w:rsid w:val="001F0578"/>
    <w:rsid w:val="001F0BE8"/>
    <w:rsid w:val="001F0CA1"/>
    <w:rsid w:val="001F1235"/>
    <w:rsid w:val="001F15C9"/>
    <w:rsid w:val="001F17D4"/>
    <w:rsid w:val="001F1C62"/>
    <w:rsid w:val="001F1CB3"/>
    <w:rsid w:val="001F1DEC"/>
    <w:rsid w:val="001F23DF"/>
    <w:rsid w:val="001F25F5"/>
    <w:rsid w:val="001F2839"/>
    <w:rsid w:val="001F3375"/>
    <w:rsid w:val="001F360E"/>
    <w:rsid w:val="001F38B5"/>
    <w:rsid w:val="001F39E4"/>
    <w:rsid w:val="001F3AB4"/>
    <w:rsid w:val="001F3AB6"/>
    <w:rsid w:val="001F3B0C"/>
    <w:rsid w:val="001F3B6A"/>
    <w:rsid w:val="001F4081"/>
    <w:rsid w:val="001F4287"/>
    <w:rsid w:val="001F4437"/>
    <w:rsid w:val="001F4878"/>
    <w:rsid w:val="001F48CC"/>
    <w:rsid w:val="001F4939"/>
    <w:rsid w:val="001F4A11"/>
    <w:rsid w:val="001F4A73"/>
    <w:rsid w:val="001F4C2D"/>
    <w:rsid w:val="001F4E8C"/>
    <w:rsid w:val="001F4F53"/>
    <w:rsid w:val="001F4FAC"/>
    <w:rsid w:val="001F5171"/>
    <w:rsid w:val="001F5328"/>
    <w:rsid w:val="001F5343"/>
    <w:rsid w:val="001F5608"/>
    <w:rsid w:val="001F5862"/>
    <w:rsid w:val="001F5B27"/>
    <w:rsid w:val="001F5D2D"/>
    <w:rsid w:val="001F67C1"/>
    <w:rsid w:val="001F7361"/>
    <w:rsid w:val="001F7364"/>
    <w:rsid w:val="001F73A2"/>
    <w:rsid w:val="001F73B8"/>
    <w:rsid w:val="001F740F"/>
    <w:rsid w:val="001F7B25"/>
    <w:rsid w:val="001F7C8C"/>
    <w:rsid w:val="001F7D65"/>
    <w:rsid w:val="001F7EBE"/>
    <w:rsid w:val="002000A4"/>
    <w:rsid w:val="002006BF"/>
    <w:rsid w:val="00200AD5"/>
    <w:rsid w:val="00200E3E"/>
    <w:rsid w:val="00200EF8"/>
    <w:rsid w:val="0020108B"/>
    <w:rsid w:val="00201127"/>
    <w:rsid w:val="002011A5"/>
    <w:rsid w:val="002011B0"/>
    <w:rsid w:val="00201C49"/>
    <w:rsid w:val="00201E4B"/>
    <w:rsid w:val="00202A15"/>
    <w:rsid w:val="00202F5C"/>
    <w:rsid w:val="0020306A"/>
    <w:rsid w:val="00203181"/>
    <w:rsid w:val="00203512"/>
    <w:rsid w:val="00203783"/>
    <w:rsid w:val="0020385F"/>
    <w:rsid w:val="00203EE7"/>
    <w:rsid w:val="00204132"/>
    <w:rsid w:val="002044B9"/>
    <w:rsid w:val="00204550"/>
    <w:rsid w:val="0020462C"/>
    <w:rsid w:val="00204C27"/>
    <w:rsid w:val="002051D0"/>
    <w:rsid w:val="002056CF"/>
    <w:rsid w:val="002057A2"/>
    <w:rsid w:val="00205A02"/>
    <w:rsid w:val="002064F7"/>
    <w:rsid w:val="002065D3"/>
    <w:rsid w:val="00206600"/>
    <w:rsid w:val="00206786"/>
    <w:rsid w:val="002068A0"/>
    <w:rsid w:val="00206AB1"/>
    <w:rsid w:val="00206CB1"/>
    <w:rsid w:val="00206D55"/>
    <w:rsid w:val="00207021"/>
    <w:rsid w:val="00207055"/>
    <w:rsid w:val="0020732F"/>
    <w:rsid w:val="00207994"/>
    <w:rsid w:val="00207B4C"/>
    <w:rsid w:val="00207D00"/>
    <w:rsid w:val="00207EF6"/>
    <w:rsid w:val="00207FCA"/>
    <w:rsid w:val="00210566"/>
    <w:rsid w:val="002105C1"/>
    <w:rsid w:val="00210951"/>
    <w:rsid w:val="00210A29"/>
    <w:rsid w:val="002115A7"/>
    <w:rsid w:val="0021182D"/>
    <w:rsid w:val="002118A6"/>
    <w:rsid w:val="002119FA"/>
    <w:rsid w:val="00211EFE"/>
    <w:rsid w:val="00212669"/>
    <w:rsid w:val="002128DB"/>
    <w:rsid w:val="00212BB9"/>
    <w:rsid w:val="00212BBF"/>
    <w:rsid w:val="00212D0F"/>
    <w:rsid w:val="00212F8C"/>
    <w:rsid w:val="00213190"/>
    <w:rsid w:val="0021332F"/>
    <w:rsid w:val="002138DB"/>
    <w:rsid w:val="00213EF5"/>
    <w:rsid w:val="00214145"/>
    <w:rsid w:val="00214600"/>
    <w:rsid w:val="002148AF"/>
    <w:rsid w:val="00214C65"/>
    <w:rsid w:val="00214C67"/>
    <w:rsid w:val="00214DC5"/>
    <w:rsid w:val="002151AA"/>
    <w:rsid w:val="002151D7"/>
    <w:rsid w:val="002153F0"/>
    <w:rsid w:val="002156B8"/>
    <w:rsid w:val="00215B33"/>
    <w:rsid w:val="00215CA7"/>
    <w:rsid w:val="00215D83"/>
    <w:rsid w:val="0021611B"/>
    <w:rsid w:val="00216156"/>
    <w:rsid w:val="00216905"/>
    <w:rsid w:val="00216BE6"/>
    <w:rsid w:val="00216BF5"/>
    <w:rsid w:val="00216E2F"/>
    <w:rsid w:val="0021708E"/>
    <w:rsid w:val="0022006A"/>
    <w:rsid w:val="00220791"/>
    <w:rsid w:val="00220896"/>
    <w:rsid w:val="00220E90"/>
    <w:rsid w:val="00221BC3"/>
    <w:rsid w:val="00221D16"/>
    <w:rsid w:val="002222A6"/>
    <w:rsid w:val="002229D3"/>
    <w:rsid w:val="00222B61"/>
    <w:rsid w:val="002231CD"/>
    <w:rsid w:val="0022355F"/>
    <w:rsid w:val="00223B49"/>
    <w:rsid w:val="00223D5A"/>
    <w:rsid w:val="00223DB5"/>
    <w:rsid w:val="00224424"/>
    <w:rsid w:val="00224B3A"/>
    <w:rsid w:val="00224DD4"/>
    <w:rsid w:val="00225015"/>
    <w:rsid w:val="0022522E"/>
    <w:rsid w:val="00225631"/>
    <w:rsid w:val="00225AEA"/>
    <w:rsid w:val="002261F2"/>
    <w:rsid w:val="00226300"/>
    <w:rsid w:val="00226A90"/>
    <w:rsid w:val="00226CF6"/>
    <w:rsid w:val="00226D24"/>
    <w:rsid w:val="00226D30"/>
    <w:rsid w:val="00226E8F"/>
    <w:rsid w:val="0022711B"/>
    <w:rsid w:val="002271D6"/>
    <w:rsid w:val="002277D0"/>
    <w:rsid w:val="002278A0"/>
    <w:rsid w:val="00227950"/>
    <w:rsid w:val="00230390"/>
    <w:rsid w:val="00230757"/>
    <w:rsid w:val="002308A3"/>
    <w:rsid w:val="002309CC"/>
    <w:rsid w:val="002309DB"/>
    <w:rsid w:val="00230DB1"/>
    <w:rsid w:val="00230EAB"/>
    <w:rsid w:val="00230FB5"/>
    <w:rsid w:val="0023105E"/>
    <w:rsid w:val="00231490"/>
    <w:rsid w:val="002315A9"/>
    <w:rsid w:val="00231A2E"/>
    <w:rsid w:val="00231DE2"/>
    <w:rsid w:val="00231FC1"/>
    <w:rsid w:val="0023209F"/>
    <w:rsid w:val="00232680"/>
    <w:rsid w:val="00232844"/>
    <w:rsid w:val="00232A66"/>
    <w:rsid w:val="0023349A"/>
    <w:rsid w:val="0023355A"/>
    <w:rsid w:val="002336FD"/>
    <w:rsid w:val="00233A6E"/>
    <w:rsid w:val="00233AF9"/>
    <w:rsid w:val="00233C01"/>
    <w:rsid w:val="00233FD3"/>
    <w:rsid w:val="0023413C"/>
    <w:rsid w:val="002344B9"/>
    <w:rsid w:val="00234505"/>
    <w:rsid w:val="0023461A"/>
    <w:rsid w:val="002346F0"/>
    <w:rsid w:val="00234F2A"/>
    <w:rsid w:val="00234F88"/>
    <w:rsid w:val="00235920"/>
    <w:rsid w:val="00235A6C"/>
    <w:rsid w:val="00235AF3"/>
    <w:rsid w:val="00235C06"/>
    <w:rsid w:val="00235C3C"/>
    <w:rsid w:val="002361FD"/>
    <w:rsid w:val="0023629D"/>
    <w:rsid w:val="00237255"/>
    <w:rsid w:val="00237389"/>
    <w:rsid w:val="0023748A"/>
    <w:rsid w:val="002377B0"/>
    <w:rsid w:val="00237F4A"/>
    <w:rsid w:val="00240263"/>
    <w:rsid w:val="002405C7"/>
    <w:rsid w:val="0024083C"/>
    <w:rsid w:val="00240ECA"/>
    <w:rsid w:val="00241524"/>
    <w:rsid w:val="0024166C"/>
    <w:rsid w:val="002417AE"/>
    <w:rsid w:val="00241AA1"/>
    <w:rsid w:val="00241CF2"/>
    <w:rsid w:val="00241DD5"/>
    <w:rsid w:val="002424AF"/>
    <w:rsid w:val="00242A51"/>
    <w:rsid w:val="00242A97"/>
    <w:rsid w:val="00242FFD"/>
    <w:rsid w:val="002431B3"/>
    <w:rsid w:val="00243258"/>
    <w:rsid w:val="002433A6"/>
    <w:rsid w:val="002433C0"/>
    <w:rsid w:val="002438FC"/>
    <w:rsid w:val="0024398C"/>
    <w:rsid w:val="002439DC"/>
    <w:rsid w:val="00243D2F"/>
    <w:rsid w:val="00243E74"/>
    <w:rsid w:val="00243EEA"/>
    <w:rsid w:val="00243F6A"/>
    <w:rsid w:val="002441D2"/>
    <w:rsid w:val="002442BB"/>
    <w:rsid w:val="0024437B"/>
    <w:rsid w:val="00244A99"/>
    <w:rsid w:val="00244C7B"/>
    <w:rsid w:val="00244C89"/>
    <w:rsid w:val="00244DC8"/>
    <w:rsid w:val="002451CC"/>
    <w:rsid w:val="00245236"/>
    <w:rsid w:val="002458BA"/>
    <w:rsid w:val="00245C5F"/>
    <w:rsid w:val="00245CE9"/>
    <w:rsid w:val="0024636C"/>
    <w:rsid w:val="00246975"/>
    <w:rsid w:val="00246A1E"/>
    <w:rsid w:val="002470C7"/>
    <w:rsid w:val="00247888"/>
    <w:rsid w:val="00247925"/>
    <w:rsid w:val="00247CF3"/>
    <w:rsid w:val="00247D41"/>
    <w:rsid w:val="0025015D"/>
    <w:rsid w:val="0025076C"/>
    <w:rsid w:val="00250F96"/>
    <w:rsid w:val="00251006"/>
    <w:rsid w:val="0025105F"/>
    <w:rsid w:val="00251552"/>
    <w:rsid w:val="00251577"/>
    <w:rsid w:val="00251C9A"/>
    <w:rsid w:val="00251EE6"/>
    <w:rsid w:val="00251EF8"/>
    <w:rsid w:val="00252155"/>
    <w:rsid w:val="00252322"/>
    <w:rsid w:val="002524D5"/>
    <w:rsid w:val="002526B1"/>
    <w:rsid w:val="00252763"/>
    <w:rsid w:val="002527FC"/>
    <w:rsid w:val="0025280A"/>
    <w:rsid w:val="00252ADC"/>
    <w:rsid w:val="00253B1D"/>
    <w:rsid w:val="00253E48"/>
    <w:rsid w:val="002541AF"/>
    <w:rsid w:val="002548EA"/>
    <w:rsid w:val="00254DCF"/>
    <w:rsid w:val="00254E83"/>
    <w:rsid w:val="00254F80"/>
    <w:rsid w:val="0025525B"/>
    <w:rsid w:val="0025534B"/>
    <w:rsid w:val="002553D4"/>
    <w:rsid w:val="0025575A"/>
    <w:rsid w:val="00255991"/>
    <w:rsid w:val="00255A5B"/>
    <w:rsid w:val="00255AF1"/>
    <w:rsid w:val="00255BB7"/>
    <w:rsid w:val="0025626E"/>
    <w:rsid w:val="002562DB"/>
    <w:rsid w:val="002569E2"/>
    <w:rsid w:val="00256B5F"/>
    <w:rsid w:val="00256DD8"/>
    <w:rsid w:val="002572E1"/>
    <w:rsid w:val="002573F2"/>
    <w:rsid w:val="00257540"/>
    <w:rsid w:val="00257541"/>
    <w:rsid w:val="00257A39"/>
    <w:rsid w:val="00257AC4"/>
    <w:rsid w:val="00257DA1"/>
    <w:rsid w:val="002604A5"/>
    <w:rsid w:val="00260ADE"/>
    <w:rsid w:val="0026133E"/>
    <w:rsid w:val="00261E17"/>
    <w:rsid w:val="00261EEF"/>
    <w:rsid w:val="00262534"/>
    <w:rsid w:val="00262772"/>
    <w:rsid w:val="00262946"/>
    <w:rsid w:val="00262A1A"/>
    <w:rsid w:val="00262A26"/>
    <w:rsid w:val="00262A87"/>
    <w:rsid w:val="00262BDA"/>
    <w:rsid w:val="00262C8C"/>
    <w:rsid w:val="00262E08"/>
    <w:rsid w:val="002632B3"/>
    <w:rsid w:val="002632B9"/>
    <w:rsid w:val="002632F7"/>
    <w:rsid w:val="00263521"/>
    <w:rsid w:val="0026369E"/>
    <w:rsid w:val="00263777"/>
    <w:rsid w:val="002637EC"/>
    <w:rsid w:val="002639BE"/>
    <w:rsid w:val="002639C3"/>
    <w:rsid w:val="00263B25"/>
    <w:rsid w:val="00263D35"/>
    <w:rsid w:val="00263E9C"/>
    <w:rsid w:val="00264154"/>
    <w:rsid w:val="00264364"/>
    <w:rsid w:val="00264409"/>
    <w:rsid w:val="0026440C"/>
    <w:rsid w:val="00264972"/>
    <w:rsid w:val="002649BE"/>
    <w:rsid w:val="00264D26"/>
    <w:rsid w:val="002658D5"/>
    <w:rsid w:val="00266568"/>
    <w:rsid w:val="00266E31"/>
    <w:rsid w:val="00267053"/>
    <w:rsid w:val="002672BE"/>
    <w:rsid w:val="00267642"/>
    <w:rsid w:val="00267745"/>
    <w:rsid w:val="00267A88"/>
    <w:rsid w:val="00267AEA"/>
    <w:rsid w:val="00267C16"/>
    <w:rsid w:val="002700E6"/>
    <w:rsid w:val="002703B4"/>
    <w:rsid w:val="00270737"/>
    <w:rsid w:val="002707BF"/>
    <w:rsid w:val="002707C8"/>
    <w:rsid w:val="00270947"/>
    <w:rsid w:val="00270A34"/>
    <w:rsid w:val="00270AD8"/>
    <w:rsid w:val="00271934"/>
    <w:rsid w:val="00271AE7"/>
    <w:rsid w:val="00271BA9"/>
    <w:rsid w:val="00271D6B"/>
    <w:rsid w:val="002721DC"/>
    <w:rsid w:val="002722E4"/>
    <w:rsid w:val="00272498"/>
    <w:rsid w:val="002725D7"/>
    <w:rsid w:val="00272948"/>
    <w:rsid w:val="0027294B"/>
    <w:rsid w:val="0027298D"/>
    <w:rsid w:val="00273EB4"/>
    <w:rsid w:val="00274117"/>
    <w:rsid w:val="002742E0"/>
    <w:rsid w:val="002744D0"/>
    <w:rsid w:val="0027463E"/>
    <w:rsid w:val="00274682"/>
    <w:rsid w:val="0027507D"/>
    <w:rsid w:val="0027516D"/>
    <w:rsid w:val="00275692"/>
    <w:rsid w:val="0027597D"/>
    <w:rsid w:val="00275B07"/>
    <w:rsid w:val="00275C5A"/>
    <w:rsid w:val="00275E43"/>
    <w:rsid w:val="00276152"/>
    <w:rsid w:val="0027631D"/>
    <w:rsid w:val="00276A8E"/>
    <w:rsid w:val="00276C76"/>
    <w:rsid w:val="00277021"/>
    <w:rsid w:val="002770D2"/>
    <w:rsid w:val="002770EC"/>
    <w:rsid w:val="002775DB"/>
    <w:rsid w:val="00277669"/>
    <w:rsid w:val="002778C5"/>
    <w:rsid w:val="00277DF9"/>
    <w:rsid w:val="002800F7"/>
    <w:rsid w:val="0028059F"/>
    <w:rsid w:val="00280731"/>
    <w:rsid w:val="002807A8"/>
    <w:rsid w:val="0028085E"/>
    <w:rsid w:val="00280879"/>
    <w:rsid w:val="002808C0"/>
    <w:rsid w:val="0028091D"/>
    <w:rsid w:val="00280D64"/>
    <w:rsid w:val="00280E77"/>
    <w:rsid w:val="00281014"/>
    <w:rsid w:val="002811B8"/>
    <w:rsid w:val="002817ED"/>
    <w:rsid w:val="0028224F"/>
    <w:rsid w:val="002825F0"/>
    <w:rsid w:val="00282ABB"/>
    <w:rsid w:val="00282E27"/>
    <w:rsid w:val="00282EAE"/>
    <w:rsid w:val="00283875"/>
    <w:rsid w:val="00283B68"/>
    <w:rsid w:val="00283DD9"/>
    <w:rsid w:val="00283FA3"/>
    <w:rsid w:val="00283FC4"/>
    <w:rsid w:val="00284009"/>
    <w:rsid w:val="002840A2"/>
    <w:rsid w:val="00284627"/>
    <w:rsid w:val="0028484A"/>
    <w:rsid w:val="002852DB"/>
    <w:rsid w:val="002853F6"/>
    <w:rsid w:val="00285908"/>
    <w:rsid w:val="00285913"/>
    <w:rsid w:val="00286122"/>
    <w:rsid w:val="0028655C"/>
    <w:rsid w:val="002865E6"/>
    <w:rsid w:val="0028665D"/>
    <w:rsid w:val="002867A0"/>
    <w:rsid w:val="00287065"/>
    <w:rsid w:val="00287548"/>
    <w:rsid w:val="0028762D"/>
    <w:rsid w:val="00287BEB"/>
    <w:rsid w:val="002900D2"/>
    <w:rsid w:val="002902E8"/>
    <w:rsid w:val="002906CA"/>
    <w:rsid w:val="00290783"/>
    <w:rsid w:val="0029080A"/>
    <w:rsid w:val="00290894"/>
    <w:rsid w:val="00290A1F"/>
    <w:rsid w:val="00290A36"/>
    <w:rsid w:val="00290CA3"/>
    <w:rsid w:val="00290D2F"/>
    <w:rsid w:val="00290E4A"/>
    <w:rsid w:val="00291133"/>
    <w:rsid w:val="002914DB"/>
    <w:rsid w:val="002921FB"/>
    <w:rsid w:val="002922EB"/>
    <w:rsid w:val="002925EB"/>
    <w:rsid w:val="0029275C"/>
    <w:rsid w:val="002928AC"/>
    <w:rsid w:val="002931E3"/>
    <w:rsid w:val="002936A7"/>
    <w:rsid w:val="002936BD"/>
    <w:rsid w:val="0029395E"/>
    <w:rsid w:val="002942B8"/>
    <w:rsid w:val="002948BC"/>
    <w:rsid w:val="00294D7C"/>
    <w:rsid w:val="00294EF7"/>
    <w:rsid w:val="002950DF"/>
    <w:rsid w:val="00295185"/>
    <w:rsid w:val="0029600F"/>
    <w:rsid w:val="002962AC"/>
    <w:rsid w:val="0029696E"/>
    <w:rsid w:val="00296D01"/>
    <w:rsid w:val="00296DE5"/>
    <w:rsid w:val="0029718E"/>
    <w:rsid w:val="002974E0"/>
    <w:rsid w:val="00297858"/>
    <w:rsid w:val="002A03FB"/>
    <w:rsid w:val="002A041B"/>
    <w:rsid w:val="002A0767"/>
    <w:rsid w:val="002A0A8E"/>
    <w:rsid w:val="002A0E15"/>
    <w:rsid w:val="002A0EC1"/>
    <w:rsid w:val="002A0FED"/>
    <w:rsid w:val="002A14AB"/>
    <w:rsid w:val="002A154E"/>
    <w:rsid w:val="002A158C"/>
    <w:rsid w:val="002A1883"/>
    <w:rsid w:val="002A199E"/>
    <w:rsid w:val="002A1A31"/>
    <w:rsid w:val="002A1A69"/>
    <w:rsid w:val="002A20A3"/>
    <w:rsid w:val="002A2811"/>
    <w:rsid w:val="002A2ADE"/>
    <w:rsid w:val="002A2F50"/>
    <w:rsid w:val="002A301E"/>
    <w:rsid w:val="002A3491"/>
    <w:rsid w:val="002A3526"/>
    <w:rsid w:val="002A352F"/>
    <w:rsid w:val="002A3567"/>
    <w:rsid w:val="002A37D5"/>
    <w:rsid w:val="002A3B2B"/>
    <w:rsid w:val="002A3D2B"/>
    <w:rsid w:val="002A3E27"/>
    <w:rsid w:val="002A3E49"/>
    <w:rsid w:val="002A462D"/>
    <w:rsid w:val="002A478C"/>
    <w:rsid w:val="002A4821"/>
    <w:rsid w:val="002A4DD7"/>
    <w:rsid w:val="002A4E8F"/>
    <w:rsid w:val="002A4E9C"/>
    <w:rsid w:val="002A53A7"/>
    <w:rsid w:val="002A54CF"/>
    <w:rsid w:val="002A5CE2"/>
    <w:rsid w:val="002A5E01"/>
    <w:rsid w:val="002A6131"/>
    <w:rsid w:val="002A6594"/>
    <w:rsid w:val="002A694C"/>
    <w:rsid w:val="002A6C2C"/>
    <w:rsid w:val="002A70A4"/>
    <w:rsid w:val="002A7317"/>
    <w:rsid w:val="002A7C19"/>
    <w:rsid w:val="002B0116"/>
    <w:rsid w:val="002B05A1"/>
    <w:rsid w:val="002B0674"/>
    <w:rsid w:val="002B09A4"/>
    <w:rsid w:val="002B09F2"/>
    <w:rsid w:val="002B1103"/>
    <w:rsid w:val="002B111A"/>
    <w:rsid w:val="002B153D"/>
    <w:rsid w:val="002B17ED"/>
    <w:rsid w:val="002B1803"/>
    <w:rsid w:val="002B1980"/>
    <w:rsid w:val="002B1C1F"/>
    <w:rsid w:val="002B1DED"/>
    <w:rsid w:val="002B1E89"/>
    <w:rsid w:val="002B1FB9"/>
    <w:rsid w:val="002B249E"/>
    <w:rsid w:val="002B24E6"/>
    <w:rsid w:val="002B2507"/>
    <w:rsid w:val="002B2807"/>
    <w:rsid w:val="002B2874"/>
    <w:rsid w:val="002B29B9"/>
    <w:rsid w:val="002B2D13"/>
    <w:rsid w:val="002B2DE6"/>
    <w:rsid w:val="002B304E"/>
    <w:rsid w:val="002B341A"/>
    <w:rsid w:val="002B3548"/>
    <w:rsid w:val="002B378C"/>
    <w:rsid w:val="002B3A1B"/>
    <w:rsid w:val="002B3A63"/>
    <w:rsid w:val="002B3C6F"/>
    <w:rsid w:val="002B432F"/>
    <w:rsid w:val="002B4523"/>
    <w:rsid w:val="002B48CC"/>
    <w:rsid w:val="002B490E"/>
    <w:rsid w:val="002B4A59"/>
    <w:rsid w:val="002B4C10"/>
    <w:rsid w:val="002B4D07"/>
    <w:rsid w:val="002B4D1E"/>
    <w:rsid w:val="002B4E80"/>
    <w:rsid w:val="002B4FFF"/>
    <w:rsid w:val="002B556D"/>
    <w:rsid w:val="002B577E"/>
    <w:rsid w:val="002B58F8"/>
    <w:rsid w:val="002B5B66"/>
    <w:rsid w:val="002B619D"/>
    <w:rsid w:val="002B62B3"/>
    <w:rsid w:val="002B6754"/>
    <w:rsid w:val="002B6938"/>
    <w:rsid w:val="002B6A39"/>
    <w:rsid w:val="002B6CCE"/>
    <w:rsid w:val="002B6D4C"/>
    <w:rsid w:val="002B720B"/>
    <w:rsid w:val="002B72FD"/>
    <w:rsid w:val="002B7C1A"/>
    <w:rsid w:val="002B7C3B"/>
    <w:rsid w:val="002B7D72"/>
    <w:rsid w:val="002B7DC1"/>
    <w:rsid w:val="002B7F4E"/>
    <w:rsid w:val="002B7FC7"/>
    <w:rsid w:val="002C0841"/>
    <w:rsid w:val="002C0932"/>
    <w:rsid w:val="002C1275"/>
    <w:rsid w:val="002C13CE"/>
    <w:rsid w:val="002C15E2"/>
    <w:rsid w:val="002C17EF"/>
    <w:rsid w:val="002C192A"/>
    <w:rsid w:val="002C200B"/>
    <w:rsid w:val="002C2210"/>
    <w:rsid w:val="002C2232"/>
    <w:rsid w:val="002C246C"/>
    <w:rsid w:val="002C2510"/>
    <w:rsid w:val="002C2775"/>
    <w:rsid w:val="002C27C1"/>
    <w:rsid w:val="002C290B"/>
    <w:rsid w:val="002C29D0"/>
    <w:rsid w:val="002C2E03"/>
    <w:rsid w:val="002C2F3F"/>
    <w:rsid w:val="002C2F7A"/>
    <w:rsid w:val="002C30D6"/>
    <w:rsid w:val="002C3232"/>
    <w:rsid w:val="002C3856"/>
    <w:rsid w:val="002C3F98"/>
    <w:rsid w:val="002C3FE9"/>
    <w:rsid w:val="002C4154"/>
    <w:rsid w:val="002C41D0"/>
    <w:rsid w:val="002C44BE"/>
    <w:rsid w:val="002C49F8"/>
    <w:rsid w:val="002C4DD4"/>
    <w:rsid w:val="002C4F1D"/>
    <w:rsid w:val="002C5099"/>
    <w:rsid w:val="002C5151"/>
    <w:rsid w:val="002C5622"/>
    <w:rsid w:val="002C584A"/>
    <w:rsid w:val="002C5889"/>
    <w:rsid w:val="002C5BD4"/>
    <w:rsid w:val="002C610F"/>
    <w:rsid w:val="002C6297"/>
    <w:rsid w:val="002C6869"/>
    <w:rsid w:val="002C6ABE"/>
    <w:rsid w:val="002C6DBE"/>
    <w:rsid w:val="002C7123"/>
    <w:rsid w:val="002C71CE"/>
    <w:rsid w:val="002C7775"/>
    <w:rsid w:val="002C778D"/>
    <w:rsid w:val="002C7AD9"/>
    <w:rsid w:val="002C7B49"/>
    <w:rsid w:val="002C7F1B"/>
    <w:rsid w:val="002D0004"/>
    <w:rsid w:val="002D006C"/>
    <w:rsid w:val="002D04F9"/>
    <w:rsid w:val="002D08F8"/>
    <w:rsid w:val="002D0C69"/>
    <w:rsid w:val="002D1296"/>
    <w:rsid w:val="002D1475"/>
    <w:rsid w:val="002D1549"/>
    <w:rsid w:val="002D1569"/>
    <w:rsid w:val="002D19CF"/>
    <w:rsid w:val="002D1BAC"/>
    <w:rsid w:val="002D1C68"/>
    <w:rsid w:val="002D1EB2"/>
    <w:rsid w:val="002D1FA9"/>
    <w:rsid w:val="002D1FC5"/>
    <w:rsid w:val="002D223E"/>
    <w:rsid w:val="002D22AA"/>
    <w:rsid w:val="002D2BA3"/>
    <w:rsid w:val="002D3C5B"/>
    <w:rsid w:val="002D3CF1"/>
    <w:rsid w:val="002D3DEA"/>
    <w:rsid w:val="002D3F8D"/>
    <w:rsid w:val="002D43EC"/>
    <w:rsid w:val="002D4A2E"/>
    <w:rsid w:val="002D508F"/>
    <w:rsid w:val="002D541B"/>
    <w:rsid w:val="002D56F6"/>
    <w:rsid w:val="002D577C"/>
    <w:rsid w:val="002D58DD"/>
    <w:rsid w:val="002D592A"/>
    <w:rsid w:val="002D5A0E"/>
    <w:rsid w:val="002D5ACF"/>
    <w:rsid w:val="002D5B4C"/>
    <w:rsid w:val="002D5BFF"/>
    <w:rsid w:val="002D60C6"/>
    <w:rsid w:val="002D6145"/>
    <w:rsid w:val="002D61B3"/>
    <w:rsid w:val="002D657F"/>
    <w:rsid w:val="002D6A55"/>
    <w:rsid w:val="002D6E75"/>
    <w:rsid w:val="002D70B1"/>
    <w:rsid w:val="002D7323"/>
    <w:rsid w:val="002D7652"/>
    <w:rsid w:val="002D78EA"/>
    <w:rsid w:val="002D7A49"/>
    <w:rsid w:val="002E06A6"/>
    <w:rsid w:val="002E0816"/>
    <w:rsid w:val="002E0F19"/>
    <w:rsid w:val="002E1071"/>
    <w:rsid w:val="002E1408"/>
    <w:rsid w:val="002E1493"/>
    <w:rsid w:val="002E14C5"/>
    <w:rsid w:val="002E15B9"/>
    <w:rsid w:val="002E193E"/>
    <w:rsid w:val="002E2084"/>
    <w:rsid w:val="002E2158"/>
    <w:rsid w:val="002E22AB"/>
    <w:rsid w:val="002E274B"/>
    <w:rsid w:val="002E3308"/>
    <w:rsid w:val="002E331E"/>
    <w:rsid w:val="002E3AAB"/>
    <w:rsid w:val="002E3CB2"/>
    <w:rsid w:val="002E43A8"/>
    <w:rsid w:val="002E451B"/>
    <w:rsid w:val="002E46BE"/>
    <w:rsid w:val="002E4807"/>
    <w:rsid w:val="002E4F02"/>
    <w:rsid w:val="002E51BD"/>
    <w:rsid w:val="002E548A"/>
    <w:rsid w:val="002E54F0"/>
    <w:rsid w:val="002E556C"/>
    <w:rsid w:val="002E588B"/>
    <w:rsid w:val="002E59AB"/>
    <w:rsid w:val="002E64FF"/>
    <w:rsid w:val="002E672A"/>
    <w:rsid w:val="002E68B6"/>
    <w:rsid w:val="002E6D0F"/>
    <w:rsid w:val="002E6E69"/>
    <w:rsid w:val="002E6EDE"/>
    <w:rsid w:val="002E6FE4"/>
    <w:rsid w:val="002E7128"/>
    <w:rsid w:val="002E7237"/>
    <w:rsid w:val="002E7249"/>
    <w:rsid w:val="002E755C"/>
    <w:rsid w:val="002E7722"/>
    <w:rsid w:val="002E78AB"/>
    <w:rsid w:val="002E7EC1"/>
    <w:rsid w:val="002F03BE"/>
    <w:rsid w:val="002F07BA"/>
    <w:rsid w:val="002F081F"/>
    <w:rsid w:val="002F0BC9"/>
    <w:rsid w:val="002F0DA9"/>
    <w:rsid w:val="002F0EF2"/>
    <w:rsid w:val="002F1014"/>
    <w:rsid w:val="002F18C3"/>
    <w:rsid w:val="002F1DAD"/>
    <w:rsid w:val="002F2039"/>
    <w:rsid w:val="002F20EB"/>
    <w:rsid w:val="002F2884"/>
    <w:rsid w:val="002F2CBC"/>
    <w:rsid w:val="002F2ED5"/>
    <w:rsid w:val="002F3014"/>
    <w:rsid w:val="002F33DC"/>
    <w:rsid w:val="002F345A"/>
    <w:rsid w:val="002F362E"/>
    <w:rsid w:val="002F387F"/>
    <w:rsid w:val="002F3D21"/>
    <w:rsid w:val="002F3E37"/>
    <w:rsid w:val="002F48C2"/>
    <w:rsid w:val="002F49E4"/>
    <w:rsid w:val="002F50CA"/>
    <w:rsid w:val="002F643C"/>
    <w:rsid w:val="002F704E"/>
    <w:rsid w:val="002F7181"/>
    <w:rsid w:val="002F71C0"/>
    <w:rsid w:val="002F7228"/>
    <w:rsid w:val="002F7496"/>
    <w:rsid w:val="002F74F1"/>
    <w:rsid w:val="002F760C"/>
    <w:rsid w:val="002F76E9"/>
    <w:rsid w:val="002F7C0D"/>
    <w:rsid w:val="0030000B"/>
    <w:rsid w:val="00300016"/>
    <w:rsid w:val="003002D0"/>
    <w:rsid w:val="00300A23"/>
    <w:rsid w:val="00300B17"/>
    <w:rsid w:val="00300B97"/>
    <w:rsid w:val="00301017"/>
    <w:rsid w:val="00301550"/>
    <w:rsid w:val="0030155F"/>
    <w:rsid w:val="00301845"/>
    <w:rsid w:val="00301C62"/>
    <w:rsid w:val="00301F19"/>
    <w:rsid w:val="00302238"/>
    <w:rsid w:val="00302757"/>
    <w:rsid w:val="00302796"/>
    <w:rsid w:val="003027E4"/>
    <w:rsid w:val="00302DFD"/>
    <w:rsid w:val="00303477"/>
    <w:rsid w:val="0030370E"/>
    <w:rsid w:val="00303B34"/>
    <w:rsid w:val="00303CD2"/>
    <w:rsid w:val="00303CED"/>
    <w:rsid w:val="00303F0A"/>
    <w:rsid w:val="00304400"/>
    <w:rsid w:val="003047B3"/>
    <w:rsid w:val="00305097"/>
    <w:rsid w:val="0030587B"/>
    <w:rsid w:val="00305A85"/>
    <w:rsid w:val="00305BA7"/>
    <w:rsid w:val="0030603A"/>
    <w:rsid w:val="0030603C"/>
    <w:rsid w:val="0030629D"/>
    <w:rsid w:val="003065CD"/>
    <w:rsid w:val="00306D98"/>
    <w:rsid w:val="003070CD"/>
    <w:rsid w:val="003072A3"/>
    <w:rsid w:val="00307363"/>
    <w:rsid w:val="003073F0"/>
    <w:rsid w:val="0030763D"/>
    <w:rsid w:val="003076B0"/>
    <w:rsid w:val="0030772F"/>
    <w:rsid w:val="00307856"/>
    <w:rsid w:val="0030786C"/>
    <w:rsid w:val="003078FF"/>
    <w:rsid w:val="00307EC6"/>
    <w:rsid w:val="00307F1E"/>
    <w:rsid w:val="00307F66"/>
    <w:rsid w:val="00307F98"/>
    <w:rsid w:val="003101D6"/>
    <w:rsid w:val="0031031A"/>
    <w:rsid w:val="003106D3"/>
    <w:rsid w:val="00310981"/>
    <w:rsid w:val="00310BD8"/>
    <w:rsid w:val="00311146"/>
    <w:rsid w:val="003112E7"/>
    <w:rsid w:val="00311BCD"/>
    <w:rsid w:val="00312146"/>
    <w:rsid w:val="00312301"/>
    <w:rsid w:val="003123CA"/>
    <w:rsid w:val="003124D9"/>
    <w:rsid w:val="00312594"/>
    <w:rsid w:val="003127FA"/>
    <w:rsid w:val="00312B0B"/>
    <w:rsid w:val="00312CCB"/>
    <w:rsid w:val="00312E3C"/>
    <w:rsid w:val="00312E5D"/>
    <w:rsid w:val="003130D6"/>
    <w:rsid w:val="00313316"/>
    <w:rsid w:val="0031356C"/>
    <w:rsid w:val="00313581"/>
    <w:rsid w:val="00313B70"/>
    <w:rsid w:val="00313BB4"/>
    <w:rsid w:val="00313BD8"/>
    <w:rsid w:val="00313EB9"/>
    <w:rsid w:val="00314184"/>
    <w:rsid w:val="003142E3"/>
    <w:rsid w:val="00314527"/>
    <w:rsid w:val="00314949"/>
    <w:rsid w:val="00315073"/>
    <w:rsid w:val="00315498"/>
    <w:rsid w:val="00315A63"/>
    <w:rsid w:val="00315DF2"/>
    <w:rsid w:val="00315ED8"/>
    <w:rsid w:val="0031642C"/>
    <w:rsid w:val="00316474"/>
    <w:rsid w:val="00316E35"/>
    <w:rsid w:val="00316F08"/>
    <w:rsid w:val="00317008"/>
    <w:rsid w:val="00317401"/>
    <w:rsid w:val="00317577"/>
    <w:rsid w:val="00317A0A"/>
    <w:rsid w:val="00317CE3"/>
    <w:rsid w:val="003204B1"/>
    <w:rsid w:val="003204F2"/>
    <w:rsid w:val="0032088D"/>
    <w:rsid w:val="00320CB0"/>
    <w:rsid w:val="00320E26"/>
    <w:rsid w:val="00321216"/>
    <w:rsid w:val="0032170C"/>
    <w:rsid w:val="0032209A"/>
    <w:rsid w:val="00322107"/>
    <w:rsid w:val="00322355"/>
    <w:rsid w:val="0032259D"/>
    <w:rsid w:val="0032276C"/>
    <w:rsid w:val="00322846"/>
    <w:rsid w:val="00322933"/>
    <w:rsid w:val="00322C1E"/>
    <w:rsid w:val="003236A7"/>
    <w:rsid w:val="00323729"/>
    <w:rsid w:val="003238D2"/>
    <w:rsid w:val="003240E9"/>
    <w:rsid w:val="003244F6"/>
    <w:rsid w:val="003246CB"/>
    <w:rsid w:val="00324C91"/>
    <w:rsid w:val="00324E95"/>
    <w:rsid w:val="00324FA3"/>
    <w:rsid w:val="00325120"/>
    <w:rsid w:val="0032528A"/>
    <w:rsid w:val="00326757"/>
    <w:rsid w:val="00326836"/>
    <w:rsid w:val="00326BCF"/>
    <w:rsid w:val="00326C26"/>
    <w:rsid w:val="00326DA7"/>
    <w:rsid w:val="003270E4"/>
    <w:rsid w:val="00327812"/>
    <w:rsid w:val="00327F22"/>
    <w:rsid w:val="00330017"/>
    <w:rsid w:val="003300C4"/>
    <w:rsid w:val="0033022C"/>
    <w:rsid w:val="00330299"/>
    <w:rsid w:val="0033076C"/>
    <w:rsid w:val="00330975"/>
    <w:rsid w:val="00330B10"/>
    <w:rsid w:val="00330BBE"/>
    <w:rsid w:val="00330DAA"/>
    <w:rsid w:val="00330F5C"/>
    <w:rsid w:val="0033179D"/>
    <w:rsid w:val="003318AC"/>
    <w:rsid w:val="00331A5C"/>
    <w:rsid w:val="00331AD5"/>
    <w:rsid w:val="00331DE9"/>
    <w:rsid w:val="003326A9"/>
    <w:rsid w:val="0033283E"/>
    <w:rsid w:val="003328C0"/>
    <w:rsid w:val="00332957"/>
    <w:rsid w:val="00332A36"/>
    <w:rsid w:val="00332C43"/>
    <w:rsid w:val="00332C6D"/>
    <w:rsid w:val="00333532"/>
    <w:rsid w:val="00333748"/>
    <w:rsid w:val="00333C43"/>
    <w:rsid w:val="003341E9"/>
    <w:rsid w:val="00334321"/>
    <w:rsid w:val="00334751"/>
    <w:rsid w:val="003349C8"/>
    <w:rsid w:val="00334A66"/>
    <w:rsid w:val="00334EB9"/>
    <w:rsid w:val="00335119"/>
    <w:rsid w:val="003355ED"/>
    <w:rsid w:val="003357D3"/>
    <w:rsid w:val="00335A40"/>
    <w:rsid w:val="00335EEB"/>
    <w:rsid w:val="0033601A"/>
    <w:rsid w:val="00336399"/>
    <w:rsid w:val="003364C3"/>
    <w:rsid w:val="00336597"/>
    <w:rsid w:val="003366C9"/>
    <w:rsid w:val="00336904"/>
    <w:rsid w:val="00336E15"/>
    <w:rsid w:val="00336EFE"/>
    <w:rsid w:val="003371B0"/>
    <w:rsid w:val="003377CB"/>
    <w:rsid w:val="00337B4E"/>
    <w:rsid w:val="003406B4"/>
    <w:rsid w:val="00340763"/>
    <w:rsid w:val="003407CC"/>
    <w:rsid w:val="0034099F"/>
    <w:rsid w:val="00340C36"/>
    <w:rsid w:val="00340DF1"/>
    <w:rsid w:val="00341397"/>
    <w:rsid w:val="00341655"/>
    <w:rsid w:val="0034183C"/>
    <w:rsid w:val="00341928"/>
    <w:rsid w:val="00341945"/>
    <w:rsid w:val="003419FE"/>
    <w:rsid w:val="00342866"/>
    <w:rsid w:val="00342E62"/>
    <w:rsid w:val="0034335B"/>
    <w:rsid w:val="00343A1B"/>
    <w:rsid w:val="00343D2F"/>
    <w:rsid w:val="003443C7"/>
    <w:rsid w:val="0034467E"/>
    <w:rsid w:val="00344B7A"/>
    <w:rsid w:val="00345092"/>
    <w:rsid w:val="003451B1"/>
    <w:rsid w:val="003454F3"/>
    <w:rsid w:val="003455D2"/>
    <w:rsid w:val="00345784"/>
    <w:rsid w:val="00345A2E"/>
    <w:rsid w:val="00345D63"/>
    <w:rsid w:val="003462F1"/>
    <w:rsid w:val="003463F9"/>
    <w:rsid w:val="003465FB"/>
    <w:rsid w:val="00346612"/>
    <w:rsid w:val="00346713"/>
    <w:rsid w:val="0034686B"/>
    <w:rsid w:val="003469E3"/>
    <w:rsid w:val="00346BC8"/>
    <w:rsid w:val="00346CB0"/>
    <w:rsid w:val="00346D50"/>
    <w:rsid w:val="00346DAD"/>
    <w:rsid w:val="00346E13"/>
    <w:rsid w:val="0034712A"/>
    <w:rsid w:val="0034756F"/>
    <w:rsid w:val="0034772A"/>
    <w:rsid w:val="003478F0"/>
    <w:rsid w:val="00347AED"/>
    <w:rsid w:val="00350358"/>
    <w:rsid w:val="00350409"/>
    <w:rsid w:val="00350B76"/>
    <w:rsid w:val="00350E5E"/>
    <w:rsid w:val="003517F9"/>
    <w:rsid w:val="00351898"/>
    <w:rsid w:val="0035197C"/>
    <w:rsid w:val="003519C0"/>
    <w:rsid w:val="003519DD"/>
    <w:rsid w:val="00351BA9"/>
    <w:rsid w:val="0035207D"/>
    <w:rsid w:val="0035224A"/>
    <w:rsid w:val="00352394"/>
    <w:rsid w:val="0035267D"/>
    <w:rsid w:val="003527E3"/>
    <w:rsid w:val="003528AF"/>
    <w:rsid w:val="00352C33"/>
    <w:rsid w:val="00352E2C"/>
    <w:rsid w:val="003530DF"/>
    <w:rsid w:val="00353500"/>
    <w:rsid w:val="00353C42"/>
    <w:rsid w:val="00353DA5"/>
    <w:rsid w:val="00353DB6"/>
    <w:rsid w:val="00354722"/>
    <w:rsid w:val="00354D7A"/>
    <w:rsid w:val="00354F28"/>
    <w:rsid w:val="00354F64"/>
    <w:rsid w:val="003552C1"/>
    <w:rsid w:val="0035573E"/>
    <w:rsid w:val="00355A09"/>
    <w:rsid w:val="00355AB5"/>
    <w:rsid w:val="0035620E"/>
    <w:rsid w:val="00356583"/>
    <w:rsid w:val="0035662D"/>
    <w:rsid w:val="003566EB"/>
    <w:rsid w:val="003566F9"/>
    <w:rsid w:val="003569A8"/>
    <w:rsid w:val="00356DB4"/>
    <w:rsid w:val="00356E1D"/>
    <w:rsid w:val="00356EA6"/>
    <w:rsid w:val="003573BA"/>
    <w:rsid w:val="003575AC"/>
    <w:rsid w:val="003576DC"/>
    <w:rsid w:val="0035786C"/>
    <w:rsid w:val="003579A5"/>
    <w:rsid w:val="003579DD"/>
    <w:rsid w:val="00357A1E"/>
    <w:rsid w:val="00357C50"/>
    <w:rsid w:val="00357F08"/>
    <w:rsid w:val="003601F8"/>
    <w:rsid w:val="00360345"/>
    <w:rsid w:val="003603DC"/>
    <w:rsid w:val="0036051C"/>
    <w:rsid w:val="003606DA"/>
    <w:rsid w:val="00360996"/>
    <w:rsid w:val="0036107B"/>
    <w:rsid w:val="00361151"/>
    <w:rsid w:val="003611F1"/>
    <w:rsid w:val="0036134B"/>
    <w:rsid w:val="003613B4"/>
    <w:rsid w:val="003614A7"/>
    <w:rsid w:val="00361538"/>
    <w:rsid w:val="003617DF"/>
    <w:rsid w:val="00361A05"/>
    <w:rsid w:val="00361A15"/>
    <w:rsid w:val="00361A7E"/>
    <w:rsid w:val="00361C36"/>
    <w:rsid w:val="00361F25"/>
    <w:rsid w:val="00361F82"/>
    <w:rsid w:val="00362120"/>
    <w:rsid w:val="003623D0"/>
    <w:rsid w:val="003623F2"/>
    <w:rsid w:val="003624C4"/>
    <w:rsid w:val="00362E60"/>
    <w:rsid w:val="00362F4A"/>
    <w:rsid w:val="00363554"/>
    <w:rsid w:val="00363586"/>
    <w:rsid w:val="00363626"/>
    <w:rsid w:val="00363753"/>
    <w:rsid w:val="00363B00"/>
    <w:rsid w:val="00363CCC"/>
    <w:rsid w:val="00363F42"/>
    <w:rsid w:val="00364596"/>
    <w:rsid w:val="00365235"/>
    <w:rsid w:val="003654AC"/>
    <w:rsid w:val="003656D9"/>
    <w:rsid w:val="0036601D"/>
    <w:rsid w:val="00366365"/>
    <w:rsid w:val="00366783"/>
    <w:rsid w:val="00366895"/>
    <w:rsid w:val="00366939"/>
    <w:rsid w:val="003675A5"/>
    <w:rsid w:val="00367C99"/>
    <w:rsid w:val="003700DE"/>
    <w:rsid w:val="00370459"/>
    <w:rsid w:val="003704ED"/>
    <w:rsid w:val="003705E9"/>
    <w:rsid w:val="00370A89"/>
    <w:rsid w:val="00371014"/>
    <w:rsid w:val="003710CF"/>
    <w:rsid w:val="00371272"/>
    <w:rsid w:val="00371CD5"/>
    <w:rsid w:val="00371E9E"/>
    <w:rsid w:val="00372022"/>
    <w:rsid w:val="0037267A"/>
    <w:rsid w:val="00372699"/>
    <w:rsid w:val="003728A5"/>
    <w:rsid w:val="00372AE1"/>
    <w:rsid w:val="00372BC8"/>
    <w:rsid w:val="00372C92"/>
    <w:rsid w:val="00372DB1"/>
    <w:rsid w:val="00372ED0"/>
    <w:rsid w:val="0037332C"/>
    <w:rsid w:val="0037358A"/>
    <w:rsid w:val="00373869"/>
    <w:rsid w:val="00374151"/>
    <w:rsid w:val="00374219"/>
    <w:rsid w:val="00374E2F"/>
    <w:rsid w:val="003750C1"/>
    <w:rsid w:val="003750F6"/>
    <w:rsid w:val="0037527F"/>
    <w:rsid w:val="0037534B"/>
    <w:rsid w:val="00375E13"/>
    <w:rsid w:val="00375EF5"/>
    <w:rsid w:val="00375FB2"/>
    <w:rsid w:val="003760FC"/>
    <w:rsid w:val="003767F6"/>
    <w:rsid w:val="00376CDA"/>
    <w:rsid w:val="00376EE1"/>
    <w:rsid w:val="00377BB8"/>
    <w:rsid w:val="003809A0"/>
    <w:rsid w:val="00380CC3"/>
    <w:rsid w:val="00380EED"/>
    <w:rsid w:val="00380F09"/>
    <w:rsid w:val="00381103"/>
    <w:rsid w:val="0038130C"/>
    <w:rsid w:val="003815DE"/>
    <w:rsid w:val="00381634"/>
    <w:rsid w:val="00381685"/>
    <w:rsid w:val="00382105"/>
    <w:rsid w:val="00382631"/>
    <w:rsid w:val="003827A5"/>
    <w:rsid w:val="00382845"/>
    <w:rsid w:val="003828CF"/>
    <w:rsid w:val="003829AC"/>
    <w:rsid w:val="00382A5D"/>
    <w:rsid w:val="00382DFC"/>
    <w:rsid w:val="00382FF7"/>
    <w:rsid w:val="00383008"/>
    <w:rsid w:val="003831BF"/>
    <w:rsid w:val="003834E9"/>
    <w:rsid w:val="0038365C"/>
    <w:rsid w:val="0038369B"/>
    <w:rsid w:val="00383929"/>
    <w:rsid w:val="00383B78"/>
    <w:rsid w:val="00383DF4"/>
    <w:rsid w:val="00384638"/>
    <w:rsid w:val="00384AF8"/>
    <w:rsid w:val="00384F8C"/>
    <w:rsid w:val="003855E7"/>
    <w:rsid w:val="00385A9D"/>
    <w:rsid w:val="00385F11"/>
    <w:rsid w:val="003865F5"/>
    <w:rsid w:val="00386C70"/>
    <w:rsid w:val="0038718E"/>
    <w:rsid w:val="0038744C"/>
    <w:rsid w:val="0038786F"/>
    <w:rsid w:val="00390058"/>
    <w:rsid w:val="003902B1"/>
    <w:rsid w:val="0039042F"/>
    <w:rsid w:val="00390605"/>
    <w:rsid w:val="00390610"/>
    <w:rsid w:val="00390D17"/>
    <w:rsid w:val="00390E7C"/>
    <w:rsid w:val="00390EC5"/>
    <w:rsid w:val="00390FC0"/>
    <w:rsid w:val="0039179C"/>
    <w:rsid w:val="003918A3"/>
    <w:rsid w:val="00391D65"/>
    <w:rsid w:val="0039214A"/>
    <w:rsid w:val="0039258D"/>
    <w:rsid w:val="00392C6B"/>
    <w:rsid w:val="00392FBA"/>
    <w:rsid w:val="003935B6"/>
    <w:rsid w:val="00393985"/>
    <w:rsid w:val="00393A5C"/>
    <w:rsid w:val="00393BD8"/>
    <w:rsid w:val="00393C25"/>
    <w:rsid w:val="00393E52"/>
    <w:rsid w:val="00394051"/>
    <w:rsid w:val="00394322"/>
    <w:rsid w:val="00394985"/>
    <w:rsid w:val="003949CE"/>
    <w:rsid w:val="0039501D"/>
    <w:rsid w:val="00395BC3"/>
    <w:rsid w:val="00395EF5"/>
    <w:rsid w:val="00396268"/>
    <w:rsid w:val="003962E2"/>
    <w:rsid w:val="00396896"/>
    <w:rsid w:val="00396897"/>
    <w:rsid w:val="00396D82"/>
    <w:rsid w:val="00396FD0"/>
    <w:rsid w:val="0039796C"/>
    <w:rsid w:val="00397FBD"/>
    <w:rsid w:val="003A029A"/>
    <w:rsid w:val="003A05EE"/>
    <w:rsid w:val="003A0944"/>
    <w:rsid w:val="003A0989"/>
    <w:rsid w:val="003A0A25"/>
    <w:rsid w:val="003A1145"/>
    <w:rsid w:val="003A11D0"/>
    <w:rsid w:val="003A11F0"/>
    <w:rsid w:val="003A13C9"/>
    <w:rsid w:val="003A1783"/>
    <w:rsid w:val="003A1800"/>
    <w:rsid w:val="003A192A"/>
    <w:rsid w:val="003A1A7A"/>
    <w:rsid w:val="003A1B46"/>
    <w:rsid w:val="003A1BE8"/>
    <w:rsid w:val="003A1BF3"/>
    <w:rsid w:val="003A1F1D"/>
    <w:rsid w:val="003A213E"/>
    <w:rsid w:val="003A2392"/>
    <w:rsid w:val="003A2831"/>
    <w:rsid w:val="003A29BC"/>
    <w:rsid w:val="003A2FA8"/>
    <w:rsid w:val="003A323F"/>
    <w:rsid w:val="003A3449"/>
    <w:rsid w:val="003A36BC"/>
    <w:rsid w:val="003A3712"/>
    <w:rsid w:val="003A3817"/>
    <w:rsid w:val="003A399F"/>
    <w:rsid w:val="003A3A4B"/>
    <w:rsid w:val="003A3B21"/>
    <w:rsid w:val="003A3CB6"/>
    <w:rsid w:val="003A3E8B"/>
    <w:rsid w:val="003A3ED1"/>
    <w:rsid w:val="003A438A"/>
    <w:rsid w:val="003A441B"/>
    <w:rsid w:val="003A44DB"/>
    <w:rsid w:val="003A474A"/>
    <w:rsid w:val="003A4ADE"/>
    <w:rsid w:val="003A4E49"/>
    <w:rsid w:val="003A530E"/>
    <w:rsid w:val="003A53F3"/>
    <w:rsid w:val="003A54C5"/>
    <w:rsid w:val="003A5ACF"/>
    <w:rsid w:val="003A5C4E"/>
    <w:rsid w:val="003A5D04"/>
    <w:rsid w:val="003A5DE0"/>
    <w:rsid w:val="003A5EB1"/>
    <w:rsid w:val="003A6462"/>
    <w:rsid w:val="003A6A58"/>
    <w:rsid w:val="003A6CC0"/>
    <w:rsid w:val="003A6CEA"/>
    <w:rsid w:val="003A6D8A"/>
    <w:rsid w:val="003A6E33"/>
    <w:rsid w:val="003A6E9F"/>
    <w:rsid w:val="003A6FAB"/>
    <w:rsid w:val="003A6FB4"/>
    <w:rsid w:val="003A71FE"/>
    <w:rsid w:val="003A760B"/>
    <w:rsid w:val="003A7910"/>
    <w:rsid w:val="003B0120"/>
    <w:rsid w:val="003B03D5"/>
    <w:rsid w:val="003B0437"/>
    <w:rsid w:val="003B04B1"/>
    <w:rsid w:val="003B0853"/>
    <w:rsid w:val="003B09D5"/>
    <w:rsid w:val="003B0CDD"/>
    <w:rsid w:val="003B0D34"/>
    <w:rsid w:val="003B0DE0"/>
    <w:rsid w:val="003B105C"/>
    <w:rsid w:val="003B11E3"/>
    <w:rsid w:val="003B13DC"/>
    <w:rsid w:val="003B1D92"/>
    <w:rsid w:val="003B20DF"/>
    <w:rsid w:val="003B228A"/>
    <w:rsid w:val="003B22DC"/>
    <w:rsid w:val="003B2563"/>
    <w:rsid w:val="003B2819"/>
    <w:rsid w:val="003B2DC7"/>
    <w:rsid w:val="003B31A6"/>
    <w:rsid w:val="003B32DF"/>
    <w:rsid w:val="003B33AF"/>
    <w:rsid w:val="003B350D"/>
    <w:rsid w:val="003B3734"/>
    <w:rsid w:val="003B3971"/>
    <w:rsid w:val="003B3AAE"/>
    <w:rsid w:val="003B3B0D"/>
    <w:rsid w:val="003B3D8D"/>
    <w:rsid w:val="003B4DB8"/>
    <w:rsid w:val="003B5032"/>
    <w:rsid w:val="003B5161"/>
    <w:rsid w:val="003B5490"/>
    <w:rsid w:val="003B55C7"/>
    <w:rsid w:val="003B55D1"/>
    <w:rsid w:val="003B5645"/>
    <w:rsid w:val="003B5782"/>
    <w:rsid w:val="003B590C"/>
    <w:rsid w:val="003B5B61"/>
    <w:rsid w:val="003B5C16"/>
    <w:rsid w:val="003B5CB2"/>
    <w:rsid w:val="003B5F83"/>
    <w:rsid w:val="003B6022"/>
    <w:rsid w:val="003B642B"/>
    <w:rsid w:val="003B6470"/>
    <w:rsid w:val="003B6D17"/>
    <w:rsid w:val="003B6EB7"/>
    <w:rsid w:val="003B7440"/>
    <w:rsid w:val="003B7906"/>
    <w:rsid w:val="003C03D4"/>
    <w:rsid w:val="003C05D6"/>
    <w:rsid w:val="003C09F6"/>
    <w:rsid w:val="003C0B3A"/>
    <w:rsid w:val="003C1189"/>
    <w:rsid w:val="003C1377"/>
    <w:rsid w:val="003C1654"/>
    <w:rsid w:val="003C1A44"/>
    <w:rsid w:val="003C1D37"/>
    <w:rsid w:val="003C1D43"/>
    <w:rsid w:val="003C1DF2"/>
    <w:rsid w:val="003C1E42"/>
    <w:rsid w:val="003C2175"/>
    <w:rsid w:val="003C2839"/>
    <w:rsid w:val="003C2B29"/>
    <w:rsid w:val="003C2D43"/>
    <w:rsid w:val="003C2E6E"/>
    <w:rsid w:val="003C31CC"/>
    <w:rsid w:val="003C3C1A"/>
    <w:rsid w:val="003C3C5A"/>
    <w:rsid w:val="003C3C66"/>
    <w:rsid w:val="003C42EC"/>
    <w:rsid w:val="003C44B5"/>
    <w:rsid w:val="003C4911"/>
    <w:rsid w:val="003C4D1A"/>
    <w:rsid w:val="003C4E18"/>
    <w:rsid w:val="003C4F82"/>
    <w:rsid w:val="003C500F"/>
    <w:rsid w:val="003C5301"/>
    <w:rsid w:val="003C5542"/>
    <w:rsid w:val="003C5668"/>
    <w:rsid w:val="003C61C8"/>
    <w:rsid w:val="003C6258"/>
    <w:rsid w:val="003C6773"/>
    <w:rsid w:val="003C6B5A"/>
    <w:rsid w:val="003C6C89"/>
    <w:rsid w:val="003C716D"/>
    <w:rsid w:val="003C73D2"/>
    <w:rsid w:val="003C7AE3"/>
    <w:rsid w:val="003C7D19"/>
    <w:rsid w:val="003C7D2F"/>
    <w:rsid w:val="003D031F"/>
    <w:rsid w:val="003D04CC"/>
    <w:rsid w:val="003D0801"/>
    <w:rsid w:val="003D086A"/>
    <w:rsid w:val="003D094C"/>
    <w:rsid w:val="003D0AA0"/>
    <w:rsid w:val="003D0D80"/>
    <w:rsid w:val="003D0DD5"/>
    <w:rsid w:val="003D0DDE"/>
    <w:rsid w:val="003D0FFC"/>
    <w:rsid w:val="003D1828"/>
    <w:rsid w:val="003D1943"/>
    <w:rsid w:val="003D1C5B"/>
    <w:rsid w:val="003D1DE4"/>
    <w:rsid w:val="003D1E9A"/>
    <w:rsid w:val="003D1EB2"/>
    <w:rsid w:val="003D2422"/>
    <w:rsid w:val="003D24C5"/>
    <w:rsid w:val="003D2A92"/>
    <w:rsid w:val="003D2FB1"/>
    <w:rsid w:val="003D2FFD"/>
    <w:rsid w:val="003D33CB"/>
    <w:rsid w:val="003D39A1"/>
    <w:rsid w:val="003D3BAC"/>
    <w:rsid w:val="003D3D7C"/>
    <w:rsid w:val="003D3E30"/>
    <w:rsid w:val="003D3FBF"/>
    <w:rsid w:val="003D4239"/>
    <w:rsid w:val="003D448C"/>
    <w:rsid w:val="003D46B6"/>
    <w:rsid w:val="003D4A30"/>
    <w:rsid w:val="003D4CA7"/>
    <w:rsid w:val="003D5338"/>
    <w:rsid w:val="003D5861"/>
    <w:rsid w:val="003D58E5"/>
    <w:rsid w:val="003D5FD2"/>
    <w:rsid w:val="003D626F"/>
    <w:rsid w:val="003D65A5"/>
    <w:rsid w:val="003D6A71"/>
    <w:rsid w:val="003D6B8C"/>
    <w:rsid w:val="003D6CE1"/>
    <w:rsid w:val="003D6D42"/>
    <w:rsid w:val="003D7452"/>
    <w:rsid w:val="003D79BB"/>
    <w:rsid w:val="003D7AFC"/>
    <w:rsid w:val="003D7B7C"/>
    <w:rsid w:val="003D7C98"/>
    <w:rsid w:val="003D7CE4"/>
    <w:rsid w:val="003D7D9D"/>
    <w:rsid w:val="003E025A"/>
    <w:rsid w:val="003E0543"/>
    <w:rsid w:val="003E091E"/>
    <w:rsid w:val="003E09E8"/>
    <w:rsid w:val="003E103A"/>
    <w:rsid w:val="003E10D3"/>
    <w:rsid w:val="003E11C7"/>
    <w:rsid w:val="003E11D7"/>
    <w:rsid w:val="003E1345"/>
    <w:rsid w:val="003E1351"/>
    <w:rsid w:val="003E17FF"/>
    <w:rsid w:val="003E1868"/>
    <w:rsid w:val="003E187A"/>
    <w:rsid w:val="003E1EBA"/>
    <w:rsid w:val="003E20B7"/>
    <w:rsid w:val="003E2234"/>
    <w:rsid w:val="003E236A"/>
    <w:rsid w:val="003E23C4"/>
    <w:rsid w:val="003E28D0"/>
    <w:rsid w:val="003E2A9A"/>
    <w:rsid w:val="003E2F59"/>
    <w:rsid w:val="003E31C9"/>
    <w:rsid w:val="003E3603"/>
    <w:rsid w:val="003E388F"/>
    <w:rsid w:val="003E3928"/>
    <w:rsid w:val="003E3BC2"/>
    <w:rsid w:val="003E40BB"/>
    <w:rsid w:val="003E42AD"/>
    <w:rsid w:val="003E4D30"/>
    <w:rsid w:val="003E4DB3"/>
    <w:rsid w:val="003E543A"/>
    <w:rsid w:val="003E55F8"/>
    <w:rsid w:val="003E5AB1"/>
    <w:rsid w:val="003E63B2"/>
    <w:rsid w:val="003E675F"/>
    <w:rsid w:val="003E6B9D"/>
    <w:rsid w:val="003E6F11"/>
    <w:rsid w:val="003E6F30"/>
    <w:rsid w:val="003E7231"/>
    <w:rsid w:val="003E72DA"/>
    <w:rsid w:val="003E73FF"/>
    <w:rsid w:val="003E749E"/>
    <w:rsid w:val="003E77B4"/>
    <w:rsid w:val="003E7960"/>
    <w:rsid w:val="003F01DE"/>
    <w:rsid w:val="003F049E"/>
    <w:rsid w:val="003F04DC"/>
    <w:rsid w:val="003F055D"/>
    <w:rsid w:val="003F0A3F"/>
    <w:rsid w:val="003F0A92"/>
    <w:rsid w:val="003F0DBA"/>
    <w:rsid w:val="003F0E3C"/>
    <w:rsid w:val="003F0FC7"/>
    <w:rsid w:val="003F11F8"/>
    <w:rsid w:val="003F15F7"/>
    <w:rsid w:val="003F1604"/>
    <w:rsid w:val="003F1E38"/>
    <w:rsid w:val="003F20A3"/>
    <w:rsid w:val="003F230E"/>
    <w:rsid w:val="003F23DA"/>
    <w:rsid w:val="003F32C5"/>
    <w:rsid w:val="003F336D"/>
    <w:rsid w:val="003F3563"/>
    <w:rsid w:val="003F3E88"/>
    <w:rsid w:val="003F4156"/>
    <w:rsid w:val="003F4332"/>
    <w:rsid w:val="003F4569"/>
    <w:rsid w:val="003F47BA"/>
    <w:rsid w:val="003F55B0"/>
    <w:rsid w:val="003F5786"/>
    <w:rsid w:val="003F582C"/>
    <w:rsid w:val="003F5ADF"/>
    <w:rsid w:val="003F5C1F"/>
    <w:rsid w:val="003F5F9B"/>
    <w:rsid w:val="003F6614"/>
    <w:rsid w:val="003F68B2"/>
    <w:rsid w:val="003F6CA2"/>
    <w:rsid w:val="003F6D23"/>
    <w:rsid w:val="003F6D5A"/>
    <w:rsid w:val="003F6EC5"/>
    <w:rsid w:val="003F6F6C"/>
    <w:rsid w:val="003F70B7"/>
    <w:rsid w:val="003F72BF"/>
    <w:rsid w:val="003F73C1"/>
    <w:rsid w:val="003F74D5"/>
    <w:rsid w:val="00400795"/>
    <w:rsid w:val="0040098E"/>
    <w:rsid w:val="00400B20"/>
    <w:rsid w:val="00400B29"/>
    <w:rsid w:val="00400B3F"/>
    <w:rsid w:val="0040154C"/>
    <w:rsid w:val="00401ACD"/>
    <w:rsid w:val="00401CE3"/>
    <w:rsid w:val="004021C0"/>
    <w:rsid w:val="0040235F"/>
    <w:rsid w:val="00402442"/>
    <w:rsid w:val="0040251E"/>
    <w:rsid w:val="0040284C"/>
    <w:rsid w:val="00402B53"/>
    <w:rsid w:val="00402D4D"/>
    <w:rsid w:val="0040361B"/>
    <w:rsid w:val="0040392D"/>
    <w:rsid w:val="004039B8"/>
    <w:rsid w:val="00403C7E"/>
    <w:rsid w:val="004042A8"/>
    <w:rsid w:val="0040430D"/>
    <w:rsid w:val="0040444D"/>
    <w:rsid w:val="00404557"/>
    <w:rsid w:val="00404729"/>
    <w:rsid w:val="00404798"/>
    <w:rsid w:val="00404DB6"/>
    <w:rsid w:val="00404DEC"/>
    <w:rsid w:val="0040504B"/>
    <w:rsid w:val="004059CF"/>
    <w:rsid w:val="004059F4"/>
    <w:rsid w:val="00405EC2"/>
    <w:rsid w:val="00406376"/>
    <w:rsid w:val="0040641A"/>
    <w:rsid w:val="0040662E"/>
    <w:rsid w:val="00406673"/>
    <w:rsid w:val="00407002"/>
    <w:rsid w:val="00407029"/>
    <w:rsid w:val="004074B2"/>
    <w:rsid w:val="00407F36"/>
    <w:rsid w:val="00407FE5"/>
    <w:rsid w:val="004101B0"/>
    <w:rsid w:val="00410326"/>
    <w:rsid w:val="00410708"/>
    <w:rsid w:val="004109B7"/>
    <w:rsid w:val="004109E6"/>
    <w:rsid w:val="00410EC7"/>
    <w:rsid w:val="00411349"/>
    <w:rsid w:val="00411550"/>
    <w:rsid w:val="0041157E"/>
    <w:rsid w:val="00411B39"/>
    <w:rsid w:val="00411C15"/>
    <w:rsid w:val="0041247F"/>
    <w:rsid w:val="00412684"/>
    <w:rsid w:val="004127A7"/>
    <w:rsid w:val="00412C3C"/>
    <w:rsid w:val="00412CB5"/>
    <w:rsid w:val="00412D85"/>
    <w:rsid w:val="00413688"/>
    <w:rsid w:val="004137BE"/>
    <w:rsid w:val="00413A1E"/>
    <w:rsid w:val="00413B67"/>
    <w:rsid w:val="00413FD8"/>
    <w:rsid w:val="00414476"/>
    <w:rsid w:val="004147A3"/>
    <w:rsid w:val="004149D9"/>
    <w:rsid w:val="00414C2E"/>
    <w:rsid w:val="00414E25"/>
    <w:rsid w:val="004150FF"/>
    <w:rsid w:val="004151CF"/>
    <w:rsid w:val="00415419"/>
    <w:rsid w:val="0041541A"/>
    <w:rsid w:val="004154B7"/>
    <w:rsid w:val="004158F5"/>
    <w:rsid w:val="00415B9D"/>
    <w:rsid w:val="00415D54"/>
    <w:rsid w:val="00416364"/>
    <w:rsid w:val="0041655D"/>
    <w:rsid w:val="00416A1C"/>
    <w:rsid w:val="00416EF3"/>
    <w:rsid w:val="004171FE"/>
    <w:rsid w:val="0041770F"/>
    <w:rsid w:val="00417ACD"/>
    <w:rsid w:val="00417B2B"/>
    <w:rsid w:val="00417B8A"/>
    <w:rsid w:val="00417E8E"/>
    <w:rsid w:val="00417F19"/>
    <w:rsid w:val="00417FC5"/>
    <w:rsid w:val="0042047F"/>
    <w:rsid w:val="00420576"/>
    <w:rsid w:val="004206B6"/>
    <w:rsid w:val="00420AA6"/>
    <w:rsid w:val="00420B9F"/>
    <w:rsid w:val="00420EFA"/>
    <w:rsid w:val="0042162A"/>
    <w:rsid w:val="004218A8"/>
    <w:rsid w:val="0042192C"/>
    <w:rsid w:val="00421D27"/>
    <w:rsid w:val="00422260"/>
    <w:rsid w:val="00422CF2"/>
    <w:rsid w:val="00422DEB"/>
    <w:rsid w:val="004239EA"/>
    <w:rsid w:val="0042413F"/>
    <w:rsid w:val="004241D2"/>
    <w:rsid w:val="00424456"/>
    <w:rsid w:val="00424A78"/>
    <w:rsid w:val="00424CA5"/>
    <w:rsid w:val="0042533A"/>
    <w:rsid w:val="004256F5"/>
    <w:rsid w:val="00425AC3"/>
    <w:rsid w:val="00425B85"/>
    <w:rsid w:val="00425F7A"/>
    <w:rsid w:val="0042601B"/>
    <w:rsid w:val="004262F2"/>
    <w:rsid w:val="0042685E"/>
    <w:rsid w:val="00426EAA"/>
    <w:rsid w:val="00426EF5"/>
    <w:rsid w:val="00426EFD"/>
    <w:rsid w:val="00426FBC"/>
    <w:rsid w:val="004275A6"/>
    <w:rsid w:val="00427766"/>
    <w:rsid w:val="00427CDB"/>
    <w:rsid w:val="00427FF2"/>
    <w:rsid w:val="004319DB"/>
    <w:rsid w:val="004319F8"/>
    <w:rsid w:val="00431E55"/>
    <w:rsid w:val="00431E5C"/>
    <w:rsid w:val="004321F6"/>
    <w:rsid w:val="0043244A"/>
    <w:rsid w:val="004324D7"/>
    <w:rsid w:val="00433044"/>
    <w:rsid w:val="0043322B"/>
    <w:rsid w:val="00433424"/>
    <w:rsid w:val="0043360B"/>
    <w:rsid w:val="00433739"/>
    <w:rsid w:val="00433D8B"/>
    <w:rsid w:val="00433E45"/>
    <w:rsid w:val="00433E79"/>
    <w:rsid w:val="00434002"/>
    <w:rsid w:val="0043407E"/>
    <w:rsid w:val="00434088"/>
    <w:rsid w:val="00434127"/>
    <w:rsid w:val="00434237"/>
    <w:rsid w:val="00434744"/>
    <w:rsid w:val="004347DE"/>
    <w:rsid w:val="00435230"/>
    <w:rsid w:val="0043583A"/>
    <w:rsid w:val="00435924"/>
    <w:rsid w:val="00435A00"/>
    <w:rsid w:val="00435D4D"/>
    <w:rsid w:val="00435F23"/>
    <w:rsid w:val="00436342"/>
    <w:rsid w:val="004365F9"/>
    <w:rsid w:val="00436EA2"/>
    <w:rsid w:val="00437032"/>
    <w:rsid w:val="00437197"/>
    <w:rsid w:val="00437257"/>
    <w:rsid w:val="00437429"/>
    <w:rsid w:val="004375B9"/>
    <w:rsid w:val="0043775F"/>
    <w:rsid w:val="004400A9"/>
    <w:rsid w:val="0044011B"/>
    <w:rsid w:val="004401E7"/>
    <w:rsid w:val="00440633"/>
    <w:rsid w:val="00440D90"/>
    <w:rsid w:val="004411C0"/>
    <w:rsid w:val="00441396"/>
    <w:rsid w:val="004417F9"/>
    <w:rsid w:val="00441ABD"/>
    <w:rsid w:val="00441F44"/>
    <w:rsid w:val="00442592"/>
    <w:rsid w:val="004428D0"/>
    <w:rsid w:val="00443209"/>
    <w:rsid w:val="0044362A"/>
    <w:rsid w:val="00443D32"/>
    <w:rsid w:val="00443F74"/>
    <w:rsid w:val="0044414A"/>
    <w:rsid w:val="00444185"/>
    <w:rsid w:val="00444382"/>
    <w:rsid w:val="004443A7"/>
    <w:rsid w:val="0044442C"/>
    <w:rsid w:val="004444A9"/>
    <w:rsid w:val="0044454E"/>
    <w:rsid w:val="0044456C"/>
    <w:rsid w:val="004448DA"/>
    <w:rsid w:val="004449F0"/>
    <w:rsid w:val="00444E76"/>
    <w:rsid w:val="00444F49"/>
    <w:rsid w:val="00444F4D"/>
    <w:rsid w:val="00445042"/>
    <w:rsid w:val="004450D3"/>
    <w:rsid w:val="004452BF"/>
    <w:rsid w:val="004452E1"/>
    <w:rsid w:val="004452F5"/>
    <w:rsid w:val="0044554B"/>
    <w:rsid w:val="00445941"/>
    <w:rsid w:val="00445E04"/>
    <w:rsid w:val="00445F29"/>
    <w:rsid w:val="00445FB1"/>
    <w:rsid w:val="00445FD5"/>
    <w:rsid w:val="004461F3"/>
    <w:rsid w:val="004464EB"/>
    <w:rsid w:val="00446F1A"/>
    <w:rsid w:val="00447111"/>
    <w:rsid w:val="004471EF"/>
    <w:rsid w:val="004477AA"/>
    <w:rsid w:val="00447B48"/>
    <w:rsid w:val="00447C6F"/>
    <w:rsid w:val="00447D26"/>
    <w:rsid w:val="00447DFC"/>
    <w:rsid w:val="00447EBD"/>
    <w:rsid w:val="00447FB4"/>
    <w:rsid w:val="004502A6"/>
    <w:rsid w:val="004504A2"/>
    <w:rsid w:val="00450766"/>
    <w:rsid w:val="00450EDF"/>
    <w:rsid w:val="00451019"/>
    <w:rsid w:val="004513E9"/>
    <w:rsid w:val="0045175D"/>
    <w:rsid w:val="0045186F"/>
    <w:rsid w:val="00451DC6"/>
    <w:rsid w:val="00452117"/>
    <w:rsid w:val="00452833"/>
    <w:rsid w:val="00452C21"/>
    <w:rsid w:val="00452E9D"/>
    <w:rsid w:val="00452FBB"/>
    <w:rsid w:val="00453F31"/>
    <w:rsid w:val="0045401B"/>
    <w:rsid w:val="004544ED"/>
    <w:rsid w:val="0045491B"/>
    <w:rsid w:val="00454B36"/>
    <w:rsid w:val="0045538F"/>
    <w:rsid w:val="00455657"/>
    <w:rsid w:val="004557C5"/>
    <w:rsid w:val="0045599C"/>
    <w:rsid w:val="00455D45"/>
    <w:rsid w:val="00455E49"/>
    <w:rsid w:val="00455F17"/>
    <w:rsid w:val="004560E5"/>
    <w:rsid w:val="0045641A"/>
    <w:rsid w:val="00456DE9"/>
    <w:rsid w:val="00457139"/>
    <w:rsid w:val="00457327"/>
    <w:rsid w:val="0045781E"/>
    <w:rsid w:val="00457878"/>
    <w:rsid w:val="00457F15"/>
    <w:rsid w:val="00460147"/>
    <w:rsid w:val="004607C1"/>
    <w:rsid w:val="004612FF"/>
    <w:rsid w:val="004614C0"/>
    <w:rsid w:val="00461A12"/>
    <w:rsid w:val="00462066"/>
    <w:rsid w:val="00462E6D"/>
    <w:rsid w:val="004631A9"/>
    <w:rsid w:val="004636EE"/>
    <w:rsid w:val="00464467"/>
    <w:rsid w:val="00464595"/>
    <w:rsid w:val="00464BE3"/>
    <w:rsid w:val="00465758"/>
    <w:rsid w:val="004658B5"/>
    <w:rsid w:val="004658B9"/>
    <w:rsid w:val="00465FD0"/>
    <w:rsid w:val="00466156"/>
    <w:rsid w:val="00466A89"/>
    <w:rsid w:val="00466B00"/>
    <w:rsid w:val="004671D3"/>
    <w:rsid w:val="004671F8"/>
    <w:rsid w:val="004672F2"/>
    <w:rsid w:val="0046735C"/>
    <w:rsid w:val="0046736E"/>
    <w:rsid w:val="004676C2"/>
    <w:rsid w:val="00470A81"/>
    <w:rsid w:val="00470CD5"/>
    <w:rsid w:val="00470CE9"/>
    <w:rsid w:val="0047132E"/>
    <w:rsid w:val="0047194F"/>
    <w:rsid w:val="00471E0F"/>
    <w:rsid w:val="00471EA5"/>
    <w:rsid w:val="004722AE"/>
    <w:rsid w:val="00472594"/>
    <w:rsid w:val="00472888"/>
    <w:rsid w:val="004729EA"/>
    <w:rsid w:val="00472A79"/>
    <w:rsid w:val="00472B7E"/>
    <w:rsid w:val="00472C57"/>
    <w:rsid w:val="00472E3D"/>
    <w:rsid w:val="00473252"/>
    <w:rsid w:val="004735D6"/>
    <w:rsid w:val="00473B6C"/>
    <w:rsid w:val="00473D44"/>
    <w:rsid w:val="00473F19"/>
    <w:rsid w:val="00473F90"/>
    <w:rsid w:val="0047418E"/>
    <w:rsid w:val="004748A6"/>
    <w:rsid w:val="004748DB"/>
    <w:rsid w:val="00475E22"/>
    <w:rsid w:val="00475EE9"/>
    <w:rsid w:val="0047670A"/>
    <w:rsid w:val="00476758"/>
    <w:rsid w:val="004768FF"/>
    <w:rsid w:val="00476908"/>
    <w:rsid w:val="00476A19"/>
    <w:rsid w:val="00476A38"/>
    <w:rsid w:val="00477673"/>
    <w:rsid w:val="004779A8"/>
    <w:rsid w:val="00477A45"/>
    <w:rsid w:val="00477F82"/>
    <w:rsid w:val="004801CE"/>
    <w:rsid w:val="00480362"/>
    <w:rsid w:val="00480580"/>
    <w:rsid w:val="004805EF"/>
    <w:rsid w:val="004807D1"/>
    <w:rsid w:val="00480843"/>
    <w:rsid w:val="0048088E"/>
    <w:rsid w:val="0048094D"/>
    <w:rsid w:val="00480F2B"/>
    <w:rsid w:val="0048122D"/>
    <w:rsid w:val="004817EF"/>
    <w:rsid w:val="004818B7"/>
    <w:rsid w:val="00481B0D"/>
    <w:rsid w:val="00481BBF"/>
    <w:rsid w:val="00481BCC"/>
    <w:rsid w:val="00481C4F"/>
    <w:rsid w:val="00481DEA"/>
    <w:rsid w:val="00481E08"/>
    <w:rsid w:val="00481E73"/>
    <w:rsid w:val="00481FDB"/>
    <w:rsid w:val="0048217E"/>
    <w:rsid w:val="00482353"/>
    <w:rsid w:val="004823B0"/>
    <w:rsid w:val="00482720"/>
    <w:rsid w:val="00482F2A"/>
    <w:rsid w:val="004831C9"/>
    <w:rsid w:val="004835E7"/>
    <w:rsid w:val="00483821"/>
    <w:rsid w:val="00483C99"/>
    <w:rsid w:val="00483D81"/>
    <w:rsid w:val="00483E43"/>
    <w:rsid w:val="00483F9A"/>
    <w:rsid w:val="00483FA6"/>
    <w:rsid w:val="00484097"/>
    <w:rsid w:val="00484B8F"/>
    <w:rsid w:val="00484C23"/>
    <w:rsid w:val="00485412"/>
    <w:rsid w:val="0048552F"/>
    <w:rsid w:val="004855BD"/>
    <w:rsid w:val="00485D33"/>
    <w:rsid w:val="00486025"/>
    <w:rsid w:val="0048634A"/>
    <w:rsid w:val="004867E2"/>
    <w:rsid w:val="0048719A"/>
    <w:rsid w:val="004876BB"/>
    <w:rsid w:val="00487772"/>
    <w:rsid w:val="00487BB0"/>
    <w:rsid w:val="00487DAE"/>
    <w:rsid w:val="00487FBB"/>
    <w:rsid w:val="004905D8"/>
    <w:rsid w:val="00490A84"/>
    <w:rsid w:val="00490B17"/>
    <w:rsid w:val="00490E2D"/>
    <w:rsid w:val="00490ECD"/>
    <w:rsid w:val="00490EDB"/>
    <w:rsid w:val="00491327"/>
    <w:rsid w:val="0049149C"/>
    <w:rsid w:val="00491612"/>
    <w:rsid w:val="00491665"/>
    <w:rsid w:val="00491954"/>
    <w:rsid w:val="00491B3A"/>
    <w:rsid w:val="00491CBC"/>
    <w:rsid w:val="004922FA"/>
    <w:rsid w:val="004923E7"/>
    <w:rsid w:val="0049249B"/>
    <w:rsid w:val="004927E3"/>
    <w:rsid w:val="0049293D"/>
    <w:rsid w:val="004929EC"/>
    <w:rsid w:val="00492AF5"/>
    <w:rsid w:val="00492CFD"/>
    <w:rsid w:val="0049325C"/>
    <w:rsid w:val="004933A7"/>
    <w:rsid w:val="004936D5"/>
    <w:rsid w:val="004938D3"/>
    <w:rsid w:val="004938FD"/>
    <w:rsid w:val="00493B93"/>
    <w:rsid w:val="00494207"/>
    <w:rsid w:val="00494228"/>
    <w:rsid w:val="004944D7"/>
    <w:rsid w:val="00494790"/>
    <w:rsid w:val="00494B6B"/>
    <w:rsid w:val="00494BC3"/>
    <w:rsid w:val="00494DD5"/>
    <w:rsid w:val="004950AB"/>
    <w:rsid w:val="004950B0"/>
    <w:rsid w:val="00495536"/>
    <w:rsid w:val="00495982"/>
    <w:rsid w:val="00495C08"/>
    <w:rsid w:val="004962D2"/>
    <w:rsid w:val="004977CE"/>
    <w:rsid w:val="004979F1"/>
    <w:rsid w:val="004A065F"/>
    <w:rsid w:val="004A06A4"/>
    <w:rsid w:val="004A0DA1"/>
    <w:rsid w:val="004A1331"/>
    <w:rsid w:val="004A13D6"/>
    <w:rsid w:val="004A1B23"/>
    <w:rsid w:val="004A1B9A"/>
    <w:rsid w:val="004A1D87"/>
    <w:rsid w:val="004A1ECB"/>
    <w:rsid w:val="004A1F59"/>
    <w:rsid w:val="004A2717"/>
    <w:rsid w:val="004A29DE"/>
    <w:rsid w:val="004A2E66"/>
    <w:rsid w:val="004A38A4"/>
    <w:rsid w:val="004A3DBD"/>
    <w:rsid w:val="004A41EC"/>
    <w:rsid w:val="004A424A"/>
    <w:rsid w:val="004A449E"/>
    <w:rsid w:val="004A4741"/>
    <w:rsid w:val="004A4B68"/>
    <w:rsid w:val="004A4F8D"/>
    <w:rsid w:val="004A5186"/>
    <w:rsid w:val="004A52E9"/>
    <w:rsid w:val="004A56A3"/>
    <w:rsid w:val="004A5CD4"/>
    <w:rsid w:val="004A5DB2"/>
    <w:rsid w:val="004A5E40"/>
    <w:rsid w:val="004A5F66"/>
    <w:rsid w:val="004A6040"/>
    <w:rsid w:val="004A6041"/>
    <w:rsid w:val="004A6597"/>
    <w:rsid w:val="004A67BD"/>
    <w:rsid w:val="004A69E1"/>
    <w:rsid w:val="004A700F"/>
    <w:rsid w:val="004A7190"/>
    <w:rsid w:val="004A72BE"/>
    <w:rsid w:val="004A7457"/>
    <w:rsid w:val="004A776E"/>
    <w:rsid w:val="004A7848"/>
    <w:rsid w:val="004A78D4"/>
    <w:rsid w:val="004A7964"/>
    <w:rsid w:val="004A7DD4"/>
    <w:rsid w:val="004B0AEB"/>
    <w:rsid w:val="004B0FB6"/>
    <w:rsid w:val="004B1135"/>
    <w:rsid w:val="004B1A31"/>
    <w:rsid w:val="004B1BDB"/>
    <w:rsid w:val="004B1CB4"/>
    <w:rsid w:val="004B1DAC"/>
    <w:rsid w:val="004B1E17"/>
    <w:rsid w:val="004B1FF7"/>
    <w:rsid w:val="004B1FFB"/>
    <w:rsid w:val="004B26CE"/>
    <w:rsid w:val="004B2901"/>
    <w:rsid w:val="004B2C00"/>
    <w:rsid w:val="004B2CFB"/>
    <w:rsid w:val="004B2F18"/>
    <w:rsid w:val="004B2FB9"/>
    <w:rsid w:val="004B31DA"/>
    <w:rsid w:val="004B3CED"/>
    <w:rsid w:val="004B3DDB"/>
    <w:rsid w:val="004B3DFE"/>
    <w:rsid w:val="004B3FCD"/>
    <w:rsid w:val="004B41DA"/>
    <w:rsid w:val="004B43F9"/>
    <w:rsid w:val="004B44FD"/>
    <w:rsid w:val="004B47CD"/>
    <w:rsid w:val="004B4A4A"/>
    <w:rsid w:val="004B4BC7"/>
    <w:rsid w:val="004B5010"/>
    <w:rsid w:val="004B51D7"/>
    <w:rsid w:val="004B526A"/>
    <w:rsid w:val="004B5467"/>
    <w:rsid w:val="004B5578"/>
    <w:rsid w:val="004B56C8"/>
    <w:rsid w:val="004B5B80"/>
    <w:rsid w:val="004B5CFC"/>
    <w:rsid w:val="004B614B"/>
    <w:rsid w:val="004B6243"/>
    <w:rsid w:val="004B6A56"/>
    <w:rsid w:val="004B6CAC"/>
    <w:rsid w:val="004B6F79"/>
    <w:rsid w:val="004B7501"/>
    <w:rsid w:val="004B774D"/>
    <w:rsid w:val="004B7AB7"/>
    <w:rsid w:val="004B7BCD"/>
    <w:rsid w:val="004B7F8B"/>
    <w:rsid w:val="004C068D"/>
    <w:rsid w:val="004C06F5"/>
    <w:rsid w:val="004C0882"/>
    <w:rsid w:val="004C0C29"/>
    <w:rsid w:val="004C0EDA"/>
    <w:rsid w:val="004C1577"/>
    <w:rsid w:val="004C162E"/>
    <w:rsid w:val="004C1671"/>
    <w:rsid w:val="004C1672"/>
    <w:rsid w:val="004C19B3"/>
    <w:rsid w:val="004C1AE9"/>
    <w:rsid w:val="004C1BD2"/>
    <w:rsid w:val="004C24A4"/>
    <w:rsid w:val="004C2B02"/>
    <w:rsid w:val="004C308D"/>
    <w:rsid w:val="004C3DA1"/>
    <w:rsid w:val="004C4AE2"/>
    <w:rsid w:val="004C4AED"/>
    <w:rsid w:val="004C4B9E"/>
    <w:rsid w:val="004C4BC1"/>
    <w:rsid w:val="004C4D03"/>
    <w:rsid w:val="004C4DBB"/>
    <w:rsid w:val="004C511A"/>
    <w:rsid w:val="004C5483"/>
    <w:rsid w:val="004C5683"/>
    <w:rsid w:val="004C5892"/>
    <w:rsid w:val="004C5D85"/>
    <w:rsid w:val="004C5FCE"/>
    <w:rsid w:val="004C6196"/>
    <w:rsid w:val="004C64C8"/>
    <w:rsid w:val="004C658E"/>
    <w:rsid w:val="004C6658"/>
    <w:rsid w:val="004C69AC"/>
    <w:rsid w:val="004C7994"/>
    <w:rsid w:val="004C7EFF"/>
    <w:rsid w:val="004C7FB3"/>
    <w:rsid w:val="004D04EA"/>
    <w:rsid w:val="004D0679"/>
    <w:rsid w:val="004D0775"/>
    <w:rsid w:val="004D0856"/>
    <w:rsid w:val="004D0A5F"/>
    <w:rsid w:val="004D0CC1"/>
    <w:rsid w:val="004D0D95"/>
    <w:rsid w:val="004D0E87"/>
    <w:rsid w:val="004D1511"/>
    <w:rsid w:val="004D1FE4"/>
    <w:rsid w:val="004D24AD"/>
    <w:rsid w:val="004D2557"/>
    <w:rsid w:val="004D2674"/>
    <w:rsid w:val="004D28FA"/>
    <w:rsid w:val="004D2C2D"/>
    <w:rsid w:val="004D2D1E"/>
    <w:rsid w:val="004D2D5E"/>
    <w:rsid w:val="004D2DFE"/>
    <w:rsid w:val="004D3214"/>
    <w:rsid w:val="004D32EF"/>
    <w:rsid w:val="004D400B"/>
    <w:rsid w:val="004D4393"/>
    <w:rsid w:val="004D4794"/>
    <w:rsid w:val="004D47DD"/>
    <w:rsid w:val="004D490A"/>
    <w:rsid w:val="004D4FBE"/>
    <w:rsid w:val="004D5D10"/>
    <w:rsid w:val="004D5E2B"/>
    <w:rsid w:val="004D5E8D"/>
    <w:rsid w:val="004D5EFE"/>
    <w:rsid w:val="004D6877"/>
    <w:rsid w:val="004D6994"/>
    <w:rsid w:val="004D69B5"/>
    <w:rsid w:val="004D717E"/>
    <w:rsid w:val="004D7227"/>
    <w:rsid w:val="004D729D"/>
    <w:rsid w:val="004D777C"/>
    <w:rsid w:val="004D7948"/>
    <w:rsid w:val="004E0143"/>
    <w:rsid w:val="004E0247"/>
    <w:rsid w:val="004E0935"/>
    <w:rsid w:val="004E096D"/>
    <w:rsid w:val="004E0C80"/>
    <w:rsid w:val="004E0C8D"/>
    <w:rsid w:val="004E0E5C"/>
    <w:rsid w:val="004E0E7F"/>
    <w:rsid w:val="004E0EB8"/>
    <w:rsid w:val="004E1496"/>
    <w:rsid w:val="004E18E9"/>
    <w:rsid w:val="004E1BA7"/>
    <w:rsid w:val="004E2008"/>
    <w:rsid w:val="004E2672"/>
    <w:rsid w:val="004E294D"/>
    <w:rsid w:val="004E2981"/>
    <w:rsid w:val="004E2ADC"/>
    <w:rsid w:val="004E33C7"/>
    <w:rsid w:val="004E34C5"/>
    <w:rsid w:val="004E3836"/>
    <w:rsid w:val="004E399F"/>
    <w:rsid w:val="004E3DD1"/>
    <w:rsid w:val="004E3FA6"/>
    <w:rsid w:val="004E4178"/>
    <w:rsid w:val="004E4243"/>
    <w:rsid w:val="004E43B2"/>
    <w:rsid w:val="004E460D"/>
    <w:rsid w:val="004E4680"/>
    <w:rsid w:val="004E4F93"/>
    <w:rsid w:val="004E500A"/>
    <w:rsid w:val="004E5750"/>
    <w:rsid w:val="004E5972"/>
    <w:rsid w:val="004E62D7"/>
    <w:rsid w:val="004E63D6"/>
    <w:rsid w:val="004E684C"/>
    <w:rsid w:val="004E6D67"/>
    <w:rsid w:val="004E6EAE"/>
    <w:rsid w:val="004E6F3A"/>
    <w:rsid w:val="004E7C28"/>
    <w:rsid w:val="004F08B1"/>
    <w:rsid w:val="004F0C4E"/>
    <w:rsid w:val="004F0E8B"/>
    <w:rsid w:val="004F1C90"/>
    <w:rsid w:val="004F1D02"/>
    <w:rsid w:val="004F1FEF"/>
    <w:rsid w:val="004F2075"/>
    <w:rsid w:val="004F2183"/>
    <w:rsid w:val="004F2679"/>
    <w:rsid w:val="004F2A97"/>
    <w:rsid w:val="004F2F21"/>
    <w:rsid w:val="004F359C"/>
    <w:rsid w:val="004F39C4"/>
    <w:rsid w:val="004F3CDC"/>
    <w:rsid w:val="004F3DE5"/>
    <w:rsid w:val="004F3EFB"/>
    <w:rsid w:val="004F4963"/>
    <w:rsid w:val="004F4AFD"/>
    <w:rsid w:val="004F4BFA"/>
    <w:rsid w:val="004F4C6E"/>
    <w:rsid w:val="004F5141"/>
    <w:rsid w:val="004F5388"/>
    <w:rsid w:val="004F569A"/>
    <w:rsid w:val="004F599D"/>
    <w:rsid w:val="004F5D34"/>
    <w:rsid w:val="004F5D75"/>
    <w:rsid w:val="004F5F18"/>
    <w:rsid w:val="004F61CC"/>
    <w:rsid w:val="004F6255"/>
    <w:rsid w:val="004F6913"/>
    <w:rsid w:val="004F6A42"/>
    <w:rsid w:val="004F6A82"/>
    <w:rsid w:val="004F6BAA"/>
    <w:rsid w:val="004F6CA3"/>
    <w:rsid w:val="004F6E78"/>
    <w:rsid w:val="004F71AA"/>
    <w:rsid w:val="004F74DB"/>
    <w:rsid w:val="004F7865"/>
    <w:rsid w:val="004F790B"/>
    <w:rsid w:val="004F7960"/>
    <w:rsid w:val="004F7BEE"/>
    <w:rsid w:val="005007EE"/>
    <w:rsid w:val="00500A62"/>
    <w:rsid w:val="00501145"/>
    <w:rsid w:val="00501188"/>
    <w:rsid w:val="0050174E"/>
    <w:rsid w:val="00501854"/>
    <w:rsid w:val="00502026"/>
    <w:rsid w:val="0050219B"/>
    <w:rsid w:val="00502419"/>
    <w:rsid w:val="0050254D"/>
    <w:rsid w:val="0050271B"/>
    <w:rsid w:val="005028DA"/>
    <w:rsid w:val="00503136"/>
    <w:rsid w:val="00503B20"/>
    <w:rsid w:val="00503D54"/>
    <w:rsid w:val="00503ED1"/>
    <w:rsid w:val="00503F17"/>
    <w:rsid w:val="00504276"/>
    <w:rsid w:val="00504287"/>
    <w:rsid w:val="005050B4"/>
    <w:rsid w:val="0050528D"/>
    <w:rsid w:val="005054A3"/>
    <w:rsid w:val="005054FB"/>
    <w:rsid w:val="0050564E"/>
    <w:rsid w:val="00505837"/>
    <w:rsid w:val="00505E1E"/>
    <w:rsid w:val="0050603E"/>
    <w:rsid w:val="00506077"/>
    <w:rsid w:val="00506546"/>
    <w:rsid w:val="0050669B"/>
    <w:rsid w:val="005067D8"/>
    <w:rsid w:val="00506928"/>
    <w:rsid w:val="00506B52"/>
    <w:rsid w:val="00506E3C"/>
    <w:rsid w:val="00507068"/>
    <w:rsid w:val="0050725E"/>
    <w:rsid w:val="005075FD"/>
    <w:rsid w:val="005077EF"/>
    <w:rsid w:val="005079ED"/>
    <w:rsid w:val="00507C06"/>
    <w:rsid w:val="00507EA2"/>
    <w:rsid w:val="00510764"/>
    <w:rsid w:val="0051096E"/>
    <w:rsid w:val="00510E56"/>
    <w:rsid w:val="00511389"/>
    <w:rsid w:val="00511A7C"/>
    <w:rsid w:val="00511AD5"/>
    <w:rsid w:val="00511DA1"/>
    <w:rsid w:val="00511DC7"/>
    <w:rsid w:val="00512985"/>
    <w:rsid w:val="00512FB7"/>
    <w:rsid w:val="005131D6"/>
    <w:rsid w:val="00513527"/>
    <w:rsid w:val="005138C4"/>
    <w:rsid w:val="00513AE2"/>
    <w:rsid w:val="00513C6E"/>
    <w:rsid w:val="005142C5"/>
    <w:rsid w:val="005143C4"/>
    <w:rsid w:val="005143EB"/>
    <w:rsid w:val="00514648"/>
    <w:rsid w:val="00514C01"/>
    <w:rsid w:val="00514C92"/>
    <w:rsid w:val="0051501B"/>
    <w:rsid w:val="005151C6"/>
    <w:rsid w:val="005152B5"/>
    <w:rsid w:val="00515659"/>
    <w:rsid w:val="00515CEB"/>
    <w:rsid w:val="005169FE"/>
    <w:rsid w:val="00516A72"/>
    <w:rsid w:val="00516C52"/>
    <w:rsid w:val="0051772D"/>
    <w:rsid w:val="005179CF"/>
    <w:rsid w:val="00517A82"/>
    <w:rsid w:val="00517BE7"/>
    <w:rsid w:val="00517D84"/>
    <w:rsid w:val="00517D8A"/>
    <w:rsid w:val="00520061"/>
    <w:rsid w:val="0052035C"/>
    <w:rsid w:val="0052123C"/>
    <w:rsid w:val="00521319"/>
    <w:rsid w:val="00521AC8"/>
    <w:rsid w:val="00521C82"/>
    <w:rsid w:val="00521DFE"/>
    <w:rsid w:val="00521E5B"/>
    <w:rsid w:val="005220A2"/>
    <w:rsid w:val="00522B05"/>
    <w:rsid w:val="00522BC8"/>
    <w:rsid w:val="00522F4A"/>
    <w:rsid w:val="00522FAB"/>
    <w:rsid w:val="00522FBC"/>
    <w:rsid w:val="005232EF"/>
    <w:rsid w:val="00523B5A"/>
    <w:rsid w:val="00523BD1"/>
    <w:rsid w:val="00523C28"/>
    <w:rsid w:val="00524496"/>
    <w:rsid w:val="005245EF"/>
    <w:rsid w:val="00524E09"/>
    <w:rsid w:val="00524ECC"/>
    <w:rsid w:val="00524F13"/>
    <w:rsid w:val="00525231"/>
    <w:rsid w:val="00525342"/>
    <w:rsid w:val="00526062"/>
    <w:rsid w:val="005260F8"/>
    <w:rsid w:val="0052632E"/>
    <w:rsid w:val="00526741"/>
    <w:rsid w:val="005267FD"/>
    <w:rsid w:val="005269E1"/>
    <w:rsid w:val="00527391"/>
    <w:rsid w:val="00527B24"/>
    <w:rsid w:val="00527D6B"/>
    <w:rsid w:val="00527F49"/>
    <w:rsid w:val="00530A8E"/>
    <w:rsid w:val="00530A9C"/>
    <w:rsid w:val="00530E2E"/>
    <w:rsid w:val="00531145"/>
    <w:rsid w:val="0053166C"/>
    <w:rsid w:val="0053176B"/>
    <w:rsid w:val="00531772"/>
    <w:rsid w:val="00531A6E"/>
    <w:rsid w:val="00532205"/>
    <w:rsid w:val="00532468"/>
    <w:rsid w:val="00532A19"/>
    <w:rsid w:val="00532B3D"/>
    <w:rsid w:val="0053397E"/>
    <w:rsid w:val="00533C55"/>
    <w:rsid w:val="00534A55"/>
    <w:rsid w:val="00534B42"/>
    <w:rsid w:val="00534DDC"/>
    <w:rsid w:val="00535435"/>
    <w:rsid w:val="00535646"/>
    <w:rsid w:val="00535A1C"/>
    <w:rsid w:val="00535D05"/>
    <w:rsid w:val="00535F98"/>
    <w:rsid w:val="0053626D"/>
    <w:rsid w:val="00536396"/>
    <w:rsid w:val="00536405"/>
    <w:rsid w:val="00536C66"/>
    <w:rsid w:val="00536D93"/>
    <w:rsid w:val="00536E09"/>
    <w:rsid w:val="00536F42"/>
    <w:rsid w:val="00536F7E"/>
    <w:rsid w:val="00537182"/>
    <w:rsid w:val="005372EF"/>
    <w:rsid w:val="00537704"/>
    <w:rsid w:val="00537AF8"/>
    <w:rsid w:val="00537BE7"/>
    <w:rsid w:val="00537E12"/>
    <w:rsid w:val="005400D0"/>
    <w:rsid w:val="005404D7"/>
    <w:rsid w:val="00540BA2"/>
    <w:rsid w:val="00540BDA"/>
    <w:rsid w:val="00541A66"/>
    <w:rsid w:val="00541BAF"/>
    <w:rsid w:val="00541CA4"/>
    <w:rsid w:val="00541EDD"/>
    <w:rsid w:val="005421AE"/>
    <w:rsid w:val="00542411"/>
    <w:rsid w:val="005425DD"/>
    <w:rsid w:val="00542743"/>
    <w:rsid w:val="00542C2D"/>
    <w:rsid w:val="00542E71"/>
    <w:rsid w:val="00543807"/>
    <w:rsid w:val="00543F5A"/>
    <w:rsid w:val="00543FB9"/>
    <w:rsid w:val="00544215"/>
    <w:rsid w:val="005459F3"/>
    <w:rsid w:val="005467C9"/>
    <w:rsid w:val="00546A6A"/>
    <w:rsid w:val="00546C00"/>
    <w:rsid w:val="005478BD"/>
    <w:rsid w:val="005479E3"/>
    <w:rsid w:val="00547B04"/>
    <w:rsid w:val="0055009E"/>
    <w:rsid w:val="005501A3"/>
    <w:rsid w:val="00550529"/>
    <w:rsid w:val="0055061E"/>
    <w:rsid w:val="00550815"/>
    <w:rsid w:val="00550CF3"/>
    <w:rsid w:val="00550E06"/>
    <w:rsid w:val="00550EC5"/>
    <w:rsid w:val="00551149"/>
    <w:rsid w:val="0055133E"/>
    <w:rsid w:val="00551344"/>
    <w:rsid w:val="0055174B"/>
    <w:rsid w:val="00551985"/>
    <w:rsid w:val="00551A7B"/>
    <w:rsid w:val="00551A82"/>
    <w:rsid w:val="0055209B"/>
    <w:rsid w:val="0055234E"/>
    <w:rsid w:val="00552904"/>
    <w:rsid w:val="00552BD3"/>
    <w:rsid w:val="00552C85"/>
    <w:rsid w:val="005532A0"/>
    <w:rsid w:val="00553515"/>
    <w:rsid w:val="00553722"/>
    <w:rsid w:val="00553C91"/>
    <w:rsid w:val="005540ED"/>
    <w:rsid w:val="005543D6"/>
    <w:rsid w:val="00554D5C"/>
    <w:rsid w:val="00554FEE"/>
    <w:rsid w:val="00555109"/>
    <w:rsid w:val="00555201"/>
    <w:rsid w:val="00555286"/>
    <w:rsid w:val="00555852"/>
    <w:rsid w:val="00555973"/>
    <w:rsid w:val="00555C55"/>
    <w:rsid w:val="00555CBD"/>
    <w:rsid w:val="0055615A"/>
    <w:rsid w:val="005563EE"/>
    <w:rsid w:val="005563F2"/>
    <w:rsid w:val="00556541"/>
    <w:rsid w:val="0055669C"/>
    <w:rsid w:val="00556864"/>
    <w:rsid w:val="00556952"/>
    <w:rsid w:val="00556997"/>
    <w:rsid w:val="00556B35"/>
    <w:rsid w:val="00556E73"/>
    <w:rsid w:val="00556EBA"/>
    <w:rsid w:val="005571AC"/>
    <w:rsid w:val="0055741A"/>
    <w:rsid w:val="0055779B"/>
    <w:rsid w:val="0055779D"/>
    <w:rsid w:val="00557EA8"/>
    <w:rsid w:val="005602F5"/>
    <w:rsid w:val="00560352"/>
    <w:rsid w:val="00560656"/>
    <w:rsid w:val="00560A22"/>
    <w:rsid w:val="00560A65"/>
    <w:rsid w:val="00560BC4"/>
    <w:rsid w:val="00560CBE"/>
    <w:rsid w:val="00560E58"/>
    <w:rsid w:val="00560F37"/>
    <w:rsid w:val="00561036"/>
    <w:rsid w:val="005610A9"/>
    <w:rsid w:val="005611B7"/>
    <w:rsid w:val="00561558"/>
    <w:rsid w:val="0056157B"/>
    <w:rsid w:val="005615F5"/>
    <w:rsid w:val="005617F5"/>
    <w:rsid w:val="005618D4"/>
    <w:rsid w:val="00561A37"/>
    <w:rsid w:val="00562368"/>
    <w:rsid w:val="00562A09"/>
    <w:rsid w:val="00562CCE"/>
    <w:rsid w:val="0056305C"/>
    <w:rsid w:val="00563158"/>
    <w:rsid w:val="00563554"/>
    <w:rsid w:val="00563E51"/>
    <w:rsid w:val="0056496B"/>
    <w:rsid w:val="00564A98"/>
    <w:rsid w:val="00564DD2"/>
    <w:rsid w:val="00564E23"/>
    <w:rsid w:val="00565215"/>
    <w:rsid w:val="00565DF0"/>
    <w:rsid w:val="00565E09"/>
    <w:rsid w:val="005660D3"/>
    <w:rsid w:val="00566721"/>
    <w:rsid w:val="00566903"/>
    <w:rsid w:val="0056696F"/>
    <w:rsid w:val="00566D04"/>
    <w:rsid w:val="0056722C"/>
    <w:rsid w:val="0056756B"/>
    <w:rsid w:val="005675BA"/>
    <w:rsid w:val="005677AC"/>
    <w:rsid w:val="005677E5"/>
    <w:rsid w:val="005677FE"/>
    <w:rsid w:val="00567821"/>
    <w:rsid w:val="00567CA0"/>
    <w:rsid w:val="00567E4B"/>
    <w:rsid w:val="005701B3"/>
    <w:rsid w:val="00570917"/>
    <w:rsid w:val="005712C6"/>
    <w:rsid w:val="005714C6"/>
    <w:rsid w:val="00571A4D"/>
    <w:rsid w:val="00572269"/>
    <w:rsid w:val="0057244A"/>
    <w:rsid w:val="0057263A"/>
    <w:rsid w:val="00572792"/>
    <w:rsid w:val="005728BE"/>
    <w:rsid w:val="00572EDA"/>
    <w:rsid w:val="00572F26"/>
    <w:rsid w:val="005731A9"/>
    <w:rsid w:val="005731FE"/>
    <w:rsid w:val="0057326D"/>
    <w:rsid w:val="0057363E"/>
    <w:rsid w:val="0057368E"/>
    <w:rsid w:val="00573911"/>
    <w:rsid w:val="00573ABA"/>
    <w:rsid w:val="00574145"/>
    <w:rsid w:val="00574544"/>
    <w:rsid w:val="00574A36"/>
    <w:rsid w:val="00574B9A"/>
    <w:rsid w:val="005750C5"/>
    <w:rsid w:val="005752DE"/>
    <w:rsid w:val="0057538E"/>
    <w:rsid w:val="00575803"/>
    <w:rsid w:val="00575865"/>
    <w:rsid w:val="00575D8D"/>
    <w:rsid w:val="005761D8"/>
    <w:rsid w:val="00576340"/>
    <w:rsid w:val="00576429"/>
    <w:rsid w:val="00576545"/>
    <w:rsid w:val="0057662A"/>
    <w:rsid w:val="00576972"/>
    <w:rsid w:val="00576F2E"/>
    <w:rsid w:val="00577007"/>
    <w:rsid w:val="00577018"/>
    <w:rsid w:val="005772BB"/>
    <w:rsid w:val="0057733C"/>
    <w:rsid w:val="00577D8D"/>
    <w:rsid w:val="0058037B"/>
    <w:rsid w:val="005807B9"/>
    <w:rsid w:val="005807F3"/>
    <w:rsid w:val="00580BC3"/>
    <w:rsid w:val="00580D1F"/>
    <w:rsid w:val="0058115A"/>
    <w:rsid w:val="00581419"/>
    <w:rsid w:val="00581AC0"/>
    <w:rsid w:val="00582200"/>
    <w:rsid w:val="005830BC"/>
    <w:rsid w:val="00583100"/>
    <w:rsid w:val="005831DB"/>
    <w:rsid w:val="005832F4"/>
    <w:rsid w:val="005834FA"/>
    <w:rsid w:val="00583699"/>
    <w:rsid w:val="005838F1"/>
    <w:rsid w:val="005847AE"/>
    <w:rsid w:val="00584A88"/>
    <w:rsid w:val="0058510B"/>
    <w:rsid w:val="00585252"/>
    <w:rsid w:val="00585568"/>
    <w:rsid w:val="0058594F"/>
    <w:rsid w:val="005859D8"/>
    <w:rsid w:val="00585C82"/>
    <w:rsid w:val="00585CDD"/>
    <w:rsid w:val="005860AD"/>
    <w:rsid w:val="0058621D"/>
    <w:rsid w:val="00586586"/>
    <w:rsid w:val="005868E6"/>
    <w:rsid w:val="00586CFF"/>
    <w:rsid w:val="00587058"/>
    <w:rsid w:val="0058723E"/>
    <w:rsid w:val="00587416"/>
    <w:rsid w:val="00587473"/>
    <w:rsid w:val="00587667"/>
    <w:rsid w:val="00587971"/>
    <w:rsid w:val="00587C69"/>
    <w:rsid w:val="00587D3D"/>
    <w:rsid w:val="00590B8B"/>
    <w:rsid w:val="00590D87"/>
    <w:rsid w:val="00590ED2"/>
    <w:rsid w:val="005911A6"/>
    <w:rsid w:val="005917EF"/>
    <w:rsid w:val="00591957"/>
    <w:rsid w:val="005922AD"/>
    <w:rsid w:val="005930DF"/>
    <w:rsid w:val="0059342D"/>
    <w:rsid w:val="00593AC9"/>
    <w:rsid w:val="00593BA5"/>
    <w:rsid w:val="00593EA7"/>
    <w:rsid w:val="00593EBF"/>
    <w:rsid w:val="005943A7"/>
    <w:rsid w:val="005944EC"/>
    <w:rsid w:val="005945A2"/>
    <w:rsid w:val="0059507A"/>
    <w:rsid w:val="00595388"/>
    <w:rsid w:val="00595519"/>
    <w:rsid w:val="00595A5E"/>
    <w:rsid w:val="00595DA8"/>
    <w:rsid w:val="0059617D"/>
    <w:rsid w:val="0059683F"/>
    <w:rsid w:val="00596F50"/>
    <w:rsid w:val="00597015"/>
    <w:rsid w:val="00597867"/>
    <w:rsid w:val="00597BF9"/>
    <w:rsid w:val="00597CB1"/>
    <w:rsid w:val="005A00B3"/>
    <w:rsid w:val="005A0182"/>
    <w:rsid w:val="005A0479"/>
    <w:rsid w:val="005A04B4"/>
    <w:rsid w:val="005A0DCA"/>
    <w:rsid w:val="005A0F60"/>
    <w:rsid w:val="005A1075"/>
    <w:rsid w:val="005A11DA"/>
    <w:rsid w:val="005A15D9"/>
    <w:rsid w:val="005A1BA1"/>
    <w:rsid w:val="005A1EAB"/>
    <w:rsid w:val="005A1EE8"/>
    <w:rsid w:val="005A2186"/>
    <w:rsid w:val="005A28BA"/>
    <w:rsid w:val="005A29C1"/>
    <w:rsid w:val="005A29CE"/>
    <w:rsid w:val="005A2A63"/>
    <w:rsid w:val="005A2C07"/>
    <w:rsid w:val="005A2C9E"/>
    <w:rsid w:val="005A2DBE"/>
    <w:rsid w:val="005A309A"/>
    <w:rsid w:val="005A373D"/>
    <w:rsid w:val="005A444D"/>
    <w:rsid w:val="005A470E"/>
    <w:rsid w:val="005A4D8B"/>
    <w:rsid w:val="005A4EA0"/>
    <w:rsid w:val="005A4F0E"/>
    <w:rsid w:val="005A51DF"/>
    <w:rsid w:val="005A51E8"/>
    <w:rsid w:val="005A5ABF"/>
    <w:rsid w:val="005A5C30"/>
    <w:rsid w:val="005A5F66"/>
    <w:rsid w:val="005A640C"/>
    <w:rsid w:val="005A6459"/>
    <w:rsid w:val="005A651B"/>
    <w:rsid w:val="005A664B"/>
    <w:rsid w:val="005A67C3"/>
    <w:rsid w:val="005A68E0"/>
    <w:rsid w:val="005A690A"/>
    <w:rsid w:val="005A6988"/>
    <w:rsid w:val="005A6C4D"/>
    <w:rsid w:val="005A76DE"/>
    <w:rsid w:val="005A7A6A"/>
    <w:rsid w:val="005A7BCE"/>
    <w:rsid w:val="005A7C51"/>
    <w:rsid w:val="005A7D33"/>
    <w:rsid w:val="005B014D"/>
    <w:rsid w:val="005B0915"/>
    <w:rsid w:val="005B0B58"/>
    <w:rsid w:val="005B0C98"/>
    <w:rsid w:val="005B1195"/>
    <w:rsid w:val="005B11B4"/>
    <w:rsid w:val="005B14C6"/>
    <w:rsid w:val="005B16A0"/>
    <w:rsid w:val="005B16A5"/>
    <w:rsid w:val="005B1DEB"/>
    <w:rsid w:val="005B21C6"/>
    <w:rsid w:val="005B291C"/>
    <w:rsid w:val="005B2C39"/>
    <w:rsid w:val="005B2EFE"/>
    <w:rsid w:val="005B2F42"/>
    <w:rsid w:val="005B30B3"/>
    <w:rsid w:val="005B33BD"/>
    <w:rsid w:val="005B3B1B"/>
    <w:rsid w:val="005B3C2B"/>
    <w:rsid w:val="005B3EEF"/>
    <w:rsid w:val="005B4C33"/>
    <w:rsid w:val="005B4CC1"/>
    <w:rsid w:val="005B4D5F"/>
    <w:rsid w:val="005B4E53"/>
    <w:rsid w:val="005B4F0D"/>
    <w:rsid w:val="005B4FD5"/>
    <w:rsid w:val="005B5136"/>
    <w:rsid w:val="005B56A7"/>
    <w:rsid w:val="005B5857"/>
    <w:rsid w:val="005B59C8"/>
    <w:rsid w:val="005B5C0C"/>
    <w:rsid w:val="005B5FF4"/>
    <w:rsid w:val="005B621C"/>
    <w:rsid w:val="005B63C4"/>
    <w:rsid w:val="005B6E41"/>
    <w:rsid w:val="005B732F"/>
    <w:rsid w:val="005B75A7"/>
    <w:rsid w:val="005B7663"/>
    <w:rsid w:val="005B7DC9"/>
    <w:rsid w:val="005C003E"/>
    <w:rsid w:val="005C0363"/>
    <w:rsid w:val="005C036B"/>
    <w:rsid w:val="005C046D"/>
    <w:rsid w:val="005C0B6C"/>
    <w:rsid w:val="005C0DD7"/>
    <w:rsid w:val="005C0E68"/>
    <w:rsid w:val="005C0E84"/>
    <w:rsid w:val="005C0FF9"/>
    <w:rsid w:val="005C175B"/>
    <w:rsid w:val="005C1786"/>
    <w:rsid w:val="005C1B83"/>
    <w:rsid w:val="005C2252"/>
    <w:rsid w:val="005C2364"/>
    <w:rsid w:val="005C246A"/>
    <w:rsid w:val="005C25FF"/>
    <w:rsid w:val="005C2928"/>
    <w:rsid w:val="005C2A3F"/>
    <w:rsid w:val="005C2D55"/>
    <w:rsid w:val="005C3110"/>
    <w:rsid w:val="005C3347"/>
    <w:rsid w:val="005C346B"/>
    <w:rsid w:val="005C38D8"/>
    <w:rsid w:val="005C38F3"/>
    <w:rsid w:val="005C3C49"/>
    <w:rsid w:val="005C3D77"/>
    <w:rsid w:val="005C3DBF"/>
    <w:rsid w:val="005C4027"/>
    <w:rsid w:val="005C4040"/>
    <w:rsid w:val="005C433C"/>
    <w:rsid w:val="005C4519"/>
    <w:rsid w:val="005C4542"/>
    <w:rsid w:val="005C4709"/>
    <w:rsid w:val="005C4AB2"/>
    <w:rsid w:val="005C4E25"/>
    <w:rsid w:val="005C51E8"/>
    <w:rsid w:val="005C5230"/>
    <w:rsid w:val="005C52C8"/>
    <w:rsid w:val="005C54D3"/>
    <w:rsid w:val="005C5633"/>
    <w:rsid w:val="005C5B79"/>
    <w:rsid w:val="005C5D01"/>
    <w:rsid w:val="005C621D"/>
    <w:rsid w:val="005C6456"/>
    <w:rsid w:val="005C6508"/>
    <w:rsid w:val="005C6E22"/>
    <w:rsid w:val="005C6E79"/>
    <w:rsid w:val="005C703E"/>
    <w:rsid w:val="005C7207"/>
    <w:rsid w:val="005C7640"/>
    <w:rsid w:val="005C7657"/>
    <w:rsid w:val="005C7CB7"/>
    <w:rsid w:val="005C7DC4"/>
    <w:rsid w:val="005D0357"/>
    <w:rsid w:val="005D044D"/>
    <w:rsid w:val="005D0ABD"/>
    <w:rsid w:val="005D0C32"/>
    <w:rsid w:val="005D11D9"/>
    <w:rsid w:val="005D12AE"/>
    <w:rsid w:val="005D1343"/>
    <w:rsid w:val="005D140E"/>
    <w:rsid w:val="005D1681"/>
    <w:rsid w:val="005D1754"/>
    <w:rsid w:val="005D18AD"/>
    <w:rsid w:val="005D1926"/>
    <w:rsid w:val="005D19D3"/>
    <w:rsid w:val="005D2113"/>
    <w:rsid w:val="005D247A"/>
    <w:rsid w:val="005D26B4"/>
    <w:rsid w:val="005D2AAE"/>
    <w:rsid w:val="005D2B94"/>
    <w:rsid w:val="005D2E26"/>
    <w:rsid w:val="005D326F"/>
    <w:rsid w:val="005D344C"/>
    <w:rsid w:val="005D348F"/>
    <w:rsid w:val="005D3CD0"/>
    <w:rsid w:val="005D4281"/>
    <w:rsid w:val="005D4AAA"/>
    <w:rsid w:val="005D4FE3"/>
    <w:rsid w:val="005D517F"/>
    <w:rsid w:val="005D5534"/>
    <w:rsid w:val="005D5890"/>
    <w:rsid w:val="005D5D16"/>
    <w:rsid w:val="005D5EF5"/>
    <w:rsid w:val="005D5F10"/>
    <w:rsid w:val="005D62E4"/>
    <w:rsid w:val="005D68C9"/>
    <w:rsid w:val="005D7158"/>
    <w:rsid w:val="005D7E51"/>
    <w:rsid w:val="005E08E3"/>
    <w:rsid w:val="005E0A92"/>
    <w:rsid w:val="005E1315"/>
    <w:rsid w:val="005E136D"/>
    <w:rsid w:val="005E175B"/>
    <w:rsid w:val="005E1932"/>
    <w:rsid w:val="005E1A71"/>
    <w:rsid w:val="005E1F30"/>
    <w:rsid w:val="005E2804"/>
    <w:rsid w:val="005E2A79"/>
    <w:rsid w:val="005E2E4D"/>
    <w:rsid w:val="005E2F7A"/>
    <w:rsid w:val="005E310D"/>
    <w:rsid w:val="005E382E"/>
    <w:rsid w:val="005E38F5"/>
    <w:rsid w:val="005E3CF9"/>
    <w:rsid w:val="005E4044"/>
    <w:rsid w:val="005E4101"/>
    <w:rsid w:val="005E42A9"/>
    <w:rsid w:val="005E46B8"/>
    <w:rsid w:val="005E4772"/>
    <w:rsid w:val="005E49FF"/>
    <w:rsid w:val="005E4B91"/>
    <w:rsid w:val="005E4D52"/>
    <w:rsid w:val="005E4DD6"/>
    <w:rsid w:val="005E53B8"/>
    <w:rsid w:val="005E546E"/>
    <w:rsid w:val="005E5575"/>
    <w:rsid w:val="005E5845"/>
    <w:rsid w:val="005E59C1"/>
    <w:rsid w:val="005E623E"/>
    <w:rsid w:val="005E6552"/>
    <w:rsid w:val="005E6586"/>
    <w:rsid w:val="005E69E8"/>
    <w:rsid w:val="005E6CBC"/>
    <w:rsid w:val="005E6DFB"/>
    <w:rsid w:val="005E6EFA"/>
    <w:rsid w:val="005E709A"/>
    <w:rsid w:val="005E72FF"/>
    <w:rsid w:val="005E73C0"/>
    <w:rsid w:val="005E777F"/>
    <w:rsid w:val="005F0CA7"/>
    <w:rsid w:val="005F1036"/>
    <w:rsid w:val="005F1397"/>
    <w:rsid w:val="005F1859"/>
    <w:rsid w:val="005F1FEF"/>
    <w:rsid w:val="005F2229"/>
    <w:rsid w:val="005F2420"/>
    <w:rsid w:val="005F25B6"/>
    <w:rsid w:val="005F2706"/>
    <w:rsid w:val="005F2CA9"/>
    <w:rsid w:val="005F30C3"/>
    <w:rsid w:val="005F34D2"/>
    <w:rsid w:val="005F390E"/>
    <w:rsid w:val="005F400F"/>
    <w:rsid w:val="005F4167"/>
    <w:rsid w:val="005F419F"/>
    <w:rsid w:val="005F41C8"/>
    <w:rsid w:val="005F4215"/>
    <w:rsid w:val="005F473E"/>
    <w:rsid w:val="005F487A"/>
    <w:rsid w:val="005F48B0"/>
    <w:rsid w:val="005F4AAD"/>
    <w:rsid w:val="005F5189"/>
    <w:rsid w:val="005F57FC"/>
    <w:rsid w:val="005F5935"/>
    <w:rsid w:val="005F60CE"/>
    <w:rsid w:val="005F683A"/>
    <w:rsid w:val="005F6A8F"/>
    <w:rsid w:val="005F6B96"/>
    <w:rsid w:val="005F6BB7"/>
    <w:rsid w:val="005F6BE3"/>
    <w:rsid w:val="005F6F57"/>
    <w:rsid w:val="005F7366"/>
    <w:rsid w:val="005F7588"/>
    <w:rsid w:val="005F7A35"/>
    <w:rsid w:val="005F7F93"/>
    <w:rsid w:val="006004E1"/>
    <w:rsid w:val="006005F7"/>
    <w:rsid w:val="006006E5"/>
    <w:rsid w:val="00600830"/>
    <w:rsid w:val="00600ABF"/>
    <w:rsid w:val="00600B6B"/>
    <w:rsid w:val="00600D08"/>
    <w:rsid w:val="00600F76"/>
    <w:rsid w:val="0060104D"/>
    <w:rsid w:val="006010FC"/>
    <w:rsid w:val="0060124F"/>
    <w:rsid w:val="00601630"/>
    <w:rsid w:val="00601EC4"/>
    <w:rsid w:val="00602350"/>
    <w:rsid w:val="006024B4"/>
    <w:rsid w:val="006031BC"/>
    <w:rsid w:val="00603246"/>
    <w:rsid w:val="00603DB9"/>
    <w:rsid w:val="00604155"/>
    <w:rsid w:val="006042ED"/>
    <w:rsid w:val="0060432E"/>
    <w:rsid w:val="00605068"/>
    <w:rsid w:val="0060508D"/>
    <w:rsid w:val="006054F8"/>
    <w:rsid w:val="00605847"/>
    <w:rsid w:val="0060630E"/>
    <w:rsid w:val="00606416"/>
    <w:rsid w:val="006067EB"/>
    <w:rsid w:val="00606CA2"/>
    <w:rsid w:val="00606FBA"/>
    <w:rsid w:val="00607352"/>
    <w:rsid w:val="0060742D"/>
    <w:rsid w:val="00607477"/>
    <w:rsid w:val="00607669"/>
    <w:rsid w:val="006076F4"/>
    <w:rsid w:val="00607AFD"/>
    <w:rsid w:val="00607B85"/>
    <w:rsid w:val="00607B95"/>
    <w:rsid w:val="00607E51"/>
    <w:rsid w:val="0061019E"/>
    <w:rsid w:val="0061052E"/>
    <w:rsid w:val="00610673"/>
    <w:rsid w:val="00610826"/>
    <w:rsid w:val="00610884"/>
    <w:rsid w:val="00610CAF"/>
    <w:rsid w:val="00610FB5"/>
    <w:rsid w:val="0061107F"/>
    <w:rsid w:val="006112AD"/>
    <w:rsid w:val="00611432"/>
    <w:rsid w:val="006114F7"/>
    <w:rsid w:val="00611C97"/>
    <w:rsid w:val="006123D8"/>
    <w:rsid w:val="0061243C"/>
    <w:rsid w:val="0061281D"/>
    <w:rsid w:val="00612F97"/>
    <w:rsid w:val="0061306A"/>
    <w:rsid w:val="0061307A"/>
    <w:rsid w:val="006133F3"/>
    <w:rsid w:val="00613438"/>
    <w:rsid w:val="0061345D"/>
    <w:rsid w:val="0061357C"/>
    <w:rsid w:val="00613E71"/>
    <w:rsid w:val="006141DD"/>
    <w:rsid w:val="006141DE"/>
    <w:rsid w:val="006146CC"/>
    <w:rsid w:val="00614908"/>
    <w:rsid w:val="00614AEC"/>
    <w:rsid w:val="0061549B"/>
    <w:rsid w:val="00616225"/>
    <w:rsid w:val="00616802"/>
    <w:rsid w:val="00616A05"/>
    <w:rsid w:val="00616C23"/>
    <w:rsid w:val="00616C68"/>
    <w:rsid w:val="006172EC"/>
    <w:rsid w:val="00617322"/>
    <w:rsid w:val="00617489"/>
    <w:rsid w:val="00617B34"/>
    <w:rsid w:val="00617C05"/>
    <w:rsid w:val="00617C61"/>
    <w:rsid w:val="00617E12"/>
    <w:rsid w:val="00617F93"/>
    <w:rsid w:val="006201DC"/>
    <w:rsid w:val="0062058A"/>
    <w:rsid w:val="00620B91"/>
    <w:rsid w:val="00620BD0"/>
    <w:rsid w:val="00620C25"/>
    <w:rsid w:val="00620C5B"/>
    <w:rsid w:val="00620D9E"/>
    <w:rsid w:val="006213EC"/>
    <w:rsid w:val="00621477"/>
    <w:rsid w:val="006215FA"/>
    <w:rsid w:val="0062199F"/>
    <w:rsid w:val="00621AA6"/>
    <w:rsid w:val="00621ADA"/>
    <w:rsid w:val="00621B4A"/>
    <w:rsid w:val="00621D65"/>
    <w:rsid w:val="00621F52"/>
    <w:rsid w:val="006228B5"/>
    <w:rsid w:val="00622A36"/>
    <w:rsid w:val="00622EB8"/>
    <w:rsid w:val="00623019"/>
    <w:rsid w:val="00623066"/>
    <w:rsid w:val="00623F7B"/>
    <w:rsid w:val="0062420F"/>
    <w:rsid w:val="00624420"/>
    <w:rsid w:val="00624859"/>
    <w:rsid w:val="006248C9"/>
    <w:rsid w:val="00624A7B"/>
    <w:rsid w:val="00624CE8"/>
    <w:rsid w:val="006253BF"/>
    <w:rsid w:val="00625471"/>
    <w:rsid w:val="00625839"/>
    <w:rsid w:val="006266A6"/>
    <w:rsid w:val="00626B4A"/>
    <w:rsid w:val="006271E1"/>
    <w:rsid w:val="00627318"/>
    <w:rsid w:val="006273A8"/>
    <w:rsid w:val="006276AC"/>
    <w:rsid w:val="00627847"/>
    <w:rsid w:val="00627A8A"/>
    <w:rsid w:val="00627C55"/>
    <w:rsid w:val="0063039C"/>
    <w:rsid w:val="00630494"/>
    <w:rsid w:val="00630818"/>
    <w:rsid w:val="006308A6"/>
    <w:rsid w:val="00631324"/>
    <w:rsid w:val="0063158F"/>
    <w:rsid w:val="00631AEF"/>
    <w:rsid w:val="00631D10"/>
    <w:rsid w:val="00631D6B"/>
    <w:rsid w:val="00632183"/>
    <w:rsid w:val="0063219F"/>
    <w:rsid w:val="006322C5"/>
    <w:rsid w:val="00632610"/>
    <w:rsid w:val="00632865"/>
    <w:rsid w:val="006328FB"/>
    <w:rsid w:val="00632EE1"/>
    <w:rsid w:val="006330A1"/>
    <w:rsid w:val="00633C07"/>
    <w:rsid w:val="00633C35"/>
    <w:rsid w:val="00633CE2"/>
    <w:rsid w:val="006345AE"/>
    <w:rsid w:val="0063479F"/>
    <w:rsid w:val="006348BB"/>
    <w:rsid w:val="0063495A"/>
    <w:rsid w:val="00634C76"/>
    <w:rsid w:val="006353F0"/>
    <w:rsid w:val="006357B5"/>
    <w:rsid w:val="0063609D"/>
    <w:rsid w:val="006364A1"/>
    <w:rsid w:val="0063678E"/>
    <w:rsid w:val="00636A6D"/>
    <w:rsid w:val="00636D69"/>
    <w:rsid w:val="0063732D"/>
    <w:rsid w:val="006375BC"/>
    <w:rsid w:val="006375E6"/>
    <w:rsid w:val="00637B36"/>
    <w:rsid w:val="00637BFD"/>
    <w:rsid w:val="00640075"/>
    <w:rsid w:val="006401B9"/>
    <w:rsid w:val="006402C2"/>
    <w:rsid w:val="006402F6"/>
    <w:rsid w:val="00640650"/>
    <w:rsid w:val="00640AB9"/>
    <w:rsid w:val="00641560"/>
    <w:rsid w:val="00641823"/>
    <w:rsid w:val="00641993"/>
    <w:rsid w:val="00641BE1"/>
    <w:rsid w:val="00641C4D"/>
    <w:rsid w:val="00641C4E"/>
    <w:rsid w:val="00641FB3"/>
    <w:rsid w:val="0064235D"/>
    <w:rsid w:val="00642625"/>
    <w:rsid w:val="00642955"/>
    <w:rsid w:val="00642D2F"/>
    <w:rsid w:val="006431AC"/>
    <w:rsid w:val="00643288"/>
    <w:rsid w:val="00643708"/>
    <w:rsid w:val="00643B97"/>
    <w:rsid w:val="00643C1D"/>
    <w:rsid w:val="00643CD1"/>
    <w:rsid w:val="00643F19"/>
    <w:rsid w:val="00644075"/>
    <w:rsid w:val="006441FE"/>
    <w:rsid w:val="0064434C"/>
    <w:rsid w:val="0064458E"/>
    <w:rsid w:val="006452BF"/>
    <w:rsid w:val="0064535C"/>
    <w:rsid w:val="006453B8"/>
    <w:rsid w:val="0064569A"/>
    <w:rsid w:val="00645CDF"/>
    <w:rsid w:val="00645F3A"/>
    <w:rsid w:val="006468A1"/>
    <w:rsid w:val="00646B19"/>
    <w:rsid w:val="00646FA6"/>
    <w:rsid w:val="006471CC"/>
    <w:rsid w:val="0064764C"/>
    <w:rsid w:val="00647A29"/>
    <w:rsid w:val="00647A6D"/>
    <w:rsid w:val="00647EDB"/>
    <w:rsid w:val="00647F3D"/>
    <w:rsid w:val="00647F58"/>
    <w:rsid w:val="00650652"/>
    <w:rsid w:val="0065079F"/>
    <w:rsid w:val="006512E9"/>
    <w:rsid w:val="006517B6"/>
    <w:rsid w:val="00651BFF"/>
    <w:rsid w:val="00651F5D"/>
    <w:rsid w:val="00652691"/>
    <w:rsid w:val="00652A28"/>
    <w:rsid w:val="00652AB6"/>
    <w:rsid w:val="00653756"/>
    <w:rsid w:val="0065379F"/>
    <w:rsid w:val="0065416C"/>
    <w:rsid w:val="0065444C"/>
    <w:rsid w:val="006549B0"/>
    <w:rsid w:val="00654D58"/>
    <w:rsid w:val="00655468"/>
    <w:rsid w:val="006554B7"/>
    <w:rsid w:val="00655599"/>
    <w:rsid w:val="006555F5"/>
    <w:rsid w:val="00655875"/>
    <w:rsid w:val="00655B06"/>
    <w:rsid w:val="00656188"/>
    <w:rsid w:val="0065633E"/>
    <w:rsid w:val="006567C6"/>
    <w:rsid w:val="00656B46"/>
    <w:rsid w:val="00656C89"/>
    <w:rsid w:val="0065715A"/>
    <w:rsid w:val="00657A1E"/>
    <w:rsid w:val="00657AE9"/>
    <w:rsid w:val="0066012A"/>
    <w:rsid w:val="006602E5"/>
    <w:rsid w:val="00660450"/>
    <w:rsid w:val="006604CB"/>
    <w:rsid w:val="00660B06"/>
    <w:rsid w:val="00660BFF"/>
    <w:rsid w:val="00660C60"/>
    <w:rsid w:val="00660D6B"/>
    <w:rsid w:val="00660E33"/>
    <w:rsid w:val="00660E8D"/>
    <w:rsid w:val="00660EA1"/>
    <w:rsid w:val="006610F1"/>
    <w:rsid w:val="006612E7"/>
    <w:rsid w:val="00661BCE"/>
    <w:rsid w:val="00661C6B"/>
    <w:rsid w:val="006623E0"/>
    <w:rsid w:val="006626BF"/>
    <w:rsid w:val="0066277C"/>
    <w:rsid w:val="0066294A"/>
    <w:rsid w:val="006629CA"/>
    <w:rsid w:val="00662A24"/>
    <w:rsid w:val="00662A8F"/>
    <w:rsid w:val="00662BD8"/>
    <w:rsid w:val="00662FA2"/>
    <w:rsid w:val="006633F5"/>
    <w:rsid w:val="006637CA"/>
    <w:rsid w:val="006640DD"/>
    <w:rsid w:val="006641F0"/>
    <w:rsid w:val="00664446"/>
    <w:rsid w:val="0066445F"/>
    <w:rsid w:val="006644A5"/>
    <w:rsid w:val="00664646"/>
    <w:rsid w:val="006647C1"/>
    <w:rsid w:val="00664A23"/>
    <w:rsid w:val="00664AB2"/>
    <w:rsid w:val="00664B9D"/>
    <w:rsid w:val="00665389"/>
    <w:rsid w:val="0066548F"/>
    <w:rsid w:val="00665B06"/>
    <w:rsid w:val="00665E9D"/>
    <w:rsid w:val="0066622C"/>
    <w:rsid w:val="0066625C"/>
    <w:rsid w:val="00666333"/>
    <w:rsid w:val="0066695B"/>
    <w:rsid w:val="00666A02"/>
    <w:rsid w:val="00667E09"/>
    <w:rsid w:val="00667F1D"/>
    <w:rsid w:val="00670161"/>
    <w:rsid w:val="0067098B"/>
    <w:rsid w:val="00670A0B"/>
    <w:rsid w:val="00670EF1"/>
    <w:rsid w:val="00670FAB"/>
    <w:rsid w:val="00671004"/>
    <w:rsid w:val="006711FF"/>
    <w:rsid w:val="006712BA"/>
    <w:rsid w:val="006716ED"/>
    <w:rsid w:val="00671924"/>
    <w:rsid w:val="00671978"/>
    <w:rsid w:val="00672646"/>
    <w:rsid w:val="00672782"/>
    <w:rsid w:val="0067286E"/>
    <w:rsid w:val="00673093"/>
    <w:rsid w:val="00673779"/>
    <w:rsid w:val="006738E8"/>
    <w:rsid w:val="00673BD4"/>
    <w:rsid w:val="00673DE2"/>
    <w:rsid w:val="006746BC"/>
    <w:rsid w:val="006747EF"/>
    <w:rsid w:val="00674E42"/>
    <w:rsid w:val="00674F15"/>
    <w:rsid w:val="00675260"/>
    <w:rsid w:val="0067549A"/>
    <w:rsid w:val="006759C2"/>
    <w:rsid w:val="006759C5"/>
    <w:rsid w:val="006759C8"/>
    <w:rsid w:val="00675CD7"/>
    <w:rsid w:val="006764E5"/>
    <w:rsid w:val="00676AC1"/>
    <w:rsid w:val="00676EC9"/>
    <w:rsid w:val="00676F00"/>
    <w:rsid w:val="00677B6C"/>
    <w:rsid w:val="00677D47"/>
    <w:rsid w:val="00677F27"/>
    <w:rsid w:val="0068068F"/>
    <w:rsid w:val="0068087D"/>
    <w:rsid w:val="0068137E"/>
    <w:rsid w:val="006813F8"/>
    <w:rsid w:val="006815D8"/>
    <w:rsid w:val="0068199A"/>
    <w:rsid w:val="00681BCF"/>
    <w:rsid w:val="00681C39"/>
    <w:rsid w:val="00681D40"/>
    <w:rsid w:val="00681D6E"/>
    <w:rsid w:val="00681E07"/>
    <w:rsid w:val="00681EDD"/>
    <w:rsid w:val="00682112"/>
    <w:rsid w:val="006824B8"/>
    <w:rsid w:val="00682955"/>
    <w:rsid w:val="00682A04"/>
    <w:rsid w:val="00682BA6"/>
    <w:rsid w:val="00682D40"/>
    <w:rsid w:val="00683947"/>
    <w:rsid w:val="00683D49"/>
    <w:rsid w:val="006842AD"/>
    <w:rsid w:val="0068466C"/>
    <w:rsid w:val="0068477E"/>
    <w:rsid w:val="0068478C"/>
    <w:rsid w:val="006849DA"/>
    <w:rsid w:val="00684B87"/>
    <w:rsid w:val="00684D75"/>
    <w:rsid w:val="0068530C"/>
    <w:rsid w:val="00685597"/>
    <w:rsid w:val="006855BF"/>
    <w:rsid w:val="006863F0"/>
    <w:rsid w:val="0068683A"/>
    <w:rsid w:val="00686957"/>
    <w:rsid w:val="00686B5A"/>
    <w:rsid w:val="00686C46"/>
    <w:rsid w:val="00687108"/>
    <w:rsid w:val="006872BA"/>
    <w:rsid w:val="0068768D"/>
    <w:rsid w:val="00687A66"/>
    <w:rsid w:val="00690629"/>
    <w:rsid w:val="00690795"/>
    <w:rsid w:val="00690CF0"/>
    <w:rsid w:val="00690D13"/>
    <w:rsid w:val="00690D47"/>
    <w:rsid w:val="00690DC3"/>
    <w:rsid w:val="006913D3"/>
    <w:rsid w:val="006915FC"/>
    <w:rsid w:val="00691648"/>
    <w:rsid w:val="006917D7"/>
    <w:rsid w:val="006917E4"/>
    <w:rsid w:val="00691907"/>
    <w:rsid w:val="00691C9D"/>
    <w:rsid w:val="00691CB1"/>
    <w:rsid w:val="0069201D"/>
    <w:rsid w:val="006925C5"/>
    <w:rsid w:val="00692617"/>
    <w:rsid w:val="006926DA"/>
    <w:rsid w:val="00692C5D"/>
    <w:rsid w:val="00692C99"/>
    <w:rsid w:val="00692D27"/>
    <w:rsid w:val="00692D34"/>
    <w:rsid w:val="00693115"/>
    <w:rsid w:val="00693512"/>
    <w:rsid w:val="006939F5"/>
    <w:rsid w:val="00693F35"/>
    <w:rsid w:val="00694065"/>
    <w:rsid w:val="006942C2"/>
    <w:rsid w:val="0069434C"/>
    <w:rsid w:val="006944CD"/>
    <w:rsid w:val="00694509"/>
    <w:rsid w:val="00694600"/>
    <w:rsid w:val="00694974"/>
    <w:rsid w:val="006949CF"/>
    <w:rsid w:val="00694AB6"/>
    <w:rsid w:val="00694D71"/>
    <w:rsid w:val="00694F44"/>
    <w:rsid w:val="00695440"/>
    <w:rsid w:val="006954C4"/>
    <w:rsid w:val="00695EE7"/>
    <w:rsid w:val="006962F8"/>
    <w:rsid w:val="0069662F"/>
    <w:rsid w:val="006969C3"/>
    <w:rsid w:val="006969D1"/>
    <w:rsid w:val="00696E04"/>
    <w:rsid w:val="00696F51"/>
    <w:rsid w:val="006979A5"/>
    <w:rsid w:val="006979C0"/>
    <w:rsid w:val="00697A7F"/>
    <w:rsid w:val="00697B3C"/>
    <w:rsid w:val="00697C33"/>
    <w:rsid w:val="006A00C2"/>
    <w:rsid w:val="006A0E67"/>
    <w:rsid w:val="006A1294"/>
    <w:rsid w:val="006A1323"/>
    <w:rsid w:val="006A14BA"/>
    <w:rsid w:val="006A159A"/>
    <w:rsid w:val="006A198E"/>
    <w:rsid w:val="006A1C46"/>
    <w:rsid w:val="006A1DC9"/>
    <w:rsid w:val="006A2613"/>
    <w:rsid w:val="006A2985"/>
    <w:rsid w:val="006A2A41"/>
    <w:rsid w:val="006A2AF2"/>
    <w:rsid w:val="006A2F2A"/>
    <w:rsid w:val="006A31D8"/>
    <w:rsid w:val="006A3255"/>
    <w:rsid w:val="006A338F"/>
    <w:rsid w:val="006A3F99"/>
    <w:rsid w:val="006A4233"/>
    <w:rsid w:val="006A481F"/>
    <w:rsid w:val="006A4BAE"/>
    <w:rsid w:val="006A4C08"/>
    <w:rsid w:val="006A4C17"/>
    <w:rsid w:val="006A4CD6"/>
    <w:rsid w:val="006A4F24"/>
    <w:rsid w:val="006A5192"/>
    <w:rsid w:val="006A5352"/>
    <w:rsid w:val="006A58AF"/>
    <w:rsid w:val="006A58BE"/>
    <w:rsid w:val="006A6222"/>
    <w:rsid w:val="006A625A"/>
    <w:rsid w:val="006A6B2C"/>
    <w:rsid w:val="006A6B99"/>
    <w:rsid w:val="006A6C24"/>
    <w:rsid w:val="006A6EFC"/>
    <w:rsid w:val="006A6F7E"/>
    <w:rsid w:val="006A7250"/>
    <w:rsid w:val="006A73F8"/>
    <w:rsid w:val="006A7489"/>
    <w:rsid w:val="006A78F4"/>
    <w:rsid w:val="006A7991"/>
    <w:rsid w:val="006A7B72"/>
    <w:rsid w:val="006A7E3B"/>
    <w:rsid w:val="006A7E5F"/>
    <w:rsid w:val="006B0409"/>
    <w:rsid w:val="006B053F"/>
    <w:rsid w:val="006B0A19"/>
    <w:rsid w:val="006B0BC0"/>
    <w:rsid w:val="006B0CF1"/>
    <w:rsid w:val="006B0F86"/>
    <w:rsid w:val="006B10AF"/>
    <w:rsid w:val="006B1986"/>
    <w:rsid w:val="006B1BA3"/>
    <w:rsid w:val="006B1CDE"/>
    <w:rsid w:val="006B2303"/>
    <w:rsid w:val="006B261B"/>
    <w:rsid w:val="006B26C4"/>
    <w:rsid w:val="006B293F"/>
    <w:rsid w:val="006B2C90"/>
    <w:rsid w:val="006B2CC6"/>
    <w:rsid w:val="006B2E90"/>
    <w:rsid w:val="006B35E6"/>
    <w:rsid w:val="006B37F3"/>
    <w:rsid w:val="006B391E"/>
    <w:rsid w:val="006B3ACA"/>
    <w:rsid w:val="006B3B36"/>
    <w:rsid w:val="006B3DBA"/>
    <w:rsid w:val="006B40DD"/>
    <w:rsid w:val="006B465A"/>
    <w:rsid w:val="006B4E97"/>
    <w:rsid w:val="006B5102"/>
    <w:rsid w:val="006B52C1"/>
    <w:rsid w:val="006B5358"/>
    <w:rsid w:val="006B577C"/>
    <w:rsid w:val="006B57A1"/>
    <w:rsid w:val="006B5B25"/>
    <w:rsid w:val="006B5BEC"/>
    <w:rsid w:val="006B638D"/>
    <w:rsid w:val="006B6DD0"/>
    <w:rsid w:val="006B7204"/>
    <w:rsid w:val="006B7337"/>
    <w:rsid w:val="006B756F"/>
    <w:rsid w:val="006B7C5C"/>
    <w:rsid w:val="006C009F"/>
    <w:rsid w:val="006C01B9"/>
    <w:rsid w:val="006C01F2"/>
    <w:rsid w:val="006C0399"/>
    <w:rsid w:val="006C07EB"/>
    <w:rsid w:val="006C0B1D"/>
    <w:rsid w:val="006C0BB4"/>
    <w:rsid w:val="006C14FB"/>
    <w:rsid w:val="006C18F7"/>
    <w:rsid w:val="006C1C3A"/>
    <w:rsid w:val="006C213C"/>
    <w:rsid w:val="006C21E3"/>
    <w:rsid w:val="006C21E9"/>
    <w:rsid w:val="006C2264"/>
    <w:rsid w:val="006C24C6"/>
    <w:rsid w:val="006C2689"/>
    <w:rsid w:val="006C27EE"/>
    <w:rsid w:val="006C2A8E"/>
    <w:rsid w:val="006C2B26"/>
    <w:rsid w:val="006C2CB2"/>
    <w:rsid w:val="006C2E1F"/>
    <w:rsid w:val="006C3255"/>
    <w:rsid w:val="006C374C"/>
    <w:rsid w:val="006C3802"/>
    <w:rsid w:val="006C3A4B"/>
    <w:rsid w:val="006C3B85"/>
    <w:rsid w:val="006C3F26"/>
    <w:rsid w:val="006C4050"/>
    <w:rsid w:val="006C440B"/>
    <w:rsid w:val="006C4624"/>
    <w:rsid w:val="006C5555"/>
    <w:rsid w:val="006C5C77"/>
    <w:rsid w:val="006C5F1B"/>
    <w:rsid w:val="006C6AE2"/>
    <w:rsid w:val="006C70D0"/>
    <w:rsid w:val="006C71E5"/>
    <w:rsid w:val="006C73C7"/>
    <w:rsid w:val="006C7FDC"/>
    <w:rsid w:val="006D00BB"/>
    <w:rsid w:val="006D0230"/>
    <w:rsid w:val="006D0BE6"/>
    <w:rsid w:val="006D0D17"/>
    <w:rsid w:val="006D0D7B"/>
    <w:rsid w:val="006D0F62"/>
    <w:rsid w:val="006D118E"/>
    <w:rsid w:val="006D14CE"/>
    <w:rsid w:val="006D15EE"/>
    <w:rsid w:val="006D162C"/>
    <w:rsid w:val="006D1F0C"/>
    <w:rsid w:val="006D218A"/>
    <w:rsid w:val="006D23F8"/>
    <w:rsid w:val="006D2732"/>
    <w:rsid w:val="006D2B07"/>
    <w:rsid w:val="006D2D3F"/>
    <w:rsid w:val="006D3305"/>
    <w:rsid w:val="006D342D"/>
    <w:rsid w:val="006D35F0"/>
    <w:rsid w:val="006D36B4"/>
    <w:rsid w:val="006D3883"/>
    <w:rsid w:val="006D38FC"/>
    <w:rsid w:val="006D3C7D"/>
    <w:rsid w:val="006D3E14"/>
    <w:rsid w:val="006D4659"/>
    <w:rsid w:val="006D47E8"/>
    <w:rsid w:val="006D4A91"/>
    <w:rsid w:val="006D4C64"/>
    <w:rsid w:val="006D4DA4"/>
    <w:rsid w:val="006D4E42"/>
    <w:rsid w:val="006D4F00"/>
    <w:rsid w:val="006D5542"/>
    <w:rsid w:val="006D5671"/>
    <w:rsid w:val="006D56A6"/>
    <w:rsid w:val="006D5B1B"/>
    <w:rsid w:val="006D5BAD"/>
    <w:rsid w:val="006D5D5F"/>
    <w:rsid w:val="006D632E"/>
    <w:rsid w:val="006D6367"/>
    <w:rsid w:val="006D6380"/>
    <w:rsid w:val="006D63D9"/>
    <w:rsid w:val="006D6585"/>
    <w:rsid w:val="006D67AA"/>
    <w:rsid w:val="006D67D1"/>
    <w:rsid w:val="006D67E6"/>
    <w:rsid w:val="006D68FB"/>
    <w:rsid w:val="006D6C13"/>
    <w:rsid w:val="006D6D44"/>
    <w:rsid w:val="006D6F36"/>
    <w:rsid w:val="006D6F67"/>
    <w:rsid w:val="006D7301"/>
    <w:rsid w:val="006D75E2"/>
    <w:rsid w:val="006D7616"/>
    <w:rsid w:val="006D7E6F"/>
    <w:rsid w:val="006E000E"/>
    <w:rsid w:val="006E0070"/>
    <w:rsid w:val="006E0B2A"/>
    <w:rsid w:val="006E1092"/>
    <w:rsid w:val="006E10F3"/>
    <w:rsid w:val="006E1B69"/>
    <w:rsid w:val="006E1EC7"/>
    <w:rsid w:val="006E1F7C"/>
    <w:rsid w:val="006E22DF"/>
    <w:rsid w:val="006E262B"/>
    <w:rsid w:val="006E263F"/>
    <w:rsid w:val="006E268B"/>
    <w:rsid w:val="006E2868"/>
    <w:rsid w:val="006E2F15"/>
    <w:rsid w:val="006E3444"/>
    <w:rsid w:val="006E364B"/>
    <w:rsid w:val="006E38AF"/>
    <w:rsid w:val="006E3D2A"/>
    <w:rsid w:val="006E3E62"/>
    <w:rsid w:val="006E4048"/>
    <w:rsid w:val="006E47FD"/>
    <w:rsid w:val="006E48BB"/>
    <w:rsid w:val="006E4D52"/>
    <w:rsid w:val="006E542E"/>
    <w:rsid w:val="006E5BD0"/>
    <w:rsid w:val="006E63EF"/>
    <w:rsid w:val="006E647B"/>
    <w:rsid w:val="006E664C"/>
    <w:rsid w:val="006E699B"/>
    <w:rsid w:val="006E6BAE"/>
    <w:rsid w:val="006E70CE"/>
    <w:rsid w:val="006E760E"/>
    <w:rsid w:val="006E76FD"/>
    <w:rsid w:val="006E77E6"/>
    <w:rsid w:val="006E7856"/>
    <w:rsid w:val="006E7A1D"/>
    <w:rsid w:val="006F03DE"/>
    <w:rsid w:val="006F08CA"/>
    <w:rsid w:val="006F09CF"/>
    <w:rsid w:val="006F0C97"/>
    <w:rsid w:val="006F0F81"/>
    <w:rsid w:val="006F0FCE"/>
    <w:rsid w:val="006F106D"/>
    <w:rsid w:val="006F13C9"/>
    <w:rsid w:val="006F1C29"/>
    <w:rsid w:val="006F1CE6"/>
    <w:rsid w:val="006F1D36"/>
    <w:rsid w:val="006F1D77"/>
    <w:rsid w:val="006F1F60"/>
    <w:rsid w:val="006F26C4"/>
    <w:rsid w:val="006F2D52"/>
    <w:rsid w:val="006F2DB6"/>
    <w:rsid w:val="006F2EBB"/>
    <w:rsid w:val="006F306C"/>
    <w:rsid w:val="006F310E"/>
    <w:rsid w:val="006F3D7E"/>
    <w:rsid w:val="006F45B5"/>
    <w:rsid w:val="006F460C"/>
    <w:rsid w:val="006F470D"/>
    <w:rsid w:val="006F4FA2"/>
    <w:rsid w:val="006F5059"/>
    <w:rsid w:val="006F5602"/>
    <w:rsid w:val="006F5699"/>
    <w:rsid w:val="006F5929"/>
    <w:rsid w:val="006F5F9C"/>
    <w:rsid w:val="006F63A5"/>
    <w:rsid w:val="006F6F2E"/>
    <w:rsid w:val="006F6F59"/>
    <w:rsid w:val="006F70D3"/>
    <w:rsid w:val="006F7367"/>
    <w:rsid w:val="006F73E2"/>
    <w:rsid w:val="006F749D"/>
    <w:rsid w:val="006F7750"/>
    <w:rsid w:val="006F7B24"/>
    <w:rsid w:val="006F7C57"/>
    <w:rsid w:val="006F7D4E"/>
    <w:rsid w:val="006F7E6A"/>
    <w:rsid w:val="006F7F97"/>
    <w:rsid w:val="0070009C"/>
    <w:rsid w:val="00700968"/>
    <w:rsid w:val="00700BB8"/>
    <w:rsid w:val="00700D8C"/>
    <w:rsid w:val="0070128F"/>
    <w:rsid w:val="0070142B"/>
    <w:rsid w:val="00701A53"/>
    <w:rsid w:val="00701ECD"/>
    <w:rsid w:val="00701EEA"/>
    <w:rsid w:val="00702280"/>
    <w:rsid w:val="007022BF"/>
    <w:rsid w:val="007025DD"/>
    <w:rsid w:val="0070276E"/>
    <w:rsid w:val="0070289B"/>
    <w:rsid w:val="00702ACD"/>
    <w:rsid w:val="00702B4F"/>
    <w:rsid w:val="00702F8F"/>
    <w:rsid w:val="007031F3"/>
    <w:rsid w:val="007032A5"/>
    <w:rsid w:val="00703A52"/>
    <w:rsid w:val="00703A85"/>
    <w:rsid w:val="00703CD0"/>
    <w:rsid w:val="00703F2E"/>
    <w:rsid w:val="007044B7"/>
    <w:rsid w:val="007046AB"/>
    <w:rsid w:val="00704BFF"/>
    <w:rsid w:val="00704C5A"/>
    <w:rsid w:val="00705139"/>
    <w:rsid w:val="00705155"/>
    <w:rsid w:val="007054B3"/>
    <w:rsid w:val="007054F9"/>
    <w:rsid w:val="00705A3B"/>
    <w:rsid w:val="00705EC1"/>
    <w:rsid w:val="0070628E"/>
    <w:rsid w:val="007062F9"/>
    <w:rsid w:val="007063AA"/>
    <w:rsid w:val="00706EE1"/>
    <w:rsid w:val="00707342"/>
    <w:rsid w:val="007079FC"/>
    <w:rsid w:val="00707BDA"/>
    <w:rsid w:val="00710008"/>
    <w:rsid w:val="007100C7"/>
    <w:rsid w:val="00710DBE"/>
    <w:rsid w:val="00710FA0"/>
    <w:rsid w:val="007110B7"/>
    <w:rsid w:val="007114AB"/>
    <w:rsid w:val="007115A5"/>
    <w:rsid w:val="00711605"/>
    <w:rsid w:val="00711A36"/>
    <w:rsid w:val="00711CB2"/>
    <w:rsid w:val="00712333"/>
    <w:rsid w:val="0071235D"/>
    <w:rsid w:val="00712C3D"/>
    <w:rsid w:val="00712EB9"/>
    <w:rsid w:val="00713329"/>
    <w:rsid w:val="007138A6"/>
    <w:rsid w:val="0071399A"/>
    <w:rsid w:val="0071445C"/>
    <w:rsid w:val="0071482F"/>
    <w:rsid w:val="00714BE1"/>
    <w:rsid w:val="00714C26"/>
    <w:rsid w:val="00714D41"/>
    <w:rsid w:val="00714D61"/>
    <w:rsid w:val="0071529C"/>
    <w:rsid w:val="00715334"/>
    <w:rsid w:val="00715377"/>
    <w:rsid w:val="0071560E"/>
    <w:rsid w:val="0071577A"/>
    <w:rsid w:val="00715EBE"/>
    <w:rsid w:val="0071641C"/>
    <w:rsid w:val="007164B4"/>
    <w:rsid w:val="00716650"/>
    <w:rsid w:val="0071690D"/>
    <w:rsid w:val="007170DA"/>
    <w:rsid w:val="00717233"/>
    <w:rsid w:val="007172AD"/>
    <w:rsid w:val="007173CA"/>
    <w:rsid w:val="007176DC"/>
    <w:rsid w:val="00717D76"/>
    <w:rsid w:val="00717EAC"/>
    <w:rsid w:val="00717EB4"/>
    <w:rsid w:val="00720801"/>
    <w:rsid w:val="007209AF"/>
    <w:rsid w:val="007210DD"/>
    <w:rsid w:val="0072117A"/>
    <w:rsid w:val="00721452"/>
    <w:rsid w:val="0072159F"/>
    <w:rsid w:val="00721DC2"/>
    <w:rsid w:val="00721E33"/>
    <w:rsid w:val="00721FA4"/>
    <w:rsid w:val="00722085"/>
    <w:rsid w:val="00722300"/>
    <w:rsid w:val="00722863"/>
    <w:rsid w:val="007228FE"/>
    <w:rsid w:val="00722B1B"/>
    <w:rsid w:val="00723411"/>
    <w:rsid w:val="007235F4"/>
    <w:rsid w:val="00723690"/>
    <w:rsid w:val="00723932"/>
    <w:rsid w:val="00723C84"/>
    <w:rsid w:val="00723E19"/>
    <w:rsid w:val="00723E4A"/>
    <w:rsid w:val="0072416F"/>
    <w:rsid w:val="00724BA8"/>
    <w:rsid w:val="00724CAD"/>
    <w:rsid w:val="007251CD"/>
    <w:rsid w:val="00725B7D"/>
    <w:rsid w:val="00725C13"/>
    <w:rsid w:val="00725FA5"/>
    <w:rsid w:val="00726529"/>
    <w:rsid w:val="007266EA"/>
    <w:rsid w:val="00726808"/>
    <w:rsid w:val="00726B04"/>
    <w:rsid w:val="00727173"/>
    <w:rsid w:val="00727546"/>
    <w:rsid w:val="007279F6"/>
    <w:rsid w:val="007279F7"/>
    <w:rsid w:val="00727A0C"/>
    <w:rsid w:val="00727C94"/>
    <w:rsid w:val="00727D88"/>
    <w:rsid w:val="00727E77"/>
    <w:rsid w:val="00730248"/>
    <w:rsid w:val="00730280"/>
    <w:rsid w:val="0073040B"/>
    <w:rsid w:val="0073082D"/>
    <w:rsid w:val="007309D3"/>
    <w:rsid w:val="00730E1E"/>
    <w:rsid w:val="00730F64"/>
    <w:rsid w:val="00731086"/>
    <w:rsid w:val="007311D4"/>
    <w:rsid w:val="007311F6"/>
    <w:rsid w:val="00731338"/>
    <w:rsid w:val="00731479"/>
    <w:rsid w:val="007316AD"/>
    <w:rsid w:val="007316F3"/>
    <w:rsid w:val="00731AB0"/>
    <w:rsid w:val="00731B0A"/>
    <w:rsid w:val="00731B6C"/>
    <w:rsid w:val="00731D56"/>
    <w:rsid w:val="00731EAE"/>
    <w:rsid w:val="00731EB2"/>
    <w:rsid w:val="00732031"/>
    <w:rsid w:val="0073206B"/>
    <w:rsid w:val="0073210C"/>
    <w:rsid w:val="00732408"/>
    <w:rsid w:val="007326E0"/>
    <w:rsid w:val="00732859"/>
    <w:rsid w:val="00732F36"/>
    <w:rsid w:val="00732F50"/>
    <w:rsid w:val="00733073"/>
    <w:rsid w:val="007330A1"/>
    <w:rsid w:val="00733853"/>
    <w:rsid w:val="00733855"/>
    <w:rsid w:val="00733A01"/>
    <w:rsid w:val="00734026"/>
    <w:rsid w:val="0073419A"/>
    <w:rsid w:val="00734E6E"/>
    <w:rsid w:val="00734F3C"/>
    <w:rsid w:val="00735033"/>
    <w:rsid w:val="007352DA"/>
    <w:rsid w:val="00735328"/>
    <w:rsid w:val="007359C0"/>
    <w:rsid w:val="00736057"/>
    <w:rsid w:val="0073612A"/>
    <w:rsid w:val="00736294"/>
    <w:rsid w:val="00736526"/>
    <w:rsid w:val="007366E7"/>
    <w:rsid w:val="0073684E"/>
    <w:rsid w:val="0073685B"/>
    <w:rsid w:val="00736C37"/>
    <w:rsid w:val="00736F00"/>
    <w:rsid w:val="0073755B"/>
    <w:rsid w:val="00737563"/>
    <w:rsid w:val="007379FA"/>
    <w:rsid w:val="00737A51"/>
    <w:rsid w:val="00737CD7"/>
    <w:rsid w:val="00737E21"/>
    <w:rsid w:val="00737E22"/>
    <w:rsid w:val="00737F60"/>
    <w:rsid w:val="00740023"/>
    <w:rsid w:val="00740063"/>
    <w:rsid w:val="007403C8"/>
    <w:rsid w:val="0074053C"/>
    <w:rsid w:val="00741C53"/>
    <w:rsid w:val="00741CA3"/>
    <w:rsid w:val="00741DE9"/>
    <w:rsid w:val="00741FA0"/>
    <w:rsid w:val="007425F5"/>
    <w:rsid w:val="00742AE0"/>
    <w:rsid w:val="00742EA9"/>
    <w:rsid w:val="007433EA"/>
    <w:rsid w:val="007437A2"/>
    <w:rsid w:val="007439F8"/>
    <w:rsid w:val="00743E57"/>
    <w:rsid w:val="007441F7"/>
    <w:rsid w:val="00744844"/>
    <w:rsid w:val="007449AC"/>
    <w:rsid w:val="007449BF"/>
    <w:rsid w:val="00744A4D"/>
    <w:rsid w:val="00744D24"/>
    <w:rsid w:val="00745589"/>
    <w:rsid w:val="00746BC0"/>
    <w:rsid w:val="00746CFE"/>
    <w:rsid w:val="00746FB9"/>
    <w:rsid w:val="007470BE"/>
    <w:rsid w:val="0074734F"/>
    <w:rsid w:val="007477AF"/>
    <w:rsid w:val="007477FF"/>
    <w:rsid w:val="00747A17"/>
    <w:rsid w:val="00747C65"/>
    <w:rsid w:val="00747C96"/>
    <w:rsid w:val="00750356"/>
    <w:rsid w:val="0075046F"/>
    <w:rsid w:val="007504A1"/>
    <w:rsid w:val="00750D0A"/>
    <w:rsid w:val="00750E80"/>
    <w:rsid w:val="00750F9B"/>
    <w:rsid w:val="007510B4"/>
    <w:rsid w:val="00751837"/>
    <w:rsid w:val="007519E4"/>
    <w:rsid w:val="00751A94"/>
    <w:rsid w:val="00751B8E"/>
    <w:rsid w:val="00751E31"/>
    <w:rsid w:val="00751ED9"/>
    <w:rsid w:val="00752142"/>
    <w:rsid w:val="007523F9"/>
    <w:rsid w:val="00752468"/>
    <w:rsid w:val="00752777"/>
    <w:rsid w:val="00752C9C"/>
    <w:rsid w:val="00752CF9"/>
    <w:rsid w:val="00752F15"/>
    <w:rsid w:val="0075321B"/>
    <w:rsid w:val="00753381"/>
    <w:rsid w:val="007533D5"/>
    <w:rsid w:val="007534A2"/>
    <w:rsid w:val="0075357E"/>
    <w:rsid w:val="00753B1C"/>
    <w:rsid w:val="007541C2"/>
    <w:rsid w:val="0075458E"/>
    <w:rsid w:val="00754AAD"/>
    <w:rsid w:val="00754D7E"/>
    <w:rsid w:val="00754D80"/>
    <w:rsid w:val="0075543E"/>
    <w:rsid w:val="007554A2"/>
    <w:rsid w:val="007554C0"/>
    <w:rsid w:val="00755919"/>
    <w:rsid w:val="00755C79"/>
    <w:rsid w:val="00756190"/>
    <w:rsid w:val="007561AB"/>
    <w:rsid w:val="007563AD"/>
    <w:rsid w:val="007563F8"/>
    <w:rsid w:val="007568DF"/>
    <w:rsid w:val="00756A2B"/>
    <w:rsid w:val="00756E14"/>
    <w:rsid w:val="00757270"/>
    <w:rsid w:val="00757314"/>
    <w:rsid w:val="007573E8"/>
    <w:rsid w:val="00757669"/>
    <w:rsid w:val="00757A0C"/>
    <w:rsid w:val="00757CEA"/>
    <w:rsid w:val="00757E1D"/>
    <w:rsid w:val="007604A7"/>
    <w:rsid w:val="00760B39"/>
    <w:rsid w:val="00760C4E"/>
    <w:rsid w:val="00760F9E"/>
    <w:rsid w:val="00761667"/>
    <w:rsid w:val="0076184D"/>
    <w:rsid w:val="0076192C"/>
    <w:rsid w:val="00761C8B"/>
    <w:rsid w:val="007626F1"/>
    <w:rsid w:val="007627BE"/>
    <w:rsid w:val="007631E1"/>
    <w:rsid w:val="0076325D"/>
    <w:rsid w:val="00763263"/>
    <w:rsid w:val="00763444"/>
    <w:rsid w:val="0076349A"/>
    <w:rsid w:val="00763739"/>
    <w:rsid w:val="007637C7"/>
    <w:rsid w:val="00763A58"/>
    <w:rsid w:val="00763E05"/>
    <w:rsid w:val="00763FD3"/>
    <w:rsid w:val="0076443B"/>
    <w:rsid w:val="00764B56"/>
    <w:rsid w:val="00764F03"/>
    <w:rsid w:val="0076537C"/>
    <w:rsid w:val="00765B1A"/>
    <w:rsid w:val="00765D0C"/>
    <w:rsid w:val="0076640B"/>
    <w:rsid w:val="00766A47"/>
    <w:rsid w:val="00766A9D"/>
    <w:rsid w:val="00766B73"/>
    <w:rsid w:val="00766BD1"/>
    <w:rsid w:val="00766EB7"/>
    <w:rsid w:val="00767729"/>
    <w:rsid w:val="00767D40"/>
    <w:rsid w:val="007705D3"/>
    <w:rsid w:val="00770976"/>
    <w:rsid w:val="00770B80"/>
    <w:rsid w:val="00771212"/>
    <w:rsid w:val="007713DE"/>
    <w:rsid w:val="00771595"/>
    <w:rsid w:val="007716CC"/>
    <w:rsid w:val="00771830"/>
    <w:rsid w:val="00771A7A"/>
    <w:rsid w:val="00771C97"/>
    <w:rsid w:val="00771D13"/>
    <w:rsid w:val="00772266"/>
    <w:rsid w:val="00772B6E"/>
    <w:rsid w:val="0077338E"/>
    <w:rsid w:val="00773C85"/>
    <w:rsid w:val="00773E64"/>
    <w:rsid w:val="00774369"/>
    <w:rsid w:val="00774AB3"/>
    <w:rsid w:val="00774AC6"/>
    <w:rsid w:val="00774C4F"/>
    <w:rsid w:val="0077534A"/>
    <w:rsid w:val="007754DD"/>
    <w:rsid w:val="007754E8"/>
    <w:rsid w:val="00775B33"/>
    <w:rsid w:val="00775B43"/>
    <w:rsid w:val="00775D88"/>
    <w:rsid w:val="0077652C"/>
    <w:rsid w:val="007765E1"/>
    <w:rsid w:val="00777335"/>
    <w:rsid w:val="00777F6B"/>
    <w:rsid w:val="00780557"/>
    <w:rsid w:val="007809FE"/>
    <w:rsid w:val="00780B40"/>
    <w:rsid w:val="00780EC9"/>
    <w:rsid w:val="007810A4"/>
    <w:rsid w:val="007813C1"/>
    <w:rsid w:val="0078158D"/>
    <w:rsid w:val="00781728"/>
    <w:rsid w:val="0078184E"/>
    <w:rsid w:val="007818D2"/>
    <w:rsid w:val="00781DD1"/>
    <w:rsid w:val="00781DF7"/>
    <w:rsid w:val="00782256"/>
    <w:rsid w:val="00782492"/>
    <w:rsid w:val="00782542"/>
    <w:rsid w:val="0078268E"/>
    <w:rsid w:val="007828EB"/>
    <w:rsid w:val="00782F12"/>
    <w:rsid w:val="00782F80"/>
    <w:rsid w:val="007836B6"/>
    <w:rsid w:val="00783B29"/>
    <w:rsid w:val="007842DC"/>
    <w:rsid w:val="0078430E"/>
    <w:rsid w:val="007843F2"/>
    <w:rsid w:val="007849D2"/>
    <w:rsid w:val="00785136"/>
    <w:rsid w:val="00785A9F"/>
    <w:rsid w:val="00785FCA"/>
    <w:rsid w:val="0078659E"/>
    <w:rsid w:val="00786BC3"/>
    <w:rsid w:val="00786CD7"/>
    <w:rsid w:val="00787178"/>
    <w:rsid w:val="00787241"/>
    <w:rsid w:val="007872D6"/>
    <w:rsid w:val="00787F94"/>
    <w:rsid w:val="00790248"/>
    <w:rsid w:val="0079037D"/>
    <w:rsid w:val="00790654"/>
    <w:rsid w:val="00790B41"/>
    <w:rsid w:val="00790EAF"/>
    <w:rsid w:val="00790FE5"/>
    <w:rsid w:val="00791021"/>
    <w:rsid w:val="00791142"/>
    <w:rsid w:val="007913C9"/>
    <w:rsid w:val="00791822"/>
    <w:rsid w:val="00791913"/>
    <w:rsid w:val="00791F98"/>
    <w:rsid w:val="007925DF"/>
    <w:rsid w:val="00792942"/>
    <w:rsid w:val="007930A9"/>
    <w:rsid w:val="007930AB"/>
    <w:rsid w:val="0079336E"/>
    <w:rsid w:val="007938BF"/>
    <w:rsid w:val="007938E3"/>
    <w:rsid w:val="00793D25"/>
    <w:rsid w:val="00793E3A"/>
    <w:rsid w:val="00793F01"/>
    <w:rsid w:val="00793F73"/>
    <w:rsid w:val="0079434C"/>
    <w:rsid w:val="00794E17"/>
    <w:rsid w:val="00794E8D"/>
    <w:rsid w:val="007952F3"/>
    <w:rsid w:val="007953A1"/>
    <w:rsid w:val="00795D6C"/>
    <w:rsid w:val="00796233"/>
    <w:rsid w:val="0079639A"/>
    <w:rsid w:val="00796601"/>
    <w:rsid w:val="00796769"/>
    <w:rsid w:val="00796B48"/>
    <w:rsid w:val="007970FF"/>
    <w:rsid w:val="007977A4"/>
    <w:rsid w:val="00797806"/>
    <w:rsid w:val="00797C17"/>
    <w:rsid w:val="00797E84"/>
    <w:rsid w:val="00797F43"/>
    <w:rsid w:val="00797FBF"/>
    <w:rsid w:val="007A0184"/>
    <w:rsid w:val="007A08AA"/>
    <w:rsid w:val="007A0A12"/>
    <w:rsid w:val="007A0C17"/>
    <w:rsid w:val="007A0FF7"/>
    <w:rsid w:val="007A132D"/>
    <w:rsid w:val="007A1345"/>
    <w:rsid w:val="007A1570"/>
    <w:rsid w:val="007A18FF"/>
    <w:rsid w:val="007A20B7"/>
    <w:rsid w:val="007A24B2"/>
    <w:rsid w:val="007A2899"/>
    <w:rsid w:val="007A2A46"/>
    <w:rsid w:val="007A2A75"/>
    <w:rsid w:val="007A2CA0"/>
    <w:rsid w:val="007A2DDB"/>
    <w:rsid w:val="007A2DE6"/>
    <w:rsid w:val="007A2E09"/>
    <w:rsid w:val="007A37C8"/>
    <w:rsid w:val="007A37DB"/>
    <w:rsid w:val="007A3AB8"/>
    <w:rsid w:val="007A3C2C"/>
    <w:rsid w:val="007A3C90"/>
    <w:rsid w:val="007A3D3F"/>
    <w:rsid w:val="007A3E8A"/>
    <w:rsid w:val="007A3EA7"/>
    <w:rsid w:val="007A4042"/>
    <w:rsid w:val="007A44A7"/>
    <w:rsid w:val="007A500E"/>
    <w:rsid w:val="007A5329"/>
    <w:rsid w:val="007A58B4"/>
    <w:rsid w:val="007A5E39"/>
    <w:rsid w:val="007A619E"/>
    <w:rsid w:val="007A632B"/>
    <w:rsid w:val="007A6501"/>
    <w:rsid w:val="007A678B"/>
    <w:rsid w:val="007A7008"/>
    <w:rsid w:val="007A70BA"/>
    <w:rsid w:val="007A755C"/>
    <w:rsid w:val="007B005B"/>
    <w:rsid w:val="007B00CB"/>
    <w:rsid w:val="007B0653"/>
    <w:rsid w:val="007B0D68"/>
    <w:rsid w:val="007B113C"/>
    <w:rsid w:val="007B1950"/>
    <w:rsid w:val="007B1E4A"/>
    <w:rsid w:val="007B1E9C"/>
    <w:rsid w:val="007B202D"/>
    <w:rsid w:val="007B251D"/>
    <w:rsid w:val="007B277A"/>
    <w:rsid w:val="007B27B3"/>
    <w:rsid w:val="007B2A1B"/>
    <w:rsid w:val="007B2F4D"/>
    <w:rsid w:val="007B32FA"/>
    <w:rsid w:val="007B4143"/>
    <w:rsid w:val="007B4203"/>
    <w:rsid w:val="007B45E9"/>
    <w:rsid w:val="007B4770"/>
    <w:rsid w:val="007B4914"/>
    <w:rsid w:val="007B4ABF"/>
    <w:rsid w:val="007B4B01"/>
    <w:rsid w:val="007B4F58"/>
    <w:rsid w:val="007B4FDE"/>
    <w:rsid w:val="007B528D"/>
    <w:rsid w:val="007B52F5"/>
    <w:rsid w:val="007B5485"/>
    <w:rsid w:val="007B56A1"/>
    <w:rsid w:val="007B57F0"/>
    <w:rsid w:val="007B5F50"/>
    <w:rsid w:val="007B6125"/>
    <w:rsid w:val="007B63CA"/>
    <w:rsid w:val="007B6677"/>
    <w:rsid w:val="007B6A59"/>
    <w:rsid w:val="007B6D48"/>
    <w:rsid w:val="007B7422"/>
    <w:rsid w:val="007B77BA"/>
    <w:rsid w:val="007B77D1"/>
    <w:rsid w:val="007B7D8B"/>
    <w:rsid w:val="007C04E4"/>
    <w:rsid w:val="007C07C7"/>
    <w:rsid w:val="007C0C9D"/>
    <w:rsid w:val="007C0F49"/>
    <w:rsid w:val="007C14B8"/>
    <w:rsid w:val="007C16C4"/>
    <w:rsid w:val="007C1CD9"/>
    <w:rsid w:val="007C1D5E"/>
    <w:rsid w:val="007C1D93"/>
    <w:rsid w:val="007C1E67"/>
    <w:rsid w:val="007C1F77"/>
    <w:rsid w:val="007C234E"/>
    <w:rsid w:val="007C248A"/>
    <w:rsid w:val="007C2912"/>
    <w:rsid w:val="007C2D72"/>
    <w:rsid w:val="007C32AD"/>
    <w:rsid w:val="007C32EF"/>
    <w:rsid w:val="007C361D"/>
    <w:rsid w:val="007C38DD"/>
    <w:rsid w:val="007C4043"/>
    <w:rsid w:val="007C4536"/>
    <w:rsid w:val="007C46F5"/>
    <w:rsid w:val="007C4958"/>
    <w:rsid w:val="007C4B84"/>
    <w:rsid w:val="007C4EF2"/>
    <w:rsid w:val="007C4F30"/>
    <w:rsid w:val="007C5094"/>
    <w:rsid w:val="007C5226"/>
    <w:rsid w:val="007C539C"/>
    <w:rsid w:val="007C5558"/>
    <w:rsid w:val="007C5843"/>
    <w:rsid w:val="007C585C"/>
    <w:rsid w:val="007C5B03"/>
    <w:rsid w:val="007C5C9B"/>
    <w:rsid w:val="007C62F4"/>
    <w:rsid w:val="007C6FDB"/>
    <w:rsid w:val="007C70FF"/>
    <w:rsid w:val="007C72FF"/>
    <w:rsid w:val="007C73FD"/>
    <w:rsid w:val="007C7546"/>
    <w:rsid w:val="007C7C0F"/>
    <w:rsid w:val="007C7C18"/>
    <w:rsid w:val="007C7C25"/>
    <w:rsid w:val="007D004F"/>
    <w:rsid w:val="007D0452"/>
    <w:rsid w:val="007D0723"/>
    <w:rsid w:val="007D0B05"/>
    <w:rsid w:val="007D0B38"/>
    <w:rsid w:val="007D0CC4"/>
    <w:rsid w:val="007D0F38"/>
    <w:rsid w:val="007D1093"/>
    <w:rsid w:val="007D1391"/>
    <w:rsid w:val="007D1691"/>
    <w:rsid w:val="007D1743"/>
    <w:rsid w:val="007D1922"/>
    <w:rsid w:val="007D19DF"/>
    <w:rsid w:val="007D1F57"/>
    <w:rsid w:val="007D242F"/>
    <w:rsid w:val="007D26EF"/>
    <w:rsid w:val="007D2A34"/>
    <w:rsid w:val="007D2B0F"/>
    <w:rsid w:val="007D2C62"/>
    <w:rsid w:val="007D2DCD"/>
    <w:rsid w:val="007D3192"/>
    <w:rsid w:val="007D3611"/>
    <w:rsid w:val="007D3677"/>
    <w:rsid w:val="007D39A2"/>
    <w:rsid w:val="007D3C41"/>
    <w:rsid w:val="007D3F0C"/>
    <w:rsid w:val="007D4424"/>
    <w:rsid w:val="007D490A"/>
    <w:rsid w:val="007D4C5B"/>
    <w:rsid w:val="007D4E7B"/>
    <w:rsid w:val="007D5383"/>
    <w:rsid w:val="007D5440"/>
    <w:rsid w:val="007D55E3"/>
    <w:rsid w:val="007D5848"/>
    <w:rsid w:val="007D58C9"/>
    <w:rsid w:val="007D59E3"/>
    <w:rsid w:val="007D5C63"/>
    <w:rsid w:val="007D5FCC"/>
    <w:rsid w:val="007D6791"/>
    <w:rsid w:val="007D680C"/>
    <w:rsid w:val="007D6878"/>
    <w:rsid w:val="007D69EB"/>
    <w:rsid w:val="007D7047"/>
    <w:rsid w:val="007D72AE"/>
    <w:rsid w:val="007D72D4"/>
    <w:rsid w:val="007D76A0"/>
    <w:rsid w:val="007D7722"/>
    <w:rsid w:val="007D7BB4"/>
    <w:rsid w:val="007D7C6A"/>
    <w:rsid w:val="007D7E22"/>
    <w:rsid w:val="007D7E23"/>
    <w:rsid w:val="007E073D"/>
    <w:rsid w:val="007E0D1A"/>
    <w:rsid w:val="007E0FE0"/>
    <w:rsid w:val="007E128F"/>
    <w:rsid w:val="007E13A0"/>
    <w:rsid w:val="007E1A99"/>
    <w:rsid w:val="007E1DBD"/>
    <w:rsid w:val="007E3151"/>
    <w:rsid w:val="007E344B"/>
    <w:rsid w:val="007E368E"/>
    <w:rsid w:val="007E37E4"/>
    <w:rsid w:val="007E39C0"/>
    <w:rsid w:val="007E4260"/>
    <w:rsid w:val="007E43F0"/>
    <w:rsid w:val="007E4797"/>
    <w:rsid w:val="007E4960"/>
    <w:rsid w:val="007E4A4F"/>
    <w:rsid w:val="007E4CDD"/>
    <w:rsid w:val="007E4D24"/>
    <w:rsid w:val="007E514B"/>
    <w:rsid w:val="007E55C9"/>
    <w:rsid w:val="007E5640"/>
    <w:rsid w:val="007E5F87"/>
    <w:rsid w:val="007E6313"/>
    <w:rsid w:val="007E6450"/>
    <w:rsid w:val="007E64B1"/>
    <w:rsid w:val="007E67BF"/>
    <w:rsid w:val="007E6CF3"/>
    <w:rsid w:val="007E78FE"/>
    <w:rsid w:val="007E7A6C"/>
    <w:rsid w:val="007E7D2A"/>
    <w:rsid w:val="007E7E83"/>
    <w:rsid w:val="007E7E8E"/>
    <w:rsid w:val="007E7EFC"/>
    <w:rsid w:val="007F0243"/>
    <w:rsid w:val="007F03E4"/>
    <w:rsid w:val="007F0591"/>
    <w:rsid w:val="007F06F0"/>
    <w:rsid w:val="007F0729"/>
    <w:rsid w:val="007F0C36"/>
    <w:rsid w:val="007F0E1A"/>
    <w:rsid w:val="007F1017"/>
    <w:rsid w:val="007F132A"/>
    <w:rsid w:val="007F1470"/>
    <w:rsid w:val="007F1631"/>
    <w:rsid w:val="007F16A1"/>
    <w:rsid w:val="007F19A1"/>
    <w:rsid w:val="007F1B68"/>
    <w:rsid w:val="007F1DF6"/>
    <w:rsid w:val="007F1E21"/>
    <w:rsid w:val="007F1E9C"/>
    <w:rsid w:val="007F2131"/>
    <w:rsid w:val="007F216B"/>
    <w:rsid w:val="007F2486"/>
    <w:rsid w:val="007F2521"/>
    <w:rsid w:val="007F25C0"/>
    <w:rsid w:val="007F2B33"/>
    <w:rsid w:val="007F3340"/>
    <w:rsid w:val="007F36FD"/>
    <w:rsid w:val="007F3A32"/>
    <w:rsid w:val="007F3C13"/>
    <w:rsid w:val="007F4765"/>
    <w:rsid w:val="007F4A3F"/>
    <w:rsid w:val="007F4A61"/>
    <w:rsid w:val="007F4FEF"/>
    <w:rsid w:val="007F5255"/>
    <w:rsid w:val="007F525D"/>
    <w:rsid w:val="007F528C"/>
    <w:rsid w:val="007F54F2"/>
    <w:rsid w:val="007F56CC"/>
    <w:rsid w:val="007F57AC"/>
    <w:rsid w:val="007F61C2"/>
    <w:rsid w:val="007F6367"/>
    <w:rsid w:val="007F696C"/>
    <w:rsid w:val="007F69AC"/>
    <w:rsid w:val="007F6F24"/>
    <w:rsid w:val="007F75D3"/>
    <w:rsid w:val="007F7EB1"/>
    <w:rsid w:val="00800C32"/>
    <w:rsid w:val="00800D4F"/>
    <w:rsid w:val="00801026"/>
    <w:rsid w:val="00801356"/>
    <w:rsid w:val="00801881"/>
    <w:rsid w:val="00801BE0"/>
    <w:rsid w:val="00801BF8"/>
    <w:rsid w:val="00801D9E"/>
    <w:rsid w:val="00801FBD"/>
    <w:rsid w:val="008020DD"/>
    <w:rsid w:val="00802852"/>
    <w:rsid w:val="008038E1"/>
    <w:rsid w:val="008039E0"/>
    <w:rsid w:val="00803CA1"/>
    <w:rsid w:val="008043B1"/>
    <w:rsid w:val="008045A0"/>
    <w:rsid w:val="008045CD"/>
    <w:rsid w:val="0080469B"/>
    <w:rsid w:val="00804A32"/>
    <w:rsid w:val="00804B7C"/>
    <w:rsid w:val="00804C9F"/>
    <w:rsid w:val="00805142"/>
    <w:rsid w:val="008059FC"/>
    <w:rsid w:val="00805FCE"/>
    <w:rsid w:val="00806143"/>
    <w:rsid w:val="00806475"/>
    <w:rsid w:val="008065A0"/>
    <w:rsid w:val="00806963"/>
    <w:rsid w:val="00806DB3"/>
    <w:rsid w:val="00807A8B"/>
    <w:rsid w:val="00807B68"/>
    <w:rsid w:val="00807D0E"/>
    <w:rsid w:val="00807DAA"/>
    <w:rsid w:val="0081041F"/>
    <w:rsid w:val="0081080D"/>
    <w:rsid w:val="00810B46"/>
    <w:rsid w:val="00810C6D"/>
    <w:rsid w:val="00811152"/>
    <w:rsid w:val="0081126F"/>
    <w:rsid w:val="00811383"/>
    <w:rsid w:val="00811520"/>
    <w:rsid w:val="008116EE"/>
    <w:rsid w:val="00811826"/>
    <w:rsid w:val="00811A83"/>
    <w:rsid w:val="00812149"/>
    <w:rsid w:val="0081236E"/>
    <w:rsid w:val="008128CC"/>
    <w:rsid w:val="00812CAC"/>
    <w:rsid w:val="00812FC9"/>
    <w:rsid w:val="0081306F"/>
    <w:rsid w:val="008132C8"/>
    <w:rsid w:val="008137EA"/>
    <w:rsid w:val="0081383C"/>
    <w:rsid w:val="008139A7"/>
    <w:rsid w:val="00813A3D"/>
    <w:rsid w:val="00813C43"/>
    <w:rsid w:val="00813E1A"/>
    <w:rsid w:val="008140CC"/>
    <w:rsid w:val="00814458"/>
    <w:rsid w:val="008145EA"/>
    <w:rsid w:val="0081495A"/>
    <w:rsid w:val="00814A9C"/>
    <w:rsid w:val="00814B13"/>
    <w:rsid w:val="00814D65"/>
    <w:rsid w:val="00814E13"/>
    <w:rsid w:val="00814FD4"/>
    <w:rsid w:val="0081510A"/>
    <w:rsid w:val="008151AB"/>
    <w:rsid w:val="00815DCD"/>
    <w:rsid w:val="00815F11"/>
    <w:rsid w:val="008160CE"/>
    <w:rsid w:val="00816361"/>
    <w:rsid w:val="008166BC"/>
    <w:rsid w:val="008166EF"/>
    <w:rsid w:val="00816817"/>
    <w:rsid w:val="008168ED"/>
    <w:rsid w:val="00816D07"/>
    <w:rsid w:val="00816E58"/>
    <w:rsid w:val="00816F77"/>
    <w:rsid w:val="00816FEF"/>
    <w:rsid w:val="00817131"/>
    <w:rsid w:val="008174C5"/>
    <w:rsid w:val="00817577"/>
    <w:rsid w:val="00820178"/>
    <w:rsid w:val="008202CB"/>
    <w:rsid w:val="00820639"/>
    <w:rsid w:val="00820A41"/>
    <w:rsid w:val="00820A8C"/>
    <w:rsid w:val="00820C6F"/>
    <w:rsid w:val="00820E17"/>
    <w:rsid w:val="00820E4A"/>
    <w:rsid w:val="008212B1"/>
    <w:rsid w:val="008214E3"/>
    <w:rsid w:val="0082158D"/>
    <w:rsid w:val="008215FB"/>
    <w:rsid w:val="008217EA"/>
    <w:rsid w:val="00821887"/>
    <w:rsid w:val="008219EE"/>
    <w:rsid w:val="00821C0E"/>
    <w:rsid w:val="00821D9A"/>
    <w:rsid w:val="00822229"/>
    <w:rsid w:val="008224B6"/>
    <w:rsid w:val="00822CD5"/>
    <w:rsid w:val="00822D6E"/>
    <w:rsid w:val="0082305D"/>
    <w:rsid w:val="00823174"/>
    <w:rsid w:val="008232CF"/>
    <w:rsid w:val="008237B1"/>
    <w:rsid w:val="00823B7A"/>
    <w:rsid w:val="00823D85"/>
    <w:rsid w:val="0082473A"/>
    <w:rsid w:val="00824854"/>
    <w:rsid w:val="00825472"/>
    <w:rsid w:val="008255B7"/>
    <w:rsid w:val="00825751"/>
    <w:rsid w:val="00825C17"/>
    <w:rsid w:val="008263AC"/>
    <w:rsid w:val="008264DA"/>
    <w:rsid w:val="008264EB"/>
    <w:rsid w:val="0082677F"/>
    <w:rsid w:val="00826955"/>
    <w:rsid w:val="0083041C"/>
    <w:rsid w:val="0083062F"/>
    <w:rsid w:val="008306B0"/>
    <w:rsid w:val="00830996"/>
    <w:rsid w:val="008309BC"/>
    <w:rsid w:val="00831188"/>
    <w:rsid w:val="008314F7"/>
    <w:rsid w:val="00831787"/>
    <w:rsid w:val="00831AC7"/>
    <w:rsid w:val="00831F39"/>
    <w:rsid w:val="0083222F"/>
    <w:rsid w:val="008327FD"/>
    <w:rsid w:val="0083297E"/>
    <w:rsid w:val="00832A33"/>
    <w:rsid w:val="00832B34"/>
    <w:rsid w:val="00832C71"/>
    <w:rsid w:val="00832C8E"/>
    <w:rsid w:val="008330CE"/>
    <w:rsid w:val="0083319D"/>
    <w:rsid w:val="00833680"/>
    <w:rsid w:val="0083371E"/>
    <w:rsid w:val="00833B05"/>
    <w:rsid w:val="00833B62"/>
    <w:rsid w:val="00833C93"/>
    <w:rsid w:val="008340A6"/>
    <w:rsid w:val="00834B32"/>
    <w:rsid w:val="00834C33"/>
    <w:rsid w:val="00834D12"/>
    <w:rsid w:val="008350AA"/>
    <w:rsid w:val="00835D18"/>
    <w:rsid w:val="008362B4"/>
    <w:rsid w:val="008363E9"/>
    <w:rsid w:val="0083644D"/>
    <w:rsid w:val="00836938"/>
    <w:rsid w:val="00836DC2"/>
    <w:rsid w:val="00836ECA"/>
    <w:rsid w:val="0083786A"/>
    <w:rsid w:val="00837B0A"/>
    <w:rsid w:val="00840162"/>
    <w:rsid w:val="0084096A"/>
    <w:rsid w:val="008409D5"/>
    <w:rsid w:val="00840CA2"/>
    <w:rsid w:val="008410B9"/>
    <w:rsid w:val="00841236"/>
    <w:rsid w:val="008417D8"/>
    <w:rsid w:val="00841B16"/>
    <w:rsid w:val="008422E3"/>
    <w:rsid w:val="00842406"/>
    <w:rsid w:val="008424C6"/>
    <w:rsid w:val="0084265C"/>
    <w:rsid w:val="00842824"/>
    <w:rsid w:val="00842A31"/>
    <w:rsid w:val="00842E9C"/>
    <w:rsid w:val="00842EF5"/>
    <w:rsid w:val="00843358"/>
    <w:rsid w:val="0084374F"/>
    <w:rsid w:val="00843BF4"/>
    <w:rsid w:val="00843ED5"/>
    <w:rsid w:val="00843FC2"/>
    <w:rsid w:val="0084444C"/>
    <w:rsid w:val="00844467"/>
    <w:rsid w:val="00844A22"/>
    <w:rsid w:val="00844FA4"/>
    <w:rsid w:val="00845452"/>
    <w:rsid w:val="008454D7"/>
    <w:rsid w:val="00845B10"/>
    <w:rsid w:val="00845FE9"/>
    <w:rsid w:val="0084601F"/>
    <w:rsid w:val="00846404"/>
    <w:rsid w:val="00846BCF"/>
    <w:rsid w:val="00846D9D"/>
    <w:rsid w:val="00846DBA"/>
    <w:rsid w:val="00846FAF"/>
    <w:rsid w:val="008472C5"/>
    <w:rsid w:val="00847703"/>
    <w:rsid w:val="0084782A"/>
    <w:rsid w:val="00847A5A"/>
    <w:rsid w:val="00847DD1"/>
    <w:rsid w:val="00847DF5"/>
    <w:rsid w:val="00850214"/>
    <w:rsid w:val="00850467"/>
    <w:rsid w:val="008504A2"/>
    <w:rsid w:val="00850816"/>
    <w:rsid w:val="00850CCB"/>
    <w:rsid w:val="00851164"/>
    <w:rsid w:val="00851250"/>
    <w:rsid w:val="008513E0"/>
    <w:rsid w:val="00851582"/>
    <w:rsid w:val="00851CAF"/>
    <w:rsid w:val="008520BC"/>
    <w:rsid w:val="008528C3"/>
    <w:rsid w:val="00852D39"/>
    <w:rsid w:val="0085309D"/>
    <w:rsid w:val="00853C42"/>
    <w:rsid w:val="00854109"/>
    <w:rsid w:val="008542FD"/>
    <w:rsid w:val="00855326"/>
    <w:rsid w:val="008553C8"/>
    <w:rsid w:val="008556E7"/>
    <w:rsid w:val="00855AAC"/>
    <w:rsid w:val="00855B5C"/>
    <w:rsid w:val="00856368"/>
    <w:rsid w:val="00856776"/>
    <w:rsid w:val="00856849"/>
    <w:rsid w:val="00856897"/>
    <w:rsid w:val="00856AE6"/>
    <w:rsid w:val="00856C64"/>
    <w:rsid w:val="00856E3B"/>
    <w:rsid w:val="00856E9A"/>
    <w:rsid w:val="00857126"/>
    <w:rsid w:val="008578E1"/>
    <w:rsid w:val="00857FA1"/>
    <w:rsid w:val="00857FD9"/>
    <w:rsid w:val="008602B4"/>
    <w:rsid w:val="0086030E"/>
    <w:rsid w:val="008604C8"/>
    <w:rsid w:val="0086051C"/>
    <w:rsid w:val="00860667"/>
    <w:rsid w:val="0086075D"/>
    <w:rsid w:val="008607D4"/>
    <w:rsid w:val="00860BB1"/>
    <w:rsid w:val="00860C42"/>
    <w:rsid w:val="0086101E"/>
    <w:rsid w:val="0086194E"/>
    <w:rsid w:val="00861B4A"/>
    <w:rsid w:val="008621F4"/>
    <w:rsid w:val="0086225F"/>
    <w:rsid w:val="00862502"/>
    <w:rsid w:val="00862864"/>
    <w:rsid w:val="008629BA"/>
    <w:rsid w:val="00862A6D"/>
    <w:rsid w:val="00862CC1"/>
    <w:rsid w:val="00862CEE"/>
    <w:rsid w:val="00862EB7"/>
    <w:rsid w:val="0086300D"/>
    <w:rsid w:val="0086327B"/>
    <w:rsid w:val="00863EC7"/>
    <w:rsid w:val="00864034"/>
    <w:rsid w:val="00864690"/>
    <w:rsid w:val="008648F9"/>
    <w:rsid w:val="00864AA8"/>
    <w:rsid w:val="00864FC6"/>
    <w:rsid w:val="0086568B"/>
    <w:rsid w:val="008659ED"/>
    <w:rsid w:val="00865C37"/>
    <w:rsid w:val="008660D4"/>
    <w:rsid w:val="00866399"/>
    <w:rsid w:val="008667E1"/>
    <w:rsid w:val="00866834"/>
    <w:rsid w:val="00866B7B"/>
    <w:rsid w:val="00866B89"/>
    <w:rsid w:val="00866F3D"/>
    <w:rsid w:val="00866FA7"/>
    <w:rsid w:val="00867155"/>
    <w:rsid w:val="0086717A"/>
    <w:rsid w:val="008671C0"/>
    <w:rsid w:val="00867509"/>
    <w:rsid w:val="00867564"/>
    <w:rsid w:val="00867A01"/>
    <w:rsid w:val="00867C4E"/>
    <w:rsid w:val="00870F66"/>
    <w:rsid w:val="00871919"/>
    <w:rsid w:val="00871BD4"/>
    <w:rsid w:val="00871FA9"/>
    <w:rsid w:val="008721DA"/>
    <w:rsid w:val="008728E6"/>
    <w:rsid w:val="008728E9"/>
    <w:rsid w:val="008729CF"/>
    <w:rsid w:val="00872CE3"/>
    <w:rsid w:val="00873087"/>
    <w:rsid w:val="00873518"/>
    <w:rsid w:val="00873747"/>
    <w:rsid w:val="00873BF9"/>
    <w:rsid w:val="008748A0"/>
    <w:rsid w:val="00874B02"/>
    <w:rsid w:val="00874FC3"/>
    <w:rsid w:val="00875506"/>
    <w:rsid w:val="0087590C"/>
    <w:rsid w:val="008761B7"/>
    <w:rsid w:val="008766AC"/>
    <w:rsid w:val="0087681C"/>
    <w:rsid w:val="00876EE4"/>
    <w:rsid w:val="008773EA"/>
    <w:rsid w:val="00877944"/>
    <w:rsid w:val="00877CC6"/>
    <w:rsid w:val="008804FC"/>
    <w:rsid w:val="008806DC"/>
    <w:rsid w:val="008815F2"/>
    <w:rsid w:val="00881670"/>
    <w:rsid w:val="00881AF6"/>
    <w:rsid w:val="00881EF0"/>
    <w:rsid w:val="00881F14"/>
    <w:rsid w:val="0088207F"/>
    <w:rsid w:val="00882150"/>
    <w:rsid w:val="00882874"/>
    <w:rsid w:val="008828AF"/>
    <w:rsid w:val="00882C6A"/>
    <w:rsid w:val="00882E3C"/>
    <w:rsid w:val="00883241"/>
    <w:rsid w:val="00883684"/>
    <w:rsid w:val="008836D6"/>
    <w:rsid w:val="00883787"/>
    <w:rsid w:val="00883CBE"/>
    <w:rsid w:val="00884DEC"/>
    <w:rsid w:val="008855E4"/>
    <w:rsid w:val="0088610C"/>
    <w:rsid w:val="00886178"/>
    <w:rsid w:val="0088618D"/>
    <w:rsid w:val="00886ABF"/>
    <w:rsid w:val="00886CD2"/>
    <w:rsid w:val="00886E67"/>
    <w:rsid w:val="0088714B"/>
    <w:rsid w:val="0088798A"/>
    <w:rsid w:val="0089002A"/>
    <w:rsid w:val="0089007B"/>
    <w:rsid w:val="00890225"/>
    <w:rsid w:val="00890260"/>
    <w:rsid w:val="008912F3"/>
    <w:rsid w:val="00891408"/>
    <w:rsid w:val="00891904"/>
    <w:rsid w:val="00891B50"/>
    <w:rsid w:val="00891E6F"/>
    <w:rsid w:val="00891EE7"/>
    <w:rsid w:val="00891EEB"/>
    <w:rsid w:val="0089254E"/>
    <w:rsid w:val="0089275D"/>
    <w:rsid w:val="00892A36"/>
    <w:rsid w:val="00892A61"/>
    <w:rsid w:val="00893239"/>
    <w:rsid w:val="00893580"/>
    <w:rsid w:val="00893DEE"/>
    <w:rsid w:val="00894404"/>
    <w:rsid w:val="00894489"/>
    <w:rsid w:val="00894A46"/>
    <w:rsid w:val="00894CF3"/>
    <w:rsid w:val="008950E8"/>
    <w:rsid w:val="0089539B"/>
    <w:rsid w:val="008955E6"/>
    <w:rsid w:val="008958F3"/>
    <w:rsid w:val="00895950"/>
    <w:rsid w:val="00895D20"/>
    <w:rsid w:val="008960AD"/>
    <w:rsid w:val="0089614A"/>
    <w:rsid w:val="008963A5"/>
    <w:rsid w:val="00896BB4"/>
    <w:rsid w:val="00896BD1"/>
    <w:rsid w:val="00896CA3"/>
    <w:rsid w:val="00896D5D"/>
    <w:rsid w:val="00897506"/>
    <w:rsid w:val="00897B54"/>
    <w:rsid w:val="00897C62"/>
    <w:rsid w:val="00897E67"/>
    <w:rsid w:val="00897FDB"/>
    <w:rsid w:val="008A0330"/>
    <w:rsid w:val="008A068A"/>
    <w:rsid w:val="008A06A9"/>
    <w:rsid w:val="008A0C44"/>
    <w:rsid w:val="008A0DC8"/>
    <w:rsid w:val="008A12D2"/>
    <w:rsid w:val="008A13DA"/>
    <w:rsid w:val="008A14AD"/>
    <w:rsid w:val="008A17FE"/>
    <w:rsid w:val="008A1872"/>
    <w:rsid w:val="008A1B1F"/>
    <w:rsid w:val="008A1D87"/>
    <w:rsid w:val="008A1DAF"/>
    <w:rsid w:val="008A1E99"/>
    <w:rsid w:val="008A1FC6"/>
    <w:rsid w:val="008A2420"/>
    <w:rsid w:val="008A2829"/>
    <w:rsid w:val="008A2848"/>
    <w:rsid w:val="008A2E14"/>
    <w:rsid w:val="008A2F34"/>
    <w:rsid w:val="008A2FF8"/>
    <w:rsid w:val="008A32B6"/>
    <w:rsid w:val="008A3363"/>
    <w:rsid w:val="008A3371"/>
    <w:rsid w:val="008A3C3E"/>
    <w:rsid w:val="008A407A"/>
    <w:rsid w:val="008A40A3"/>
    <w:rsid w:val="008A40AB"/>
    <w:rsid w:val="008A4402"/>
    <w:rsid w:val="008A443F"/>
    <w:rsid w:val="008A4443"/>
    <w:rsid w:val="008A455B"/>
    <w:rsid w:val="008A473B"/>
    <w:rsid w:val="008A47C1"/>
    <w:rsid w:val="008A5584"/>
    <w:rsid w:val="008A5661"/>
    <w:rsid w:val="008A56F2"/>
    <w:rsid w:val="008A57F8"/>
    <w:rsid w:val="008A5820"/>
    <w:rsid w:val="008A5849"/>
    <w:rsid w:val="008A58EB"/>
    <w:rsid w:val="008A597A"/>
    <w:rsid w:val="008A5A92"/>
    <w:rsid w:val="008A5FE0"/>
    <w:rsid w:val="008A6225"/>
    <w:rsid w:val="008A641D"/>
    <w:rsid w:val="008A648C"/>
    <w:rsid w:val="008A6EA1"/>
    <w:rsid w:val="008A720B"/>
    <w:rsid w:val="008A7601"/>
    <w:rsid w:val="008A761A"/>
    <w:rsid w:val="008A79DE"/>
    <w:rsid w:val="008A7B8F"/>
    <w:rsid w:val="008B0094"/>
    <w:rsid w:val="008B0467"/>
    <w:rsid w:val="008B07C8"/>
    <w:rsid w:val="008B0941"/>
    <w:rsid w:val="008B0AFD"/>
    <w:rsid w:val="008B0D79"/>
    <w:rsid w:val="008B1279"/>
    <w:rsid w:val="008B1757"/>
    <w:rsid w:val="008B1C4F"/>
    <w:rsid w:val="008B1D2A"/>
    <w:rsid w:val="008B20DA"/>
    <w:rsid w:val="008B2908"/>
    <w:rsid w:val="008B29A2"/>
    <w:rsid w:val="008B2DD4"/>
    <w:rsid w:val="008B2EDB"/>
    <w:rsid w:val="008B3A5E"/>
    <w:rsid w:val="008B3F8C"/>
    <w:rsid w:val="008B5377"/>
    <w:rsid w:val="008B54F1"/>
    <w:rsid w:val="008B5821"/>
    <w:rsid w:val="008B5E9D"/>
    <w:rsid w:val="008B5FC6"/>
    <w:rsid w:val="008B5FF5"/>
    <w:rsid w:val="008B6046"/>
    <w:rsid w:val="008B6475"/>
    <w:rsid w:val="008B6788"/>
    <w:rsid w:val="008B679E"/>
    <w:rsid w:val="008B7516"/>
    <w:rsid w:val="008B7536"/>
    <w:rsid w:val="008B78B6"/>
    <w:rsid w:val="008B7992"/>
    <w:rsid w:val="008B79D3"/>
    <w:rsid w:val="008B7BDF"/>
    <w:rsid w:val="008B7D7E"/>
    <w:rsid w:val="008C06F2"/>
    <w:rsid w:val="008C0882"/>
    <w:rsid w:val="008C095D"/>
    <w:rsid w:val="008C0C37"/>
    <w:rsid w:val="008C0F8E"/>
    <w:rsid w:val="008C13AF"/>
    <w:rsid w:val="008C1A37"/>
    <w:rsid w:val="008C21C2"/>
    <w:rsid w:val="008C2E90"/>
    <w:rsid w:val="008C363C"/>
    <w:rsid w:val="008C3755"/>
    <w:rsid w:val="008C39D7"/>
    <w:rsid w:val="008C414C"/>
    <w:rsid w:val="008C4C71"/>
    <w:rsid w:val="008C53E9"/>
    <w:rsid w:val="008C550C"/>
    <w:rsid w:val="008C5610"/>
    <w:rsid w:val="008C5709"/>
    <w:rsid w:val="008C5739"/>
    <w:rsid w:val="008C5AE7"/>
    <w:rsid w:val="008C5D7F"/>
    <w:rsid w:val="008C6592"/>
    <w:rsid w:val="008C68A4"/>
    <w:rsid w:val="008C68AC"/>
    <w:rsid w:val="008C6B12"/>
    <w:rsid w:val="008C6B24"/>
    <w:rsid w:val="008C6F6D"/>
    <w:rsid w:val="008C739C"/>
    <w:rsid w:val="008C772E"/>
    <w:rsid w:val="008C7ECB"/>
    <w:rsid w:val="008D0684"/>
    <w:rsid w:val="008D08E2"/>
    <w:rsid w:val="008D0D5C"/>
    <w:rsid w:val="008D0F96"/>
    <w:rsid w:val="008D1766"/>
    <w:rsid w:val="008D1AA8"/>
    <w:rsid w:val="008D1D44"/>
    <w:rsid w:val="008D1D76"/>
    <w:rsid w:val="008D20C4"/>
    <w:rsid w:val="008D20DB"/>
    <w:rsid w:val="008D20EB"/>
    <w:rsid w:val="008D2424"/>
    <w:rsid w:val="008D2482"/>
    <w:rsid w:val="008D3A96"/>
    <w:rsid w:val="008D3B86"/>
    <w:rsid w:val="008D3DC3"/>
    <w:rsid w:val="008D3F33"/>
    <w:rsid w:val="008D4755"/>
    <w:rsid w:val="008D4C3D"/>
    <w:rsid w:val="008D4E81"/>
    <w:rsid w:val="008D5528"/>
    <w:rsid w:val="008D5565"/>
    <w:rsid w:val="008D58C9"/>
    <w:rsid w:val="008D5CB1"/>
    <w:rsid w:val="008D5D3F"/>
    <w:rsid w:val="008D5E77"/>
    <w:rsid w:val="008D6013"/>
    <w:rsid w:val="008D67D5"/>
    <w:rsid w:val="008D6BBA"/>
    <w:rsid w:val="008D6C39"/>
    <w:rsid w:val="008D6F89"/>
    <w:rsid w:val="008D743C"/>
    <w:rsid w:val="008D7B81"/>
    <w:rsid w:val="008D7F2B"/>
    <w:rsid w:val="008E015E"/>
    <w:rsid w:val="008E03EB"/>
    <w:rsid w:val="008E0818"/>
    <w:rsid w:val="008E0C58"/>
    <w:rsid w:val="008E0C8F"/>
    <w:rsid w:val="008E0D15"/>
    <w:rsid w:val="008E0D3C"/>
    <w:rsid w:val="008E0DA0"/>
    <w:rsid w:val="008E0E5D"/>
    <w:rsid w:val="008E12B6"/>
    <w:rsid w:val="008E18FC"/>
    <w:rsid w:val="008E1A45"/>
    <w:rsid w:val="008E1B1A"/>
    <w:rsid w:val="008E1B9E"/>
    <w:rsid w:val="008E1C4D"/>
    <w:rsid w:val="008E1DCD"/>
    <w:rsid w:val="008E2250"/>
    <w:rsid w:val="008E2514"/>
    <w:rsid w:val="008E27CB"/>
    <w:rsid w:val="008E294B"/>
    <w:rsid w:val="008E2C6A"/>
    <w:rsid w:val="008E3285"/>
    <w:rsid w:val="008E3828"/>
    <w:rsid w:val="008E3BF4"/>
    <w:rsid w:val="008E43FA"/>
    <w:rsid w:val="008E4A17"/>
    <w:rsid w:val="008E4C67"/>
    <w:rsid w:val="008E4D0B"/>
    <w:rsid w:val="008E4F83"/>
    <w:rsid w:val="008E52C1"/>
    <w:rsid w:val="008E52F3"/>
    <w:rsid w:val="008E55AB"/>
    <w:rsid w:val="008E5798"/>
    <w:rsid w:val="008E5ADA"/>
    <w:rsid w:val="008E5E77"/>
    <w:rsid w:val="008E610A"/>
    <w:rsid w:val="008E61C4"/>
    <w:rsid w:val="008E6A98"/>
    <w:rsid w:val="008E6D40"/>
    <w:rsid w:val="008E7403"/>
    <w:rsid w:val="008E74B8"/>
    <w:rsid w:val="008F00C3"/>
    <w:rsid w:val="008F09A6"/>
    <w:rsid w:val="008F0A3D"/>
    <w:rsid w:val="008F0C80"/>
    <w:rsid w:val="008F0F7C"/>
    <w:rsid w:val="008F113C"/>
    <w:rsid w:val="008F120A"/>
    <w:rsid w:val="008F1512"/>
    <w:rsid w:val="008F1766"/>
    <w:rsid w:val="008F1DD1"/>
    <w:rsid w:val="008F219A"/>
    <w:rsid w:val="008F21EC"/>
    <w:rsid w:val="008F2686"/>
    <w:rsid w:val="008F27E0"/>
    <w:rsid w:val="008F2AD0"/>
    <w:rsid w:val="008F2BE5"/>
    <w:rsid w:val="008F2D27"/>
    <w:rsid w:val="008F36E6"/>
    <w:rsid w:val="008F3B48"/>
    <w:rsid w:val="008F3D7B"/>
    <w:rsid w:val="008F4126"/>
    <w:rsid w:val="008F48EB"/>
    <w:rsid w:val="008F4F0B"/>
    <w:rsid w:val="008F51C3"/>
    <w:rsid w:val="008F5242"/>
    <w:rsid w:val="008F5441"/>
    <w:rsid w:val="008F5652"/>
    <w:rsid w:val="008F580C"/>
    <w:rsid w:val="008F59A7"/>
    <w:rsid w:val="008F5B76"/>
    <w:rsid w:val="008F5C0D"/>
    <w:rsid w:val="008F5DA8"/>
    <w:rsid w:val="008F5E26"/>
    <w:rsid w:val="008F5E53"/>
    <w:rsid w:val="008F630F"/>
    <w:rsid w:val="008F6384"/>
    <w:rsid w:val="008F6570"/>
    <w:rsid w:val="008F665E"/>
    <w:rsid w:val="008F66F1"/>
    <w:rsid w:val="008F6BE2"/>
    <w:rsid w:val="008F6C2B"/>
    <w:rsid w:val="008F77C9"/>
    <w:rsid w:val="00900148"/>
    <w:rsid w:val="00900164"/>
    <w:rsid w:val="009003FF"/>
    <w:rsid w:val="0090078C"/>
    <w:rsid w:val="00900BFB"/>
    <w:rsid w:val="00900ED4"/>
    <w:rsid w:val="00901211"/>
    <w:rsid w:val="0090124B"/>
    <w:rsid w:val="00901259"/>
    <w:rsid w:val="009012BC"/>
    <w:rsid w:val="00901658"/>
    <w:rsid w:val="00901C49"/>
    <w:rsid w:val="00902472"/>
    <w:rsid w:val="009025FD"/>
    <w:rsid w:val="00902CC9"/>
    <w:rsid w:val="009038F8"/>
    <w:rsid w:val="009039A7"/>
    <w:rsid w:val="00903E59"/>
    <w:rsid w:val="0090402A"/>
    <w:rsid w:val="0090432B"/>
    <w:rsid w:val="009044B8"/>
    <w:rsid w:val="009046C4"/>
    <w:rsid w:val="009048C4"/>
    <w:rsid w:val="0090521F"/>
    <w:rsid w:val="00905507"/>
    <w:rsid w:val="0090567C"/>
    <w:rsid w:val="00905FB2"/>
    <w:rsid w:val="009062A5"/>
    <w:rsid w:val="009064E8"/>
    <w:rsid w:val="00906A82"/>
    <w:rsid w:val="00906AEE"/>
    <w:rsid w:val="0090772B"/>
    <w:rsid w:val="00907AE0"/>
    <w:rsid w:val="009104C1"/>
    <w:rsid w:val="00910FA7"/>
    <w:rsid w:val="00911272"/>
    <w:rsid w:val="00911A12"/>
    <w:rsid w:val="00911B77"/>
    <w:rsid w:val="00911C46"/>
    <w:rsid w:val="00911E2A"/>
    <w:rsid w:val="009121A6"/>
    <w:rsid w:val="00912517"/>
    <w:rsid w:val="009129BB"/>
    <w:rsid w:val="00912C14"/>
    <w:rsid w:val="00913246"/>
    <w:rsid w:val="009134D0"/>
    <w:rsid w:val="009135D6"/>
    <w:rsid w:val="009137FF"/>
    <w:rsid w:val="00913FF9"/>
    <w:rsid w:val="0091402F"/>
    <w:rsid w:val="0091418C"/>
    <w:rsid w:val="00914387"/>
    <w:rsid w:val="009143F1"/>
    <w:rsid w:val="00914644"/>
    <w:rsid w:val="00914809"/>
    <w:rsid w:val="0091491C"/>
    <w:rsid w:val="00914C77"/>
    <w:rsid w:val="00914D54"/>
    <w:rsid w:val="00914F21"/>
    <w:rsid w:val="00914F86"/>
    <w:rsid w:val="00915762"/>
    <w:rsid w:val="00915D6A"/>
    <w:rsid w:val="00915DC0"/>
    <w:rsid w:val="00916418"/>
    <w:rsid w:val="0091651A"/>
    <w:rsid w:val="00916A01"/>
    <w:rsid w:val="00916B34"/>
    <w:rsid w:val="00916B68"/>
    <w:rsid w:val="00916C86"/>
    <w:rsid w:val="009170CF"/>
    <w:rsid w:val="00917120"/>
    <w:rsid w:val="0091758D"/>
    <w:rsid w:val="00917A16"/>
    <w:rsid w:val="00917C8D"/>
    <w:rsid w:val="00917FCA"/>
    <w:rsid w:val="009203CA"/>
    <w:rsid w:val="00920911"/>
    <w:rsid w:val="0092105A"/>
    <w:rsid w:val="0092121E"/>
    <w:rsid w:val="0092194C"/>
    <w:rsid w:val="00921ACB"/>
    <w:rsid w:val="00922183"/>
    <w:rsid w:val="0092221C"/>
    <w:rsid w:val="00922378"/>
    <w:rsid w:val="0092258E"/>
    <w:rsid w:val="009225CA"/>
    <w:rsid w:val="00922A03"/>
    <w:rsid w:val="00922C6D"/>
    <w:rsid w:val="0092369B"/>
    <w:rsid w:val="00923A24"/>
    <w:rsid w:val="00924264"/>
    <w:rsid w:val="009243A3"/>
    <w:rsid w:val="009244E7"/>
    <w:rsid w:val="0092457F"/>
    <w:rsid w:val="0092475A"/>
    <w:rsid w:val="00924EE7"/>
    <w:rsid w:val="00924F04"/>
    <w:rsid w:val="0092515E"/>
    <w:rsid w:val="00925179"/>
    <w:rsid w:val="00925242"/>
    <w:rsid w:val="0092531C"/>
    <w:rsid w:val="00925A1E"/>
    <w:rsid w:val="009264BF"/>
    <w:rsid w:val="009267E0"/>
    <w:rsid w:val="0092682C"/>
    <w:rsid w:val="009274D7"/>
    <w:rsid w:val="0092750F"/>
    <w:rsid w:val="009275D1"/>
    <w:rsid w:val="00927824"/>
    <w:rsid w:val="0092796D"/>
    <w:rsid w:val="0093003F"/>
    <w:rsid w:val="00930198"/>
    <w:rsid w:val="00930847"/>
    <w:rsid w:val="00930C09"/>
    <w:rsid w:val="00930E1E"/>
    <w:rsid w:val="00931329"/>
    <w:rsid w:val="009319DB"/>
    <w:rsid w:val="00931BE9"/>
    <w:rsid w:val="009327B0"/>
    <w:rsid w:val="009329FC"/>
    <w:rsid w:val="00932ACC"/>
    <w:rsid w:val="00932C69"/>
    <w:rsid w:val="00932CC9"/>
    <w:rsid w:val="00932E0B"/>
    <w:rsid w:val="0093301B"/>
    <w:rsid w:val="00933098"/>
    <w:rsid w:val="0093356C"/>
    <w:rsid w:val="009336E6"/>
    <w:rsid w:val="00933976"/>
    <w:rsid w:val="00934398"/>
    <w:rsid w:val="00934460"/>
    <w:rsid w:val="00934487"/>
    <w:rsid w:val="00934988"/>
    <w:rsid w:val="00934EB4"/>
    <w:rsid w:val="009354B3"/>
    <w:rsid w:val="009356E8"/>
    <w:rsid w:val="00935A60"/>
    <w:rsid w:val="00935B90"/>
    <w:rsid w:val="00936283"/>
    <w:rsid w:val="0093645D"/>
    <w:rsid w:val="00936896"/>
    <w:rsid w:val="00936A69"/>
    <w:rsid w:val="00936AFC"/>
    <w:rsid w:val="00937089"/>
    <w:rsid w:val="00937666"/>
    <w:rsid w:val="009377CA"/>
    <w:rsid w:val="00937B9C"/>
    <w:rsid w:val="00940151"/>
    <w:rsid w:val="0094065C"/>
    <w:rsid w:val="009407B7"/>
    <w:rsid w:val="00940DF9"/>
    <w:rsid w:val="00940EEF"/>
    <w:rsid w:val="0094101E"/>
    <w:rsid w:val="00941715"/>
    <w:rsid w:val="00941975"/>
    <w:rsid w:val="00941A4C"/>
    <w:rsid w:val="00941ABE"/>
    <w:rsid w:val="00941C13"/>
    <w:rsid w:val="0094220B"/>
    <w:rsid w:val="0094222B"/>
    <w:rsid w:val="0094385B"/>
    <w:rsid w:val="00943A54"/>
    <w:rsid w:val="00943BA8"/>
    <w:rsid w:val="00943E94"/>
    <w:rsid w:val="0094423F"/>
    <w:rsid w:val="00944240"/>
    <w:rsid w:val="009443E8"/>
    <w:rsid w:val="00944CB9"/>
    <w:rsid w:val="00944F8A"/>
    <w:rsid w:val="0094508A"/>
    <w:rsid w:val="009457D0"/>
    <w:rsid w:val="009457FE"/>
    <w:rsid w:val="00945856"/>
    <w:rsid w:val="00945D7B"/>
    <w:rsid w:val="009462C2"/>
    <w:rsid w:val="00946395"/>
    <w:rsid w:val="00946527"/>
    <w:rsid w:val="009465A5"/>
    <w:rsid w:val="00946890"/>
    <w:rsid w:val="00946C8C"/>
    <w:rsid w:val="00946E27"/>
    <w:rsid w:val="009471CA"/>
    <w:rsid w:val="00947B94"/>
    <w:rsid w:val="009508D5"/>
    <w:rsid w:val="009509ED"/>
    <w:rsid w:val="00950AFA"/>
    <w:rsid w:val="00950C92"/>
    <w:rsid w:val="009510A2"/>
    <w:rsid w:val="0095113B"/>
    <w:rsid w:val="00951CF3"/>
    <w:rsid w:val="00951D5A"/>
    <w:rsid w:val="009520A1"/>
    <w:rsid w:val="009520D5"/>
    <w:rsid w:val="0095252C"/>
    <w:rsid w:val="00952BA2"/>
    <w:rsid w:val="00952C6C"/>
    <w:rsid w:val="00952ED6"/>
    <w:rsid w:val="00952FE3"/>
    <w:rsid w:val="00953257"/>
    <w:rsid w:val="009537B5"/>
    <w:rsid w:val="009543A6"/>
    <w:rsid w:val="0095474C"/>
    <w:rsid w:val="00954777"/>
    <w:rsid w:val="00954921"/>
    <w:rsid w:val="00954A91"/>
    <w:rsid w:val="009550A8"/>
    <w:rsid w:val="00955112"/>
    <w:rsid w:val="0095562A"/>
    <w:rsid w:val="00956153"/>
    <w:rsid w:val="009561A8"/>
    <w:rsid w:val="00956DC5"/>
    <w:rsid w:val="009572E9"/>
    <w:rsid w:val="00960331"/>
    <w:rsid w:val="00960347"/>
    <w:rsid w:val="0096038E"/>
    <w:rsid w:val="0096053A"/>
    <w:rsid w:val="0096064F"/>
    <w:rsid w:val="009608C0"/>
    <w:rsid w:val="00960B2F"/>
    <w:rsid w:val="00960BF6"/>
    <w:rsid w:val="009610DB"/>
    <w:rsid w:val="009612BB"/>
    <w:rsid w:val="00961DFB"/>
    <w:rsid w:val="00961EC3"/>
    <w:rsid w:val="00962500"/>
    <w:rsid w:val="0096263D"/>
    <w:rsid w:val="00962CB9"/>
    <w:rsid w:val="009632E5"/>
    <w:rsid w:val="009634B2"/>
    <w:rsid w:val="009638B2"/>
    <w:rsid w:val="00963A71"/>
    <w:rsid w:val="00964312"/>
    <w:rsid w:val="0096494D"/>
    <w:rsid w:val="00964E73"/>
    <w:rsid w:val="00965314"/>
    <w:rsid w:val="00965592"/>
    <w:rsid w:val="00965B8A"/>
    <w:rsid w:val="00966339"/>
    <w:rsid w:val="00966AE8"/>
    <w:rsid w:val="00966EA5"/>
    <w:rsid w:val="00967373"/>
    <w:rsid w:val="009674A8"/>
    <w:rsid w:val="0096790D"/>
    <w:rsid w:val="009679FC"/>
    <w:rsid w:val="00967C41"/>
    <w:rsid w:val="00967E8E"/>
    <w:rsid w:val="00967FD4"/>
    <w:rsid w:val="00970633"/>
    <w:rsid w:val="0097071F"/>
    <w:rsid w:val="0097096F"/>
    <w:rsid w:val="00971012"/>
    <w:rsid w:val="0097114F"/>
    <w:rsid w:val="00971337"/>
    <w:rsid w:val="009717AC"/>
    <w:rsid w:val="00971BD2"/>
    <w:rsid w:val="0097219E"/>
    <w:rsid w:val="00972345"/>
    <w:rsid w:val="00972384"/>
    <w:rsid w:val="009723E9"/>
    <w:rsid w:val="00972687"/>
    <w:rsid w:val="009726F7"/>
    <w:rsid w:val="009727F8"/>
    <w:rsid w:val="0097283F"/>
    <w:rsid w:val="00972AAC"/>
    <w:rsid w:val="00972B6B"/>
    <w:rsid w:val="00972BCE"/>
    <w:rsid w:val="00973437"/>
    <w:rsid w:val="009735D3"/>
    <w:rsid w:val="0097395E"/>
    <w:rsid w:val="00974BD2"/>
    <w:rsid w:val="00974CDE"/>
    <w:rsid w:val="00974E16"/>
    <w:rsid w:val="009751C1"/>
    <w:rsid w:val="009752D6"/>
    <w:rsid w:val="00975462"/>
    <w:rsid w:val="00975588"/>
    <w:rsid w:val="00975921"/>
    <w:rsid w:val="0097592E"/>
    <w:rsid w:val="00976195"/>
    <w:rsid w:val="00976336"/>
    <w:rsid w:val="0097661B"/>
    <w:rsid w:val="009767F4"/>
    <w:rsid w:val="00976E4D"/>
    <w:rsid w:val="00976F38"/>
    <w:rsid w:val="0097728D"/>
    <w:rsid w:val="009773D3"/>
    <w:rsid w:val="0097740C"/>
    <w:rsid w:val="00977E2B"/>
    <w:rsid w:val="009804F8"/>
    <w:rsid w:val="00980B1A"/>
    <w:rsid w:val="00980E34"/>
    <w:rsid w:val="00980E44"/>
    <w:rsid w:val="009811C2"/>
    <w:rsid w:val="009811F1"/>
    <w:rsid w:val="0098134B"/>
    <w:rsid w:val="00981B85"/>
    <w:rsid w:val="009822B8"/>
    <w:rsid w:val="00982332"/>
    <w:rsid w:val="009827EE"/>
    <w:rsid w:val="00982AEC"/>
    <w:rsid w:val="00982C5B"/>
    <w:rsid w:val="00982E2A"/>
    <w:rsid w:val="00982E82"/>
    <w:rsid w:val="009830B7"/>
    <w:rsid w:val="0098361C"/>
    <w:rsid w:val="00983627"/>
    <w:rsid w:val="00983790"/>
    <w:rsid w:val="009838B9"/>
    <w:rsid w:val="00983C0F"/>
    <w:rsid w:val="00983E57"/>
    <w:rsid w:val="00984166"/>
    <w:rsid w:val="00984C2B"/>
    <w:rsid w:val="009851E7"/>
    <w:rsid w:val="00985276"/>
    <w:rsid w:val="009856B8"/>
    <w:rsid w:val="00985865"/>
    <w:rsid w:val="00985CEE"/>
    <w:rsid w:val="00985DE2"/>
    <w:rsid w:val="0098600B"/>
    <w:rsid w:val="0098631C"/>
    <w:rsid w:val="0098666E"/>
    <w:rsid w:val="0098675D"/>
    <w:rsid w:val="0098708A"/>
    <w:rsid w:val="009870F9"/>
    <w:rsid w:val="0098737F"/>
    <w:rsid w:val="009878D5"/>
    <w:rsid w:val="00987C6F"/>
    <w:rsid w:val="00990086"/>
    <w:rsid w:val="0099014B"/>
    <w:rsid w:val="0099038A"/>
    <w:rsid w:val="009905E3"/>
    <w:rsid w:val="009909CA"/>
    <w:rsid w:val="00991568"/>
    <w:rsid w:val="00991BDD"/>
    <w:rsid w:val="00991CEC"/>
    <w:rsid w:val="0099201B"/>
    <w:rsid w:val="00992098"/>
    <w:rsid w:val="0099258C"/>
    <w:rsid w:val="009925E0"/>
    <w:rsid w:val="009926E0"/>
    <w:rsid w:val="00992956"/>
    <w:rsid w:val="00993533"/>
    <w:rsid w:val="00993547"/>
    <w:rsid w:val="00993E40"/>
    <w:rsid w:val="0099451E"/>
    <w:rsid w:val="009945FB"/>
    <w:rsid w:val="0099467E"/>
    <w:rsid w:val="00994973"/>
    <w:rsid w:val="00994CD9"/>
    <w:rsid w:val="00994D45"/>
    <w:rsid w:val="009952F6"/>
    <w:rsid w:val="0099570D"/>
    <w:rsid w:val="0099577E"/>
    <w:rsid w:val="00995980"/>
    <w:rsid w:val="00995B3D"/>
    <w:rsid w:val="00995C0F"/>
    <w:rsid w:val="00995C62"/>
    <w:rsid w:val="00995D70"/>
    <w:rsid w:val="00996A6E"/>
    <w:rsid w:val="00996B13"/>
    <w:rsid w:val="00996B1A"/>
    <w:rsid w:val="0099717A"/>
    <w:rsid w:val="00997236"/>
    <w:rsid w:val="0099747D"/>
    <w:rsid w:val="00997585"/>
    <w:rsid w:val="009975F8"/>
    <w:rsid w:val="00997BEC"/>
    <w:rsid w:val="00997DC9"/>
    <w:rsid w:val="009A044C"/>
    <w:rsid w:val="009A0620"/>
    <w:rsid w:val="009A0B64"/>
    <w:rsid w:val="009A0C7D"/>
    <w:rsid w:val="009A1119"/>
    <w:rsid w:val="009A17FE"/>
    <w:rsid w:val="009A1D1D"/>
    <w:rsid w:val="009A1F1D"/>
    <w:rsid w:val="009A21D7"/>
    <w:rsid w:val="009A225F"/>
    <w:rsid w:val="009A22A7"/>
    <w:rsid w:val="009A27C3"/>
    <w:rsid w:val="009A2B0E"/>
    <w:rsid w:val="009A2B97"/>
    <w:rsid w:val="009A2DCC"/>
    <w:rsid w:val="009A2FC8"/>
    <w:rsid w:val="009A345F"/>
    <w:rsid w:val="009A37F2"/>
    <w:rsid w:val="009A39A3"/>
    <w:rsid w:val="009A3BEC"/>
    <w:rsid w:val="009A3E2D"/>
    <w:rsid w:val="009A3F0C"/>
    <w:rsid w:val="009A428C"/>
    <w:rsid w:val="009A4711"/>
    <w:rsid w:val="009A47B7"/>
    <w:rsid w:val="009A4B15"/>
    <w:rsid w:val="009A4E97"/>
    <w:rsid w:val="009A4FD4"/>
    <w:rsid w:val="009A5156"/>
    <w:rsid w:val="009A55D8"/>
    <w:rsid w:val="009A5940"/>
    <w:rsid w:val="009A5ABC"/>
    <w:rsid w:val="009A5AC2"/>
    <w:rsid w:val="009A5B99"/>
    <w:rsid w:val="009A64DB"/>
    <w:rsid w:val="009A66C8"/>
    <w:rsid w:val="009A6893"/>
    <w:rsid w:val="009A6A94"/>
    <w:rsid w:val="009A6B46"/>
    <w:rsid w:val="009A6CF1"/>
    <w:rsid w:val="009A71C0"/>
    <w:rsid w:val="009A7A0F"/>
    <w:rsid w:val="009A7DC1"/>
    <w:rsid w:val="009A7ECB"/>
    <w:rsid w:val="009A7F10"/>
    <w:rsid w:val="009B00BA"/>
    <w:rsid w:val="009B00C9"/>
    <w:rsid w:val="009B0299"/>
    <w:rsid w:val="009B0A76"/>
    <w:rsid w:val="009B0B5D"/>
    <w:rsid w:val="009B0C82"/>
    <w:rsid w:val="009B119C"/>
    <w:rsid w:val="009B1410"/>
    <w:rsid w:val="009B1575"/>
    <w:rsid w:val="009B1A02"/>
    <w:rsid w:val="009B1CAA"/>
    <w:rsid w:val="009B1DCA"/>
    <w:rsid w:val="009B2636"/>
    <w:rsid w:val="009B276C"/>
    <w:rsid w:val="009B28CF"/>
    <w:rsid w:val="009B2A23"/>
    <w:rsid w:val="009B2AC0"/>
    <w:rsid w:val="009B2D57"/>
    <w:rsid w:val="009B36A5"/>
    <w:rsid w:val="009B38D0"/>
    <w:rsid w:val="009B3E26"/>
    <w:rsid w:val="009B4A8E"/>
    <w:rsid w:val="009B4B08"/>
    <w:rsid w:val="009B4F5D"/>
    <w:rsid w:val="009B50C1"/>
    <w:rsid w:val="009B5540"/>
    <w:rsid w:val="009B5BE4"/>
    <w:rsid w:val="009B5C21"/>
    <w:rsid w:val="009B5F6F"/>
    <w:rsid w:val="009B639C"/>
    <w:rsid w:val="009B6635"/>
    <w:rsid w:val="009B669D"/>
    <w:rsid w:val="009B6DEB"/>
    <w:rsid w:val="009B6EDE"/>
    <w:rsid w:val="009B6F07"/>
    <w:rsid w:val="009B7555"/>
    <w:rsid w:val="009B7774"/>
    <w:rsid w:val="009B780A"/>
    <w:rsid w:val="009B788A"/>
    <w:rsid w:val="009B7D9F"/>
    <w:rsid w:val="009B7FB9"/>
    <w:rsid w:val="009B7FEC"/>
    <w:rsid w:val="009C0D69"/>
    <w:rsid w:val="009C0F70"/>
    <w:rsid w:val="009C1442"/>
    <w:rsid w:val="009C15A2"/>
    <w:rsid w:val="009C1969"/>
    <w:rsid w:val="009C19E6"/>
    <w:rsid w:val="009C1FC0"/>
    <w:rsid w:val="009C203C"/>
    <w:rsid w:val="009C20AB"/>
    <w:rsid w:val="009C21C2"/>
    <w:rsid w:val="009C259A"/>
    <w:rsid w:val="009C2793"/>
    <w:rsid w:val="009C2831"/>
    <w:rsid w:val="009C2979"/>
    <w:rsid w:val="009C319C"/>
    <w:rsid w:val="009C3702"/>
    <w:rsid w:val="009C3706"/>
    <w:rsid w:val="009C372F"/>
    <w:rsid w:val="009C391C"/>
    <w:rsid w:val="009C39E3"/>
    <w:rsid w:val="009C3A3A"/>
    <w:rsid w:val="009C3EA3"/>
    <w:rsid w:val="009C47D3"/>
    <w:rsid w:val="009C51B8"/>
    <w:rsid w:val="009C57C2"/>
    <w:rsid w:val="009C5BD1"/>
    <w:rsid w:val="009C5CEF"/>
    <w:rsid w:val="009C5CFF"/>
    <w:rsid w:val="009C602E"/>
    <w:rsid w:val="009C653A"/>
    <w:rsid w:val="009C6733"/>
    <w:rsid w:val="009C6B3A"/>
    <w:rsid w:val="009C6CEA"/>
    <w:rsid w:val="009C6E6C"/>
    <w:rsid w:val="009C758C"/>
    <w:rsid w:val="009C760A"/>
    <w:rsid w:val="009C77AF"/>
    <w:rsid w:val="009C7B64"/>
    <w:rsid w:val="009C7B85"/>
    <w:rsid w:val="009C7BA3"/>
    <w:rsid w:val="009C7EA1"/>
    <w:rsid w:val="009C7F61"/>
    <w:rsid w:val="009D0254"/>
    <w:rsid w:val="009D03A3"/>
    <w:rsid w:val="009D04F3"/>
    <w:rsid w:val="009D058E"/>
    <w:rsid w:val="009D07B4"/>
    <w:rsid w:val="009D0945"/>
    <w:rsid w:val="009D0E38"/>
    <w:rsid w:val="009D0E82"/>
    <w:rsid w:val="009D1770"/>
    <w:rsid w:val="009D1A64"/>
    <w:rsid w:val="009D1C13"/>
    <w:rsid w:val="009D1D2E"/>
    <w:rsid w:val="009D1E34"/>
    <w:rsid w:val="009D208D"/>
    <w:rsid w:val="009D2662"/>
    <w:rsid w:val="009D2A99"/>
    <w:rsid w:val="009D3163"/>
    <w:rsid w:val="009D320A"/>
    <w:rsid w:val="009D37E9"/>
    <w:rsid w:val="009D3965"/>
    <w:rsid w:val="009D3966"/>
    <w:rsid w:val="009D3984"/>
    <w:rsid w:val="009D3A25"/>
    <w:rsid w:val="009D3C41"/>
    <w:rsid w:val="009D3DFA"/>
    <w:rsid w:val="009D4093"/>
    <w:rsid w:val="009D4203"/>
    <w:rsid w:val="009D51E8"/>
    <w:rsid w:val="009D55D1"/>
    <w:rsid w:val="009D5B53"/>
    <w:rsid w:val="009D5B73"/>
    <w:rsid w:val="009D5B91"/>
    <w:rsid w:val="009D5BBC"/>
    <w:rsid w:val="009D62A4"/>
    <w:rsid w:val="009D67A7"/>
    <w:rsid w:val="009D6D77"/>
    <w:rsid w:val="009D6E5F"/>
    <w:rsid w:val="009D7658"/>
    <w:rsid w:val="009D792E"/>
    <w:rsid w:val="009D79E4"/>
    <w:rsid w:val="009D79FD"/>
    <w:rsid w:val="009D7B98"/>
    <w:rsid w:val="009D7BAC"/>
    <w:rsid w:val="009D7C1C"/>
    <w:rsid w:val="009D7D44"/>
    <w:rsid w:val="009E00A7"/>
    <w:rsid w:val="009E01F1"/>
    <w:rsid w:val="009E0904"/>
    <w:rsid w:val="009E095A"/>
    <w:rsid w:val="009E0DFE"/>
    <w:rsid w:val="009E1BE7"/>
    <w:rsid w:val="009E209C"/>
    <w:rsid w:val="009E214C"/>
    <w:rsid w:val="009E24E8"/>
    <w:rsid w:val="009E2545"/>
    <w:rsid w:val="009E267E"/>
    <w:rsid w:val="009E2D2D"/>
    <w:rsid w:val="009E31F6"/>
    <w:rsid w:val="009E322A"/>
    <w:rsid w:val="009E326E"/>
    <w:rsid w:val="009E34E1"/>
    <w:rsid w:val="009E36F5"/>
    <w:rsid w:val="009E3AA2"/>
    <w:rsid w:val="009E3B09"/>
    <w:rsid w:val="009E3B73"/>
    <w:rsid w:val="009E3C67"/>
    <w:rsid w:val="009E3C94"/>
    <w:rsid w:val="009E3F6E"/>
    <w:rsid w:val="009E405A"/>
    <w:rsid w:val="009E4206"/>
    <w:rsid w:val="009E4255"/>
    <w:rsid w:val="009E4C07"/>
    <w:rsid w:val="009E4C8A"/>
    <w:rsid w:val="009E4CF0"/>
    <w:rsid w:val="009E546B"/>
    <w:rsid w:val="009E5A41"/>
    <w:rsid w:val="009E5E99"/>
    <w:rsid w:val="009E6483"/>
    <w:rsid w:val="009E6ACD"/>
    <w:rsid w:val="009E6CD5"/>
    <w:rsid w:val="009E6D20"/>
    <w:rsid w:val="009E73DD"/>
    <w:rsid w:val="009E744F"/>
    <w:rsid w:val="009E74A8"/>
    <w:rsid w:val="009E7738"/>
    <w:rsid w:val="009F01D0"/>
    <w:rsid w:val="009F038A"/>
    <w:rsid w:val="009F04FB"/>
    <w:rsid w:val="009F0DB8"/>
    <w:rsid w:val="009F0E0F"/>
    <w:rsid w:val="009F15BA"/>
    <w:rsid w:val="009F184E"/>
    <w:rsid w:val="009F1C87"/>
    <w:rsid w:val="009F2416"/>
    <w:rsid w:val="009F24EA"/>
    <w:rsid w:val="009F2793"/>
    <w:rsid w:val="009F2B59"/>
    <w:rsid w:val="009F2FA5"/>
    <w:rsid w:val="009F2FDA"/>
    <w:rsid w:val="009F3B9D"/>
    <w:rsid w:val="009F410A"/>
    <w:rsid w:val="009F412C"/>
    <w:rsid w:val="009F43AA"/>
    <w:rsid w:val="009F4631"/>
    <w:rsid w:val="009F4F18"/>
    <w:rsid w:val="009F577B"/>
    <w:rsid w:val="009F5BF8"/>
    <w:rsid w:val="009F5CC9"/>
    <w:rsid w:val="009F65B7"/>
    <w:rsid w:val="009F66B2"/>
    <w:rsid w:val="009F6EDC"/>
    <w:rsid w:val="009F71C4"/>
    <w:rsid w:val="009F72AE"/>
    <w:rsid w:val="009F775F"/>
    <w:rsid w:val="009F7B2F"/>
    <w:rsid w:val="009F7DC7"/>
    <w:rsid w:val="009F7F19"/>
    <w:rsid w:val="00A00642"/>
    <w:rsid w:val="00A00F6F"/>
    <w:rsid w:val="00A01184"/>
    <w:rsid w:val="00A0119E"/>
    <w:rsid w:val="00A0136E"/>
    <w:rsid w:val="00A01401"/>
    <w:rsid w:val="00A02580"/>
    <w:rsid w:val="00A02F68"/>
    <w:rsid w:val="00A03183"/>
    <w:rsid w:val="00A03207"/>
    <w:rsid w:val="00A0341C"/>
    <w:rsid w:val="00A03703"/>
    <w:rsid w:val="00A037C2"/>
    <w:rsid w:val="00A0395D"/>
    <w:rsid w:val="00A03D43"/>
    <w:rsid w:val="00A03D50"/>
    <w:rsid w:val="00A03F1F"/>
    <w:rsid w:val="00A04290"/>
    <w:rsid w:val="00A04380"/>
    <w:rsid w:val="00A04A31"/>
    <w:rsid w:val="00A04C13"/>
    <w:rsid w:val="00A04DCB"/>
    <w:rsid w:val="00A04DD8"/>
    <w:rsid w:val="00A04E12"/>
    <w:rsid w:val="00A05079"/>
    <w:rsid w:val="00A050DF"/>
    <w:rsid w:val="00A05472"/>
    <w:rsid w:val="00A05C32"/>
    <w:rsid w:val="00A05C6F"/>
    <w:rsid w:val="00A060A5"/>
    <w:rsid w:val="00A0653A"/>
    <w:rsid w:val="00A0653F"/>
    <w:rsid w:val="00A06733"/>
    <w:rsid w:val="00A067EB"/>
    <w:rsid w:val="00A06813"/>
    <w:rsid w:val="00A068E2"/>
    <w:rsid w:val="00A06E01"/>
    <w:rsid w:val="00A06FE5"/>
    <w:rsid w:val="00A074F4"/>
    <w:rsid w:val="00A077D2"/>
    <w:rsid w:val="00A078AB"/>
    <w:rsid w:val="00A07ACE"/>
    <w:rsid w:val="00A07BA7"/>
    <w:rsid w:val="00A07EF7"/>
    <w:rsid w:val="00A1044E"/>
    <w:rsid w:val="00A10772"/>
    <w:rsid w:val="00A109B6"/>
    <w:rsid w:val="00A11377"/>
    <w:rsid w:val="00A114AF"/>
    <w:rsid w:val="00A118BB"/>
    <w:rsid w:val="00A11CD0"/>
    <w:rsid w:val="00A11EC9"/>
    <w:rsid w:val="00A12189"/>
    <w:rsid w:val="00A1229F"/>
    <w:rsid w:val="00A12BAA"/>
    <w:rsid w:val="00A12F03"/>
    <w:rsid w:val="00A13542"/>
    <w:rsid w:val="00A13571"/>
    <w:rsid w:val="00A13683"/>
    <w:rsid w:val="00A13948"/>
    <w:rsid w:val="00A13A81"/>
    <w:rsid w:val="00A13EA4"/>
    <w:rsid w:val="00A140F9"/>
    <w:rsid w:val="00A1460C"/>
    <w:rsid w:val="00A14857"/>
    <w:rsid w:val="00A14878"/>
    <w:rsid w:val="00A14F27"/>
    <w:rsid w:val="00A14FB1"/>
    <w:rsid w:val="00A151A9"/>
    <w:rsid w:val="00A1555B"/>
    <w:rsid w:val="00A155C5"/>
    <w:rsid w:val="00A159EE"/>
    <w:rsid w:val="00A15ACC"/>
    <w:rsid w:val="00A15E11"/>
    <w:rsid w:val="00A161EF"/>
    <w:rsid w:val="00A1633B"/>
    <w:rsid w:val="00A165D2"/>
    <w:rsid w:val="00A168B3"/>
    <w:rsid w:val="00A16A75"/>
    <w:rsid w:val="00A16AD8"/>
    <w:rsid w:val="00A16BAD"/>
    <w:rsid w:val="00A16E5C"/>
    <w:rsid w:val="00A16F91"/>
    <w:rsid w:val="00A17194"/>
    <w:rsid w:val="00A17204"/>
    <w:rsid w:val="00A17E59"/>
    <w:rsid w:val="00A201F5"/>
    <w:rsid w:val="00A204A0"/>
    <w:rsid w:val="00A2058A"/>
    <w:rsid w:val="00A20FA5"/>
    <w:rsid w:val="00A21032"/>
    <w:rsid w:val="00A21157"/>
    <w:rsid w:val="00A21C95"/>
    <w:rsid w:val="00A21C98"/>
    <w:rsid w:val="00A21CF3"/>
    <w:rsid w:val="00A21D12"/>
    <w:rsid w:val="00A2216B"/>
    <w:rsid w:val="00A22C18"/>
    <w:rsid w:val="00A22DB9"/>
    <w:rsid w:val="00A22EA2"/>
    <w:rsid w:val="00A22ED9"/>
    <w:rsid w:val="00A23005"/>
    <w:rsid w:val="00A23308"/>
    <w:rsid w:val="00A233B1"/>
    <w:rsid w:val="00A23515"/>
    <w:rsid w:val="00A2402C"/>
    <w:rsid w:val="00A2429C"/>
    <w:rsid w:val="00A24369"/>
    <w:rsid w:val="00A2450E"/>
    <w:rsid w:val="00A2455B"/>
    <w:rsid w:val="00A24813"/>
    <w:rsid w:val="00A24B74"/>
    <w:rsid w:val="00A24C4B"/>
    <w:rsid w:val="00A24C7A"/>
    <w:rsid w:val="00A24DDE"/>
    <w:rsid w:val="00A25079"/>
    <w:rsid w:val="00A25A2D"/>
    <w:rsid w:val="00A25DA8"/>
    <w:rsid w:val="00A26674"/>
    <w:rsid w:val="00A26D74"/>
    <w:rsid w:val="00A26E7E"/>
    <w:rsid w:val="00A27406"/>
    <w:rsid w:val="00A274F5"/>
    <w:rsid w:val="00A275AD"/>
    <w:rsid w:val="00A27611"/>
    <w:rsid w:val="00A278CF"/>
    <w:rsid w:val="00A27AEC"/>
    <w:rsid w:val="00A27CB7"/>
    <w:rsid w:val="00A27DE9"/>
    <w:rsid w:val="00A3009A"/>
    <w:rsid w:val="00A3037B"/>
    <w:rsid w:val="00A30B85"/>
    <w:rsid w:val="00A30CFF"/>
    <w:rsid w:val="00A3116A"/>
    <w:rsid w:val="00A311C2"/>
    <w:rsid w:val="00A31261"/>
    <w:rsid w:val="00A31B7C"/>
    <w:rsid w:val="00A31E86"/>
    <w:rsid w:val="00A31F8D"/>
    <w:rsid w:val="00A320DB"/>
    <w:rsid w:val="00A321FB"/>
    <w:rsid w:val="00A32223"/>
    <w:rsid w:val="00A32481"/>
    <w:rsid w:val="00A326D3"/>
    <w:rsid w:val="00A32A8F"/>
    <w:rsid w:val="00A3303D"/>
    <w:rsid w:val="00A33483"/>
    <w:rsid w:val="00A337ED"/>
    <w:rsid w:val="00A338C0"/>
    <w:rsid w:val="00A33CA1"/>
    <w:rsid w:val="00A33D13"/>
    <w:rsid w:val="00A343A2"/>
    <w:rsid w:val="00A34619"/>
    <w:rsid w:val="00A34B20"/>
    <w:rsid w:val="00A34DC4"/>
    <w:rsid w:val="00A34E42"/>
    <w:rsid w:val="00A34FE8"/>
    <w:rsid w:val="00A35374"/>
    <w:rsid w:val="00A35467"/>
    <w:rsid w:val="00A354A1"/>
    <w:rsid w:val="00A354C5"/>
    <w:rsid w:val="00A355C9"/>
    <w:rsid w:val="00A35679"/>
    <w:rsid w:val="00A3591F"/>
    <w:rsid w:val="00A35C12"/>
    <w:rsid w:val="00A35D16"/>
    <w:rsid w:val="00A361D5"/>
    <w:rsid w:val="00A36606"/>
    <w:rsid w:val="00A368BE"/>
    <w:rsid w:val="00A36C45"/>
    <w:rsid w:val="00A36CE1"/>
    <w:rsid w:val="00A374F9"/>
    <w:rsid w:val="00A37547"/>
    <w:rsid w:val="00A3777C"/>
    <w:rsid w:val="00A379E5"/>
    <w:rsid w:val="00A37BCD"/>
    <w:rsid w:val="00A40155"/>
    <w:rsid w:val="00A408FE"/>
    <w:rsid w:val="00A40B01"/>
    <w:rsid w:val="00A40F6F"/>
    <w:rsid w:val="00A40FC3"/>
    <w:rsid w:val="00A41689"/>
    <w:rsid w:val="00A420CC"/>
    <w:rsid w:val="00A423DC"/>
    <w:rsid w:val="00A42592"/>
    <w:rsid w:val="00A42B3B"/>
    <w:rsid w:val="00A434F0"/>
    <w:rsid w:val="00A43754"/>
    <w:rsid w:val="00A43769"/>
    <w:rsid w:val="00A437F1"/>
    <w:rsid w:val="00A43970"/>
    <w:rsid w:val="00A43C59"/>
    <w:rsid w:val="00A43FC2"/>
    <w:rsid w:val="00A44136"/>
    <w:rsid w:val="00A441D3"/>
    <w:rsid w:val="00A44399"/>
    <w:rsid w:val="00A4448E"/>
    <w:rsid w:val="00A44A9A"/>
    <w:rsid w:val="00A44C33"/>
    <w:rsid w:val="00A45432"/>
    <w:rsid w:val="00A45A42"/>
    <w:rsid w:val="00A46039"/>
    <w:rsid w:val="00A466AA"/>
    <w:rsid w:val="00A46777"/>
    <w:rsid w:val="00A46AAE"/>
    <w:rsid w:val="00A46BC2"/>
    <w:rsid w:val="00A46EDD"/>
    <w:rsid w:val="00A47050"/>
    <w:rsid w:val="00A47212"/>
    <w:rsid w:val="00A47599"/>
    <w:rsid w:val="00A4763E"/>
    <w:rsid w:val="00A476A6"/>
    <w:rsid w:val="00A478B8"/>
    <w:rsid w:val="00A478CE"/>
    <w:rsid w:val="00A479DA"/>
    <w:rsid w:val="00A50126"/>
    <w:rsid w:val="00A5015C"/>
    <w:rsid w:val="00A50263"/>
    <w:rsid w:val="00A502A8"/>
    <w:rsid w:val="00A502C2"/>
    <w:rsid w:val="00A5070E"/>
    <w:rsid w:val="00A509BF"/>
    <w:rsid w:val="00A50ECD"/>
    <w:rsid w:val="00A511F0"/>
    <w:rsid w:val="00A518F3"/>
    <w:rsid w:val="00A51AC1"/>
    <w:rsid w:val="00A51D5F"/>
    <w:rsid w:val="00A51FB9"/>
    <w:rsid w:val="00A520BE"/>
    <w:rsid w:val="00A522D4"/>
    <w:rsid w:val="00A5240F"/>
    <w:rsid w:val="00A5243F"/>
    <w:rsid w:val="00A52729"/>
    <w:rsid w:val="00A52B9F"/>
    <w:rsid w:val="00A52FED"/>
    <w:rsid w:val="00A530F1"/>
    <w:rsid w:val="00A531E8"/>
    <w:rsid w:val="00A533BF"/>
    <w:rsid w:val="00A5348C"/>
    <w:rsid w:val="00A53675"/>
    <w:rsid w:val="00A538A2"/>
    <w:rsid w:val="00A53E0C"/>
    <w:rsid w:val="00A53E44"/>
    <w:rsid w:val="00A53EC5"/>
    <w:rsid w:val="00A541C9"/>
    <w:rsid w:val="00A542D4"/>
    <w:rsid w:val="00A547C6"/>
    <w:rsid w:val="00A54AE5"/>
    <w:rsid w:val="00A54D28"/>
    <w:rsid w:val="00A54F45"/>
    <w:rsid w:val="00A55745"/>
    <w:rsid w:val="00A558B0"/>
    <w:rsid w:val="00A55E17"/>
    <w:rsid w:val="00A55E74"/>
    <w:rsid w:val="00A5606F"/>
    <w:rsid w:val="00A56313"/>
    <w:rsid w:val="00A564D7"/>
    <w:rsid w:val="00A56B6A"/>
    <w:rsid w:val="00A57073"/>
    <w:rsid w:val="00A57143"/>
    <w:rsid w:val="00A573A0"/>
    <w:rsid w:val="00A578DC"/>
    <w:rsid w:val="00A57B3A"/>
    <w:rsid w:val="00A57D11"/>
    <w:rsid w:val="00A600C4"/>
    <w:rsid w:val="00A602DB"/>
    <w:rsid w:val="00A60803"/>
    <w:rsid w:val="00A60DF3"/>
    <w:rsid w:val="00A60F2F"/>
    <w:rsid w:val="00A61652"/>
    <w:rsid w:val="00A61AFE"/>
    <w:rsid w:val="00A62224"/>
    <w:rsid w:val="00A62340"/>
    <w:rsid w:val="00A62775"/>
    <w:rsid w:val="00A62A00"/>
    <w:rsid w:val="00A62A64"/>
    <w:rsid w:val="00A63C18"/>
    <w:rsid w:val="00A63E2F"/>
    <w:rsid w:val="00A640E2"/>
    <w:rsid w:val="00A641F9"/>
    <w:rsid w:val="00A644DA"/>
    <w:rsid w:val="00A6470E"/>
    <w:rsid w:val="00A64A2B"/>
    <w:rsid w:val="00A64A48"/>
    <w:rsid w:val="00A64D65"/>
    <w:rsid w:val="00A64E94"/>
    <w:rsid w:val="00A64FD6"/>
    <w:rsid w:val="00A65344"/>
    <w:rsid w:val="00A655C9"/>
    <w:rsid w:val="00A65835"/>
    <w:rsid w:val="00A65891"/>
    <w:rsid w:val="00A65B85"/>
    <w:rsid w:val="00A6672C"/>
    <w:rsid w:val="00A66939"/>
    <w:rsid w:val="00A669C5"/>
    <w:rsid w:val="00A66A2F"/>
    <w:rsid w:val="00A66B0D"/>
    <w:rsid w:val="00A6725B"/>
    <w:rsid w:val="00A67395"/>
    <w:rsid w:val="00A67573"/>
    <w:rsid w:val="00A677A9"/>
    <w:rsid w:val="00A67867"/>
    <w:rsid w:val="00A70224"/>
    <w:rsid w:val="00A70553"/>
    <w:rsid w:val="00A70605"/>
    <w:rsid w:val="00A70A55"/>
    <w:rsid w:val="00A70E6D"/>
    <w:rsid w:val="00A71026"/>
    <w:rsid w:val="00A710D2"/>
    <w:rsid w:val="00A71449"/>
    <w:rsid w:val="00A715F1"/>
    <w:rsid w:val="00A71881"/>
    <w:rsid w:val="00A71B77"/>
    <w:rsid w:val="00A726FA"/>
    <w:rsid w:val="00A72DB9"/>
    <w:rsid w:val="00A72E23"/>
    <w:rsid w:val="00A73134"/>
    <w:rsid w:val="00A7317A"/>
    <w:rsid w:val="00A7337A"/>
    <w:rsid w:val="00A7337F"/>
    <w:rsid w:val="00A73643"/>
    <w:rsid w:val="00A73D66"/>
    <w:rsid w:val="00A73D8D"/>
    <w:rsid w:val="00A7407B"/>
    <w:rsid w:val="00A7470B"/>
    <w:rsid w:val="00A748AA"/>
    <w:rsid w:val="00A74B3F"/>
    <w:rsid w:val="00A74E6F"/>
    <w:rsid w:val="00A75280"/>
    <w:rsid w:val="00A756A8"/>
    <w:rsid w:val="00A75A14"/>
    <w:rsid w:val="00A75A94"/>
    <w:rsid w:val="00A75DDD"/>
    <w:rsid w:val="00A75F3B"/>
    <w:rsid w:val="00A76001"/>
    <w:rsid w:val="00A76039"/>
    <w:rsid w:val="00A7659E"/>
    <w:rsid w:val="00A765F5"/>
    <w:rsid w:val="00A7662F"/>
    <w:rsid w:val="00A767FA"/>
    <w:rsid w:val="00A772D0"/>
    <w:rsid w:val="00A77538"/>
    <w:rsid w:val="00A777B2"/>
    <w:rsid w:val="00A77D77"/>
    <w:rsid w:val="00A808B4"/>
    <w:rsid w:val="00A80FCD"/>
    <w:rsid w:val="00A81143"/>
    <w:rsid w:val="00A81319"/>
    <w:rsid w:val="00A81563"/>
    <w:rsid w:val="00A81AF8"/>
    <w:rsid w:val="00A81B87"/>
    <w:rsid w:val="00A81B8C"/>
    <w:rsid w:val="00A81EE9"/>
    <w:rsid w:val="00A820FC"/>
    <w:rsid w:val="00A8249E"/>
    <w:rsid w:val="00A82521"/>
    <w:rsid w:val="00A825D4"/>
    <w:rsid w:val="00A828F6"/>
    <w:rsid w:val="00A82B73"/>
    <w:rsid w:val="00A82C30"/>
    <w:rsid w:val="00A8306E"/>
    <w:rsid w:val="00A830A2"/>
    <w:rsid w:val="00A832A7"/>
    <w:rsid w:val="00A838AE"/>
    <w:rsid w:val="00A83939"/>
    <w:rsid w:val="00A83A99"/>
    <w:rsid w:val="00A83C7A"/>
    <w:rsid w:val="00A83DED"/>
    <w:rsid w:val="00A8407A"/>
    <w:rsid w:val="00A840EB"/>
    <w:rsid w:val="00A84500"/>
    <w:rsid w:val="00A8461F"/>
    <w:rsid w:val="00A8496B"/>
    <w:rsid w:val="00A84B08"/>
    <w:rsid w:val="00A8505A"/>
    <w:rsid w:val="00A8533A"/>
    <w:rsid w:val="00A8547F"/>
    <w:rsid w:val="00A85B3E"/>
    <w:rsid w:val="00A85B77"/>
    <w:rsid w:val="00A8640B"/>
    <w:rsid w:val="00A8690D"/>
    <w:rsid w:val="00A86DB2"/>
    <w:rsid w:val="00A86E8B"/>
    <w:rsid w:val="00A8713F"/>
    <w:rsid w:val="00A87164"/>
    <w:rsid w:val="00A872A4"/>
    <w:rsid w:val="00A873BC"/>
    <w:rsid w:val="00A87987"/>
    <w:rsid w:val="00A87F6B"/>
    <w:rsid w:val="00A904A2"/>
    <w:rsid w:val="00A90915"/>
    <w:rsid w:val="00A90A7C"/>
    <w:rsid w:val="00A90AF1"/>
    <w:rsid w:val="00A90E33"/>
    <w:rsid w:val="00A90E50"/>
    <w:rsid w:val="00A90F34"/>
    <w:rsid w:val="00A90F9C"/>
    <w:rsid w:val="00A910BA"/>
    <w:rsid w:val="00A91335"/>
    <w:rsid w:val="00A91553"/>
    <w:rsid w:val="00A9232C"/>
    <w:rsid w:val="00A92632"/>
    <w:rsid w:val="00A92828"/>
    <w:rsid w:val="00A929D9"/>
    <w:rsid w:val="00A92BA3"/>
    <w:rsid w:val="00A92D69"/>
    <w:rsid w:val="00A93072"/>
    <w:rsid w:val="00A938BD"/>
    <w:rsid w:val="00A93953"/>
    <w:rsid w:val="00A93D7D"/>
    <w:rsid w:val="00A944DD"/>
    <w:rsid w:val="00A94801"/>
    <w:rsid w:val="00A94C66"/>
    <w:rsid w:val="00A94D50"/>
    <w:rsid w:val="00A9503D"/>
    <w:rsid w:val="00A95282"/>
    <w:rsid w:val="00A9557D"/>
    <w:rsid w:val="00A959D8"/>
    <w:rsid w:val="00A95F26"/>
    <w:rsid w:val="00A95FB1"/>
    <w:rsid w:val="00A96AE1"/>
    <w:rsid w:val="00A96E5B"/>
    <w:rsid w:val="00A97593"/>
    <w:rsid w:val="00AA023F"/>
    <w:rsid w:val="00AA04B9"/>
    <w:rsid w:val="00AA06F7"/>
    <w:rsid w:val="00AA0D0E"/>
    <w:rsid w:val="00AA0D8A"/>
    <w:rsid w:val="00AA0EAF"/>
    <w:rsid w:val="00AA102E"/>
    <w:rsid w:val="00AA105C"/>
    <w:rsid w:val="00AA113D"/>
    <w:rsid w:val="00AA11B2"/>
    <w:rsid w:val="00AA14B7"/>
    <w:rsid w:val="00AA17D8"/>
    <w:rsid w:val="00AA2178"/>
    <w:rsid w:val="00AA26AE"/>
    <w:rsid w:val="00AA297E"/>
    <w:rsid w:val="00AA2C84"/>
    <w:rsid w:val="00AA2F7A"/>
    <w:rsid w:val="00AA3742"/>
    <w:rsid w:val="00AA3B38"/>
    <w:rsid w:val="00AA3FA6"/>
    <w:rsid w:val="00AA4483"/>
    <w:rsid w:val="00AA4883"/>
    <w:rsid w:val="00AA48AE"/>
    <w:rsid w:val="00AA495C"/>
    <w:rsid w:val="00AA4A83"/>
    <w:rsid w:val="00AA4D6B"/>
    <w:rsid w:val="00AA4ECB"/>
    <w:rsid w:val="00AA5083"/>
    <w:rsid w:val="00AA510F"/>
    <w:rsid w:val="00AA54A4"/>
    <w:rsid w:val="00AA5559"/>
    <w:rsid w:val="00AA55B5"/>
    <w:rsid w:val="00AA56A5"/>
    <w:rsid w:val="00AA5F63"/>
    <w:rsid w:val="00AA6318"/>
    <w:rsid w:val="00AA6417"/>
    <w:rsid w:val="00AA6571"/>
    <w:rsid w:val="00AA6B0A"/>
    <w:rsid w:val="00AA6BD5"/>
    <w:rsid w:val="00AA6BD8"/>
    <w:rsid w:val="00AA6C7D"/>
    <w:rsid w:val="00AA6D91"/>
    <w:rsid w:val="00AA7E30"/>
    <w:rsid w:val="00AA7FD6"/>
    <w:rsid w:val="00AB03F2"/>
    <w:rsid w:val="00AB042A"/>
    <w:rsid w:val="00AB0537"/>
    <w:rsid w:val="00AB05C3"/>
    <w:rsid w:val="00AB08F0"/>
    <w:rsid w:val="00AB09E9"/>
    <w:rsid w:val="00AB0CD4"/>
    <w:rsid w:val="00AB0FAC"/>
    <w:rsid w:val="00AB1403"/>
    <w:rsid w:val="00AB1614"/>
    <w:rsid w:val="00AB19EF"/>
    <w:rsid w:val="00AB210D"/>
    <w:rsid w:val="00AB2731"/>
    <w:rsid w:val="00AB2922"/>
    <w:rsid w:val="00AB2B04"/>
    <w:rsid w:val="00AB2D34"/>
    <w:rsid w:val="00AB2F18"/>
    <w:rsid w:val="00AB3430"/>
    <w:rsid w:val="00AB364A"/>
    <w:rsid w:val="00AB37B9"/>
    <w:rsid w:val="00AB3F07"/>
    <w:rsid w:val="00AB4114"/>
    <w:rsid w:val="00AB4291"/>
    <w:rsid w:val="00AB4636"/>
    <w:rsid w:val="00AB4AD1"/>
    <w:rsid w:val="00AB4BA9"/>
    <w:rsid w:val="00AB4DBA"/>
    <w:rsid w:val="00AB5058"/>
    <w:rsid w:val="00AB5088"/>
    <w:rsid w:val="00AB5138"/>
    <w:rsid w:val="00AB54D7"/>
    <w:rsid w:val="00AB5657"/>
    <w:rsid w:val="00AB578F"/>
    <w:rsid w:val="00AB58D2"/>
    <w:rsid w:val="00AB5CF8"/>
    <w:rsid w:val="00AB5E07"/>
    <w:rsid w:val="00AB5E56"/>
    <w:rsid w:val="00AB629E"/>
    <w:rsid w:val="00AB66B7"/>
    <w:rsid w:val="00AB6916"/>
    <w:rsid w:val="00AB693E"/>
    <w:rsid w:val="00AB6B0A"/>
    <w:rsid w:val="00AB6BCB"/>
    <w:rsid w:val="00AB6D34"/>
    <w:rsid w:val="00AB6EDF"/>
    <w:rsid w:val="00AB71A3"/>
    <w:rsid w:val="00AB729C"/>
    <w:rsid w:val="00AB760C"/>
    <w:rsid w:val="00AB7ABA"/>
    <w:rsid w:val="00AB7B86"/>
    <w:rsid w:val="00AB7CFA"/>
    <w:rsid w:val="00AB7D63"/>
    <w:rsid w:val="00AB7F04"/>
    <w:rsid w:val="00AC060C"/>
    <w:rsid w:val="00AC081B"/>
    <w:rsid w:val="00AC0AFE"/>
    <w:rsid w:val="00AC0C26"/>
    <w:rsid w:val="00AC0C98"/>
    <w:rsid w:val="00AC0D5E"/>
    <w:rsid w:val="00AC1BE9"/>
    <w:rsid w:val="00AC1CE1"/>
    <w:rsid w:val="00AC1D2E"/>
    <w:rsid w:val="00AC1DFA"/>
    <w:rsid w:val="00AC20BB"/>
    <w:rsid w:val="00AC2240"/>
    <w:rsid w:val="00AC22A1"/>
    <w:rsid w:val="00AC2D69"/>
    <w:rsid w:val="00AC2E39"/>
    <w:rsid w:val="00AC2EB9"/>
    <w:rsid w:val="00AC35FF"/>
    <w:rsid w:val="00AC3F26"/>
    <w:rsid w:val="00AC4105"/>
    <w:rsid w:val="00AC53C1"/>
    <w:rsid w:val="00AC5A9D"/>
    <w:rsid w:val="00AC5B48"/>
    <w:rsid w:val="00AC5D25"/>
    <w:rsid w:val="00AC6192"/>
    <w:rsid w:val="00AC64EC"/>
    <w:rsid w:val="00AC680F"/>
    <w:rsid w:val="00AC6F4B"/>
    <w:rsid w:val="00AC7282"/>
    <w:rsid w:val="00AC734F"/>
    <w:rsid w:val="00AC739A"/>
    <w:rsid w:val="00AC7848"/>
    <w:rsid w:val="00AC7955"/>
    <w:rsid w:val="00AC7EC3"/>
    <w:rsid w:val="00AD0540"/>
    <w:rsid w:val="00AD08E9"/>
    <w:rsid w:val="00AD090B"/>
    <w:rsid w:val="00AD0A29"/>
    <w:rsid w:val="00AD0B59"/>
    <w:rsid w:val="00AD0C32"/>
    <w:rsid w:val="00AD0D18"/>
    <w:rsid w:val="00AD0DC7"/>
    <w:rsid w:val="00AD127D"/>
    <w:rsid w:val="00AD13A1"/>
    <w:rsid w:val="00AD1450"/>
    <w:rsid w:val="00AD1502"/>
    <w:rsid w:val="00AD1926"/>
    <w:rsid w:val="00AD1D22"/>
    <w:rsid w:val="00AD1F54"/>
    <w:rsid w:val="00AD2287"/>
    <w:rsid w:val="00AD2318"/>
    <w:rsid w:val="00AD27F6"/>
    <w:rsid w:val="00AD2E83"/>
    <w:rsid w:val="00AD2EDD"/>
    <w:rsid w:val="00AD306B"/>
    <w:rsid w:val="00AD30ED"/>
    <w:rsid w:val="00AD31BF"/>
    <w:rsid w:val="00AD3840"/>
    <w:rsid w:val="00AD3C60"/>
    <w:rsid w:val="00AD41A5"/>
    <w:rsid w:val="00AD4A06"/>
    <w:rsid w:val="00AD545E"/>
    <w:rsid w:val="00AD54B3"/>
    <w:rsid w:val="00AD5877"/>
    <w:rsid w:val="00AD5AFE"/>
    <w:rsid w:val="00AD6502"/>
    <w:rsid w:val="00AD67DF"/>
    <w:rsid w:val="00AD7139"/>
    <w:rsid w:val="00AD74C8"/>
    <w:rsid w:val="00AD7C79"/>
    <w:rsid w:val="00AE00B2"/>
    <w:rsid w:val="00AE036E"/>
    <w:rsid w:val="00AE04E6"/>
    <w:rsid w:val="00AE0695"/>
    <w:rsid w:val="00AE081C"/>
    <w:rsid w:val="00AE0AC6"/>
    <w:rsid w:val="00AE0CEE"/>
    <w:rsid w:val="00AE0E39"/>
    <w:rsid w:val="00AE0F3C"/>
    <w:rsid w:val="00AE0FDE"/>
    <w:rsid w:val="00AE1046"/>
    <w:rsid w:val="00AE10DF"/>
    <w:rsid w:val="00AE1868"/>
    <w:rsid w:val="00AE1C3E"/>
    <w:rsid w:val="00AE1CCF"/>
    <w:rsid w:val="00AE22CF"/>
    <w:rsid w:val="00AE25EF"/>
    <w:rsid w:val="00AE29CB"/>
    <w:rsid w:val="00AE2B7D"/>
    <w:rsid w:val="00AE3047"/>
    <w:rsid w:val="00AE333D"/>
    <w:rsid w:val="00AE34ED"/>
    <w:rsid w:val="00AE3D6C"/>
    <w:rsid w:val="00AE3E3D"/>
    <w:rsid w:val="00AE3E7E"/>
    <w:rsid w:val="00AE419F"/>
    <w:rsid w:val="00AE4403"/>
    <w:rsid w:val="00AE4AB4"/>
    <w:rsid w:val="00AE5E13"/>
    <w:rsid w:val="00AE5ECC"/>
    <w:rsid w:val="00AE64A8"/>
    <w:rsid w:val="00AE6724"/>
    <w:rsid w:val="00AE6C5A"/>
    <w:rsid w:val="00AE6D23"/>
    <w:rsid w:val="00AE7264"/>
    <w:rsid w:val="00AE72BE"/>
    <w:rsid w:val="00AE7C8E"/>
    <w:rsid w:val="00AF0328"/>
    <w:rsid w:val="00AF0716"/>
    <w:rsid w:val="00AF0920"/>
    <w:rsid w:val="00AF0B56"/>
    <w:rsid w:val="00AF12F4"/>
    <w:rsid w:val="00AF1315"/>
    <w:rsid w:val="00AF1358"/>
    <w:rsid w:val="00AF18F5"/>
    <w:rsid w:val="00AF19BF"/>
    <w:rsid w:val="00AF224E"/>
    <w:rsid w:val="00AF2305"/>
    <w:rsid w:val="00AF2692"/>
    <w:rsid w:val="00AF27ED"/>
    <w:rsid w:val="00AF2A0C"/>
    <w:rsid w:val="00AF2DC3"/>
    <w:rsid w:val="00AF32F1"/>
    <w:rsid w:val="00AF371B"/>
    <w:rsid w:val="00AF37C5"/>
    <w:rsid w:val="00AF395F"/>
    <w:rsid w:val="00AF3E5B"/>
    <w:rsid w:val="00AF400A"/>
    <w:rsid w:val="00AF45F7"/>
    <w:rsid w:val="00AF4785"/>
    <w:rsid w:val="00AF4A5C"/>
    <w:rsid w:val="00AF5281"/>
    <w:rsid w:val="00AF533D"/>
    <w:rsid w:val="00AF55D1"/>
    <w:rsid w:val="00AF56FF"/>
    <w:rsid w:val="00AF58B8"/>
    <w:rsid w:val="00AF5990"/>
    <w:rsid w:val="00AF59B4"/>
    <w:rsid w:val="00AF5D93"/>
    <w:rsid w:val="00AF6158"/>
    <w:rsid w:val="00AF6553"/>
    <w:rsid w:val="00AF65DC"/>
    <w:rsid w:val="00AF6A64"/>
    <w:rsid w:val="00AF72F1"/>
    <w:rsid w:val="00AF73F1"/>
    <w:rsid w:val="00AF7739"/>
    <w:rsid w:val="00AF773A"/>
    <w:rsid w:val="00AF7B42"/>
    <w:rsid w:val="00AF7EE3"/>
    <w:rsid w:val="00B002C4"/>
    <w:rsid w:val="00B00EE2"/>
    <w:rsid w:val="00B01282"/>
    <w:rsid w:val="00B012AE"/>
    <w:rsid w:val="00B01649"/>
    <w:rsid w:val="00B01EC5"/>
    <w:rsid w:val="00B02113"/>
    <w:rsid w:val="00B02130"/>
    <w:rsid w:val="00B022CA"/>
    <w:rsid w:val="00B025A1"/>
    <w:rsid w:val="00B029A5"/>
    <w:rsid w:val="00B02DF1"/>
    <w:rsid w:val="00B03142"/>
    <w:rsid w:val="00B033E5"/>
    <w:rsid w:val="00B03402"/>
    <w:rsid w:val="00B0355B"/>
    <w:rsid w:val="00B0378B"/>
    <w:rsid w:val="00B03A63"/>
    <w:rsid w:val="00B04085"/>
    <w:rsid w:val="00B04229"/>
    <w:rsid w:val="00B0488D"/>
    <w:rsid w:val="00B04F14"/>
    <w:rsid w:val="00B0554C"/>
    <w:rsid w:val="00B0584A"/>
    <w:rsid w:val="00B06089"/>
    <w:rsid w:val="00B06564"/>
    <w:rsid w:val="00B07526"/>
    <w:rsid w:val="00B07591"/>
    <w:rsid w:val="00B07E0C"/>
    <w:rsid w:val="00B1019D"/>
    <w:rsid w:val="00B10544"/>
    <w:rsid w:val="00B10B4F"/>
    <w:rsid w:val="00B10DC0"/>
    <w:rsid w:val="00B10EE4"/>
    <w:rsid w:val="00B111B4"/>
    <w:rsid w:val="00B1171B"/>
    <w:rsid w:val="00B11951"/>
    <w:rsid w:val="00B11C2D"/>
    <w:rsid w:val="00B11E3A"/>
    <w:rsid w:val="00B123E3"/>
    <w:rsid w:val="00B12577"/>
    <w:rsid w:val="00B1286B"/>
    <w:rsid w:val="00B12EBE"/>
    <w:rsid w:val="00B1349B"/>
    <w:rsid w:val="00B13624"/>
    <w:rsid w:val="00B137AA"/>
    <w:rsid w:val="00B1380B"/>
    <w:rsid w:val="00B13D83"/>
    <w:rsid w:val="00B13F3D"/>
    <w:rsid w:val="00B14210"/>
    <w:rsid w:val="00B14650"/>
    <w:rsid w:val="00B14CBD"/>
    <w:rsid w:val="00B15887"/>
    <w:rsid w:val="00B158DC"/>
    <w:rsid w:val="00B15E8F"/>
    <w:rsid w:val="00B1649E"/>
    <w:rsid w:val="00B164A3"/>
    <w:rsid w:val="00B1671E"/>
    <w:rsid w:val="00B168A3"/>
    <w:rsid w:val="00B1693F"/>
    <w:rsid w:val="00B16BDB"/>
    <w:rsid w:val="00B16BE7"/>
    <w:rsid w:val="00B1709A"/>
    <w:rsid w:val="00B170BD"/>
    <w:rsid w:val="00B170DA"/>
    <w:rsid w:val="00B1722A"/>
    <w:rsid w:val="00B17355"/>
    <w:rsid w:val="00B173E2"/>
    <w:rsid w:val="00B17C35"/>
    <w:rsid w:val="00B17E23"/>
    <w:rsid w:val="00B201A4"/>
    <w:rsid w:val="00B201D1"/>
    <w:rsid w:val="00B20461"/>
    <w:rsid w:val="00B208E6"/>
    <w:rsid w:val="00B209F1"/>
    <w:rsid w:val="00B20A1F"/>
    <w:rsid w:val="00B20B4C"/>
    <w:rsid w:val="00B20EFB"/>
    <w:rsid w:val="00B213A6"/>
    <w:rsid w:val="00B21C7A"/>
    <w:rsid w:val="00B21CB5"/>
    <w:rsid w:val="00B21DD2"/>
    <w:rsid w:val="00B21E29"/>
    <w:rsid w:val="00B21ED6"/>
    <w:rsid w:val="00B22409"/>
    <w:rsid w:val="00B22639"/>
    <w:rsid w:val="00B22968"/>
    <w:rsid w:val="00B22FCE"/>
    <w:rsid w:val="00B2307F"/>
    <w:rsid w:val="00B23524"/>
    <w:rsid w:val="00B235B0"/>
    <w:rsid w:val="00B2377B"/>
    <w:rsid w:val="00B23B8D"/>
    <w:rsid w:val="00B23FF2"/>
    <w:rsid w:val="00B241C2"/>
    <w:rsid w:val="00B24DF6"/>
    <w:rsid w:val="00B24E17"/>
    <w:rsid w:val="00B24F77"/>
    <w:rsid w:val="00B25000"/>
    <w:rsid w:val="00B25BA6"/>
    <w:rsid w:val="00B25D9F"/>
    <w:rsid w:val="00B26294"/>
    <w:rsid w:val="00B264EC"/>
    <w:rsid w:val="00B26538"/>
    <w:rsid w:val="00B267DB"/>
    <w:rsid w:val="00B268CA"/>
    <w:rsid w:val="00B26A0A"/>
    <w:rsid w:val="00B26B92"/>
    <w:rsid w:val="00B26BB1"/>
    <w:rsid w:val="00B2733B"/>
    <w:rsid w:val="00B275DE"/>
    <w:rsid w:val="00B27A2F"/>
    <w:rsid w:val="00B27DA7"/>
    <w:rsid w:val="00B27FFD"/>
    <w:rsid w:val="00B3042E"/>
    <w:rsid w:val="00B3086E"/>
    <w:rsid w:val="00B31162"/>
    <w:rsid w:val="00B31255"/>
    <w:rsid w:val="00B31E3D"/>
    <w:rsid w:val="00B320E5"/>
    <w:rsid w:val="00B32F82"/>
    <w:rsid w:val="00B33049"/>
    <w:rsid w:val="00B33095"/>
    <w:rsid w:val="00B33319"/>
    <w:rsid w:val="00B33921"/>
    <w:rsid w:val="00B33C91"/>
    <w:rsid w:val="00B3410A"/>
    <w:rsid w:val="00B34123"/>
    <w:rsid w:val="00B34282"/>
    <w:rsid w:val="00B34291"/>
    <w:rsid w:val="00B34427"/>
    <w:rsid w:val="00B34ACF"/>
    <w:rsid w:val="00B34EF6"/>
    <w:rsid w:val="00B34FE2"/>
    <w:rsid w:val="00B3510F"/>
    <w:rsid w:val="00B35166"/>
    <w:rsid w:val="00B352E2"/>
    <w:rsid w:val="00B357D8"/>
    <w:rsid w:val="00B3589F"/>
    <w:rsid w:val="00B358C5"/>
    <w:rsid w:val="00B35A0E"/>
    <w:rsid w:val="00B35D29"/>
    <w:rsid w:val="00B35FAC"/>
    <w:rsid w:val="00B360F4"/>
    <w:rsid w:val="00B3643B"/>
    <w:rsid w:val="00B36568"/>
    <w:rsid w:val="00B36935"/>
    <w:rsid w:val="00B36A00"/>
    <w:rsid w:val="00B36A89"/>
    <w:rsid w:val="00B36C3A"/>
    <w:rsid w:val="00B36D93"/>
    <w:rsid w:val="00B36E8E"/>
    <w:rsid w:val="00B36EFD"/>
    <w:rsid w:val="00B375D2"/>
    <w:rsid w:val="00B37B79"/>
    <w:rsid w:val="00B37BFC"/>
    <w:rsid w:val="00B40358"/>
    <w:rsid w:val="00B40592"/>
    <w:rsid w:val="00B40830"/>
    <w:rsid w:val="00B40AEE"/>
    <w:rsid w:val="00B40C34"/>
    <w:rsid w:val="00B40C6E"/>
    <w:rsid w:val="00B40D1E"/>
    <w:rsid w:val="00B40D71"/>
    <w:rsid w:val="00B40DB6"/>
    <w:rsid w:val="00B411AC"/>
    <w:rsid w:val="00B41614"/>
    <w:rsid w:val="00B41B54"/>
    <w:rsid w:val="00B41BBB"/>
    <w:rsid w:val="00B41C6C"/>
    <w:rsid w:val="00B41E3F"/>
    <w:rsid w:val="00B420B7"/>
    <w:rsid w:val="00B42388"/>
    <w:rsid w:val="00B42851"/>
    <w:rsid w:val="00B42F80"/>
    <w:rsid w:val="00B431BE"/>
    <w:rsid w:val="00B4354D"/>
    <w:rsid w:val="00B435CB"/>
    <w:rsid w:val="00B441E7"/>
    <w:rsid w:val="00B4420A"/>
    <w:rsid w:val="00B44299"/>
    <w:rsid w:val="00B45123"/>
    <w:rsid w:val="00B451AA"/>
    <w:rsid w:val="00B45832"/>
    <w:rsid w:val="00B458E1"/>
    <w:rsid w:val="00B45912"/>
    <w:rsid w:val="00B45E2C"/>
    <w:rsid w:val="00B46333"/>
    <w:rsid w:val="00B46BBD"/>
    <w:rsid w:val="00B46FFE"/>
    <w:rsid w:val="00B470CA"/>
    <w:rsid w:val="00B47200"/>
    <w:rsid w:val="00B47BB9"/>
    <w:rsid w:val="00B47C77"/>
    <w:rsid w:val="00B50186"/>
    <w:rsid w:val="00B503FC"/>
    <w:rsid w:val="00B50432"/>
    <w:rsid w:val="00B505C8"/>
    <w:rsid w:val="00B50DB8"/>
    <w:rsid w:val="00B51527"/>
    <w:rsid w:val="00B51D06"/>
    <w:rsid w:val="00B51E0F"/>
    <w:rsid w:val="00B524DD"/>
    <w:rsid w:val="00B5269A"/>
    <w:rsid w:val="00B535BD"/>
    <w:rsid w:val="00B53654"/>
    <w:rsid w:val="00B537E3"/>
    <w:rsid w:val="00B53905"/>
    <w:rsid w:val="00B5394B"/>
    <w:rsid w:val="00B53CFD"/>
    <w:rsid w:val="00B53FA0"/>
    <w:rsid w:val="00B54040"/>
    <w:rsid w:val="00B541CE"/>
    <w:rsid w:val="00B542F2"/>
    <w:rsid w:val="00B54790"/>
    <w:rsid w:val="00B54A9C"/>
    <w:rsid w:val="00B54B5B"/>
    <w:rsid w:val="00B54E43"/>
    <w:rsid w:val="00B5562E"/>
    <w:rsid w:val="00B55666"/>
    <w:rsid w:val="00B557C4"/>
    <w:rsid w:val="00B55D65"/>
    <w:rsid w:val="00B55E49"/>
    <w:rsid w:val="00B55E99"/>
    <w:rsid w:val="00B55F19"/>
    <w:rsid w:val="00B5602A"/>
    <w:rsid w:val="00B5612C"/>
    <w:rsid w:val="00B5654E"/>
    <w:rsid w:val="00B56C66"/>
    <w:rsid w:val="00B57000"/>
    <w:rsid w:val="00B57432"/>
    <w:rsid w:val="00B574A9"/>
    <w:rsid w:val="00B575AD"/>
    <w:rsid w:val="00B57B71"/>
    <w:rsid w:val="00B57BAF"/>
    <w:rsid w:val="00B57BC4"/>
    <w:rsid w:val="00B57FE7"/>
    <w:rsid w:val="00B60250"/>
    <w:rsid w:val="00B6039E"/>
    <w:rsid w:val="00B60939"/>
    <w:rsid w:val="00B60AFD"/>
    <w:rsid w:val="00B60C8F"/>
    <w:rsid w:val="00B6108E"/>
    <w:rsid w:val="00B611C3"/>
    <w:rsid w:val="00B612EA"/>
    <w:rsid w:val="00B61355"/>
    <w:rsid w:val="00B613CE"/>
    <w:rsid w:val="00B61780"/>
    <w:rsid w:val="00B61C57"/>
    <w:rsid w:val="00B61F24"/>
    <w:rsid w:val="00B622E0"/>
    <w:rsid w:val="00B62715"/>
    <w:rsid w:val="00B62B97"/>
    <w:rsid w:val="00B62E4F"/>
    <w:rsid w:val="00B62E9B"/>
    <w:rsid w:val="00B631EA"/>
    <w:rsid w:val="00B6344A"/>
    <w:rsid w:val="00B63780"/>
    <w:rsid w:val="00B637F8"/>
    <w:rsid w:val="00B63819"/>
    <w:rsid w:val="00B63AEA"/>
    <w:rsid w:val="00B64267"/>
    <w:rsid w:val="00B642BF"/>
    <w:rsid w:val="00B642EF"/>
    <w:rsid w:val="00B64861"/>
    <w:rsid w:val="00B648EB"/>
    <w:rsid w:val="00B64BFF"/>
    <w:rsid w:val="00B65441"/>
    <w:rsid w:val="00B654C1"/>
    <w:rsid w:val="00B6558B"/>
    <w:rsid w:val="00B65611"/>
    <w:rsid w:val="00B657D2"/>
    <w:rsid w:val="00B66328"/>
    <w:rsid w:val="00B664AF"/>
    <w:rsid w:val="00B665A3"/>
    <w:rsid w:val="00B6695E"/>
    <w:rsid w:val="00B66AB7"/>
    <w:rsid w:val="00B66DD7"/>
    <w:rsid w:val="00B6729A"/>
    <w:rsid w:val="00B6739F"/>
    <w:rsid w:val="00B67434"/>
    <w:rsid w:val="00B677CB"/>
    <w:rsid w:val="00B6790E"/>
    <w:rsid w:val="00B67998"/>
    <w:rsid w:val="00B67BA7"/>
    <w:rsid w:val="00B70812"/>
    <w:rsid w:val="00B709B9"/>
    <w:rsid w:val="00B70E8E"/>
    <w:rsid w:val="00B70F54"/>
    <w:rsid w:val="00B715F2"/>
    <w:rsid w:val="00B7176A"/>
    <w:rsid w:val="00B71965"/>
    <w:rsid w:val="00B71C4D"/>
    <w:rsid w:val="00B71CAB"/>
    <w:rsid w:val="00B739CA"/>
    <w:rsid w:val="00B73B35"/>
    <w:rsid w:val="00B73C0B"/>
    <w:rsid w:val="00B74047"/>
    <w:rsid w:val="00B7416D"/>
    <w:rsid w:val="00B74466"/>
    <w:rsid w:val="00B747B0"/>
    <w:rsid w:val="00B747F3"/>
    <w:rsid w:val="00B74B11"/>
    <w:rsid w:val="00B74C64"/>
    <w:rsid w:val="00B74C95"/>
    <w:rsid w:val="00B7507C"/>
    <w:rsid w:val="00B75151"/>
    <w:rsid w:val="00B7530A"/>
    <w:rsid w:val="00B7548B"/>
    <w:rsid w:val="00B754F5"/>
    <w:rsid w:val="00B75B98"/>
    <w:rsid w:val="00B75C50"/>
    <w:rsid w:val="00B75E3F"/>
    <w:rsid w:val="00B75E9E"/>
    <w:rsid w:val="00B766CD"/>
    <w:rsid w:val="00B769BA"/>
    <w:rsid w:val="00B76C92"/>
    <w:rsid w:val="00B76D7A"/>
    <w:rsid w:val="00B76E4D"/>
    <w:rsid w:val="00B7731E"/>
    <w:rsid w:val="00B7768E"/>
    <w:rsid w:val="00B8038A"/>
    <w:rsid w:val="00B818A4"/>
    <w:rsid w:val="00B81BAD"/>
    <w:rsid w:val="00B81C44"/>
    <w:rsid w:val="00B81E8C"/>
    <w:rsid w:val="00B8243E"/>
    <w:rsid w:val="00B82A91"/>
    <w:rsid w:val="00B82AE7"/>
    <w:rsid w:val="00B82D98"/>
    <w:rsid w:val="00B833C6"/>
    <w:rsid w:val="00B83469"/>
    <w:rsid w:val="00B8350C"/>
    <w:rsid w:val="00B8381A"/>
    <w:rsid w:val="00B83E02"/>
    <w:rsid w:val="00B84057"/>
    <w:rsid w:val="00B84092"/>
    <w:rsid w:val="00B84117"/>
    <w:rsid w:val="00B84344"/>
    <w:rsid w:val="00B844B9"/>
    <w:rsid w:val="00B848C2"/>
    <w:rsid w:val="00B84C71"/>
    <w:rsid w:val="00B84DE4"/>
    <w:rsid w:val="00B84E01"/>
    <w:rsid w:val="00B8504C"/>
    <w:rsid w:val="00B858F0"/>
    <w:rsid w:val="00B859BD"/>
    <w:rsid w:val="00B85AA2"/>
    <w:rsid w:val="00B85AAC"/>
    <w:rsid w:val="00B86364"/>
    <w:rsid w:val="00B8649C"/>
    <w:rsid w:val="00B8665B"/>
    <w:rsid w:val="00B866EA"/>
    <w:rsid w:val="00B8695D"/>
    <w:rsid w:val="00B86E63"/>
    <w:rsid w:val="00B87F0A"/>
    <w:rsid w:val="00B87F77"/>
    <w:rsid w:val="00B90123"/>
    <w:rsid w:val="00B908A2"/>
    <w:rsid w:val="00B90EDE"/>
    <w:rsid w:val="00B91013"/>
    <w:rsid w:val="00B9128A"/>
    <w:rsid w:val="00B91586"/>
    <w:rsid w:val="00B9191B"/>
    <w:rsid w:val="00B92047"/>
    <w:rsid w:val="00B92733"/>
    <w:rsid w:val="00B929A1"/>
    <w:rsid w:val="00B92B21"/>
    <w:rsid w:val="00B92D0B"/>
    <w:rsid w:val="00B92F5C"/>
    <w:rsid w:val="00B931BB"/>
    <w:rsid w:val="00B9354B"/>
    <w:rsid w:val="00B937F1"/>
    <w:rsid w:val="00B9393B"/>
    <w:rsid w:val="00B93C5D"/>
    <w:rsid w:val="00B93DED"/>
    <w:rsid w:val="00B940E6"/>
    <w:rsid w:val="00B9473B"/>
    <w:rsid w:val="00B947B7"/>
    <w:rsid w:val="00B947E4"/>
    <w:rsid w:val="00B94945"/>
    <w:rsid w:val="00B94DD6"/>
    <w:rsid w:val="00B94E4C"/>
    <w:rsid w:val="00B9595A"/>
    <w:rsid w:val="00B95EB0"/>
    <w:rsid w:val="00B96775"/>
    <w:rsid w:val="00B96A91"/>
    <w:rsid w:val="00B96F61"/>
    <w:rsid w:val="00B96FAB"/>
    <w:rsid w:val="00B97BDB"/>
    <w:rsid w:val="00B97C97"/>
    <w:rsid w:val="00BA0116"/>
    <w:rsid w:val="00BA0155"/>
    <w:rsid w:val="00BA046D"/>
    <w:rsid w:val="00BA054A"/>
    <w:rsid w:val="00BA0932"/>
    <w:rsid w:val="00BA117A"/>
    <w:rsid w:val="00BA1253"/>
    <w:rsid w:val="00BA13F9"/>
    <w:rsid w:val="00BA1615"/>
    <w:rsid w:val="00BA16D7"/>
    <w:rsid w:val="00BA17BE"/>
    <w:rsid w:val="00BA1E16"/>
    <w:rsid w:val="00BA1F6B"/>
    <w:rsid w:val="00BA2112"/>
    <w:rsid w:val="00BA2672"/>
    <w:rsid w:val="00BA2715"/>
    <w:rsid w:val="00BA27DC"/>
    <w:rsid w:val="00BA2AAD"/>
    <w:rsid w:val="00BA2E9E"/>
    <w:rsid w:val="00BA3015"/>
    <w:rsid w:val="00BA315A"/>
    <w:rsid w:val="00BA322D"/>
    <w:rsid w:val="00BA3297"/>
    <w:rsid w:val="00BA3562"/>
    <w:rsid w:val="00BA3761"/>
    <w:rsid w:val="00BA39C8"/>
    <w:rsid w:val="00BA4203"/>
    <w:rsid w:val="00BA494C"/>
    <w:rsid w:val="00BA4A08"/>
    <w:rsid w:val="00BA4CE2"/>
    <w:rsid w:val="00BA4E90"/>
    <w:rsid w:val="00BA4EAC"/>
    <w:rsid w:val="00BA4F4F"/>
    <w:rsid w:val="00BA5883"/>
    <w:rsid w:val="00BA5D73"/>
    <w:rsid w:val="00BA63FA"/>
    <w:rsid w:val="00BA67DD"/>
    <w:rsid w:val="00BA6855"/>
    <w:rsid w:val="00BA685B"/>
    <w:rsid w:val="00BA691B"/>
    <w:rsid w:val="00BA6B3C"/>
    <w:rsid w:val="00BA6E88"/>
    <w:rsid w:val="00BB00B3"/>
    <w:rsid w:val="00BB0122"/>
    <w:rsid w:val="00BB01B4"/>
    <w:rsid w:val="00BB06F8"/>
    <w:rsid w:val="00BB0880"/>
    <w:rsid w:val="00BB0B8F"/>
    <w:rsid w:val="00BB0BDD"/>
    <w:rsid w:val="00BB0C1E"/>
    <w:rsid w:val="00BB0EB6"/>
    <w:rsid w:val="00BB13B9"/>
    <w:rsid w:val="00BB176C"/>
    <w:rsid w:val="00BB2104"/>
    <w:rsid w:val="00BB23DB"/>
    <w:rsid w:val="00BB26D0"/>
    <w:rsid w:val="00BB2A73"/>
    <w:rsid w:val="00BB2AE9"/>
    <w:rsid w:val="00BB3A45"/>
    <w:rsid w:val="00BB3C0E"/>
    <w:rsid w:val="00BB3C18"/>
    <w:rsid w:val="00BB3ECE"/>
    <w:rsid w:val="00BB4702"/>
    <w:rsid w:val="00BB4ACC"/>
    <w:rsid w:val="00BB4DF9"/>
    <w:rsid w:val="00BB5423"/>
    <w:rsid w:val="00BB56F1"/>
    <w:rsid w:val="00BB5D4B"/>
    <w:rsid w:val="00BB5F62"/>
    <w:rsid w:val="00BB65F1"/>
    <w:rsid w:val="00BB69F2"/>
    <w:rsid w:val="00BB6ED1"/>
    <w:rsid w:val="00BB703E"/>
    <w:rsid w:val="00BB72E2"/>
    <w:rsid w:val="00BB732D"/>
    <w:rsid w:val="00BB7405"/>
    <w:rsid w:val="00BB7685"/>
    <w:rsid w:val="00BC07A3"/>
    <w:rsid w:val="00BC082D"/>
    <w:rsid w:val="00BC10AA"/>
    <w:rsid w:val="00BC14CF"/>
    <w:rsid w:val="00BC15BF"/>
    <w:rsid w:val="00BC19A8"/>
    <w:rsid w:val="00BC1A90"/>
    <w:rsid w:val="00BC1B08"/>
    <w:rsid w:val="00BC1C54"/>
    <w:rsid w:val="00BC1DC6"/>
    <w:rsid w:val="00BC1DDF"/>
    <w:rsid w:val="00BC1E78"/>
    <w:rsid w:val="00BC1F3A"/>
    <w:rsid w:val="00BC26E8"/>
    <w:rsid w:val="00BC2E06"/>
    <w:rsid w:val="00BC2F68"/>
    <w:rsid w:val="00BC2FD5"/>
    <w:rsid w:val="00BC31AF"/>
    <w:rsid w:val="00BC3631"/>
    <w:rsid w:val="00BC375F"/>
    <w:rsid w:val="00BC3938"/>
    <w:rsid w:val="00BC3E6B"/>
    <w:rsid w:val="00BC3F58"/>
    <w:rsid w:val="00BC49ED"/>
    <w:rsid w:val="00BC548E"/>
    <w:rsid w:val="00BC5793"/>
    <w:rsid w:val="00BC57A7"/>
    <w:rsid w:val="00BC591F"/>
    <w:rsid w:val="00BC5C48"/>
    <w:rsid w:val="00BC5D05"/>
    <w:rsid w:val="00BC6256"/>
    <w:rsid w:val="00BC6ABD"/>
    <w:rsid w:val="00BC6C00"/>
    <w:rsid w:val="00BC6C60"/>
    <w:rsid w:val="00BC6CD0"/>
    <w:rsid w:val="00BC6F09"/>
    <w:rsid w:val="00BC6FF7"/>
    <w:rsid w:val="00BC73D6"/>
    <w:rsid w:val="00BC7796"/>
    <w:rsid w:val="00BC7CF0"/>
    <w:rsid w:val="00BC7D6D"/>
    <w:rsid w:val="00BD0614"/>
    <w:rsid w:val="00BD088A"/>
    <w:rsid w:val="00BD0AB4"/>
    <w:rsid w:val="00BD0CC4"/>
    <w:rsid w:val="00BD10B9"/>
    <w:rsid w:val="00BD11C8"/>
    <w:rsid w:val="00BD206C"/>
    <w:rsid w:val="00BD2108"/>
    <w:rsid w:val="00BD26F5"/>
    <w:rsid w:val="00BD2872"/>
    <w:rsid w:val="00BD28D8"/>
    <w:rsid w:val="00BD2CE1"/>
    <w:rsid w:val="00BD2E34"/>
    <w:rsid w:val="00BD31DD"/>
    <w:rsid w:val="00BD33E1"/>
    <w:rsid w:val="00BD37BC"/>
    <w:rsid w:val="00BD39EF"/>
    <w:rsid w:val="00BD3F5F"/>
    <w:rsid w:val="00BD49CD"/>
    <w:rsid w:val="00BD4EAB"/>
    <w:rsid w:val="00BD57AB"/>
    <w:rsid w:val="00BD5CE8"/>
    <w:rsid w:val="00BD5F4C"/>
    <w:rsid w:val="00BD62E2"/>
    <w:rsid w:val="00BD6842"/>
    <w:rsid w:val="00BD68A3"/>
    <w:rsid w:val="00BD6938"/>
    <w:rsid w:val="00BD6CF3"/>
    <w:rsid w:val="00BD6CFA"/>
    <w:rsid w:val="00BD6D77"/>
    <w:rsid w:val="00BD6DB9"/>
    <w:rsid w:val="00BD6EB7"/>
    <w:rsid w:val="00BD6F6C"/>
    <w:rsid w:val="00BD75DE"/>
    <w:rsid w:val="00BD7762"/>
    <w:rsid w:val="00BD7C2A"/>
    <w:rsid w:val="00BD7C79"/>
    <w:rsid w:val="00BE009B"/>
    <w:rsid w:val="00BE01FF"/>
    <w:rsid w:val="00BE03AC"/>
    <w:rsid w:val="00BE0754"/>
    <w:rsid w:val="00BE0AD5"/>
    <w:rsid w:val="00BE0B10"/>
    <w:rsid w:val="00BE0E61"/>
    <w:rsid w:val="00BE0ECA"/>
    <w:rsid w:val="00BE0F25"/>
    <w:rsid w:val="00BE1605"/>
    <w:rsid w:val="00BE1723"/>
    <w:rsid w:val="00BE1E5A"/>
    <w:rsid w:val="00BE1FC6"/>
    <w:rsid w:val="00BE2180"/>
    <w:rsid w:val="00BE21F2"/>
    <w:rsid w:val="00BE2508"/>
    <w:rsid w:val="00BE2851"/>
    <w:rsid w:val="00BE2A49"/>
    <w:rsid w:val="00BE2F63"/>
    <w:rsid w:val="00BE3143"/>
    <w:rsid w:val="00BE317B"/>
    <w:rsid w:val="00BE3797"/>
    <w:rsid w:val="00BE39CE"/>
    <w:rsid w:val="00BE3D08"/>
    <w:rsid w:val="00BE402C"/>
    <w:rsid w:val="00BE4275"/>
    <w:rsid w:val="00BE4316"/>
    <w:rsid w:val="00BE4B4D"/>
    <w:rsid w:val="00BE4DF8"/>
    <w:rsid w:val="00BE51FD"/>
    <w:rsid w:val="00BE5503"/>
    <w:rsid w:val="00BE551E"/>
    <w:rsid w:val="00BE5B0E"/>
    <w:rsid w:val="00BE5F99"/>
    <w:rsid w:val="00BE6235"/>
    <w:rsid w:val="00BE6763"/>
    <w:rsid w:val="00BE67BA"/>
    <w:rsid w:val="00BE6E15"/>
    <w:rsid w:val="00BE7259"/>
    <w:rsid w:val="00BE73A1"/>
    <w:rsid w:val="00BE7AAE"/>
    <w:rsid w:val="00BE7B2F"/>
    <w:rsid w:val="00BF050D"/>
    <w:rsid w:val="00BF0671"/>
    <w:rsid w:val="00BF06AE"/>
    <w:rsid w:val="00BF0E69"/>
    <w:rsid w:val="00BF0F95"/>
    <w:rsid w:val="00BF230C"/>
    <w:rsid w:val="00BF2433"/>
    <w:rsid w:val="00BF25D2"/>
    <w:rsid w:val="00BF2837"/>
    <w:rsid w:val="00BF2B70"/>
    <w:rsid w:val="00BF2BD0"/>
    <w:rsid w:val="00BF2DE4"/>
    <w:rsid w:val="00BF35E6"/>
    <w:rsid w:val="00BF3711"/>
    <w:rsid w:val="00BF3746"/>
    <w:rsid w:val="00BF3756"/>
    <w:rsid w:val="00BF3933"/>
    <w:rsid w:val="00BF3D35"/>
    <w:rsid w:val="00BF40B2"/>
    <w:rsid w:val="00BF40F5"/>
    <w:rsid w:val="00BF43E9"/>
    <w:rsid w:val="00BF49CF"/>
    <w:rsid w:val="00BF4FB5"/>
    <w:rsid w:val="00BF52E8"/>
    <w:rsid w:val="00BF535D"/>
    <w:rsid w:val="00BF61C9"/>
    <w:rsid w:val="00BF69CF"/>
    <w:rsid w:val="00BF6BEC"/>
    <w:rsid w:val="00BF6C94"/>
    <w:rsid w:val="00BF74D7"/>
    <w:rsid w:val="00BF76EF"/>
    <w:rsid w:val="00BF777F"/>
    <w:rsid w:val="00BF7B48"/>
    <w:rsid w:val="00BF7D60"/>
    <w:rsid w:val="00BF7DC9"/>
    <w:rsid w:val="00BF7FAF"/>
    <w:rsid w:val="00C00191"/>
    <w:rsid w:val="00C00424"/>
    <w:rsid w:val="00C00F6F"/>
    <w:rsid w:val="00C0144C"/>
    <w:rsid w:val="00C015D9"/>
    <w:rsid w:val="00C018AE"/>
    <w:rsid w:val="00C01AC3"/>
    <w:rsid w:val="00C01B15"/>
    <w:rsid w:val="00C0213D"/>
    <w:rsid w:val="00C022D9"/>
    <w:rsid w:val="00C02550"/>
    <w:rsid w:val="00C026D1"/>
    <w:rsid w:val="00C02C80"/>
    <w:rsid w:val="00C02D70"/>
    <w:rsid w:val="00C02FD4"/>
    <w:rsid w:val="00C03021"/>
    <w:rsid w:val="00C03ECA"/>
    <w:rsid w:val="00C03ED3"/>
    <w:rsid w:val="00C03F9E"/>
    <w:rsid w:val="00C03FC2"/>
    <w:rsid w:val="00C04B9A"/>
    <w:rsid w:val="00C05213"/>
    <w:rsid w:val="00C054DC"/>
    <w:rsid w:val="00C055DF"/>
    <w:rsid w:val="00C05816"/>
    <w:rsid w:val="00C05937"/>
    <w:rsid w:val="00C05B2A"/>
    <w:rsid w:val="00C05B3B"/>
    <w:rsid w:val="00C066EA"/>
    <w:rsid w:val="00C0689B"/>
    <w:rsid w:val="00C068D8"/>
    <w:rsid w:val="00C068E2"/>
    <w:rsid w:val="00C06A8E"/>
    <w:rsid w:val="00C06B29"/>
    <w:rsid w:val="00C06B9E"/>
    <w:rsid w:val="00C06FA7"/>
    <w:rsid w:val="00C07113"/>
    <w:rsid w:val="00C07500"/>
    <w:rsid w:val="00C07E39"/>
    <w:rsid w:val="00C10237"/>
    <w:rsid w:val="00C106BB"/>
    <w:rsid w:val="00C10721"/>
    <w:rsid w:val="00C108A5"/>
    <w:rsid w:val="00C10A34"/>
    <w:rsid w:val="00C111D2"/>
    <w:rsid w:val="00C11485"/>
    <w:rsid w:val="00C116C0"/>
    <w:rsid w:val="00C1179F"/>
    <w:rsid w:val="00C11AB8"/>
    <w:rsid w:val="00C11DAC"/>
    <w:rsid w:val="00C12C14"/>
    <w:rsid w:val="00C12EE1"/>
    <w:rsid w:val="00C13102"/>
    <w:rsid w:val="00C13303"/>
    <w:rsid w:val="00C1340F"/>
    <w:rsid w:val="00C13584"/>
    <w:rsid w:val="00C135FC"/>
    <w:rsid w:val="00C13748"/>
    <w:rsid w:val="00C1397E"/>
    <w:rsid w:val="00C139E5"/>
    <w:rsid w:val="00C13A35"/>
    <w:rsid w:val="00C13A80"/>
    <w:rsid w:val="00C13AC1"/>
    <w:rsid w:val="00C13B32"/>
    <w:rsid w:val="00C13C91"/>
    <w:rsid w:val="00C1416A"/>
    <w:rsid w:val="00C14B34"/>
    <w:rsid w:val="00C14DF6"/>
    <w:rsid w:val="00C14EDE"/>
    <w:rsid w:val="00C151E0"/>
    <w:rsid w:val="00C15292"/>
    <w:rsid w:val="00C158CC"/>
    <w:rsid w:val="00C15B3A"/>
    <w:rsid w:val="00C15D4A"/>
    <w:rsid w:val="00C15F04"/>
    <w:rsid w:val="00C1626D"/>
    <w:rsid w:val="00C1662E"/>
    <w:rsid w:val="00C1709B"/>
    <w:rsid w:val="00C17554"/>
    <w:rsid w:val="00C179B3"/>
    <w:rsid w:val="00C17CFC"/>
    <w:rsid w:val="00C17E3F"/>
    <w:rsid w:val="00C200AA"/>
    <w:rsid w:val="00C200D6"/>
    <w:rsid w:val="00C20532"/>
    <w:rsid w:val="00C20D90"/>
    <w:rsid w:val="00C2197A"/>
    <w:rsid w:val="00C21C08"/>
    <w:rsid w:val="00C21CD2"/>
    <w:rsid w:val="00C2228E"/>
    <w:rsid w:val="00C2250F"/>
    <w:rsid w:val="00C225B2"/>
    <w:rsid w:val="00C229D6"/>
    <w:rsid w:val="00C237ED"/>
    <w:rsid w:val="00C23A81"/>
    <w:rsid w:val="00C23C82"/>
    <w:rsid w:val="00C240DD"/>
    <w:rsid w:val="00C2435D"/>
    <w:rsid w:val="00C243C2"/>
    <w:rsid w:val="00C244C9"/>
    <w:rsid w:val="00C24632"/>
    <w:rsid w:val="00C24F0E"/>
    <w:rsid w:val="00C24F77"/>
    <w:rsid w:val="00C25241"/>
    <w:rsid w:val="00C25418"/>
    <w:rsid w:val="00C2550A"/>
    <w:rsid w:val="00C2598B"/>
    <w:rsid w:val="00C25BFD"/>
    <w:rsid w:val="00C25D9C"/>
    <w:rsid w:val="00C25F91"/>
    <w:rsid w:val="00C261AD"/>
    <w:rsid w:val="00C2656B"/>
    <w:rsid w:val="00C274AE"/>
    <w:rsid w:val="00C274F7"/>
    <w:rsid w:val="00C2778B"/>
    <w:rsid w:val="00C27937"/>
    <w:rsid w:val="00C27FB2"/>
    <w:rsid w:val="00C305DB"/>
    <w:rsid w:val="00C307D2"/>
    <w:rsid w:val="00C3082C"/>
    <w:rsid w:val="00C31577"/>
    <w:rsid w:val="00C31649"/>
    <w:rsid w:val="00C31BED"/>
    <w:rsid w:val="00C31F38"/>
    <w:rsid w:val="00C32081"/>
    <w:rsid w:val="00C3241F"/>
    <w:rsid w:val="00C32654"/>
    <w:rsid w:val="00C326EE"/>
    <w:rsid w:val="00C327D3"/>
    <w:rsid w:val="00C32DA2"/>
    <w:rsid w:val="00C33234"/>
    <w:rsid w:val="00C33B55"/>
    <w:rsid w:val="00C33BA4"/>
    <w:rsid w:val="00C33CA0"/>
    <w:rsid w:val="00C33D7D"/>
    <w:rsid w:val="00C34019"/>
    <w:rsid w:val="00C3434C"/>
    <w:rsid w:val="00C345EA"/>
    <w:rsid w:val="00C34685"/>
    <w:rsid w:val="00C34B7D"/>
    <w:rsid w:val="00C34C8D"/>
    <w:rsid w:val="00C34CE0"/>
    <w:rsid w:val="00C35B2E"/>
    <w:rsid w:val="00C35CC2"/>
    <w:rsid w:val="00C35FA3"/>
    <w:rsid w:val="00C36669"/>
    <w:rsid w:val="00C368C0"/>
    <w:rsid w:val="00C36AE7"/>
    <w:rsid w:val="00C36BE4"/>
    <w:rsid w:val="00C36D25"/>
    <w:rsid w:val="00C36E5D"/>
    <w:rsid w:val="00C36F13"/>
    <w:rsid w:val="00C375E9"/>
    <w:rsid w:val="00C37F9E"/>
    <w:rsid w:val="00C40385"/>
    <w:rsid w:val="00C405FE"/>
    <w:rsid w:val="00C40C59"/>
    <w:rsid w:val="00C4107E"/>
    <w:rsid w:val="00C41768"/>
    <w:rsid w:val="00C41F62"/>
    <w:rsid w:val="00C42386"/>
    <w:rsid w:val="00C428A3"/>
    <w:rsid w:val="00C4298D"/>
    <w:rsid w:val="00C43120"/>
    <w:rsid w:val="00C4368B"/>
    <w:rsid w:val="00C43785"/>
    <w:rsid w:val="00C44720"/>
    <w:rsid w:val="00C44B0A"/>
    <w:rsid w:val="00C44C66"/>
    <w:rsid w:val="00C46209"/>
    <w:rsid w:val="00C467AE"/>
    <w:rsid w:val="00C46A1F"/>
    <w:rsid w:val="00C46C92"/>
    <w:rsid w:val="00C47060"/>
    <w:rsid w:val="00C475AA"/>
    <w:rsid w:val="00C47973"/>
    <w:rsid w:val="00C479AD"/>
    <w:rsid w:val="00C47AB6"/>
    <w:rsid w:val="00C47BF7"/>
    <w:rsid w:val="00C47F55"/>
    <w:rsid w:val="00C47FD4"/>
    <w:rsid w:val="00C5010C"/>
    <w:rsid w:val="00C501DD"/>
    <w:rsid w:val="00C50288"/>
    <w:rsid w:val="00C50880"/>
    <w:rsid w:val="00C50B4F"/>
    <w:rsid w:val="00C50E39"/>
    <w:rsid w:val="00C511D6"/>
    <w:rsid w:val="00C5133D"/>
    <w:rsid w:val="00C51366"/>
    <w:rsid w:val="00C51585"/>
    <w:rsid w:val="00C51A76"/>
    <w:rsid w:val="00C51E79"/>
    <w:rsid w:val="00C5242E"/>
    <w:rsid w:val="00C52455"/>
    <w:rsid w:val="00C531EB"/>
    <w:rsid w:val="00C53A1A"/>
    <w:rsid w:val="00C53C98"/>
    <w:rsid w:val="00C53FB3"/>
    <w:rsid w:val="00C53FED"/>
    <w:rsid w:val="00C54519"/>
    <w:rsid w:val="00C551C2"/>
    <w:rsid w:val="00C55293"/>
    <w:rsid w:val="00C552FE"/>
    <w:rsid w:val="00C55AC0"/>
    <w:rsid w:val="00C55ADD"/>
    <w:rsid w:val="00C55BFC"/>
    <w:rsid w:val="00C55D32"/>
    <w:rsid w:val="00C55F4F"/>
    <w:rsid w:val="00C564BE"/>
    <w:rsid w:val="00C5671D"/>
    <w:rsid w:val="00C56B2C"/>
    <w:rsid w:val="00C56F1B"/>
    <w:rsid w:val="00C56FCF"/>
    <w:rsid w:val="00C5729A"/>
    <w:rsid w:val="00C575B8"/>
    <w:rsid w:val="00C57A19"/>
    <w:rsid w:val="00C57B6C"/>
    <w:rsid w:val="00C57BA9"/>
    <w:rsid w:val="00C6016C"/>
    <w:rsid w:val="00C6019C"/>
    <w:rsid w:val="00C6076E"/>
    <w:rsid w:val="00C60AA5"/>
    <w:rsid w:val="00C60B7F"/>
    <w:rsid w:val="00C60D3A"/>
    <w:rsid w:val="00C60D6A"/>
    <w:rsid w:val="00C60F4C"/>
    <w:rsid w:val="00C615B8"/>
    <w:rsid w:val="00C61966"/>
    <w:rsid w:val="00C61C72"/>
    <w:rsid w:val="00C62707"/>
    <w:rsid w:val="00C628A6"/>
    <w:rsid w:val="00C62925"/>
    <w:rsid w:val="00C631F4"/>
    <w:rsid w:val="00C633D5"/>
    <w:rsid w:val="00C63404"/>
    <w:rsid w:val="00C635CA"/>
    <w:rsid w:val="00C636C1"/>
    <w:rsid w:val="00C63B83"/>
    <w:rsid w:val="00C63D8F"/>
    <w:rsid w:val="00C641E5"/>
    <w:rsid w:val="00C64344"/>
    <w:rsid w:val="00C64BEC"/>
    <w:rsid w:val="00C64E9E"/>
    <w:rsid w:val="00C65070"/>
    <w:rsid w:val="00C65108"/>
    <w:rsid w:val="00C652A3"/>
    <w:rsid w:val="00C65576"/>
    <w:rsid w:val="00C65E8B"/>
    <w:rsid w:val="00C66165"/>
    <w:rsid w:val="00C663EB"/>
    <w:rsid w:val="00C66429"/>
    <w:rsid w:val="00C667C5"/>
    <w:rsid w:val="00C66B73"/>
    <w:rsid w:val="00C66CDE"/>
    <w:rsid w:val="00C67323"/>
    <w:rsid w:val="00C675FE"/>
    <w:rsid w:val="00C67716"/>
    <w:rsid w:val="00C679EC"/>
    <w:rsid w:val="00C67A36"/>
    <w:rsid w:val="00C67B2F"/>
    <w:rsid w:val="00C67B5D"/>
    <w:rsid w:val="00C67D2C"/>
    <w:rsid w:val="00C70542"/>
    <w:rsid w:val="00C705D7"/>
    <w:rsid w:val="00C705E4"/>
    <w:rsid w:val="00C7060A"/>
    <w:rsid w:val="00C70A66"/>
    <w:rsid w:val="00C70CD1"/>
    <w:rsid w:val="00C70DAF"/>
    <w:rsid w:val="00C70F1B"/>
    <w:rsid w:val="00C70F26"/>
    <w:rsid w:val="00C7151A"/>
    <w:rsid w:val="00C717B7"/>
    <w:rsid w:val="00C717E3"/>
    <w:rsid w:val="00C717F4"/>
    <w:rsid w:val="00C71F60"/>
    <w:rsid w:val="00C71FA5"/>
    <w:rsid w:val="00C7209D"/>
    <w:rsid w:val="00C72241"/>
    <w:rsid w:val="00C7248C"/>
    <w:rsid w:val="00C72AEF"/>
    <w:rsid w:val="00C72DC6"/>
    <w:rsid w:val="00C732B6"/>
    <w:rsid w:val="00C73806"/>
    <w:rsid w:val="00C739CB"/>
    <w:rsid w:val="00C74263"/>
    <w:rsid w:val="00C74438"/>
    <w:rsid w:val="00C74C7B"/>
    <w:rsid w:val="00C74E2C"/>
    <w:rsid w:val="00C74E63"/>
    <w:rsid w:val="00C750C8"/>
    <w:rsid w:val="00C7513D"/>
    <w:rsid w:val="00C751D1"/>
    <w:rsid w:val="00C75224"/>
    <w:rsid w:val="00C75352"/>
    <w:rsid w:val="00C7543C"/>
    <w:rsid w:val="00C75451"/>
    <w:rsid w:val="00C7560F"/>
    <w:rsid w:val="00C7590B"/>
    <w:rsid w:val="00C75E28"/>
    <w:rsid w:val="00C76926"/>
    <w:rsid w:val="00C76A9E"/>
    <w:rsid w:val="00C76CF6"/>
    <w:rsid w:val="00C76FA7"/>
    <w:rsid w:val="00C7744B"/>
    <w:rsid w:val="00C7752C"/>
    <w:rsid w:val="00C7787F"/>
    <w:rsid w:val="00C77A82"/>
    <w:rsid w:val="00C802D9"/>
    <w:rsid w:val="00C80A0E"/>
    <w:rsid w:val="00C81E95"/>
    <w:rsid w:val="00C8213F"/>
    <w:rsid w:val="00C82575"/>
    <w:rsid w:val="00C82622"/>
    <w:rsid w:val="00C82677"/>
    <w:rsid w:val="00C829C3"/>
    <w:rsid w:val="00C82B60"/>
    <w:rsid w:val="00C83B01"/>
    <w:rsid w:val="00C83C5D"/>
    <w:rsid w:val="00C83FF2"/>
    <w:rsid w:val="00C84043"/>
    <w:rsid w:val="00C84528"/>
    <w:rsid w:val="00C8456D"/>
    <w:rsid w:val="00C846AB"/>
    <w:rsid w:val="00C84848"/>
    <w:rsid w:val="00C84C7D"/>
    <w:rsid w:val="00C84DCB"/>
    <w:rsid w:val="00C85154"/>
    <w:rsid w:val="00C85315"/>
    <w:rsid w:val="00C8585B"/>
    <w:rsid w:val="00C86057"/>
    <w:rsid w:val="00C860D6"/>
    <w:rsid w:val="00C8628E"/>
    <w:rsid w:val="00C866C3"/>
    <w:rsid w:val="00C8689F"/>
    <w:rsid w:val="00C868A2"/>
    <w:rsid w:val="00C86C96"/>
    <w:rsid w:val="00C86E63"/>
    <w:rsid w:val="00C86F91"/>
    <w:rsid w:val="00C87368"/>
    <w:rsid w:val="00C8797A"/>
    <w:rsid w:val="00C900B8"/>
    <w:rsid w:val="00C90279"/>
    <w:rsid w:val="00C9051D"/>
    <w:rsid w:val="00C90530"/>
    <w:rsid w:val="00C90C71"/>
    <w:rsid w:val="00C90F65"/>
    <w:rsid w:val="00C911F6"/>
    <w:rsid w:val="00C918C4"/>
    <w:rsid w:val="00C91A9B"/>
    <w:rsid w:val="00C91FD1"/>
    <w:rsid w:val="00C922AC"/>
    <w:rsid w:val="00C9237F"/>
    <w:rsid w:val="00C925A1"/>
    <w:rsid w:val="00C92659"/>
    <w:rsid w:val="00C92B5F"/>
    <w:rsid w:val="00C92CB0"/>
    <w:rsid w:val="00C931CF"/>
    <w:rsid w:val="00C931EA"/>
    <w:rsid w:val="00C938CF"/>
    <w:rsid w:val="00C939BB"/>
    <w:rsid w:val="00C93EDA"/>
    <w:rsid w:val="00C94053"/>
    <w:rsid w:val="00C94351"/>
    <w:rsid w:val="00C9438F"/>
    <w:rsid w:val="00C944FC"/>
    <w:rsid w:val="00C94806"/>
    <w:rsid w:val="00C94A69"/>
    <w:rsid w:val="00C950F4"/>
    <w:rsid w:val="00C953C5"/>
    <w:rsid w:val="00C95790"/>
    <w:rsid w:val="00C95ACB"/>
    <w:rsid w:val="00C95AE3"/>
    <w:rsid w:val="00C95C0E"/>
    <w:rsid w:val="00C95CCF"/>
    <w:rsid w:val="00C95DBE"/>
    <w:rsid w:val="00C95FE2"/>
    <w:rsid w:val="00C9605C"/>
    <w:rsid w:val="00C9608F"/>
    <w:rsid w:val="00C9622F"/>
    <w:rsid w:val="00C9624D"/>
    <w:rsid w:val="00C969DA"/>
    <w:rsid w:val="00C96B5B"/>
    <w:rsid w:val="00C96BF0"/>
    <w:rsid w:val="00C96D9F"/>
    <w:rsid w:val="00C96EA3"/>
    <w:rsid w:val="00C973E8"/>
    <w:rsid w:val="00C97658"/>
    <w:rsid w:val="00C97849"/>
    <w:rsid w:val="00C97A73"/>
    <w:rsid w:val="00C97CB5"/>
    <w:rsid w:val="00C97E27"/>
    <w:rsid w:val="00CA0189"/>
    <w:rsid w:val="00CA094A"/>
    <w:rsid w:val="00CA0B8B"/>
    <w:rsid w:val="00CA0D6D"/>
    <w:rsid w:val="00CA0F88"/>
    <w:rsid w:val="00CA160C"/>
    <w:rsid w:val="00CA1959"/>
    <w:rsid w:val="00CA1EFF"/>
    <w:rsid w:val="00CA26EA"/>
    <w:rsid w:val="00CA2B0E"/>
    <w:rsid w:val="00CA2C77"/>
    <w:rsid w:val="00CA2CED"/>
    <w:rsid w:val="00CA2D97"/>
    <w:rsid w:val="00CA2DA9"/>
    <w:rsid w:val="00CA2E0F"/>
    <w:rsid w:val="00CA30CB"/>
    <w:rsid w:val="00CA31DB"/>
    <w:rsid w:val="00CA3893"/>
    <w:rsid w:val="00CA400E"/>
    <w:rsid w:val="00CA4274"/>
    <w:rsid w:val="00CA444F"/>
    <w:rsid w:val="00CA44B7"/>
    <w:rsid w:val="00CA4912"/>
    <w:rsid w:val="00CA4A6F"/>
    <w:rsid w:val="00CA4E0A"/>
    <w:rsid w:val="00CA5049"/>
    <w:rsid w:val="00CA511B"/>
    <w:rsid w:val="00CA5245"/>
    <w:rsid w:val="00CA565F"/>
    <w:rsid w:val="00CA5C6D"/>
    <w:rsid w:val="00CA5F5B"/>
    <w:rsid w:val="00CA62C1"/>
    <w:rsid w:val="00CA63B3"/>
    <w:rsid w:val="00CA6540"/>
    <w:rsid w:val="00CA6C4E"/>
    <w:rsid w:val="00CA6C73"/>
    <w:rsid w:val="00CA6D57"/>
    <w:rsid w:val="00CA71F4"/>
    <w:rsid w:val="00CA7B09"/>
    <w:rsid w:val="00CA7DC7"/>
    <w:rsid w:val="00CB0038"/>
    <w:rsid w:val="00CB01AA"/>
    <w:rsid w:val="00CB027B"/>
    <w:rsid w:val="00CB043D"/>
    <w:rsid w:val="00CB077C"/>
    <w:rsid w:val="00CB0CEB"/>
    <w:rsid w:val="00CB10F8"/>
    <w:rsid w:val="00CB12A5"/>
    <w:rsid w:val="00CB12EF"/>
    <w:rsid w:val="00CB13CF"/>
    <w:rsid w:val="00CB14EF"/>
    <w:rsid w:val="00CB163D"/>
    <w:rsid w:val="00CB1C64"/>
    <w:rsid w:val="00CB1C9E"/>
    <w:rsid w:val="00CB1CAC"/>
    <w:rsid w:val="00CB1F1F"/>
    <w:rsid w:val="00CB2218"/>
    <w:rsid w:val="00CB2469"/>
    <w:rsid w:val="00CB24ED"/>
    <w:rsid w:val="00CB2564"/>
    <w:rsid w:val="00CB29AE"/>
    <w:rsid w:val="00CB2C64"/>
    <w:rsid w:val="00CB2D1A"/>
    <w:rsid w:val="00CB2F2A"/>
    <w:rsid w:val="00CB2FBE"/>
    <w:rsid w:val="00CB357E"/>
    <w:rsid w:val="00CB3606"/>
    <w:rsid w:val="00CB36ED"/>
    <w:rsid w:val="00CB3D1F"/>
    <w:rsid w:val="00CB3DF9"/>
    <w:rsid w:val="00CB452B"/>
    <w:rsid w:val="00CB45F5"/>
    <w:rsid w:val="00CB49E6"/>
    <w:rsid w:val="00CB4E2C"/>
    <w:rsid w:val="00CB4E92"/>
    <w:rsid w:val="00CB4F00"/>
    <w:rsid w:val="00CB5252"/>
    <w:rsid w:val="00CB5321"/>
    <w:rsid w:val="00CB5345"/>
    <w:rsid w:val="00CB57A3"/>
    <w:rsid w:val="00CB5A15"/>
    <w:rsid w:val="00CB5B1A"/>
    <w:rsid w:val="00CB6380"/>
    <w:rsid w:val="00CB6731"/>
    <w:rsid w:val="00CB6764"/>
    <w:rsid w:val="00CB67EC"/>
    <w:rsid w:val="00CB6878"/>
    <w:rsid w:val="00CB69E6"/>
    <w:rsid w:val="00CB6A38"/>
    <w:rsid w:val="00CB6B22"/>
    <w:rsid w:val="00CB76CB"/>
    <w:rsid w:val="00CB787F"/>
    <w:rsid w:val="00CB7E3A"/>
    <w:rsid w:val="00CB7F5F"/>
    <w:rsid w:val="00CC0054"/>
    <w:rsid w:val="00CC0139"/>
    <w:rsid w:val="00CC01D1"/>
    <w:rsid w:val="00CC02C4"/>
    <w:rsid w:val="00CC0777"/>
    <w:rsid w:val="00CC0BA8"/>
    <w:rsid w:val="00CC0C22"/>
    <w:rsid w:val="00CC10CC"/>
    <w:rsid w:val="00CC10EA"/>
    <w:rsid w:val="00CC19A7"/>
    <w:rsid w:val="00CC1B39"/>
    <w:rsid w:val="00CC2235"/>
    <w:rsid w:val="00CC2398"/>
    <w:rsid w:val="00CC242B"/>
    <w:rsid w:val="00CC26B1"/>
    <w:rsid w:val="00CC2E3F"/>
    <w:rsid w:val="00CC2E64"/>
    <w:rsid w:val="00CC3356"/>
    <w:rsid w:val="00CC35EA"/>
    <w:rsid w:val="00CC3848"/>
    <w:rsid w:val="00CC3962"/>
    <w:rsid w:val="00CC3DC8"/>
    <w:rsid w:val="00CC423F"/>
    <w:rsid w:val="00CC4AEF"/>
    <w:rsid w:val="00CC4DA6"/>
    <w:rsid w:val="00CC4FF0"/>
    <w:rsid w:val="00CC5114"/>
    <w:rsid w:val="00CC5A6F"/>
    <w:rsid w:val="00CC5ECF"/>
    <w:rsid w:val="00CC6019"/>
    <w:rsid w:val="00CC6057"/>
    <w:rsid w:val="00CC6583"/>
    <w:rsid w:val="00CC66E4"/>
    <w:rsid w:val="00CC6753"/>
    <w:rsid w:val="00CC701B"/>
    <w:rsid w:val="00CC75E8"/>
    <w:rsid w:val="00CC7988"/>
    <w:rsid w:val="00CC7CA3"/>
    <w:rsid w:val="00CC7D7F"/>
    <w:rsid w:val="00CC7FE0"/>
    <w:rsid w:val="00CD055B"/>
    <w:rsid w:val="00CD056E"/>
    <w:rsid w:val="00CD092B"/>
    <w:rsid w:val="00CD0C7B"/>
    <w:rsid w:val="00CD1320"/>
    <w:rsid w:val="00CD1851"/>
    <w:rsid w:val="00CD1A05"/>
    <w:rsid w:val="00CD211D"/>
    <w:rsid w:val="00CD2561"/>
    <w:rsid w:val="00CD2594"/>
    <w:rsid w:val="00CD260D"/>
    <w:rsid w:val="00CD278A"/>
    <w:rsid w:val="00CD2CE1"/>
    <w:rsid w:val="00CD2DB2"/>
    <w:rsid w:val="00CD382A"/>
    <w:rsid w:val="00CD3B9E"/>
    <w:rsid w:val="00CD3C6A"/>
    <w:rsid w:val="00CD3EA4"/>
    <w:rsid w:val="00CD3ED1"/>
    <w:rsid w:val="00CD3F77"/>
    <w:rsid w:val="00CD4094"/>
    <w:rsid w:val="00CD45F1"/>
    <w:rsid w:val="00CD4631"/>
    <w:rsid w:val="00CD4A81"/>
    <w:rsid w:val="00CD4CBE"/>
    <w:rsid w:val="00CD5184"/>
    <w:rsid w:val="00CD518E"/>
    <w:rsid w:val="00CD5261"/>
    <w:rsid w:val="00CD52F9"/>
    <w:rsid w:val="00CD55A5"/>
    <w:rsid w:val="00CD5BCB"/>
    <w:rsid w:val="00CD5D40"/>
    <w:rsid w:val="00CD6415"/>
    <w:rsid w:val="00CD69EA"/>
    <w:rsid w:val="00CD6ADC"/>
    <w:rsid w:val="00CD7193"/>
    <w:rsid w:val="00CD756B"/>
    <w:rsid w:val="00CD772E"/>
    <w:rsid w:val="00CD79D3"/>
    <w:rsid w:val="00CE0740"/>
    <w:rsid w:val="00CE07F9"/>
    <w:rsid w:val="00CE095C"/>
    <w:rsid w:val="00CE0E70"/>
    <w:rsid w:val="00CE0EA5"/>
    <w:rsid w:val="00CE157F"/>
    <w:rsid w:val="00CE158B"/>
    <w:rsid w:val="00CE18FB"/>
    <w:rsid w:val="00CE2205"/>
    <w:rsid w:val="00CE24A0"/>
    <w:rsid w:val="00CE2AA5"/>
    <w:rsid w:val="00CE2B96"/>
    <w:rsid w:val="00CE2E61"/>
    <w:rsid w:val="00CE32F3"/>
    <w:rsid w:val="00CE3400"/>
    <w:rsid w:val="00CE3781"/>
    <w:rsid w:val="00CE3803"/>
    <w:rsid w:val="00CE38C8"/>
    <w:rsid w:val="00CE3D6C"/>
    <w:rsid w:val="00CE43E7"/>
    <w:rsid w:val="00CE4767"/>
    <w:rsid w:val="00CE4C06"/>
    <w:rsid w:val="00CE4D48"/>
    <w:rsid w:val="00CE529F"/>
    <w:rsid w:val="00CE54BC"/>
    <w:rsid w:val="00CE59C2"/>
    <w:rsid w:val="00CE5BE3"/>
    <w:rsid w:val="00CE5DF1"/>
    <w:rsid w:val="00CE5F79"/>
    <w:rsid w:val="00CE6140"/>
    <w:rsid w:val="00CE6274"/>
    <w:rsid w:val="00CE63A8"/>
    <w:rsid w:val="00CE6F7F"/>
    <w:rsid w:val="00CE705F"/>
    <w:rsid w:val="00CE7398"/>
    <w:rsid w:val="00CE77B6"/>
    <w:rsid w:val="00CE78B9"/>
    <w:rsid w:val="00CE7C1F"/>
    <w:rsid w:val="00CE7DFE"/>
    <w:rsid w:val="00CF05CC"/>
    <w:rsid w:val="00CF0942"/>
    <w:rsid w:val="00CF0C06"/>
    <w:rsid w:val="00CF0D33"/>
    <w:rsid w:val="00CF0DA1"/>
    <w:rsid w:val="00CF0EF2"/>
    <w:rsid w:val="00CF1022"/>
    <w:rsid w:val="00CF12A6"/>
    <w:rsid w:val="00CF1370"/>
    <w:rsid w:val="00CF139F"/>
    <w:rsid w:val="00CF18F1"/>
    <w:rsid w:val="00CF1C6C"/>
    <w:rsid w:val="00CF1CEC"/>
    <w:rsid w:val="00CF1DDA"/>
    <w:rsid w:val="00CF204D"/>
    <w:rsid w:val="00CF21A5"/>
    <w:rsid w:val="00CF2703"/>
    <w:rsid w:val="00CF277F"/>
    <w:rsid w:val="00CF2B8D"/>
    <w:rsid w:val="00CF2E83"/>
    <w:rsid w:val="00CF2F63"/>
    <w:rsid w:val="00CF3075"/>
    <w:rsid w:val="00CF38AD"/>
    <w:rsid w:val="00CF3D16"/>
    <w:rsid w:val="00CF4121"/>
    <w:rsid w:val="00CF44EF"/>
    <w:rsid w:val="00CF456B"/>
    <w:rsid w:val="00CF4B39"/>
    <w:rsid w:val="00CF55D1"/>
    <w:rsid w:val="00CF5668"/>
    <w:rsid w:val="00CF5941"/>
    <w:rsid w:val="00CF5A22"/>
    <w:rsid w:val="00CF5DC2"/>
    <w:rsid w:val="00CF5DFB"/>
    <w:rsid w:val="00CF5EF8"/>
    <w:rsid w:val="00CF6413"/>
    <w:rsid w:val="00CF657A"/>
    <w:rsid w:val="00CF68EE"/>
    <w:rsid w:val="00CF6A0C"/>
    <w:rsid w:val="00CF6CDB"/>
    <w:rsid w:val="00CF6F3C"/>
    <w:rsid w:val="00CF7254"/>
    <w:rsid w:val="00CF77D6"/>
    <w:rsid w:val="00CF79B0"/>
    <w:rsid w:val="00CF7CB2"/>
    <w:rsid w:val="00D0020E"/>
    <w:rsid w:val="00D00584"/>
    <w:rsid w:val="00D00E54"/>
    <w:rsid w:val="00D0179F"/>
    <w:rsid w:val="00D01E3D"/>
    <w:rsid w:val="00D01F8B"/>
    <w:rsid w:val="00D020DD"/>
    <w:rsid w:val="00D02438"/>
    <w:rsid w:val="00D0262E"/>
    <w:rsid w:val="00D02DD0"/>
    <w:rsid w:val="00D032AC"/>
    <w:rsid w:val="00D0331E"/>
    <w:rsid w:val="00D0363E"/>
    <w:rsid w:val="00D0373A"/>
    <w:rsid w:val="00D0378E"/>
    <w:rsid w:val="00D03B32"/>
    <w:rsid w:val="00D03FA5"/>
    <w:rsid w:val="00D04C2D"/>
    <w:rsid w:val="00D04E79"/>
    <w:rsid w:val="00D0540C"/>
    <w:rsid w:val="00D05772"/>
    <w:rsid w:val="00D05A30"/>
    <w:rsid w:val="00D05E3D"/>
    <w:rsid w:val="00D06139"/>
    <w:rsid w:val="00D06B9C"/>
    <w:rsid w:val="00D0783F"/>
    <w:rsid w:val="00D07C81"/>
    <w:rsid w:val="00D102ED"/>
    <w:rsid w:val="00D103C5"/>
    <w:rsid w:val="00D10D59"/>
    <w:rsid w:val="00D10E69"/>
    <w:rsid w:val="00D10EAD"/>
    <w:rsid w:val="00D110BD"/>
    <w:rsid w:val="00D115DB"/>
    <w:rsid w:val="00D11A72"/>
    <w:rsid w:val="00D11C06"/>
    <w:rsid w:val="00D11FB6"/>
    <w:rsid w:val="00D126AB"/>
    <w:rsid w:val="00D126D4"/>
    <w:rsid w:val="00D12A7A"/>
    <w:rsid w:val="00D12C00"/>
    <w:rsid w:val="00D13045"/>
    <w:rsid w:val="00D1315C"/>
    <w:rsid w:val="00D1328A"/>
    <w:rsid w:val="00D13675"/>
    <w:rsid w:val="00D1389F"/>
    <w:rsid w:val="00D13B89"/>
    <w:rsid w:val="00D13EE0"/>
    <w:rsid w:val="00D141E1"/>
    <w:rsid w:val="00D14451"/>
    <w:rsid w:val="00D149EF"/>
    <w:rsid w:val="00D14D51"/>
    <w:rsid w:val="00D14EC7"/>
    <w:rsid w:val="00D151DF"/>
    <w:rsid w:val="00D15314"/>
    <w:rsid w:val="00D1544A"/>
    <w:rsid w:val="00D154BA"/>
    <w:rsid w:val="00D15992"/>
    <w:rsid w:val="00D15EB6"/>
    <w:rsid w:val="00D16574"/>
    <w:rsid w:val="00D16780"/>
    <w:rsid w:val="00D169F3"/>
    <w:rsid w:val="00D16A16"/>
    <w:rsid w:val="00D16D71"/>
    <w:rsid w:val="00D17009"/>
    <w:rsid w:val="00D170A3"/>
    <w:rsid w:val="00D171D8"/>
    <w:rsid w:val="00D17619"/>
    <w:rsid w:val="00D177D7"/>
    <w:rsid w:val="00D17B02"/>
    <w:rsid w:val="00D17D6C"/>
    <w:rsid w:val="00D203F2"/>
    <w:rsid w:val="00D208A9"/>
    <w:rsid w:val="00D209F1"/>
    <w:rsid w:val="00D20AA6"/>
    <w:rsid w:val="00D20B39"/>
    <w:rsid w:val="00D20ED8"/>
    <w:rsid w:val="00D20F26"/>
    <w:rsid w:val="00D213B5"/>
    <w:rsid w:val="00D213F3"/>
    <w:rsid w:val="00D2155B"/>
    <w:rsid w:val="00D217BB"/>
    <w:rsid w:val="00D217C1"/>
    <w:rsid w:val="00D217F0"/>
    <w:rsid w:val="00D21897"/>
    <w:rsid w:val="00D21942"/>
    <w:rsid w:val="00D21995"/>
    <w:rsid w:val="00D21C01"/>
    <w:rsid w:val="00D21F24"/>
    <w:rsid w:val="00D222DD"/>
    <w:rsid w:val="00D228F8"/>
    <w:rsid w:val="00D228FA"/>
    <w:rsid w:val="00D23072"/>
    <w:rsid w:val="00D23187"/>
    <w:rsid w:val="00D23BA0"/>
    <w:rsid w:val="00D23D11"/>
    <w:rsid w:val="00D244B6"/>
    <w:rsid w:val="00D245EF"/>
    <w:rsid w:val="00D24C15"/>
    <w:rsid w:val="00D25104"/>
    <w:rsid w:val="00D25802"/>
    <w:rsid w:val="00D25997"/>
    <w:rsid w:val="00D25A7F"/>
    <w:rsid w:val="00D25E14"/>
    <w:rsid w:val="00D25E1B"/>
    <w:rsid w:val="00D25F21"/>
    <w:rsid w:val="00D260A0"/>
    <w:rsid w:val="00D261D0"/>
    <w:rsid w:val="00D2627F"/>
    <w:rsid w:val="00D2673E"/>
    <w:rsid w:val="00D26E2E"/>
    <w:rsid w:val="00D274BE"/>
    <w:rsid w:val="00D2754D"/>
    <w:rsid w:val="00D27B27"/>
    <w:rsid w:val="00D30494"/>
    <w:rsid w:val="00D3051A"/>
    <w:rsid w:val="00D30768"/>
    <w:rsid w:val="00D30893"/>
    <w:rsid w:val="00D30B56"/>
    <w:rsid w:val="00D30CE5"/>
    <w:rsid w:val="00D30F0A"/>
    <w:rsid w:val="00D310A4"/>
    <w:rsid w:val="00D3144B"/>
    <w:rsid w:val="00D323AC"/>
    <w:rsid w:val="00D32D6B"/>
    <w:rsid w:val="00D330A2"/>
    <w:rsid w:val="00D335BC"/>
    <w:rsid w:val="00D338A5"/>
    <w:rsid w:val="00D33919"/>
    <w:rsid w:val="00D33BE9"/>
    <w:rsid w:val="00D33BEF"/>
    <w:rsid w:val="00D33DD1"/>
    <w:rsid w:val="00D33F93"/>
    <w:rsid w:val="00D340BA"/>
    <w:rsid w:val="00D34251"/>
    <w:rsid w:val="00D3448D"/>
    <w:rsid w:val="00D345CE"/>
    <w:rsid w:val="00D34904"/>
    <w:rsid w:val="00D34B80"/>
    <w:rsid w:val="00D34CDD"/>
    <w:rsid w:val="00D3516B"/>
    <w:rsid w:val="00D357FF"/>
    <w:rsid w:val="00D35A4A"/>
    <w:rsid w:val="00D35BD2"/>
    <w:rsid w:val="00D36BAE"/>
    <w:rsid w:val="00D36CA0"/>
    <w:rsid w:val="00D37222"/>
    <w:rsid w:val="00D3736E"/>
    <w:rsid w:val="00D3774B"/>
    <w:rsid w:val="00D37FAB"/>
    <w:rsid w:val="00D40243"/>
    <w:rsid w:val="00D4047F"/>
    <w:rsid w:val="00D40599"/>
    <w:rsid w:val="00D40633"/>
    <w:rsid w:val="00D407BF"/>
    <w:rsid w:val="00D40864"/>
    <w:rsid w:val="00D40915"/>
    <w:rsid w:val="00D40C1D"/>
    <w:rsid w:val="00D40FCC"/>
    <w:rsid w:val="00D41325"/>
    <w:rsid w:val="00D4173B"/>
    <w:rsid w:val="00D419B7"/>
    <w:rsid w:val="00D41AFC"/>
    <w:rsid w:val="00D424C7"/>
    <w:rsid w:val="00D428FD"/>
    <w:rsid w:val="00D4345B"/>
    <w:rsid w:val="00D43AD9"/>
    <w:rsid w:val="00D43B1C"/>
    <w:rsid w:val="00D43B2A"/>
    <w:rsid w:val="00D43D83"/>
    <w:rsid w:val="00D44241"/>
    <w:rsid w:val="00D442B4"/>
    <w:rsid w:val="00D444A1"/>
    <w:rsid w:val="00D444C7"/>
    <w:rsid w:val="00D4485C"/>
    <w:rsid w:val="00D44DC5"/>
    <w:rsid w:val="00D44EAD"/>
    <w:rsid w:val="00D4511E"/>
    <w:rsid w:val="00D451F1"/>
    <w:rsid w:val="00D45665"/>
    <w:rsid w:val="00D457EE"/>
    <w:rsid w:val="00D45B3A"/>
    <w:rsid w:val="00D46935"/>
    <w:rsid w:val="00D46D62"/>
    <w:rsid w:val="00D47575"/>
    <w:rsid w:val="00D475FE"/>
    <w:rsid w:val="00D47A49"/>
    <w:rsid w:val="00D47B95"/>
    <w:rsid w:val="00D47E6C"/>
    <w:rsid w:val="00D50507"/>
    <w:rsid w:val="00D50544"/>
    <w:rsid w:val="00D5061A"/>
    <w:rsid w:val="00D50789"/>
    <w:rsid w:val="00D5086A"/>
    <w:rsid w:val="00D50979"/>
    <w:rsid w:val="00D50F7D"/>
    <w:rsid w:val="00D51017"/>
    <w:rsid w:val="00D51808"/>
    <w:rsid w:val="00D5198D"/>
    <w:rsid w:val="00D5243B"/>
    <w:rsid w:val="00D5244F"/>
    <w:rsid w:val="00D52709"/>
    <w:rsid w:val="00D52A0E"/>
    <w:rsid w:val="00D52DA7"/>
    <w:rsid w:val="00D52DC1"/>
    <w:rsid w:val="00D533EC"/>
    <w:rsid w:val="00D5347F"/>
    <w:rsid w:val="00D53617"/>
    <w:rsid w:val="00D53745"/>
    <w:rsid w:val="00D53ECB"/>
    <w:rsid w:val="00D548B0"/>
    <w:rsid w:val="00D54BFE"/>
    <w:rsid w:val="00D54C21"/>
    <w:rsid w:val="00D55127"/>
    <w:rsid w:val="00D55738"/>
    <w:rsid w:val="00D55778"/>
    <w:rsid w:val="00D55877"/>
    <w:rsid w:val="00D55BCF"/>
    <w:rsid w:val="00D55C9C"/>
    <w:rsid w:val="00D56750"/>
    <w:rsid w:val="00D56864"/>
    <w:rsid w:val="00D56872"/>
    <w:rsid w:val="00D56A95"/>
    <w:rsid w:val="00D56C32"/>
    <w:rsid w:val="00D570ED"/>
    <w:rsid w:val="00D57D61"/>
    <w:rsid w:val="00D6025D"/>
    <w:rsid w:val="00D60277"/>
    <w:rsid w:val="00D60AD7"/>
    <w:rsid w:val="00D60CD5"/>
    <w:rsid w:val="00D60D93"/>
    <w:rsid w:val="00D60DFC"/>
    <w:rsid w:val="00D6122E"/>
    <w:rsid w:val="00D612D9"/>
    <w:rsid w:val="00D61952"/>
    <w:rsid w:val="00D61A1D"/>
    <w:rsid w:val="00D61D0D"/>
    <w:rsid w:val="00D636AA"/>
    <w:rsid w:val="00D63FD3"/>
    <w:rsid w:val="00D64360"/>
    <w:rsid w:val="00D646B0"/>
    <w:rsid w:val="00D646C6"/>
    <w:rsid w:val="00D648DC"/>
    <w:rsid w:val="00D64CB1"/>
    <w:rsid w:val="00D64EC8"/>
    <w:rsid w:val="00D64F84"/>
    <w:rsid w:val="00D653B4"/>
    <w:rsid w:val="00D65816"/>
    <w:rsid w:val="00D65AC3"/>
    <w:rsid w:val="00D65AEE"/>
    <w:rsid w:val="00D65BCF"/>
    <w:rsid w:val="00D65BEE"/>
    <w:rsid w:val="00D65FA1"/>
    <w:rsid w:val="00D66846"/>
    <w:rsid w:val="00D66B45"/>
    <w:rsid w:val="00D66F1E"/>
    <w:rsid w:val="00D6715C"/>
    <w:rsid w:val="00D6725F"/>
    <w:rsid w:val="00D6745F"/>
    <w:rsid w:val="00D67465"/>
    <w:rsid w:val="00D6783C"/>
    <w:rsid w:val="00D67B2B"/>
    <w:rsid w:val="00D67BCE"/>
    <w:rsid w:val="00D67E80"/>
    <w:rsid w:val="00D67EA2"/>
    <w:rsid w:val="00D67F57"/>
    <w:rsid w:val="00D700CA"/>
    <w:rsid w:val="00D701F6"/>
    <w:rsid w:val="00D70A14"/>
    <w:rsid w:val="00D70A8C"/>
    <w:rsid w:val="00D70CBB"/>
    <w:rsid w:val="00D70E74"/>
    <w:rsid w:val="00D70F16"/>
    <w:rsid w:val="00D7133B"/>
    <w:rsid w:val="00D71D1A"/>
    <w:rsid w:val="00D71E23"/>
    <w:rsid w:val="00D7225E"/>
    <w:rsid w:val="00D726C1"/>
    <w:rsid w:val="00D729B6"/>
    <w:rsid w:val="00D72C62"/>
    <w:rsid w:val="00D72DEC"/>
    <w:rsid w:val="00D72E9B"/>
    <w:rsid w:val="00D72F57"/>
    <w:rsid w:val="00D73045"/>
    <w:rsid w:val="00D73339"/>
    <w:rsid w:val="00D737DC"/>
    <w:rsid w:val="00D73A05"/>
    <w:rsid w:val="00D74592"/>
    <w:rsid w:val="00D74609"/>
    <w:rsid w:val="00D7483A"/>
    <w:rsid w:val="00D74E19"/>
    <w:rsid w:val="00D74EE5"/>
    <w:rsid w:val="00D751A3"/>
    <w:rsid w:val="00D7581E"/>
    <w:rsid w:val="00D7591D"/>
    <w:rsid w:val="00D75A44"/>
    <w:rsid w:val="00D75FD1"/>
    <w:rsid w:val="00D7682B"/>
    <w:rsid w:val="00D769D1"/>
    <w:rsid w:val="00D76A44"/>
    <w:rsid w:val="00D76BAD"/>
    <w:rsid w:val="00D76BAF"/>
    <w:rsid w:val="00D76D14"/>
    <w:rsid w:val="00D76FA6"/>
    <w:rsid w:val="00D77224"/>
    <w:rsid w:val="00D7765D"/>
    <w:rsid w:val="00D778C4"/>
    <w:rsid w:val="00D77B7F"/>
    <w:rsid w:val="00D77B84"/>
    <w:rsid w:val="00D77E65"/>
    <w:rsid w:val="00D8013A"/>
    <w:rsid w:val="00D8057F"/>
    <w:rsid w:val="00D80913"/>
    <w:rsid w:val="00D80C8D"/>
    <w:rsid w:val="00D80EF5"/>
    <w:rsid w:val="00D81260"/>
    <w:rsid w:val="00D81510"/>
    <w:rsid w:val="00D815EF"/>
    <w:rsid w:val="00D815FA"/>
    <w:rsid w:val="00D8173D"/>
    <w:rsid w:val="00D81F26"/>
    <w:rsid w:val="00D824A1"/>
    <w:rsid w:val="00D82E05"/>
    <w:rsid w:val="00D83049"/>
    <w:rsid w:val="00D83361"/>
    <w:rsid w:val="00D83D2D"/>
    <w:rsid w:val="00D84025"/>
    <w:rsid w:val="00D840C1"/>
    <w:rsid w:val="00D8432C"/>
    <w:rsid w:val="00D84F98"/>
    <w:rsid w:val="00D85011"/>
    <w:rsid w:val="00D8510E"/>
    <w:rsid w:val="00D85202"/>
    <w:rsid w:val="00D85233"/>
    <w:rsid w:val="00D8536B"/>
    <w:rsid w:val="00D85DCD"/>
    <w:rsid w:val="00D85F43"/>
    <w:rsid w:val="00D85FE3"/>
    <w:rsid w:val="00D86100"/>
    <w:rsid w:val="00D86128"/>
    <w:rsid w:val="00D86231"/>
    <w:rsid w:val="00D86318"/>
    <w:rsid w:val="00D867EC"/>
    <w:rsid w:val="00D86E17"/>
    <w:rsid w:val="00D87232"/>
    <w:rsid w:val="00D87272"/>
    <w:rsid w:val="00D87322"/>
    <w:rsid w:val="00D8765A"/>
    <w:rsid w:val="00D877A0"/>
    <w:rsid w:val="00D87826"/>
    <w:rsid w:val="00D90099"/>
    <w:rsid w:val="00D9048D"/>
    <w:rsid w:val="00D905E6"/>
    <w:rsid w:val="00D905FC"/>
    <w:rsid w:val="00D9080E"/>
    <w:rsid w:val="00D9085D"/>
    <w:rsid w:val="00D90FFD"/>
    <w:rsid w:val="00D910F7"/>
    <w:rsid w:val="00D91342"/>
    <w:rsid w:val="00D9146F"/>
    <w:rsid w:val="00D91923"/>
    <w:rsid w:val="00D919CB"/>
    <w:rsid w:val="00D91D00"/>
    <w:rsid w:val="00D91EB7"/>
    <w:rsid w:val="00D92208"/>
    <w:rsid w:val="00D922A3"/>
    <w:rsid w:val="00D92E6E"/>
    <w:rsid w:val="00D9368D"/>
    <w:rsid w:val="00D936F5"/>
    <w:rsid w:val="00D93753"/>
    <w:rsid w:val="00D93BCB"/>
    <w:rsid w:val="00D93BE2"/>
    <w:rsid w:val="00D93FAE"/>
    <w:rsid w:val="00D94131"/>
    <w:rsid w:val="00D94529"/>
    <w:rsid w:val="00D94670"/>
    <w:rsid w:val="00D948BF"/>
    <w:rsid w:val="00D95086"/>
    <w:rsid w:val="00D951E9"/>
    <w:rsid w:val="00D9545A"/>
    <w:rsid w:val="00D95917"/>
    <w:rsid w:val="00D9594E"/>
    <w:rsid w:val="00D95D86"/>
    <w:rsid w:val="00D95DF0"/>
    <w:rsid w:val="00D960EF"/>
    <w:rsid w:val="00D965CA"/>
    <w:rsid w:val="00D96757"/>
    <w:rsid w:val="00D967D1"/>
    <w:rsid w:val="00D96D29"/>
    <w:rsid w:val="00D9753E"/>
    <w:rsid w:val="00D97C44"/>
    <w:rsid w:val="00DA01B1"/>
    <w:rsid w:val="00DA0206"/>
    <w:rsid w:val="00DA0222"/>
    <w:rsid w:val="00DA032A"/>
    <w:rsid w:val="00DA03CE"/>
    <w:rsid w:val="00DA060A"/>
    <w:rsid w:val="00DA0D7F"/>
    <w:rsid w:val="00DA1206"/>
    <w:rsid w:val="00DA12E3"/>
    <w:rsid w:val="00DA1365"/>
    <w:rsid w:val="00DA1490"/>
    <w:rsid w:val="00DA191B"/>
    <w:rsid w:val="00DA26EF"/>
    <w:rsid w:val="00DA2DED"/>
    <w:rsid w:val="00DA2E52"/>
    <w:rsid w:val="00DA3167"/>
    <w:rsid w:val="00DA36C0"/>
    <w:rsid w:val="00DA37DE"/>
    <w:rsid w:val="00DA3D87"/>
    <w:rsid w:val="00DA405A"/>
    <w:rsid w:val="00DA46B0"/>
    <w:rsid w:val="00DA4791"/>
    <w:rsid w:val="00DA4DC3"/>
    <w:rsid w:val="00DA4E4D"/>
    <w:rsid w:val="00DA4EFA"/>
    <w:rsid w:val="00DA4F2C"/>
    <w:rsid w:val="00DA50E9"/>
    <w:rsid w:val="00DA5160"/>
    <w:rsid w:val="00DA5169"/>
    <w:rsid w:val="00DA548F"/>
    <w:rsid w:val="00DA5701"/>
    <w:rsid w:val="00DA598D"/>
    <w:rsid w:val="00DA5AF4"/>
    <w:rsid w:val="00DA5F99"/>
    <w:rsid w:val="00DA6235"/>
    <w:rsid w:val="00DA66E4"/>
    <w:rsid w:val="00DA68B2"/>
    <w:rsid w:val="00DA6BC4"/>
    <w:rsid w:val="00DA7652"/>
    <w:rsid w:val="00DA7714"/>
    <w:rsid w:val="00DA778A"/>
    <w:rsid w:val="00DA77A5"/>
    <w:rsid w:val="00DB0314"/>
    <w:rsid w:val="00DB03FC"/>
    <w:rsid w:val="00DB0752"/>
    <w:rsid w:val="00DB0998"/>
    <w:rsid w:val="00DB0B19"/>
    <w:rsid w:val="00DB0C7C"/>
    <w:rsid w:val="00DB0D12"/>
    <w:rsid w:val="00DB0FD1"/>
    <w:rsid w:val="00DB13FE"/>
    <w:rsid w:val="00DB1631"/>
    <w:rsid w:val="00DB17C8"/>
    <w:rsid w:val="00DB17E8"/>
    <w:rsid w:val="00DB1C11"/>
    <w:rsid w:val="00DB1C67"/>
    <w:rsid w:val="00DB1DDC"/>
    <w:rsid w:val="00DB232F"/>
    <w:rsid w:val="00DB2CE4"/>
    <w:rsid w:val="00DB392D"/>
    <w:rsid w:val="00DB3AF2"/>
    <w:rsid w:val="00DB3D2C"/>
    <w:rsid w:val="00DB3DBF"/>
    <w:rsid w:val="00DB45B0"/>
    <w:rsid w:val="00DB484F"/>
    <w:rsid w:val="00DB4CAF"/>
    <w:rsid w:val="00DB4CEA"/>
    <w:rsid w:val="00DB5895"/>
    <w:rsid w:val="00DB5C0A"/>
    <w:rsid w:val="00DB5C71"/>
    <w:rsid w:val="00DB6072"/>
    <w:rsid w:val="00DB6333"/>
    <w:rsid w:val="00DB64B9"/>
    <w:rsid w:val="00DB68E3"/>
    <w:rsid w:val="00DB6903"/>
    <w:rsid w:val="00DB6F5C"/>
    <w:rsid w:val="00DB7372"/>
    <w:rsid w:val="00DB738D"/>
    <w:rsid w:val="00DB73BC"/>
    <w:rsid w:val="00DB768C"/>
    <w:rsid w:val="00DB7CB1"/>
    <w:rsid w:val="00DC010D"/>
    <w:rsid w:val="00DC04F6"/>
    <w:rsid w:val="00DC0690"/>
    <w:rsid w:val="00DC0800"/>
    <w:rsid w:val="00DC089A"/>
    <w:rsid w:val="00DC1184"/>
    <w:rsid w:val="00DC161A"/>
    <w:rsid w:val="00DC1B5B"/>
    <w:rsid w:val="00DC1D65"/>
    <w:rsid w:val="00DC20F6"/>
    <w:rsid w:val="00DC276A"/>
    <w:rsid w:val="00DC2C68"/>
    <w:rsid w:val="00DC30F3"/>
    <w:rsid w:val="00DC32F4"/>
    <w:rsid w:val="00DC3AC1"/>
    <w:rsid w:val="00DC3AD4"/>
    <w:rsid w:val="00DC3C57"/>
    <w:rsid w:val="00DC4391"/>
    <w:rsid w:val="00DC4823"/>
    <w:rsid w:val="00DC4D2A"/>
    <w:rsid w:val="00DC519C"/>
    <w:rsid w:val="00DC5501"/>
    <w:rsid w:val="00DC57D6"/>
    <w:rsid w:val="00DC5843"/>
    <w:rsid w:val="00DC5EF3"/>
    <w:rsid w:val="00DC5FD6"/>
    <w:rsid w:val="00DC6342"/>
    <w:rsid w:val="00DC68D2"/>
    <w:rsid w:val="00DC6A7A"/>
    <w:rsid w:val="00DC7154"/>
    <w:rsid w:val="00DC71E6"/>
    <w:rsid w:val="00DC748A"/>
    <w:rsid w:val="00DC7908"/>
    <w:rsid w:val="00DC7BEA"/>
    <w:rsid w:val="00DC7E8A"/>
    <w:rsid w:val="00DD0048"/>
    <w:rsid w:val="00DD03B8"/>
    <w:rsid w:val="00DD03DA"/>
    <w:rsid w:val="00DD05CE"/>
    <w:rsid w:val="00DD06B8"/>
    <w:rsid w:val="00DD0A60"/>
    <w:rsid w:val="00DD0B1A"/>
    <w:rsid w:val="00DD0F78"/>
    <w:rsid w:val="00DD11BD"/>
    <w:rsid w:val="00DD170B"/>
    <w:rsid w:val="00DD191D"/>
    <w:rsid w:val="00DD1B33"/>
    <w:rsid w:val="00DD1B95"/>
    <w:rsid w:val="00DD20B6"/>
    <w:rsid w:val="00DD273C"/>
    <w:rsid w:val="00DD29B1"/>
    <w:rsid w:val="00DD2A78"/>
    <w:rsid w:val="00DD2A85"/>
    <w:rsid w:val="00DD2DD3"/>
    <w:rsid w:val="00DD2ED3"/>
    <w:rsid w:val="00DD34B9"/>
    <w:rsid w:val="00DD3C28"/>
    <w:rsid w:val="00DD3F28"/>
    <w:rsid w:val="00DD400C"/>
    <w:rsid w:val="00DD4064"/>
    <w:rsid w:val="00DD4341"/>
    <w:rsid w:val="00DD4537"/>
    <w:rsid w:val="00DD4E15"/>
    <w:rsid w:val="00DD4F78"/>
    <w:rsid w:val="00DD4FA4"/>
    <w:rsid w:val="00DD53DD"/>
    <w:rsid w:val="00DD54AA"/>
    <w:rsid w:val="00DD6831"/>
    <w:rsid w:val="00DD6B3B"/>
    <w:rsid w:val="00DD6D5C"/>
    <w:rsid w:val="00DD6E8A"/>
    <w:rsid w:val="00DD72E6"/>
    <w:rsid w:val="00DD7544"/>
    <w:rsid w:val="00DD7659"/>
    <w:rsid w:val="00DD7690"/>
    <w:rsid w:val="00DD7804"/>
    <w:rsid w:val="00DD7D24"/>
    <w:rsid w:val="00DE027D"/>
    <w:rsid w:val="00DE031B"/>
    <w:rsid w:val="00DE040C"/>
    <w:rsid w:val="00DE06A1"/>
    <w:rsid w:val="00DE08A4"/>
    <w:rsid w:val="00DE0980"/>
    <w:rsid w:val="00DE0C9E"/>
    <w:rsid w:val="00DE17E4"/>
    <w:rsid w:val="00DE184C"/>
    <w:rsid w:val="00DE188D"/>
    <w:rsid w:val="00DE1981"/>
    <w:rsid w:val="00DE1BAC"/>
    <w:rsid w:val="00DE1F57"/>
    <w:rsid w:val="00DE213D"/>
    <w:rsid w:val="00DE2304"/>
    <w:rsid w:val="00DE25E3"/>
    <w:rsid w:val="00DE2A8A"/>
    <w:rsid w:val="00DE2B2B"/>
    <w:rsid w:val="00DE3138"/>
    <w:rsid w:val="00DE32CF"/>
    <w:rsid w:val="00DE3369"/>
    <w:rsid w:val="00DE33D5"/>
    <w:rsid w:val="00DE37F8"/>
    <w:rsid w:val="00DE3B29"/>
    <w:rsid w:val="00DE3C80"/>
    <w:rsid w:val="00DE3EAC"/>
    <w:rsid w:val="00DE43A9"/>
    <w:rsid w:val="00DE471A"/>
    <w:rsid w:val="00DE478B"/>
    <w:rsid w:val="00DE4959"/>
    <w:rsid w:val="00DE49A2"/>
    <w:rsid w:val="00DE4B26"/>
    <w:rsid w:val="00DE4D83"/>
    <w:rsid w:val="00DE4FCB"/>
    <w:rsid w:val="00DE5313"/>
    <w:rsid w:val="00DE58EC"/>
    <w:rsid w:val="00DE5A70"/>
    <w:rsid w:val="00DE5D07"/>
    <w:rsid w:val="00DE5DCB"/>
    <w:rsid w:val="00DE60EF"/>
    <w:rsid w:val="00DE6129"/>
    <w:rsid w:val="00DE6288"/>
    <w:rsid w:val="00DE652D"/>
    <w:rsid w:val="00DE6BC8"/>
    <w:rsid w:val="00DE6BD3"/>
    <w:rsid w:val="00DE6DC9"/>
    <w:rsid w:val="00DE6DEE"/>
    <w:rsid w:val="00DE72A7"/>
    <w:rsid w:val="00DE76A0"/>
    <w:rsid w:val="00DE7832"/>
    <w:rsid w:val="00DE789F"/>
    <w:rsid w:val="00DF00E2"/>
    <w:rsid w:val="00DF016A"/>
    <w:rsid w:val="00DF079C"/>
    <w:rsid w:val="00DF0DF1"/>
    <w:rsid w:val="00DF0FE1"/>
    <w:rsid w:val="00DF163D"/>
    <w:rsid w:val="00DF18FC"/>
    <w:rsid w:val="00DF1E5B"/>
    <w:rsid w:val="00DF2330"/>
    <w:rsid w:val="00DF28A4"/>
    <w:rsid w:val="00DF2C8A"/>
    <w:rsid w:val="00DF2EA4"/>
    <w:rsid w:val="00DF32B3"/>
    <w:rsid w:val="00DF32C8"/>
    <w:rsid w:val="00DF3493"/>
    <w:rsid w:val="00DF349A"/>
    <w:rsid w:val="00DF34DF"/>
    <w:rsid w:val="00DF36EC"/>
    <w:rsid w:val="00DF3BDF"/>
    <w:rsid w:val="00DF3C17"/>
    <w:rsid w:val="00DF3C69"/>
    <w:rsid w:val="00DF3E88"/>
    <w:rsid w:val="00DF4222"/>
    <w:rsid w:val="00DF42FC"/>
    <w:rsid w:val="00DF43E7"/>
    <w:rsid w:val="00DF4755"/>
    <w:rsid w:val="00DF4C20"/>
    <w:rsid w:val="00DF4D37"/>
    <w:rsid w:val="00DF5436"/>
    <w:rsid w:val="00DF5666"/>
    <w:rsid w:val="00DF5712"/>
    <w:rsid w:val="00DF5B96"/>
    <w:rsid w:val="00DF5D14"/>
    <w:rsid w:val="00DF5D23"/>
    <w:rsid w:val="00DF5D2B"/>
    <w:rsid w:val="00DF5D79"/>
    <w:rsid w:val="00DF5F9C"/>
    <w:rsid w:val="00DF602F"/>
    <w:rsid w:val="00DF6060"/>
    <w:rsid w:val="00DF6242"/>
    <w:rsid w:val="00DF62BD"/>
    <w:rsid w:val="00DF64E3"/>
    <w:rsid w:val="00DF67DF"/>
    <w:rsid w:val="00DF6A6D"/>
    <w:rsid w:val="00DF6BB8"/>
    <w:rsid w:val="00DF74C1"/>
    <w:rsid w:val="00DF78F2"/>
    <w:rsid w:val="00DF7903"/>
    <w:rsid w:val="00E008C7"/>
    <w:rsid w:val="00E00AF8"/>
    <w:rsid w:val="00E00E8E"/>
    <w:rsid w:val="00E0149E"/>
    <w:rsid w:val="00E0157E"/>
    <w:rsid w:val="00E0165B"/>
    <w:rsid w:val="00E017CF"/>
    <w:rsid w:val="00E01994"/>
    <w:rsid w:val="00E01C11"/>
    <w:rsid w:val="00E02300"/>
    <w:rsid w:val="00E0237A"/>
    <w:rsid w:val="00E02675"/>
    <w:rsid w:val="00E02D64"/>
    <w:rsid w:val="00E02DAD"/>
    <w:rsid w:val="00E02E47"/>
    <w:rsid w:val="00E02E5B"/>
    <w:rsid w:val="00E02EF7"/>
    <w:rsid w:val="00E03150"/>
    <w:rsid w:val="00E031A6"/>
    <w:rsid w:val="00E031B1"/>
    <w:rsid w:val="00E03DBA"/>
    <w:rsid w:val="00E046E7"/>
    <w:rsid w:val="00E046FB"/>
    <w:rsid w:val="00E04B92"/>
    <w:rsid w:val="00E05195"/>
    <w:rsid w:val="00E051BD"/>
    <w:rsid w:val="00E051F4"/>
    <w:rsid w:val="00E05630"/>
    <w:rsid w:val="00E05AEA"/>
    <w:rsid w:val="00E062B5"/>
    <w:rsid w:val="00E06DBB"/>
    <w:rsid w:val="00E06FC9"/>
    <w:rsid w:val="00E074D0"/>
    <w:rsid w:val="00E077D4"/>
    <w:rsid w:val="00E1005A"/>
    <w:rsid w:val="00E10149"/>
    <w:rsid w:val="00E10563"/>
    <w:rsid w:val="00E10813"/>
    <w:rsid w:val="00E10B64"/>
    <w:rsid w:val="00E10B66"/>
    <w:rsid w:val="00E10D03"/>
    <w:rsid w:val="00E10D75"/>
    <w:rsid w:val="00E10DFB"/>
    <w:rsid w:val="00E10FD4"/>
    <w:rsid w:val="00E11340"/>
    <w:rsid w:val="00E115D8"/>
    <w:rsid w:val="00E117FB"/>
    <w:rsid w:val="00E11A0E"/>
    <w:rsid w:val="00E11EBC"/>
    <w:rsid w:val="00E122A1"/>
    <w:rsid w:val="00E124AE"/>
    <w:rsid w:val="00E12700"/>
    <w:rsid w:val="00E12BEA"/>
    <w:rsid w:val="00E13438"/>
    <w:rsid w:val="00E135CA"/>
    <w:rsid w:val="00E13677"/>
    <w:rsid w:val="00E13B95"/>
    <w:rsid w:val="00E1410E"/>
    <w:rsid w:val="00E143D5"/>
    <w:rsid w:val="00E14449"/>
    <w:rsid w:val="00E14717"/>
    <w:rsid w:val="00E14A8A"/>
    <w:rsid w:val="00E14C8A"/>
    <w:rsid w:val="00E14E31"/>
    <w:rsid w:val="00E15093"/>
    <w:rsid w:val="00E15117"/>
    <w:rsid w:val="00E1563A"/>
    <w:rsid w:val="00E158BB"/>
    <w:rsid w:val="00E159C4"/>
    <w:rsid w:val="00E15DC5"/>
    <w:rsid w:val="00E15F1E"/>
    <w:rsid w:val="00E16372"/>
    <w:rsid w:val="00E1643E"/>
    <w:rsid w:val="00E166D6"/>
    <w:rsid w:val="00E167BE"/>
    <w:rsid w:val="00E167C4"/>
    <w:rsid w:val="00E169E0"/>
    <w:rsid w:val="00E16E5A"/>
    <w:rsid w:val="00E17049"/>
    <w:rsid w:val="00E17113"/>
    <w:rsid w:val="00E1724B"/>
    <w:rsid w:val="00E17622"/>
    <w:rsid w:val="00E177F2"/>
    <w:rsid w:val="00E17877"/>
    <w:rsid w:val="00E203C8"/>
    <w:rsid w:val="00E20576"/>
    <w:rsid w:val="00E2098E"/>
    <w:rsid w:val="00E20B57"/>
    <w:rsid w:val="00E20E4D"/>
    <w:rsid w:val="00E20ED6"/>
    <w:rsid w:val="00E21318"/>
    <w:rsid w:val="00E21358"/>
    <w:rsid w:val="00E2180C"/>
    <w:rsid w:val="00E222C3"/>
    <w:rsid w:val="00E22350"/>
    <w:rsid w:val="00E2241B"/>
    <w:rsid w:val="00E2249B"/>
    <w:rsid w:val="00E22593"/>
    <w:rsid w:val="00E2261B"/>
    <w:rsid w:val="00E229CD"/>
    <w:rsid w:val="00E22A0D"/>
    <w:rsid w:val="00E22AB1"/>
    <w:rsid w:val="00E22C96"/>
    <w:rsid w:val="00E22E1A"/>
    <w:rsid w:val="00E22E56"/>
    <w:rsid w:val="00E234E8"/>
    <w:rsid w:val="00E234F3"/>
    <w:rsid w:val="00E23569"/>
    <w:rsid w:val="00E23EB0"/>
    <w:rsid w:val="00E240B5"/>
    <w:rsid w:val="00E244F6"/>
    <w:rsid w:val="00E24630"/>
    <w:rsid w:val="00E24FC7"/>
    <w:rsid w:val="00E2543B"/>
    <w:rsid w:val="00E255CF"/>
    <w:rsid w:val="00E25698"/>
    <w:rsid w:val="00E257F0"/>
    <w:rsid w:val="00E25EFD"/>
    <w:rsid w:val="00E26C35"/>
    <w:rsid w:val="00E2746F"/>
    <w:rsid w:val="00E274BD"/>
    <w:rsid w:val="00E275F3"/>
    <w:rsid w:val="00E2771E"/>
    <w:rsid w:val="00E27CA8"/>
    <w:rsid w:val="00E302AF"/>
    <w:rsid w:val="00E30717"/>
    <w:rsid w:val="00E3081D"/>
    <w:rsid w:val="00E309DD"/>
    <w:rsid w:val="00E30E8E"/>
    <w:rsid w:val="00E310CE"/>
    <w:rsid w:val="00E311EF"/>
    <w:rsid w:val="00E31216"/>
    <w:rsid w:val="00E31692"/>
    <w:rsid w:val="00E31B97"/>
    <w:rsid w:val="00E31DD0"/>
    <w:rsid w:val="00E320FA"/>
    <w:rsid w:val="00E32180"/>
    <w:rsid w:val="00E32269"/>
    <w:rsid w:val="00E3259B"/>
    <w:rsid w:val="00E32707"/>
    <w:rsid w:val="00E32ACA"/>
    <w:rsid w:val="00E32D70"/>
    <w:rsid w:val="00E32F61"/>
    <w:rsid w:val="00E33134"/>
    <w:rsid w:val="00E33176"/>
    <w:rsid w:val="00E33224"/>
    <w:rsid w:val="00E332ED"/>
    <w:rsid w:val="00E3332C"/>
    <w:rsid w:val="00E33948"/>
    <w:rsid w:val="00E34290"/>
    <w:rsid w:val="00E34638"/>
    <w:rsid w:val="00E34842"/>
    <w:rsid w:val="00E34948"/>
    <w:rsid w:val="00E34F16"/>
    <w:rsid w:val="00E3509D"/>
    <w:rsid w:val="00E356B6"/>
    <w:rsid w:val="00E35A6E"/>
    <w:rsid w:val="00E35F73"/>
    <w:rsid w:val="00E35FBC"/>
    <w:rsid w:val="00E360D5"/>
    <w:rsid w:val="00E363F9"/>
    <w:rsid w:val="00E369B2"/>
    <w:rsid w:val="00E36BD6"/>
    <w:rsid w:val="00E37285"/>
    <w:rsid w:val="00E37569"/>
    <w:rsid w:val="00E3779D"/>
    <w:rsid w:val="00E37C88"/>
    <w:rsid w:val="00E401B2"/>
    <w:rsid w:val="00E40571"/>
    <w:rsid w:val="00E41805"/>
    <w:rsid w:val="00E418C0"/>
    <w:rsid w:val="00E41B59"/>
    <w:rsid w:val="00E41D84"/>
    <w:rsid w:val="00E41E30"/>
    <w:rsid w:val="00E41E4F"/>
    <w:rsid w:val="00E42507"/>
    <w:rsid w:val="00E42527"/>
    <w:rsid w:val="00E42F0F"/>
    <w:rsid w:val="00E42F73"/>
    <w:rsid w:val="00E42FCA"/>
    <w:rsid w:val="00E43150"/>
    <w:rsid w:val="00E435BB"/>
    <w:rsid w:val="00E43985"/>
    <w:rsid w:val="00E439D3"/>
    <w:rsid w:val="00E43BE9"/>
    <w:rsid w:val="00E43C57"/>
    <w:rsid w:val="00E43D70"/>
    <w:rsid w:val="00E43E7B"/>
    <w:rsid w:val="00E443A8"/>
    <w:rsid w:val="00E4460F"/>
    <w:rsid w:val="00E4484F"/>
    <w:rsid w:val="00E44862"/>
    <w:rsid w:val="00E449DE"/>
    <w:rsid w:val="00E44A01"/>
    <w:rsid w:val="00E44BB6"/>
    <w:rsid w:val="00E44CD7"/>
    <w:rsid w:val="00E44DD8"/>
    <w:rsid w:val="00E44F48"/>
    <w:rsid w:val="00E4520C"/>
    <w:rsid w:val="00E4528A"/>
    <w:rsid w:val="00E4539A"/>
    <w:rsid w:val="00E455D8"/>
    <w:rsid w:val="00E45B4F"/>
    <w:rsid w:val="00E45E65"/>
    <w:rsid w:val="00E466F3"/>
    <w:rsid w:val="00E46A1C"/>
    <w:rsid w:val="00E46C57"/>
    <w:rsid w:val="00E47862"/>
    <w:rsid w:val="00E47B2C"/>
    <w:rsid w:val="00E500A8"/>
    <w:rsid w:val="00E50F75"/>
    <w:rsid w:val="00E51560"/>
    <w:rsid w:val="00E515BC"/>
    <w:rsid w:val="00E51821"/>
    <w:rsid w:val="00E52261"/>
    <w:rsid w:val="00E522ED"/>
    <w:rsid w:val="00E527F8"/>
    <w:rsid w:val="00E52D19"/>
    <w:rsid w:val="00E52EA9"/>
    <w:rsid w:val="00E52ED9"/>
    <w:rsid w:val="00E5373E"/>
    <w:rsid w:val="00E53AB9"/>
    <w:rsid w:val="00E53CAF"/>
    <w:rsid w:val="00E53D82"/>
    <w:rsid w:val="00E53EAB"/>
    <w:rsid w:val="00E53FC8"/>
    <w:rsid w:val="00E54347"/>
    <w:rsid w:val="00E5480A"/>
    <w:rsid w:val="00E54B46"/>
    <w:rsid w:val="00E54CA6"/>
    <w:rsid w:val="00E54F0E"/>
    <w:rsid w:val="00E5523E"/>
    <w:rsid w:val="00E5530F"/>
    <w:rsid w:val="00E5533B"/>
    <w:rsid w:val="00E55385"/>
    <w:rsid w:val="00E55424"/>
    <w:rsid w:val="00E55915"/>
    <w:rsid w:val="00E55BB5"/>
    <w:rsid w:val="00E55BB8"/>
    <w:rsid w:val="00E56495"/>
    <w:rsid w:val="00E56665"/>
    <w:rsid w:val="00E5698A"/>
    <w:rsid w:val="00E56F8B"/>
    <w:rsid w:val="00E5740A"/>
    <w:rsid w:val="00E577A1"/>
    <w:rsid w:val="00E57F1B"/>
    <w:rsid w:val="00E60292"/>
    <w:rsid w:val="00E603DA"/>
    <w:rsid w:val="00E60617"/>
    <w:rsid w:val="00E60FC4"/>
    <w:rsid w:val="00E61083"/>
    <w:rsid w:val="00E61355"/>
    <w:rsid w:val="00E622DB"/>
    <w:rsid w:val="00E62A6D"/>
    <w:rsid w:val="00E62B13"/>
    <w:rsid w:val="00E63217"/>
    <w:rsid w:val="00E632AC"/>
    <w:rsid w:val="00E6358D"/>
    <w:rsid w:val="00E63615"/>
    <w:rsid w:val="00E63B95"/>
    <w:rsid w:val="00E63E59"/>
    <w:rsid w:val="00E640EC"/>
    <w:rsid w:val="00E6421B"/>
    <w:rsid w:val="00E6472F"/>
    <w:rsid w:val="00E64A90"/>
    <w:rsid w:val="00E64BF6"/>
    <w:rsid w:val="00E65098"/>
    <w:rsid w:val="00E652D2"/>
    <w:rsid w:val="00E653CB"/>
    <w:rsid w:val="00E656B1"/>
    <w:rsid w:val="00E65839"/>
    <w:rsid w:val="00E6596F"/>
    <w:rsid w:val="00E65B5B"/>
    <w:rsid w:val="00E65D1F"/>
    <w:rsid w:val="00E65E79"/>
    <w:rsid w:val="00E664BE"/>
    <w:rsid w:val="00E6653C"/>
    <w:rsid w:val="00E66A49"/>
    <w:rsid w:val="00E66BA2"/>
    <w:rsid w:val="00E66BCA"/>
    <w:rsid w:val="00E67006"/>
    <w:rsid w:val="00E671C6"/>
    <w:rsid w:val="00E67416"/>
    <w:rsid w:val="00E67598"/>
    <w:rsid w:val="00E70065"/>
    <w:rsid w:val="00E70133"/>
    <w:rsid w:val="00E704B3"/>
    <w:rsid w:val="00E704B6"/>
    <w:rsid w:val="00E70AB5"/>
    <w:rsid w:val="00E70D01"/>
    <w:rsid w:val="00E70DE0"/>
    <w:rsid w:val="00E718B6"/>
    <w:rsid w:val="00E71BEE"/>
    <w:rsid w:val="00E723BA"/>
    <w:rsid w:val="00E7278E"/>
    <w:rsid w:val="00E72C8C"/>
    <w:rsid w:val="00E72D93"/>
    <w:rsid w:val="00E73581"/>
    <w:rsid w:val="00E73A49"/>
    <w:rsid w:val="00E73C23"/>
    <w:rsid w:val="00E73E70"/>
    <w:rsid w:val="00E74450"/>
    <w:rsid w:val="00E7494D"/>
    <w:rsid w:val="00E749E7"/>
    <w:rsid w:val="00E74A77"/>
    <w:rsid w:val="00E74E77"/>
    <w:rsid w:val="00E75044"/>
    <w:rsid w:val="00E7515E"/>
    <w:rsid w:val="00E7553B"/>
    <w:rsid w:val="00E755C9"/>
    <w:rsid w:val="00E75802"/>
    <w:rsid w:val="00E75BB8"/>
    <w:rsid w:val="00E75C0A"/>
    <w:rsid w:val="00E75E8A"/>
    <w:rsid w:val="00E76602"/>
    <w:rsid w:val="00E76DD8"/>
    <w:rsid w:val="00E7749A"/>
    <w:rsid w:val="00E7754F"/>
    <w:rsid w:val="00E7786C"/>
    <w:rsid w:val="00E80033"/>
    <w:rsid w:val="00E80355"/>
    <w:rsid w:val="00E80674"/>
    <w:rsid w:val="00E80F03"/>
    <w:rsid w:val="00E81462"/>
    <w:rsid w:val="00E81A59"/>
    <w:rsid w:val="00E81B64"/>
    <w:rsid w:val="00E81C72"/>
    <w:rsid w:val="00E81C75"/>
    <w:rsid w:val="00E826D4"/>
    <w:rsid w:val="00E827E0"/>
    <w:rsid w:val="00E82AD9"/>
    <w:rsid w:val="00E833F7"/>
    <w:rsid w:val="00E8341F"/>
    <w:rsid w:val="00E83437"/>
    <w:rsid w:val="00E83BDF"/>
    <w:rsid w:val="00E83C4A"/>
    <w:rsid w:val="00E8433D"/>
    <w:rsid w:val="00E84522"/>
    <w:rsid w:val="00E84631"/>
    <w:rsid w:val="00E84AA6"/>
    <w:rsid w:val="00E84D14"/>
    <w:rsid w:val="00E85D8D"/>
    <w:rsid w:val="00E85DF8"/>
    <w:rsid w:val="00E85F43"/>
    <w:rsid w:val="00E86269"/>
    <w:rsid w:val="00E86A64"/>
    <w:rsid w:val="00E86C8E"/>
    <w:rsid w:val="00E86E38"/>
    <w:rsid w:val="00E87268"/>
    <w:rsid w:val="00E872E6"/>
    <w:rsid w:val="00E873D3"/>
    <w:rsid w:val="00E877E3"/>
    <w:rsid w:val="00E87A1D"/>
    <w:rsid w:val="00E9038E"/>
    <w:rsid w:val="00E9094A"/>
    <w:rsid w:val="00E90D12"/>
    <w:rsid w:val="00E9120D"/>
    <w:rsid w:val="00E9135C"/>
    <w:rsid w:val="00E91405"/>
    <w:rsid w:val="00E915CE"/>
    <w:rsid w:val="00E9178E"/>
    <w:rsid w:val="00E91AB9"/>
    <w:rsid w:val="00E91D35"/>
    <w:rsid w:val="00E91DD7"/>
    <w:rsid w:val="00E920CD"/>
    <w:rsid w:val="00E92150"/>
    <w:rsid w:val="00E923BD"/>
    <w:rsid w:val="00E925FC"/>
    <w:rsid w:val="00E926A5"/>
    <w:rsid w:val="00E9296F"/>
    <w:rsid w:val="00E929F9"/>
    <w:rsid w:val="00E92DFA"/>
    <w:rsid w:val="00E92E7F"/>
    <w:rsid w:val="00E93362"/>
    <w:rsid w:val="00E9352D"/>
    <w:rsid w:val="00E93940"/>
    <w:rsid w:val="00E93D41"/>
    <w:rsid w:val="00E94323"/>
    <w:rsid w:val="00E943BE"/>
    <w:rsid w:val="00E94403"/>
    <w:rsid w:val="00E94A0D"/>
    <w:rsid w:val="00E94EFC"/>
    <w:rsid w:val="00E95003"/>
    <w:rsid w:val="00E9558F"/>
    <w:rsid w:val="00E9577B"/>
    <w:rsid w:val="00E95829"/>
    <w:rsid w:val="00E958E5"/>
    <w:rsid w:val="00E958FF"/>
    <w:rsid w:val="00E95BF0"/>
    <w:rsid w:val="00E96135"/>
    <w:rsid w:val="00E96496"/>
    <w:rsid w:val="00E97DE4"/>
    <w:rsid w:val="00EA013C"/>
    <w:rsid w:val="00EA0189"/>
    <w:rsid w:val="00EA0323"/>
    <w:rsid w:val="00EA0C4A"/>
    <w:rsid w:val="00EA0C95"/>
    <w:rsid w:val="00EA0E49"/>
    <w:rsid w:val="00EA11B1"/>
    <w:rsid w:val="00EA1246"/>
    <w:rsid w:val="00EA1693"/>
    <w:rsid w:val="00EA171A"/>
    <w:rsid w:val="00EA1790"/>
    <w:rsid w:val="00EA17C3"/>
    <w:rsid w:val="00EA1963"/>
    <w:rsid w:val="00EA1C82"/>
    <w:rsid w:val="00EA20AE"/>
    <w:rsid w:val="00EA2C8E"/>
    <w:rsid w:val="00EA2CAA"/>
    <w:rsid w:val="00EA2EED"/>
    <w:rsid w:val="00EA2FBF"/>
    <w:rsid w:val="00EA3003"/>
    <w:rsid w:val="00EA3864"/>
    <w:rsid w:val="00EA3AC0"/>
    <w:rsid w:val="00EA3DB9"/>
    <w:rsid w:val="00EA3E20"/>
    <w:rsid w:val="00EA3E5B"/>
    <w:rsid w:val="00EA4607"/>
    <w:rsid w:val="00EA4903"/>
    <w:rsid w:val="00EA4EAE"/>
    <w:rsid w:val="00EA5693"/>
    <w:rsid w:val="00EA59F3"/>
    <w:rsid w:val="00EA5A61"/>
    <w:rsid w:val="00EA5FC1"/>
    <w:rsid w:val="00EA66C4"/>
    <w:rsid w:val="00EA6DA6"/>
    <w:rsid w:val="00EA71EA"/>
    <w:rsid w:val="00EA7822"/>
    <w:rsid w:val="00EA7DE8"/>
    <w:rsid w:val="00EA7F1C"/>
    <w:rsid w:val="00EA7F79"/>
    <w:rsid w:val="00EB0163"/>
    <w:rsid w:val="00EB0394"/>
    <w:rsid w:val="00EB0648"/>
    <w:rsid w:val="00EB0A5B"/>
    <w:rsid w:val="00EB0F5B"/>
    <w:rsid w:val="00EB0F78"/>
    <w:rsid w:val="00EB11DD"/>
    <w:rsid w:val="00EB140F"/>
    <w:rsid w:val="00EB1556"/>
    <w:rsid w:val="00EB15B6"/>
    <w:rsid w:val="00EB17C8"/>
    <w:rsid w:val="00EB18F4"/>
    <w:rsid w:val="00EB1CD4"/>
    <w:rsid w:val="00EB1CDB"/>
    <w:rsid w:val="00EB1EFB"/>
    <w:rsid w:val="00EB22D0"/>
    <w:rsid w:val="00EB247D"/>
    <w:rsid w:val="00EB2DA5"/>
    <w:rsid w:val="00EB391A"/>
    <w:rsid w:val="00EB3966"/>
    <w:rsid w:val="00EB3C36"/>
    <w:rsid w:val="00EB3D06"/>
    <w:rsid w:val="00EB3DA0"/>
    <w:rsid w:val="00EB4611"/>
    <w:rsid w:val="00EB47C0"/>
    <w:rsid w:val="00EB4916"/>
    <w:rsid w:val="00EB49EF"/>
    <w:rsid w:val="00EB4CEC"/>
    <w:rsid w:val="00EB4D54"/>
    <w:rsid w:val="00EB4EEF"/>
    <w:rsid w:val="00EB5234"/>
    <w:rsid w:val="00EB5C2B"/>
    <w:rsid w:val="00EB5E3C"/>
    <w:rsid w:val="00EB641C"/>
    <w:rsid w:val="00EB69FF"/>
    <w:rsid w:val="00EB6A11"/>
    <w:rsid w:val="00EB6D08"/>
    <w:rsid w:val="00EB72C9"/>
    <w:rsid w:val="00EB730F"/>
    <w:rsid w:val="00EB7A42"/>
    <w:rsid w:val="00EB7E73"/>
    <w:rsid w:val="00EB7F85"/>
    <w:rsid w:val="00EC00C9"/>
    <w:rsid w:val="00EC044F"/>
    <w:rsid w:val="00EC0478"/>
    <w:rsid w:val="00EC04E2"/>
    <w:rsid w:val="00EC0AB1"/>
    <w:rsid w:val="00EC0DD9"/>
    <w:rsid w:val="00EC1377"/>
    <w:rsid w:val="00EC16BE"/>
    <w:rsid w:val="00EC18AA"/>
    <w:rsid w:val="00EC193D"/>
    <w:rsid w:val="00EC1AEE"/>
    <w:rsid w:val="00EC1C0E"/>
    <w:rsid w:val="00EC225B"/>
    <w:rsid w:val="00EC2306"/>
    <w:rsid w:val="00EC23F9"/>
    <w:rsid w:val="00EC23FF"/>
    <w:rsid w:val="00EC2649"/>
    <w:rsid w:val="00EC29B8"/>
    <w:rsid w:val="00EC2C0E"/>
    <w:rsid w:val="00EC31ED"/>
    <w:rsid w:val="00EC32AE"/>
    <w:rsid w:val="00EC3688"/>
    <w:rsid w:val="00EC3964"/>
    <w:rsid w:val="00EC3C5B"/>
    <w:rsid w:val="00EC41CA"/>
    <w:rsid w:val="00EC4203"/>
    <w:rsid w:val="00EC42F3"/>
    <w:rsid w:val="00EC4635"/>
    <w:rsid w:val="00EC485F"/>
    <w:rsid w:val="00EC5836"/>
    <w:rsid w:val="00EC5895"/>
    <w:rsid w:val="00EC5C23"/>
    <w:rsid w:val="00EC5D93"/>
    <w:rsid w:val="00EC5FD7"/>
    <w:rsid w:val="00EC616E"/>
    <w:rsid w:val="00EC666D"/>
    <w:rsid w:val="00EC672F"/>
    <w:rsid w:val="00EC688C"/>
    <w:rsid w:val="00EC6B3A"/>
    <w:rsid w:val="00EC7261"/>
    <w:rsid w:val="00EC77E7"/>
    <w:rsid w:val="00EC7A8A"/>
    <w:rsid w:val="00EC7C8E"/>
    <w:rsid w:val="00ED012F"/>
    <w:rsid w:val="00ED0279"/>
    <w:rsid w:val="00ED068F"/>
    <w:rsid w:val="00ED0736"/>
    <w:rsid w:val="00ED086F"/>
    <w:rsid w:val="00ED0D88"/>
    <w:rsid w:val="00ED10FC"/>
    <w:rsid w:val="00ED1145"/>
    <w:rsid w:val="00ED13FC"/>
    <w:rsid w:val="00ED17BE"/>
    <w:rsid w:val="00ED1A0D"/>
    <w:rsid w:val="00ED2461"/>
    <w:rsid w:val="00ED2490"/>
    <w:rsid w:val="00ED2AB4"/>
    <w:rsid w:val="00ED2E3B"/>
    <w:rsid w:val="00ED2F1B"/>
    <w:rsid w:val="00ED348C"/>
    <w:rsid w:val="00ED4351"/>
    <w:rsid w:val="00ED44D5"/>
    <w:rsid w:val="00ED46E2"/>
    <w:rsid w:val="00ED483E"/>
    <w:rsid w:val="00ED4E4A"/>
    <w:rsid w:val="00ED4EA9"/>
    <w:rsid w:val="00ED4F63"/>
    <w:rsid w:val="00ED4F8C"/>
    <w:rsid w:val="00ED5692"/>
    <w:rsid w:val="00ED57EA"/>
    <w:rsid w:val="00ED5BD4"/>
    <w:rsid w:val="00ED5E7F"/>
    <w:rsid w:val="00ED609C"/>
    <w:rsid w:val="00ED672D"/>
    <w:rsid w:val="00ED69AF"/>
    <w:rsid w:val="00ED69F5"/>
    <w:rsid w:val="00ED6E43"/>
    <w:rsid w:val="00ED75EE"/>
    <w:rsid w:val="00ED79DB"/>
    <w:rsid w:val="00ED7A94"/>
    <w:rsid w:val="00ED7BE0"/>
    <w:rsid w:val="00ED7D2D"/>
    <w:rsid w:val="00ED7DDC"/>
    <w:rsid w:val="00ED7E08"/>
    <w:rsid w:val="00EE048A"/>
    <w:rsid w:val="00EE0604"/>
    <w:rsid w:val="00EE07D3"/>
    <w:rsid w:val="00EE092C"/>
    <w:rsid w:val="00EE09CC"/>
    <w:rsid w:val="00EE0D75"/>
    <w:rsid w:val="00EE1751"/>
    <w:rsid w:val="00EE1996"/>
    <w:rsid w:val="00EE1C01"/>
    <w:rsid w:val="00EE1D7B"/>
    <w:rsid w:val="00EE20E8"/>
    <w:rsid w:val="00EE22AF"/>
    <w:rsid w:val="00EE22E5"/>
    <w:rsid w:val="00EE23B5"/>
    <w:rsid w:val="00EE2429"/>
    <w:rsid w:val="00EE2484"/>
    <w:rsid w:val="00EE2B81"/>
    <w:rsid w:val="00EE2B96"/>
    <w:rsid w:val="00EE2C0A"/>
    <w:rsid w:val="00EE2D3F"/>
    <w:rsid w:val="00EE2D8E"/>
    <w:rsid w:val="00EE2F9D"/>
    <w:rsid w:val="00EE3065"/>
    <w:rsid w:val="00EE33F5"/>
    <w:rsid w:val="00EE3716"/>
    <w:rsid w:val="00EE38B5"/>
    <w:rsid w:val="00EE3E76"/>
    <w:rsid w:val="00EE4C1F"/>
    <w:rsid w:val="00EE4E85"/>
    <w:rsid w:val="00EE518E"/>
    <w:rsid w:val="00EE51C9"/>
    <w:rsid w:val="00EE541F"/>
    <w:rsid w:val="00EE56E3"/>
    <w:rsid w:val="00EE57C7"/>
    <w:rsid w:val="00EE5CA7"/>
    <w:rsid w:val="00EE625C"/>
    <w:rsid w:val="00EE666F"/>
    <w:rsid w:val="00EE688D"/>
    <w:rsid w:val="00EE733B"/>
    <w:rsid w:val="00EE73C5"/>
    <w:rsid w:val="00EE73F4"/>
    <w:rsid w:val="00EE7404"/>
    <w:rsid w:val="00EE777A"/>
    <w:rsid w:val="00EE780B"/>
    <w:rsid w:val="00EE7920"/>
    <w:rsid w:val="00EF00D1"/>
    <w:rsid w:val="00EF0171"/>
    <w:rsid w:val="00EF025F"/>
    <w:rsid w:val="00EF02EC"/>
    <w:rsid w:val="00EF0403"/>
    <w:rsid w:val="00EF0562"/>
    <w:rsid w:val="00EF0606"/>
    <w:rsid w:val="00EF062C"/>
    <w:rsid w:val="00EF07EC"/>
    <w:rsid w:val="00EF0814"/>
    <w:rsid w:val="00EF09ED"/>
    <w:rsid w:val="00EF0CC2"/>
    <w:rsid w:val="00EF173B"/>
    <w:rsid w:val="00EF19E6"/>
    <w:rsid w:val="00EF1B25"/>
    <w:rsid w:val="00EF1DA0"/>
    <w:rsid w:val="00EF1EEA"/>
    <w:rsid w:val="00EF22E2"/>
    <w:rsid w:val="00EF27A3"/>
    <w:rsid w:val="00EF2811"/>
    <w:rsid w:val="00EF2E2D"/>
    <w:rsid w:val="00EF3582"/>
    <w:rsid w:val="00EF35A8"/>
    <w:rsid w:val="00EF3841"/>
    <w:rsid w:val="00EF38C5"/>
    <w:rsid w:val="00EF42D6"/>
    <w:rsid w:val="00EF4747"/>
    <w:rsid w:val="00EF4BF8"/>
    <w:rsid w:val="00EF4C4B"/>
    <w:rsid w:val="00EF51CF"/>
    <w:rsid w:val="00EF52CA"/>
    <w:rsid w:val="00EF54BC"/>
    <w:rsid w:val="00EF5541"/>
    <w:rsid w:val="00EF588A"/>
    <w:rsid w:val="00EF5944"/>
    <w:rsid w:val="00EF5C1B"/>
    <w:rsid w:val="00EF6099"/>
    <w:rsid w:val="00EF6400"/>
    <w:rsid w:val="00EF66E9"/>
    <w:rsid w:val="00EF6AE4"/>
    <w:rsid w:val="00EF6F3C"/>
    <w:rsid w:val="00EF6FCB"/>
    <w:rsid w:val="00EF71D0"/>
    <w:rsid w:val="00EF72B7"/>
    <w:rsid w:val="00EF7440"/>
    <w:rsid w:val="00EF7946"/>
    <w:rsid w:val="00EF7AE6"/>
    <w:rsid w:val="00EF7B7C"/>
    <w:rsid w:val="00EF7C7A"/>
    <w:rsid w:val="00F0072A"/>
    <w:rsid w:val="00F0096C"/>
    <w:rsid w:val="00F00DBB"/>
    <w:rsid w:val="00F0121C"/>
    <w:rsid w:val="00F016AC"/>
    <w:rsid w:val="00F01707"/>
    <w:rsid w:val="00F017A1"/>
    <w:rsid w:val="00F01CAD"/>
    <w:rsid w:val="00F020A9"/>
    <w:rsid w:val="00F02253"/>
    <w:rsid w:val="00F025CA"/>
    <w:rsid w:val="00F028C7"/>
    <w:rsid w:val="00F02B78"/>
    <w:rsid w:val="00F03210"/>
    <w:rsid w:val="00F032D7"/>
    <w:rsid w:val="00F03606"/>
    <w:rsid w:val="00F03617"/>
    <w:rsid w:val="00F03658"/>
    <w:rsid w:val="00F03956"/>
    <w:rsid w:val="00F03ABC"/>
    <w:rsid w:val="00F03C2E"/>
    <w:rsid w:val="00F04033"/>
    <w:rsid w:val="00F0446D"/>
    <w:rsid w:val="00F04A66"/>
    <w:rsid w:val="00F04B4B"/>
    <w:rsid w:val="00F04D37"/>
    <w:rsid w:val="00F0516C"/>
    <w:rsid w:val="00F065AC"/>
    <w:rsid w:val="00F067A2"/>
    <w:rsid w:val="00F06D05"/>
    <w:rsid w:val="00F06D49"/>
    <w:rsid w:val="00F06DA1"/>
    <w:rsid w:val="00F06F86"/>
    <w:rsid w:val="00F07071"/>
    <w:rsid w:val="00F07174"/>
    <w:rsid w:val="00F07265"/>
    <w:rsid w:val="00F07613"/>
    <w:rsid w:val="00F07A5A"/>
    <w:rsid w:val="00F07B32"/>
    <w:rsid w:val="00F07B9E"/>
    <w:rsid w:val="00F07DA8"/>
    <w:rsid w:val="00F07DB7"/>
    <w:rsid w:val="00F1025F"/>
    <w:rsid w:val="00F10790"/>
    <w:rsid w:val="00F10887"/>
    <w:rsid w:val="00F1116F"/>
    <w:rsid w:val="00F1119D"/>
    <w:rsid w:val="00F11A5D"/>
    <w:rsid w:val="00F11B54"/>
    <w:rsid w:val="00F11CF5"/>
    <w:rsid w:val="00F11F5D"/>
    <w:rsid w:val="00F122DE"/>
    <w:rsid w:val="00F1263A"/>
    <w:rsid w:val="00F12807"/>
    <w:rsid w:val="00F12989"/>
    <w:rsid w:val="00F12AAE"/>
    <w:rsid w:val="00F12E95"/>
    <w:rsid w:val="00F13111"/>
    <w:rsid w:val="00F13A48"/>
    <w:rsid w:val="00F14098"/>
    <w:rsid w:val="00F14123"/>
    <w:rsid w:val="00F1413F"/>
    <w:rsid w:val="00F142A0"/>
    <w:rsid w:val="00F146D6"/>
    <w:rsid w:val="00F14AB9"/>
    <w:rsid w:val="00F14AFC"/>
    <w:rsid w:val="00F14D3A"/>
    <w:rsid w:val="00F14EDC"/>
    <w:rsid w:val="00F14FC3"/>
    <w:rsid w:val="00F152D6"/>
    <w:rsid w:val="00F15987"/>
    <w:rsid w:val="00F15A96"/>
    <w:rsid w:val="00F15B77"/>
    <w:rsid w:val="00F15F94"/>
    <w:rsid w:val="00F16050"/>
    <w:rsid w:val="00F165BD"/>
    <w:rsid w:val="00F167CA"/>
    <w:rsid w:val="00F16992"/>
    <w:rsid w:val="00F16A51"/>
    <w:rsid w:val="00F16D60"/>
    <w:rsid w:val="00F171DD"/>
    <w:rsid w:val="00F1796E"/>
    <w:rsid w:val="00F17C80"/>
    <w:rsid w:val="00F17FCB"/>
    <w:rsid w:val="00F2045B"/>
    <w:rsid w:val="00F205C0"/>
    <w:rsid w:val="00F205FF"/>
    <w:rsid w:val="00F2069B"/>
    <w:rsid w:val="00F20A7F"/>
    <w:rsid w:val="00F20D85"/>
    <w:rsid w:val="00F20FE7"/>
    <w:rsid w:val="00F21004"/>
    <w:rsid w:val="00F2109D"/>
    <w:rsid w:val="00F21670"/>
    <w:rsid w:val="00F22120"/>
    <w:rsid w:val="00F22BA0"/>
    <w:rsid w:val="00F23C13"/>
    <w:rsid w:val="00F23E07"/>
    <w:rsid w:val="00F24350"/>
    <w:rsid w:val="00F243D0"/>
    <w:rsid w:val="00F24837"/>
    <w:rsid w:val="00F24972"/>
    <w:rsid w:val="00F24FC6"/>
    <w:rsid w:val="00F2556B"/>
    <w:rsid w:val="00F2564B"/>
    <w:rsid w:val="00F2575F"/>
    <w:rsid w:val="00F260AB"/>
    <w:rsid w:val="00F2699C"/>
    <w:rsid w:val="00F26B7D"/>
    <w:rsid w:val="00F272A8"/>
    <w:rsid w:val="00F2733E"/>
    <w:rsid w:val="00F274F6"/>
    <w:rsid w:val="00F27565"/>
    <w:rsid w:val="00F278C2"/>
    <w:rsid w:val="00F27BAB"/>
    <w:rsid w:val="00F27BE9"/>
    <w:rsid w:val="00F30665"/>
    <w:rsid w:val="00F306AC"/>
    <w:rsid w:val="00F3080C"/>
    <w:rsid w:val="00F30A33"/>
    <w:rsid w:val="00F30AFF"/>
    <w:rsid w:val="00F30FAA"/>
    <w:rsid w:val="00F310D4"/>
    <w:rsid w:val="00F312E2"/>
    <w:rsid w:val="00F3195D"/>
    <w:rsid w:val="00F31D5A"/>
    <w:rsid w:val="00F3207D"/>
    <w:rsid w:val="00F32622"/>
    <w:rsid w:val="00F327DC"/>
    <w:rsid w:val="00F32C13"/>
    <w:rsid w:val="00F3316B"/>
    <w:rsid w:val="00F33191"/>
    <w:rsid w:val="00F33975"/>
    <w:rsid w:val="00F33DE9"/>
    <w:rsid w:val="00F33F7A"/>
    <w:rsid w:val="00F340D1"/>
    <w:rsid w:val="00F34A67"/>
    <w:rsid w:val="00F34A6F"/>
    <w:rsid w:val="00F34DA7"/>
    <w:rsid w:val="00F34DDE"/>
    <w:rsid w:val="00F34EE8"/>
    <w:rsid w:val="00F34FDC"/>
    <w:rsid w:val="00F35785"/>
    <w:rsid w:val="00F35E6D"/>
    <w:rsid w:val="00F3619A"/>
    <w:rsid w:val="00F361C6"/>
    <w:rsid w:val="00F36596"/>
    <w:rsid w:val="00F3666C"/>
    <w:rsid w:val="00F3686C"/>
    <w:rsid w:val="00F36B62"/>
    <w:rsid w:val="00F36C87"/>
    <w:rsid w:val="00F36E01"/>
    <w:rsid w:val="00F3706E"/>
    <w:rsid w:val="00F379D8"/>
    <w:rsid w:val="00F379FD"/>
    <w:rsid w:val="00F37BA9"/>
    <w:rsid w:val="00F37D60"/>
    <w:rsid w:val="00F37DE4"/>
    <w:rsid w:val="00F37F13"/>
    <w:rsid w:val="00F40121"/>
    <w:rsid w:val="00F40560"/>
    <w:rsid w:val="00F40799"/>
    <w:rsid w:val="00F40A2F"/>
    <w:rsid w:val="00F40AAA"/>
    <w:rsid w:val="00F40BA7"/>
    <w:rsid w:val="00F40F9D"/>
    <w:rsid w:val="00F40FA1"/>
    <w:rsid w:val="00F413D3"/>
    <w:rsid w:val="00F41A4C"/>
    <w:rsid w:val="00F41ACD"/>
    <w:rsid w:val="00F41FD0"/>
    <w:rsid w:val="00F42012"/>
    <w:rsid w:val="00F422C2"/>
    <w:rsid w:val="00F423B6"/>
    <w:rsid w:val="00F42BA2"/>
    <w:rsid w:val="00F42F65"/>
    <w:rsid w:val="00F431B8"/>
    <w:rsid w:val="00F43559"/>
    <w:rsid w:val="00F43581"/>
    <w:rsid w:val="00F43C38"/>
    <w:rsid w:val="00F43EAC"/>
    <w:rsid w:val="00F44482"/>
    <w:rsid w:val="00F4463E"/>
    <w:rsid w:val="00F44AFE"/>
    <w:rsid w:val="00F44D47"/>
    <w:rsid w:val="00F45B20"/>
    <w:rsid w:val="00F45D11"/>
    <w:rsid w:val="00F45DA1"/>
    <w:rsid w:val="00F46448"/>
    <w:rsid w:val="00F46CB6"/>
    <w:rsid w:val="00F4756D"/>
    <w:rsid w:val="00F47BAC"/>
    <w:rsid w:val="00F47D3B"/>
    <w:rsid w:val="00F47DE8"/>
    <w:rsid w:val="00F47E6B"/>
    <w:rsid w:val="00F47F00"/>
    <w:rsid w:val="00F50230"/>
    <w:rsid w:val="00F50570"/>
    <w:rsid w:val="00F507AC"/>
    <w:rsid w:val="00F508AA"/>
    <w:rsid w:val="00F50B3D"/>
    <w:rsid w:val="00F50C38"/>
    <w:rsid w:val="00F511B7"/>
    <w:rsid w:val="00F518DE"/>
    <w:rsid w:val="00F51B96"/>
    <w:rsid w:val="00F5220E"/>
    <w:rsid w:val="00F52487"/>
    <w:rsid w:val="00F52635"/>
    <w:rsid w:val="00F52B6B"/>
    <w:rsid w:val="00F52BC3"/>
    <w:rsid w:val="00F52CC9"/>
    <w:rsid w:val="00F52CD5"/>
    <w:rsid w:val="00F52CDF"/>
    <w:rsid w:val="00F52FA1"/>
    <w:rsid w:val="00F53582"/>
    <w:rsid w:val="00F536AB"/>
    <w:rsid w:val="00F538D8"/>
    <w:rsid w:val="00F53C7C"/>
    <w:rsid w:val="00F5405D"/>
    <w:rsid w:val="00F54263"/>
    <w:rsid w:val="00F542C1"/>
    <w:rsid w:val="00F543D3"/>
    <w:rsid w:val="00F544AA"/>
    <w:rsid w:val="00F54C16"/>
    <w:rsid w:val="00F555A8"/>
    <w:rsid w:val="00F556FC"/>
    <w:rsid w:val="00F55734"/>
    <w:rsid w:val="00F558BA"/>
    <w:rsid w:val="00F558CC"/>
    <w:rsid w:val="00F55CAC"/>
    <w:rsid w:val="00F55D39"/>
    <w:rsid w:val="00F55E73"/>
    <w:rsid w:val="00F55EDA"/>
    <w:rsid w:val="00F56085"/>
    <w:rsid w:val="00F560C1"/>
    <w:rsid w:val="00F5615D"/>
    <w:rsid w:val="00F56C80"/>
    <w:rsid w:val="00F56CCB"/>
    <w:rsid w:val="00F57113"/>
    <w:rsid w:val="00F575DD"/>
    <w:rsid w:val="00F60077"/>
    <w:rsid w:val="00F60092"/>
    <w:rsid w:val="00F6074A"/>
    <w:rsid w:val="00F60814"/>
    <w:rsid w:val="00F60B4D"/>
    <w:rsid w:val="00F6134D"/>
    <w:rsid w:val="00F61617"/>
    <w:rsid w:val="00F61702"/>
    <w:rsid w:val="00F61715"/>
    <w:rsid w:val="00F61A87"/>
    <w:rsid w:val="00F61C18"/>
    <w:rsid w:val="00F6202D"/>
    <w:rsid w:val="00F629FF"/>
    <w:rsid w:val="00F62AA9"/>
    <w:rsid w:val="00F62F69"/>
    <w:rsid w:val="00F6309D"/>
    <w:rsid w:val="00F63182"/>
    <w:rsid w:val="00F635E6"/>
    <w:rsid w:val="00F635EB"/>
    <w:rsid w:val="00F6373F"/>
    <w:rsid w:val="00F63797"/>
    <w:rsid w:val="00F63855"/>
    <w:rsid w:val="00F63DCF"/>
    <w:rsid w:val="00F646BD"/>
    <w:rsid w:val="00F649C5"/>
    <w:rsid w:val="00F64B2C"/>
    <w:rsid w:val="00F64CC3"/>
    <w:rsid w:val="00F64D7C"/>
    <w:rsid w:val="00F6526C"/>
    <w:rsid w:val="00F65450"/>
    <w:rsid w:val="00F65F4B"/>
    <w:rsid w:val="00F663FA"/>
    <w:rsid w:val="00F6669D"/>
    <w:rsid w:val="00F66EB4"/>
    <w:rsid w:val="00F67149"/>
    <w:rsid w:val="00F67376"/>
    <w:rsid w:val="00F6737C"/>
    <w:rsid w:val="00F675A6"/>
    <w:rsid w:val="00F67602"/>
    <w:rsid w:val="00F67883"/>
    <w:rsid w:val="00F67A69"/>
    <w:rsid w:val="00F70344"/>
    <w:rsid w:val="00F7069D"/>
    <w:rsid w:val="00F70BFF"/>
    <w:rsid w:val="00F70C61"/>
    <w:rsid w:val="00F70C9D"/>
    <w:rsid w:val="00F70EA9"/>
    <w:rsid w:val="00F713DF"/>
    <w:rsid w:val="00F715B7"/>
    <w:rsid w:val="00F71668"/>
    <w:rsid w:val="00F717C5"/>
    <w:rsid w:val="00F71A6B"/>
    <w:rsid w:val="00F721BD"/>
    <w:rsid w:val="00F72250"/>
    <w:rsid w:val="00F72C2A"/>
    <w:rsid w:val="00F72CA6"/>
    <w:rsid w:val="00F730ED"/>
    <w:rsid w:val="00F73101"/>
    <w:rsid w:val="00F732C2"/>
    <w:rsid w:val="00F73714"/>
    <w:rsid w:val="00F737DC"/>
    <w:rsid w:val="00F7382C"/>
    <w:rsid w:val="00F73CB0"/>
    <w:rsid w:val="00F744DE"/>
    <w:rsid w:val="00F745D3"/>
    <w:rsid w:val="00F7470A"/>
    <w:rsid w:val="00F7489E"/>
    <w:rsid w:val="00F74CD9"/>
    <w:rsid w:val="00F74E3F"/>
    <w:rsid w:val="00F74F88"/>
    <w:rsid w:val="00F757F5"/>
    <w:rsid w:val="00F758E8"/>
    <w:rsid w:val="00F75A2E"/>
    <w:rsid w:val="00F76054"/>
    <w:rsid w:val="00F761EA"/>
    <w:rsid w:val="00F767E2"/>
    <w:rsid w:val="00F767FF"/>
    <w:rsid w:val="00F76BB1"/>
    <w:rsid w:val="00F76F04"/>
    <w:rsid w:val="00F7705F"/>
    <w:rsid w:val="00F77315"/>
    <w:rsid w:val="00F773B9"/>
    <w:rsid w:val="00F77447"/>
    <w:rsid w:val="00F77A17"/>
    <w:rsid w:val="00F77CE6"/>
    <w:rsid w:val="00F77D3B"/>
    <w:rsid w:val="00F77DFB"/>
    <w:rsid w:val="00F800BA"/>
    <w:rsid w:val="00F8028C"/>
    <w:rsid w:val="00F80A7B"/>
    <w:rsid w:val="00F80BE5"/>
    <w:rsid w:val="00F80D53"/>
    <w:rsid w:val="00F80E5D"/>
    <w:rsid w:val="00F8110F"/>
    <w:rsid w:val="00F811CA"/>
    <w:rsid w:val="00F8134C"/>
    <w:rsid w:val="00F8136F"/>
    <w:rsid w:val="00F81446"/>
    <w:rsid w:val="00F814C4"/>
    <w:rsid w:val="00F816B5"/>
    <w:rsid w:val="00F81A1F"/>
    <w:rsid w:val="00F81A9A"/>
    <w:rsid w:val="00F81B9B"/>
    <w:rsid w:val="00F81D12"/>
    <w:rsid w:val="00F81E78"/>
    <w:rsid w:val="00F822C6"/>
    <w:rsid w:val="00F823CE"/>
    <w:rsid w:val="00F825E2"/>
    <w:rsid w:val="00F82F77"/>
    <w:rsid w:val="00F83711"/>
    <w:rsid w:val="00F84157"/>
    <w:rsid w:val="00F8468A"/>
    <w:rsid w:val="00F8475E"/>
    <w:rsid w:val="00F84AA0"/>
    <w:rsid w:val="00F84AF6"/>
    <w:rsid w:val="00F851CE"/>
    <w:rsid w:val="00F85553"/>
    <w:rsid w:val="00F85C78"/>
    <w:rsid w:val="00F85E88"/>
    <w:rsid w:val="00F860E0"/>
    <w:rsid w:val="00F86984"/>
    <w:rsid w:val="00F86CE6"/>
    <w:rsid w:val="00F86FF2"/>
    <w:rsid w:val="00F87011"/>
    <w:rsid w:val="00F8705F"/>
    <w:rsid w:val="00F8738D"/>
    <w:rsid w:val="00F87720"/>
    <w:rsid w:val="00F87905"/>
    <w:rsid w:val="00F901AE"/>
    <w:rsid w:val="00F90336"/>
    <w:rsid w:val="00F903E5"/>
    <w:rsid w:val="00F9040A"/>
    <w:rsid w:val="00F904A0"/>
    <w:rsid w:val="00F90715"/>
    <w:rsid w:val="00F90C6F"/>
    <w:rsid w:val="00F91219"/>
    <w:rsid w:val="00F9154F"/>
    <w:rsid w:val="00F91859"/>
    <w:rsid w:val="00F91CBD"/>
    <w:rsid w:val="00F91D09"/>
    <w:rsid w:val="00F9200C"/>
    <w:rsid w:val="00F92444"/>
    <w:rsid w:val="00F9263F"/>
    <w:rsid w:val="00F926DA"/>
    <w:rsid w:val="00F9306D"/>
    <w:rsid w:val="00F9308C"/>
    <w:rsid w:val="00F9320C"/>
    <w:rsid w:val="00F9366F"/>
    <w:rsid w:val="00F936A5"/>
    <w:rsid w:val="00F9393E"/>
    <w:rsid w:val="00F93A23"/>
    <w:rsid w:val="00F93E93"/>
    <w:rsid w:val="00F93F1E"/>
    <w:rsid w:val="00F9400E"/>
    <w:rsid w:val="00F94267"/>
    <w:rsid w:val="00F9472C"/>
    <w:rsid w:val="00F94A66"/>
    <w:rsid w:val="00F94AA5"/>
    <w:rsid w:val="00F94F75"/>
    <w:rsid w:val="00F94F79"/>
    <w:rsid w:val="00F951E5"/>
    <w:rsid w:val="00F9551D"/>
    <w:rsid w:val="00F95D72"/>
    <w:rsid w:val="00F95EA9"/>
    <w:rsid w:val="00F95FDE"/>
    <w:rsid w:val="00F96204"/>
    <w:rsid w:val="00F9620B"/>
    <w:rsid w:val="00F96620"/>
    <w:rsid w:val="00F96936"/>
    <w:rsid w:val="00F96D3D"/>
    <w:rsid w:val="00F96D5E"/>
    <w:rsid w:val="00F96F9F"/>
    <w:rsid w:val="00F96FD0"/>
    <w:rsid w:val="00F97105"/>
    <w:rsid w:val="00F971BE"/>
    <w:rsid w:val="00F97274"/>
    <w:rsid w:val="00F9731C"/>
    <w:rsid w:val="00F97A78"/>
    <w:rsid w:val="00FA033D"/>
    <w:rsid w:val="00FA03A8"/>
    <w:rsid w:val="00FA0454"/>
    <w:rsid w:val="00FA0A58"/>
    <w:rsid w:val="00FA0B20"/>
    <w:rsid w:val="00FA1113"/>
    <w:rsid w:val="00FA111F"/>
    <w:rsid w:val="00FA1384"/>
    <w:rsid w:val="00FA14C1"/>
    <w:rsid w:val="00FA17CC"/>
    <w:rsid w:val="00FA1DCE"/>
    <w:rsid w:val="00FA1F9E"/>
    <w:rsid w:val="00FA2009"/>
    <w:rsid w:val="00FA21D7"/>
    <w:rsid w:val="00FA232D"/>
    <w:rsid w:val="00FA24E7"/>
    <w:rsid w:val="00FA26CC"/>
    <w:rsid w:val="00FA2AE3"/>
    <w:rsid w:val="00FA2B1C"/>
    <w:rsid w:val="00FA30DC"/>
    <w:rsid w:val="00FA33F5"/>
    <w:rsid w:val="00FA399E"/>
    <w:rsid w:val="00FA3B37"/>
    <w:rsid w:val="00FA3CE7"/>
    <w:rsid w:val="00FA3DF8"/>
    <w:rsid w:val="00FA3FF0"/>
    <w:rsid w:val="00FA42A4"/>
    <w:rsid w:val="00FA4614"/>
    <w:rsid w:val="00FA47C0"/>
    <w:rsid w:val="00FA4856"/>
    <w:rsid w:val="00FA4868"/>
    <w:rsid w:val="00FA4876"/>
    <w:rsid w:val="00FA4C28"/>
    <w:rsid w:val="00FA4D30"/>
    <w:rsid w:val="00FA4F5D"/>
    <w:rsid w:val="00FA51BA"/>
    <w:rsid w:val="00FA5B36"/>
    <w:rsid w:val="00FA5EE6"/>
    <w:rsid w:val="00FA5FDA"/>
    <w:rsid w:val="00FA615E"/>
    <w:rsid w:val="00FA650F"/>
    <w:rsid w:val="00FA6572"/>
    <w:rsid w:val="00FA67B4"/>
    <w:rsid w:val="00FA71BF"/>
    <w:rsid w:val="00FA7896"/>
    <w:rsid w:val="00FA7956"/>
    <w:rsid w:val="00FA7F0C"/>
    <w:rsid w:val="00FB0159"/>
    <w:rsid w:val="00FB01DB"/>
    <w:rsid w:val="00FB046A"/>
    <w:rsid w:val="00FB089E"/>
    <w:rsid w:val="00FB1339"/>
    <w:rsid w:val="00FB1377"/>
    <w:rsid w:val="00FB1480"/>
    <w:rsid w:val="00FB1C16"/>
    <w:rsid w:val="00FB1DF4"/>
    <w:rsid w:val="00FB242C"/>
    <w:rsid w:val="00FB2715"/>
    <w:rsid w:val="00FB2ABD"/>
    <w:rsid w:val="00FB2E48"/>
    <w:rsid w:val="00FB2FB7"/>
    <w:rsid w:val="00FB2FCB"/>
    <w:rsid w:val="00FB3109"/>
    <w:rsid w:val="00FB359C"/>
    <w:rsid w:val="00FB36F3"/>
    <w:rsid w:val="00FB378D"/>
    <w:rsid w:val="00FB4069"/>
    <w:rsid w:val="00FB470A"/>
    <w:rsid w:val="00FB4A57"/>
    <w:rsid w:val="00FB4AFF"/>
    <w:rsid w:val="00FB4CBF"/>
    <w:rsid w:val="00FB4F5D"/>
    <w:rsid w:val="00FB4F68"/>
    <w:rsid w:val="00FB4FF9"/>
    <w:rsid w:val="00FB508B"/>
    <w:rsid w:val="00FB54B5"/>
    <w:rsid w:val="00FB5D0E"/>
    <w:rsid w:val="00FB633D"/>
    <w:rsid w:val="00FB6C00"/>
    <w:rsid w:val="00FB6DC6"/>
    <w:rsid w:val="00FB70F6"/>
    <w:rsid w:val="00FB72EB"/>
    <w:rsid w:val="00FB75FE"/>
    <w:rsid w:val="00FB77B5"/>
    <w:rsid w:val="00FB7808"/>
    <w:rsid w:val="00FB7B70"/>
    <w:rsid w:val="00FB7C55"/>
    <w:rsid w:val="00FB7C8A"/>
    <w:rsid w:val="00FB7D80"/>
    <w:rsid w:val="00FB7E62"/>
    <w:rsid w:val="00FC0345"/>
    <w:rsid w:val="00FC040E"/>
    <w:rsid w:val="00FC0A89"/>
    <w:rsid w:val="00FC0BA4"/>
    <w:rsid w:val="00FC1074"/>
    <w:rsid w:val="00FC1182"/>
    <w:rsid w:val="00FC13C5"/>
    <w:rsid w:val="00FC15B4"/>
    <w:rsid w:val="00FC1884"/>
    <w:rsid w:val="00FC1901"/>
    <w:rsid w:val="00FC19C3"/>
    <w:rsid w:val="00FC1F08"/>
    <w:rsid w:val="00FC2476"/>
    <w:rsid w:val="00FC24B8"/>
    <w:rsid w:val="00FC2BF0"/>
    <w:rsid w:val="00FC371D"/>
    <w:rsid w:val="00FC3B48"/>
    <w:rsid w:val="00FC3D02"/>
    <w:rsid w:val="00FC3F78"/>
    <w:rsid w:val="00FC4011"/>
    <w:rsid w:val="00FC4325"/>
    <w:rsid w:val="00FC4445"/>
    <w:rsid w:val="00FC4742"/>
    <w:rsid w:val="00FC4891"/>
    <w:rsid w:val="00FC48A9"/>
    <w:rsid w:val="00FC4B6A"/>
    <w:rsid w:val="00FC50D6"/>
    <w:rsid w:val="00FC545B"/>
    <w:rsid w:val="00FC565F"/>
    <w:rsid w:val="00FC5738"/>
    <w:rsid w:val="00FC58EA"/>
    <w:rsid w:val="00FC5AF9"/>
    <w:rsid w:val="00FC5E77"/>
    <w:rsid w:val="00FC5F0B"/>
    <w:rsid w:val="00FC66F5"/>
    <w:rsid w:val="00FC6772"/>
    <w:rsid w:val="00FC68DE"/>
    <w:rsid w:val="00FC69E2"/>
    <w:rsid w:val="00FC6B03"/>
    <w:rsid w:val="00FC6B20"/>
    <w:rsid w:val="00FC709E"/>
    <w:rsid w:val="00FC71B4"/>
    <w:rsid w:val="00FC724B"/>
    <w:rsid w:val="00FC72EB"/>
    <w:rsid w:val="00FC753B"/>
    <w:rsid w:val="00FC7743"/>
    <w:rsid w:val="00FC7D0F"/>
    <w:rsid w:val="00FD010C"/>
    <w:rsid w:val="00FD0134"/>
    <w:rsid w:val="00FD023C"/>
    <w:rsid w:val="00FD027C"/>
    <w:rsid w:val="00FD0419"/>
    <w:rsid w:val="00FD116B"/>
    <w:rsid w:val="00FD13FA"/>
    <w:rsid w:val="00FD1809"/>
    <w:rsid w:val="00FD1EB7"/>
    <w:rsid w:val="00FD2041"/>
    <w:rsid w:val="00FD20BD"/>
    <w:rsid w:val="00FD2100"/>
    <w:rsid w:val="00FD26BF"/>
    <w:rsid w:val="00FD2764"/>
    <w:rsid w:val="00FD2D07"/>
    <w:rsid w:val="00FD2F5A"/>
    <w:rsid w:val="00FD32BA"/>
    <w:rsid w:val="00FD38FB"/>
    <w:rsid w:val="00FD39CF"/>
    <w:rsid w:val="00FD3C3E"/>
    <w:rsid w:val="00FD3E2D"/>
    <w:rsid w:val="00FD3EBD"/>
    <w:rsid w:val="00FD432F"/>
    <w:rsid w:val="00FD436C"/>
    <w:rsid w:val="00FD446D"/>
    <w:rsid w:val="00FD45BE"/>
    <w:rsid w:val="00FD4A9C"/>
    <w:rsid w:val="00FD4F2C"/>
    <w:rsid w:val="00FD51F0"/>
    <w:rsid w:val="00FD5208"/>
    <w:rsid w:val="00FD52AB"/>
    <w:rsid w:val="00FD5752"/>
    <w:rsid w:val="00FD5C85"/>
    <w:rsid w:val="00FD6394"/>
    <w:rsid w:val="00FD6605"/>
    <w:rsid w:val="00FD6BA2"/>
    <w:rsid w:val="00FD7201"/>
    <w:rsid w:val="00FD7591"/>
    <w:rsid w:val="00FD78D6"/>
    <w:rsid w:val="00FE0057"/>
    <w:rsid w:val="00FE01AE"/>
    <w:rsid w:val="00FE03BE"/>
    <w:rsid w:val="00FE097C"/>
    <w:rsid w:val="00FE09C6"/>
    <w:rsid w:val="00FE0B2E"/>
    <w:rsid w:val="00FE0BF2"/>
    <w:rsid w:val="00FE0E6C"/>
    <w:rsid w:val="00FE1449"/>
    <w:rsid w:val="00FE1A9F"/>
    <w:rsid w:val="00FE1BC1"/>
    <w:rsid w:val="00FE1CDC"/>
    <w:rsid w:val="00FE1DD2"/>
    <w:rsid w:val="00FE20A7"/>
    <w:rsid w:val="00FE20EF"/>
    <w:rsid w:val="00FE2F72"/>
    <w:rsid w:val="00FE31CF"/>
    <w:rsid w:val="00FE3664"/>
    <w:rsid w:val="00FE36C9"/>
    <w:rsid w:val="00FE3834"/>
    <w:rsid w:val="00FE3A9D"/>
    <w:rsid w:val="00FE3C3F"/>
    <w:rsid w:val="00FE3EC9"/>
    <w:rsid w:val="00FE3FD5"/>
    <w:rsid w:val="00FE4645"/>
    <w:rsid w:val="00FE48D6"/>
    <w:rsid w:val="00FE4B6A"/>
    <w:rsid w:val="00FE4C02"/>
    <w:rsid w:val="00FE5066"/>
    <w:rsid w:val="00FE5463"/>
    <w:rsid w:val="00FE57A1"/>
    <w:rsid w:val="00FE6962"/>
    <w:rsid w:val="00FE6B97"/>
    <w:rsid w:val="00FE6D54"/>
    <w:rsid w:val="00FE70C3"/>
    <w:rsid w:val="00FE7409"/>
    <w:rsid w:val="00FF0177"/>
    <w:rsid w:val="00FF06AD"/>
    <w:rsid w:val="00FF0A6A"/>
    <w:rsid w:val="00FF0A9E"/>
    <w:rsid w:val="00FF0B8E"/>
    <w:rsid w:val="00FF0BE0"/>
    <w:rsid w:val="00FF0C83"/>
    <w:rsid w:val="00FF0CCA"/>
    <w:rsid w:val="00FF0E53"/>
    <w:rsid w:val="00FF10CB"/>
    <w:rsid w:val="00FF133B"/>
    <w:rsid w:val="00FF144B"/>
    <w:rsid w:val="00FF14C9"/>
    <w:rsid w:val="00FF20D0"/>
    <w:rsid w:val="00FF2615"/>
    <w:rsid w:val="00FF2AD9"/>
    <w:rsid w:val="00FF2C04"/>
    <w:rsid w:val="00FF2EA8"/>
    <w:rsid w:val="00FF306E"/>
    <w:rsid w:val="00FF3155"/>
    <w:rsid w:val="00FF32F1"/>
    <w:rsid w:val="00FF359F"/>
    <w:rsid w:val="00FF3B8A"/>
    <w:rsid w:val="00FF3DCF"/>
    <w:rsid w:val="00FF492C"/>
    <w:rsid w:val="00FF49E3"/>
    <w:rsid w:val="00FF4A21"/>
    <w:rsid w:val="00FF4E83"/>
    <w:rsid w:val="00FF5528"/>
    <w:rsid w:val="00FF55A5"/>
    <w:rsid w:val="00FF55F9"/>
    <w:rsid w:val="00FF566C"/>
    <w:rsid w:val="00FF5909"/>
    <w:rsid w:val="00FF5A79"/>
    <w:rsid w:val="00FF5AA3"/>
    <w:rsid w:val="00FF5AD8"/>
    <w:rsid w:val="00FF5F23"/>
    <w:rsid w:val="00FF67AE"/>
    <w:rsid w:val="00FF6860"/>
    <w:rsid w:val="00FF69ED"/>
    <w:rsid w:val="00FF6CFD"/>
    <w:rsid w:val="00FF792B"/>
    <w:rsid w:val="00FF7CD4"/>
    <w:rsid w:val="00FF7DAE"/>
    <w:rsid w:val="00FF7FA4"/>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2289"/>
    <o:shapelayout v:ext="edit">
      <o:idmap v:ext="edit" data="1"/>
    </o:shapelayout>
  </w:shapeDefaults>
  <w:decimalSymbol w:val="."/>
  <w:listSeparator w:val=","/>
  <w14:docId w14:val="04407B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Normal" w:qFormat="1"/>
    <w:lsdException w:name="heading 1" w:uiPriority="1"/>
    <w:lsdException w:name="heading 7" w:semiHidden="1" w:unhideWhenUsed="1"/>
    <w:lsdException w:name="heading 8" w:semiHidden="1" w:uiPriority="7"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iPriority="39"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qFormat="1"/>
    <w:lsdException w:name="header" w:semiHidden="1" w:unhideWhenUsed="1" w:qFormat="1"/>
    <w:lsdException w:name="footer" w:semiHidden="1" w:uiPriority="99"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39"/>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7681C"/>
    <w:pPr>
      <w:jc w:val="both"/>
    </w:pPr>
    <w:rPr>
      <w:rFonts w:ascii="Calibri" w:hAnsi="Calibri" w:cs="Arial"/>
      <w:sz w:val="24"/>
      <w:szCs w:val="24"/>
    </w:rPr>
  </w:style>
  <w:style w:type="paragraph" w:styleId="Heading1">
    <w:name w:val="heading 1"/>
    <w:basedOn w:val="Normal"/>
    <w:next w:val="Normal"/>
    <w:uiPriority w:val="1"/>
    <w:rsid w:val="001B204E"/>
    <w:pPr>
      <w:ind w:left="720" w:hanging="720"/>
      <w:outlineLvl w:val="0"/>
    </w:pPr>
    <w:rPr>
      <w:b/>
      <w:caps/>
      <w:sz w:val="32"/>
    </w:rPr>
  </w:style>
  <w:style w:type="paragraph" w:styleId="Heading2">
    <w:name w:val="heading 2"/>
    <w:basedOn w:val="Normal"/>
    <w:next w:val="Normal"/>
    <w:link w:val="Heading2Char"/>
    <w:rsid w:val="001B204E"/>
    <w:pPr>
      <w:outlineLvl w:val="1"/>
    </w:pPr>
    <w:rPr>
      <w:b/>
      <w:i/>
      <w:sz w:val="28"/>
    </w:rPr>
  </w:style>
  <w:style w:type="paragraph" w:styleId="Heading3">
    <w:name w:val="heading 3"/>
    <w:basedOn w:val="Normal"/>
    <w:next w:val="Normal"/>
    <w:rsid w:val="001F7361"/>
    <w:pPr>
      <w:outlineLvl w:val="2"/>
    </w:pPr>
    <w:rPr>
      <w:u w:val="single"/>
    </w:rPr>
  </w:style>
  <w:style w:type="paragraph" w:styleId="Heading4">
    <w:name w:val="heading 4"/>
    <w:basedOn w:val="Normal"/>
    <w:next w:val="Normal"/>
    <w:rsid w:val="00124A51"/>
    <w:pPr>
      <w:keepNext/>
      <w:spacing w:before="240" w:after="60"/>
      <w:outlineLvl w:val="3"/>
    </w:pPr>
    <w:rPr>
      <w:b/>
      <w:bCs/>
      <w:i/>
      <w:sz w:val="26"/>
      <w:szCs w:val="28"/>
    </w:rPr>
  </w:style>
  <w:style w:type="paragraph" w:styleId="Heading5">
    <w:name w:val="heading 5"/>
    <w:basedOn w:val="Normal"/>
    <w:next w:val="Normal"/>
    <w:rsid w:val="00124A51"/>
    <w:pPr>
      <w:spacing w:before="240" w:after="60"/>
      <w:outlineLvl w:val="4"/>
    </w:pPr>
    <w:rPr>
      <w:b/>
      <w:bCs/>
      <w:iCs/>
      <w:sz w:val="26"/>
      <w:szCs w:val="26"/>
    </w:rPr>
  </w:style>
  <w:style w:type="paragraph" w:styleId="Heading6">
    <w:name w:val="heading 6"/>
    <w:basedOn w:val="Normal"/>
    <w:next w:val="Normal"/>
    <w:rsid w:val="00124A51"/>
    <w:pPr>
      <w:spacing w:before="240" w:after="60"/>
      <w:outlineLvl w:val="5"/>
    </w:pPr>
    <w:rPr>
      <w:b/>
      <w:bCs/>
      <w:i/>
    </w:rPr>
  </w:style>
  <w:style w:type="paragraph" w:styleId="Heading7">
    <w:name w:val="heading 7"/>
    <w:basedOn w:val="Normal"/>
    <w:next w:val="Normal"/>
    <w:link w:val="Heading7Char"/>
    <w:rsid w:val="00124A51"/>
    <w:pPr>
      <w:keepNext/>
      <w:jc w:val="center"/>
      <w:outlineLvl w:val="6"/>
    </w:pPr>
    <w:rPr>
      <w:b/>
      <w:sz w:val="20"/>
    </w:rPr>
  </w:style>
  <w:style w:type="paragraph" w:styleId="Heading8">
    <w:name w:val="heading 8"/>
    <w:basedOn w:val="Normal"/>
    <w:next w:val="Normal"/>
    <w:link w:val="Heading8Char"/>
    <w:uiPriority w:val="7"/>
    <w:rsid w:val="00124A51"/>
    <w:pPr>
      <w:keepNext/>
      <w:jc w:val="right"/>
      <w:outlineLvl w:val="7"/>
    </w:pPr>
    <w:rPr>
      <w:b/>
    </w:rPr>
  </w:style>
  <w:style w:type="paragraph" w:styleId="Heading9">
    <w:name w:val="heading 9"/>
    <w:basedOn w:val="Normal"/>
    <w:next w:val="Normal"/>
    <w:link w:val="Heading9Char"/>
    <w:rsid w:val="00124A51"/>
    <w:pPr>
      <w:keepNext/>
      <w:jc w:val="center"/>
      <w:outlineLvl w:val="8"/>
    </w:pPr>
    <w:rPr>
      <w:b/>
      <w:color w:val="000000"/>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sid w:val="001B204E"/>
    <w:rPr>
      <w:rFonts w:ascii="Calibri" w:hAnsi="Calibri" w:cs="Arial"/>
      <w:b/>
      <w:i/>
      <w:snapToGrid w:val="0"/>
      <w:sz w:val="28"/>
      <w:szCs w:val="22"/>
      <w:lang w:eastAsia="en-US"/>
    </w:rPr>
  </w:style>
  <w:style w:type="character" w:customStyle="1" w:styleId="Heading7Char">
    <w:name w:val="Heading 7 Char"/>
    <w:basedOn w:val="DefaultParagraphFont"/>
    <w:link w:val="Heading7"/>
    <w:rsid w:val="00124A51"/>
    <w:rPr>
      <w:rFonts w:ascii="Arial" w:hAnsi="Arial"/>
      <w:b/>
      <w:snapToGrid w:val="0"/>
      <w:lang w:eastAsia="en-US"/>
    </w:rPr>
  </w:style>
  <w:style w:type="character" w:customStyle="1" w:styleId="Heading8Char">
    <w:name w:val="Heading 8 Char"/>
    <w:basedOn w:val="DefaultParagraphFont"/>
    <w:link w:val="Heading8"/>
    <w:rsid w:val="00124A51"/>
    <w:rPr>
      <w:b/>
      <w:snapToGrid w:val="0"/>
      <w:sz w:val="24"/>
      <w:lang w:eastAsia="en-US"/>
    </w:rPr>
  </w:style>
  <w:style w:type="character" w:customStyle="1" w:styleId="Heading9Char">
    <w:name w:val="Heading 9 Char"/>
    <w:basedOn w:val="DefaultParagraphFont"/>
    <w:link w:val="Heading9"/>
    <w:rsid w:val="00124A51"/>
    <w:rPr>
      <w:rFonts w:ascii="Arial" w:hAnsi="Arial"/>
      <w:b/>
      <w:snapToGrid w:val="0"/>
      <w:color w:val="000000"/>
      <w:lang w:eastAsia="en-US"/>
    </w:rPr>
  </w:style>
  <w:style w:type="table" w:styleId="TableGrid">
    <w:name w:val="Table Grid"/>
    <w:aliases w:val="Summary box,Table Gridbeth,CMA Table Template,ASD Table"/>
    <w:basedOn w:val="TableNormal"/>
    <w:uiPriority w:val="39"/>
    <w:rsid w:val="004B3DD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5-SubSubSubHead">
    <w:name w:val="5-Sub Sub Sub Head"/>
    <w:basedOn w:val="Heading4"/>
    <w:qFormat/>
    <w:rsid w:val="008621F4"/>
  </w:style>
  <w:style w:type="paragraph" w:styleId="TOC2">
    <w:name w:val="toc 2"/>
    <w:basedOn w:val="Normal"/>
    <w:next w:val="Normal"/>
    <w:autoRedefine/>
    <w:uiPriority w:val="39"/>
    <w:rsid w:val="0009262B"/>
    <w:pPr>
      <w:tabs>
        <w:tab w:val="left" w:pos="713"/>
        <w:tab w:val="left" w:pos="880"/>
        <w:tab w:val="right" w:leader="dot" w:pos="9016"/>
      </w:tabs>
      <w:spacing w:before="40"/>
      <w:ind w:left="221"/>
      <w:jc w:val="left"/>
    </w:pPr>
    <w:rPr>
      <w:iCs/>
      <w:sz w:val="20"/>
    </w:rPr>
  </w:style>
  <w:style w:type="paragraph" w:styleId="TOC1">
    <w:name w:val="toc 1"/>
    <w:basedOn w:val="Normal"/>
    <w:next w:val="Normal"/>
    <w:autoRedefine/>
    <w:uiPriority w:val="39"/>
    <w:rsid w:val="005618D4"/>
    <w:pPr>
      <w:tabs>
        <w:tab w:val="left" w:pos="440"/>
        <w:tab w:val="right" w:leader="dot" w:pos="9016"/>
      </w:tabs>
      <w:spacing w:after="120"/>
      <w:jc w:val="left"/>
    </w:pPr>
    <w:rPr>
      <w:bCs/>
      <w:sz w:val="20"/>
    </w:rPr>
  </w:style>
  <w:style w:type="character" w:styleId="Hyperlink">
    <w:name w:val="Hyperlink"/>
    <w:basedOn w:val="DefaultParagraphFont"/>
    <w:uiPriority w:val="99"/>
    <w:unhideWhenUsed/>
    <w:rsid w:val="00621477"/>
    <w:rPr>
      <w:color w:val="0000FF" w:themeColor="hyperlink"/>
      <w:u w:val="single"/>
    </w:rPr>
  </w:style>
  <w:style w:type="paragraph" w:styleId="TOC3">
    <w:name w:val="toc 3"/>
    <w:basedOn w:val="Normal"/>
    <w:next w:val="Normal"/>
    <w:autoRedefine/>
    <w:uiPriority w:val="39"/>
    <w:unhideWhenUsed/>
    <w:rsid w:val="00CE6274"/>
    <w:pPr>
      <w:ind w:left="440"/>
      <w:jc w:val="left"/>
    </w:pPr>
    <w:rPr>
      <w:rFonts w:asciiTheme="minorHAnsi" w:hAnsiTheme="minorHAnsi"/>
      <w:sz w:val="20"/>
    </w:rPr>
  </w:style>
  <w:style w:type="paragraph" w:customStyle="1" w:styleId="Bulletpoints">
    <w:name w:val="Bullet points"/>
    <w:basedOn w:val="Normal"/>
    <w:rsid w:val="00200EF8"/>
    <w:pPr>
      <w:numPr>
        <w:numId w:val="2"/>
      </w:numPr>
      <w:spacing w:after="120"/>
      <w:contextualSpacing/>
    </w:pPr>
    <w:rPr>
      <w:rFonts w:asciiTheme="minorHAnsi" w:hAnsiTheme="minorHAnsi"/>
      <w:snapToGrid w:val="0"/>
    </w:rPr>
  </w:style>
  <w:style w:type="paragraph" w:styleId="Revision">
    <w:name w:val="Revision"/>
    <w:hidden/>
    <w:uiPriority w:val="99"/>
    <w:semiHidden/>
    <w:rsid w:val="00043C37"/>
    <w:rPr>
      <w:rFonts w:ascii="Arial" w:hAnsi="Arial" w:cs="Arial"/>
      <w:snapToGrid w:val="0"/>
      <w:sz w:val="22"/>
      <w:lang w:eastAsia="en-US"/>
    </w:rPr>
  </w:style>
  <w:style w:type="table" w:customStyle="1" w:styleId="PlainTable21">
    <w:name w:val="Plain Table 21"/>
    <w:basedOn w:val="TableNormal"/>
    <w:uiPriority w:val="42"/>
    <w:rsid w:val="00FF5AD8"/>
    <w:rPr>
      <w:rFonts w:asciiTheme="minorHAnsi" w:eastAsiaTheme="minorHAnsi" w:hAnsiTheme="minorHAnsi" w:cstheme="minorBidi"/>
      <w:sz w:val="22"/>
      <w:szCs w:val="22"/>
      <w:lang w:eastAsia="en-US"/>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styleId="FollowedHyperlink">
    <w:name w:val="FollowedHyperlink"/>
    <w:basedOn w:val="DefaultParagraphFont"/>
    <w:semiHidden/>
    <w:unhideWhenUsed/>
    <w:rsid w:val="00536F42"/>
    <w:rPr>
      <w:color w:val="800080" w:themeColor="followedHyperlink"/>
      <w:u w:val="single"/>
    </w:rPr>
  </w:style>
  <w:style w:type="character" w:styleId="PageNumber">
    <w:name w:val="page number"/>
    <w:basedOn w:val="DefaultParagraphFont"/>
    <w:semiHidden/>
    <w:unhideWhenUsed/>
    <w:rsid w:val="00953257"/>
  </w:style>
  <w:style w:type="paragraph" w:customStyle="1" w:styleId="Commentitalics">
    <w:name w:val="Comment (italics)"/>
    <w:basedOn w:val="Normal"/>
    <w:next w:val="Normal"/>
    <w:qFormat/>
    <w:rsid w:val="00B53654"/>
    <w:rPr>
      <w:i/>
    </w:rPr>
  </w:style>
  <w:style w:type="paragraph" w:styleId="BalloonText">
    <w:name w:val="Balloon Text"/>
    <w:basedOn w:val="Normal"/>
    <w:link w:val="BalloonTextChar"/>
    <w:uiPriority w:val="99"/>
    <w:semiHidden/>
    <w:unhideWhenUsed/>
    <w:rsid w:val="00B34FE2"/>
    <w:rPr>
      <w:rFonts w:ascii="Tahoma" w:hAnsi="Tahoma" w:cs="Tahoma"/>
      <w:sz w:val="16"/>
      <w:szCs w:val="16"/>
    </w:rPr>
  </w:style>
  <w:style w:type="character" w:customStyle="1" w:styleId="BalloonTextChar">
    <w:name w:val="Balloon Text Char"/>
    <w:basedOn w:val="DefaultParagraphFont"/>
    <w:link w:val="BalloonText"/>
    <w:uiPriority w:val="99"/>
    <w:semiHidden/>
    <w:rsid w:val="00B34FE2"/>
    <w:rPr>
      <w:rFonts w:ascii="Tahoma" w:hAnsi="Tahoma" w:cs="Tahoma"/>
      <w:snapToGrid w:val="0"/>
      <w:sz w:val="16"/>
      <w:szCs w:val="16"/>
      <w:lang w:eastAsia="en-US"/>
    </w:rPr>
  </w:style>
  <w:style w:type="paragraph" w:customStyle="1" w:styleId="TableText">
    <w:name w:val="Table Text"/>
    <w:link w:val="TableTextChar"/>
    <w:qFormat/>
    <w:rsid w:val="00EE1996"/>
    <w:pPr>
      <w:keepNext/>
    </w:pPr>
    <w:rPr>
      <w:rFonts w:ascii="Arial Narrow" w:eastAsiaTheme="majorEastAsia" w:hAnsi="Arial Narrow" w:cstheme="majorBidi"/>
      <w:bCs/>
      <w:szCs w:val="24"/>
    </w:rPr>
  </w:style>
  <w:style w:type="paragraph" w:customStyle="1" w:styleId="Tableheadingrow">
    <w:name w:val="Table heading row"/>
    <w:qFormat/>
    <w:rsid w:val="00EE1996"/>
    <w:pPr>
      <w:keepNext/>
    </w:pPr>
    <w:rPr>
      <w:rFonts w:ascii="Arial Narrow" w:eastAsiaTheme="majorEastAsia" w:hAnsi="Arial Narrow"/>
      <w:b/>
      <w:szCs w:val="24"/>
      <w:lang w:val="en-US"/>
    </w:rPr>
  </w:style>
  <w:style w:type="paragraph" w:customStyle="1" w:styleId="2-SectionHeading">
    <w:name w:val="2-Section Heading"/>
    <w:qFormat/>
    <w:rsid w:val="00EE1996"/>
    <w:pPr>
      <w:keepNext/>
      <w:numPr>
        <w:numId w:val="1"/>
      </w:numPr>
      <w:spacing w:before="240" w:after="120"/>
      <w:outlineLvl w:val="0"/>
    </w:pPr>
    <w:rPr>
      <w:rFonts w:asciiTheme="minorHAnsi" w:hAnsiTheme="minorHAnsi" w:cs="Arial"/>
      <w:b/>
      <w:snapToGrid w:val="0"/>
      <w:sz w:val="32"/>
      <w:szCs w:val="32"/>
    </w:rPr>
  </w:style>
  <w:style w:type="paragraph" w:customStyle="1" w:styleId="1-MainHeading">
    <w:name w:val="1- Main Heading"/>
    <w:link w:val="1-MainHeadingChar"/>
    <w:qFormat/>
    <w:rsid w:val="00EE1996"/>
    <w:pPr>
      <w:keepNext/>
      <w:spacing w:before="120" w:after="160"/>
      <w:ind w:left="720" w:hanging="720"/>
      <w:outlineLvl w:val="0"/>
    </w:pPr>
    <w:rPr>
      <w:rFonts w:asciiTheme="minorHAnsi" w:eastAsiaTheme="majorEastAsia" w:hAnsiTheme="minorHAnsi" w:cstheme="majorBidi"/>
      <w:b/>
      <w:spacing w:val="5"/>
      <w:kern w:val="28"/>
      <w:sz w:val="36"/>
      <w:szCs w:val="36"/>
    </w:rPr>
  </w:style>
  <w:style w:type="character" w:customStyle="1" w:styleId="1-MainHeadingChar">
    <w:name w:val="1- Main Heading Char"/>
    <w:basedOn w:val="DefaultParagraphFont"/>
    <w:link w:val="1-MainHeading"/>
    <w:rsid w:val="00EE1996"/>
    <w:rPr>
      <w:rFonts w:asciiTheme="minorHAnsi" w:eastAsiaTheme="majorEastAsia" w:hAnsiTheme="minorHAnsi" w:cstheme="majorBidi"/>
      <w:b/>
      <w:spacing w:val="5"/>
      <w:kern w:val="28"/>
      <w:sz w:val="36"/>
      <w:szCs w:val="36"/>
    </w:rPr>
  </w:style>
  <w:style w:type="paragraph" w:customStyle="1" w:styleId="TableFigureCaption">
    <w:name w:val="Table/Figure Caption"/>
    <w:next w:val="Tableheadingrow"/>
    <w:link w:val="TableFigureCaptionChar"/>
    <w:qFormat/>
    <w:rsid w:val="005478BD"/>
    <w:pPr>
      <w:keepNext/>
    </w:pPr>
    <w:rPr>
      <w:rFonts w:ascii="Arial Narrow" w:eastAsiaTheme="majorEastAsia" w:hAnsi="Arial Narrow" w:cstheme="majorBidi"/>
      <w:b/>
      <w:bCs/>
      <w:szCs w:val="24"/>
    </w:rPr>
  </w:style>
  <w:style w:type="character" w:customStyle="1" w:styleId="TableFigureCaptionChar">
    <w:name w:val="Table/Figure Caption Char"/>
    <w:basedOn w:val="DefaultParagraphFont"/>
    <w:link w:val="TableFigureCaption"/>
    <w:rsid w:val="005478BD"/>
    <w:rPr>
      <w:rFonts w:ascii="Arial Narrow" w:eastAsiaTheme="majorEastAsia" w:hAnsi="Arial Narrow" w:cstheme="majorBidi"/>
      <w:b/>
      <w:bCs/>
      <w:szCs w:val="24"/>
    </w:rPr>
  </w:style>
  <w:style w:type="paragraph" w:customStyle="1" w:styleId="ExecSumBodyText">
    <w:name w:val="Exec Sum Body Text"/>
    <w:basedOn w:val="Normal"/>
    <w:link w:val="ExecSumBodyTextChar"/>
    <w:qFormat/>
    <w:rsid w:val="00200EF8"/>
    <w:pPr>
      <w:numPr>
        <w:ilvl w:val="1"/>
        <w:numId w:val="1"/>
      </w:numPr>
      <w:spacing w:after="120"/>
    </w:pPr>
    <w:rPr>
      <w:rFonts w:asciiTheme="minorHAnsi" w:hAnsiTheme="minorHAnsi"/>
      <w:snapToGrid w:val="0"/>
    </w:rPr>
  </w:style>
  <w:style w:type="character" w:customStyle="1" w:styleId="ExecSumBodyTextChar">
    <w:name w:val="Exec Sum Body Text Char"/>
    <w:basedOn w:val="DefaultParagraphFont"/>
    <w:link w:val="ExecSumBodyText"/>
    <w:rsid w:val="00200EF8"/>
    <w:rPr>
      <w:rFonts w:asciiTheme="minorHAnsi" w:hAnsiTheme="minorHAnsi" w:cs="Arial"/>
      <w:snapToGrid w:val="0"/>
      <w:sz w:val="24"/>
      <w:szCs w:val="24"/>
    </w:rPr>
  </w:style>
  <w:style w:type="paragraph" w:customStyle="1" w:styleId="TableFigureFooter">
    <w:name w:val="Table/Figure Footer"/>
    <w:basedOn w:val="Normal"/>
    <w:link w:val="TableFigureFooterChar"/>
    <w:qFormat/>
    <w:rsid w:val="00EC5836"/>
    <w:pPr>
      <w:spacing w:after="120"/>
      <w:contextualSpacing/>
    </w:pPr>
    <w:rPr>
      <w:rFonts w:ascii="Arial Narrow" w:hAnsi="Arial Narrow"/>
      <w:snapToGrid w:val="0"/>
      <w:sz w:val="18"/>
      <w:szCs w:val="22"/>
    </w:rPr>
  </w:style>
  <w:style w:type="character" w:customStyle="1" w:styleId="TableFigureFooterChar">
    <w:name w:val="Table/Figure Footer Char"/>
    <w:link w:val="TableFigureFooter"/>
    <w:rsid w:val="00EC5836"/>
    <w:rPr>
      <w:rFonts w:ascii="Arial Narrow" w:hAnsi="Arial Narrow" w:cs="Arial"/>
      <w:snapToGrid w:val="0"/>
      <w:sz w:val="18"/>
      <w:szCs w:val="22"/>
    </w:rPr>
  </w:style>
  <w:style w:type="paragraph" w:customStyle="1" w:styleId="3-SubsectionHeading">
    <w:name w:val="3-Subsection Heading"/>
    <w:basedOn w:val="Heading2"/>
    <w:next w:val="ExecSumBodyText"/>
    <w:link w:val="3-SubsectionHeadingChar"/>
    <w:qFormat/>
    <w:rsid w:val="00EE1996"/>
    <w:pPr>
      <w:keepNext/>
      <w:spacing w:before="120" w:after="120"/>
    </w:pPr>
    <w:rPr>
      <w:rFonts w:asciiTheme="minorHAnsi" w:eastAsiaTheme="majorEastAsia" w:hAnsiTheme="minorHAnsi" w:cstheme="majorBidi"/>
      <w:spacing w:val="5"/>
      <w:kern w:val="28"/>
      <w:szCs w:val="36"/>
    </w:rPr>
  </w:style>
  <w:style w:type="character" w:customStyle="1" w:styleId="3-SubsectionHeadingChar">
    <w:name w:val="3-Subsection Heading Char"/>
    <w:basedOn w:val="Heading2Char"/>
    <w:link w:val="3-SubsectionHeading"/>
    <w:rsid w:val="00EE1996"/>
    <w:rPr>
      <w:rFonts w:asciiTheme="minorHAnsi" w:eastAsiaTheme="majorEastAsia" w:hAnsiTheme="minorHAnsi" w:cstheme="majorBidi"/>
      <w:b/>
      <w:i/>
      <w:snapToGrid/>
      <w:spacing w:val="5"/>
      <w:kern w:val="28"/>
      <w:sz w:val="28"/>
      <w:szCs w:val="36"/>
      <w:lang w:eastAsia="en-US"/>
    </w:rPr>
  </w:style>
  <w:style w:type="paragraph" w:customStyle="1" w:styleId="4-SubsectSubhead">
    <w:name w:val="4-Subsect Subhead"/>
    <w:basedOn w:val="Heading3"/>
    <w:next w:val="ExecSumBodyText"/>
    <w:link w:val="4-SubsectSubheadChar"/>
    <w:qFormat/>
    <w:rsid w:val="008621F4"/>
    <w:pPr>
      <w:keepNext/>
      <w:keepLines/>
      <w:spacing w:before="160" w:after="120"/>
    </w:pPr>
    <w:rPr>
      <w:rFonts w:asciiTheme="minorHAnsi" w:eastAsiaTheme="majorEastAsia" w:hAnsiTheme="minorHAnsi" w:cstheme="majorBidi"/>
      <w:b/>
      <w:color w:val="000000" w:themeColor="text1"/>
      <w:sz w:val="28"/>
      <w:szCs w:val="28"/>
      <w:u w:val="none"/>
    </w:rPr>
  </w:style>
  <w:style w:type="character" w:customStyle="1" w:styleId="4-SubsectSubheadChar">
    <w:name w:val="4-Subsect Subhead Char"/>
    <w:basedOn w:val="DefaultParagraphFont"/>
    <w:link w:val="4-SubsectSubhead"/>
    <w:rsid w:val="008621F4"/>
    <w:rPr>
      <w:rFonts w:asciiTheme="minorHAnsi" w:eastAsiaTheme="majorEastAsia" w:hAnsiTheme="minorHAnsi" w:cstheme="majorBidi"/>
      <w:b/>
      <w:color w:val="000000" w:themeColor="text1"/>
      <w:sz w:val="28"/>
      <w:szCs w:val="28"/>
    </w:rPr>
  </w:style>
  <w:style w:type="paragraph" w:styleId="ListBullet">
    <w:name w:val="List Bullet"/>
    <w:basedOn w:val="Normal"/>
    <w:semiHidden/>
    <w:unhideWhenUsed/>
    <w:rsid w:val="00EE1996"/>
    <w:pPr>
      <w:numPr>
        <w:numId w:val="3"/>
      </w:numPr>
      <w:contextualSpacing/>
    </w:pPr>
  </w:style>
  <w:style w:type="character" w:customStyle="1" w:styleId="TableTextChar">
    <w:name w:val="Table Text Char"/>
    <w:basedOn w:val="DefaultParagraphFont"/>
    <w:link w:val="TableText"/>
    <w:rsid w:val="00EE1996"/>
    <w:rPr>
      <w:rFonts w:ascii="Arial Narrow" w:eastAsiaTheme="majorEastAsia" w:hAnsi="Arial Narrow" w:cstheme="majorBidi"/>
      <w:bCs/>
      <w:szCs w:val="24"/>
    </w:rPr>
  </w:style>
  <w:style w:type="paragraph" w:customStyle="1" w:styleId="TableFooter">
    <w:name w:val="Table Footer"/>
    <w:basedOn w:val="Normal"/>
    <w:link w:val="TableFooterChar"/>
    <w:qFormat/>
    <w:rsid w:val="00B84057"/>
    <w:pPr>
      <w:widowControl w:val="0"/>
      <w:spacing w:after="60"/>
      <w:contextualSpacing/>
    </w:pPr>
    <w:rPr>
      <w:rFonts w:ascii="Arial Narrow" w:hAnsi="Arial Narrow"/>
      <w:snapToGrid w:val="0"/>
      <w:sz w:val="18"/>
      <w:szCs w:val="22"/>
      <w:lang w:eastAsia="en-US"/>
    </w:rPr>
  </w:style>
  <w:style w:type="character" w:customStyle="1" w:styleId="TableFooterChar">
    <w:name w:val="Table Footer Char"/>
    <w:link w:val="TableFooter"/>
    <w:rsid w:val="00B84057"/>
    <w:rPr>
      <w:rFonts w:ascii="Arial Narrow" w:hAnsi="Arial Narrow" w:cs="Arial"/>
      <w:snapToGrid w:val="0"/>
      <w:sz w:val="18"/>
      <w:szCs w:val="22"/>
      <w:lang w:eastAsia="en-US"/>
    </w:rPr>
  </w:style>
  <w:style w:type="paragraph" w:customStyle="1" w:styleId="Tabletext0">
    <w:name w:val="Table text"/>
    <w:basedOn w:val="Normal"/>
    <w:link w:val="TabletextChar0"/>
    <w:uiPriority w:val="2"/>
    <w:qFormat/>
    <w:rsid w:val="00797F43"/>
    <w:pPr>
      <w:jc w:val="left"/>
    </w:pPr>
    <w:rPr>
      <w:rFonts w:ascii="Arial Narrow" w:hAnsi="Arial Narrow" w:cs="Times New Roman"/>
      <w:sz w:val="20"/>
      <w:szCs w:val="22"/>
      <w:lang w:eastAsia="en-US"/>
    </w:rPr>
  </w:style>
  <w:style w:type="character" w:customStyle="1" w:styleId="TabletextChar0">
    <w:name w:val="Table text Char"/>
    <w:link w:val="Tabletext0"/>
    <w:uiPriority w:val="2"/>
    <w:rsid w:val="00797F43"/>
    <w:rPr>
      <w:rFonts w:ascii="Arial Narrow" w:hAnsi="Arial Narrow"/>
      <w:szCs w:val="22"/>
      <w:lang w:eastAsia="en-US"/>
    </w:rPr>
  </w:style>
  <w:style w:type="character" w:styleId="CommentReference">
    <w:name w:val="annotation reference"/>
    <w:aliases w:val="Table Title,-H18"/>
    <w:uiPriority w:val="99"/>
    <w:qFormat/>
    <w:rsid w:val="00797F43"/>
    <w:rPr>
      <w:rFonts w:ascii="Arial Narrow" w:hAnsi="Arial Narrow"/>
      <w:b/>
      <w:sz w:val="20"/>
      <w:szCs w:val="16"/>
    </w:rPr>
  </w:style>
  <w:style w:type="paragraph" w:styleId="Header">
    <w:name w:val="header"/>
    <w:aliases w:val="Page Header,Header title,he=header,cntr/bld"/>
    <w:basedOn w:val="Normal"/>
    <w:link w:val="HeaderChar"/>
    <w:unhideWhenUsed/>
    <w:qFormat/>
    <w:rsid w:val="00D83049"/>
    <w:pPr>
      <w:tabs>
        <w:tab w:val="center" w:pos="4513"/>
        <w:tab w:val="right" w:pos="9026"/>
      </w:tabs>
    </w:pPr>
  </w:style>
  <w:style w:type="character" w:customStyle="1" w:styleId="HeaderChar">
    <w:name w:val="Header Char"/>
    <w:aliases w:val="Page Header Char,Header title Char,he=header Char,cntr/bld Char"/>
    <w:basedOn w:val="DefaultParagraphFont"/>
    <w:link w:val="Header"/>
    <w:rsid w:val="00D83049"/>
    <w:rPr>
      <w:rFonts w:ascii="Calibri" w:hAnsi="Calibri" w:cs="Arial"/>
      <w:sz w:val="24"/>
      <w:szCs w:val="24"/>
    </w:rPr>
  </w:style>
  <w:style w:type="paragraph" w:styleId="Footer">
    <w:name w:val="footer"/>
    <w:basedOn w:val="Normal"/>
    <w:link w:val="FooterChar"/>
    <w:uiPriority w:val="99"/>
    <w:unhideWhenUsed/>
    <w:rsid w:val="00D83049"/>
    <w:pPr>
      <w:tabs>
        <w:tab w:val="center" w:pos="4513"/>
        <w:tab w:val="right" w:pos="9026"/>
      </w:tabs>
    </w:pPr>
  </w:style>
  <w:style w:type="character" w:customStyle="1" w:styleId="FooterChar">
    <w:name w:val="Footer Char"/>
    <w:basedOn w:val="DefaultParagraphFont"/>
    <w:link w:val="Footer"/>
    <w:uiPriority w:val="99"/>
    <w:rsid w:val="00D83049"/>
    <w:rPr>
      <w:rFonts w:ascii="Calibri" w:hAnsi="Calibri" w:cs="Arial"/>
      <w:sz w:val="24"/>
      <w:szCs w:val="24"/>
    </w:rPr>
  </w:style>
  <w:style w:type="paragraph" w:styleId="CommentText">
    <w:name w:val="annotation text"/>
    <w:aliases w:val="Comment Text Char Char Char,Comment Text Char Char,- H19,Comment Text Char1 Char"/>
    <w:basedOn w:val="Normal"/>
    <w:link w:val="CommentTextChar"/>
    <w:uiPriority w:val="99"/>
    <w:unhideWhenUsed/>
    <w:qFormat/>
    <w:rsid w:val="00C911F6"/>
    <w:rPr>
      <w:sz w:val="20"/>
      <w:szCs w:val="20"/>
    </w:rPr>
  </w:style>
  <w:style w:type="character" w:customStyle="1" w:styleId="CommentTextChar">
    <w:name w:val="Comment Text Char"/>
    <w:aliases w:val="Comment Text Char Char Char Char,Comment Text Char Char Char1,- H19 Char,Comment Text Char1 Char Char"/>
    <w:basedOn w:val="DefaultParagraphFont"/>
    <w:link w:val="CommentText"/>
    <w:uiPriority w:val="99"/>
    <w:rsid w:val="00C911F6"/>
    <w:rPr>
      <w:rFonts w:ascii="Calibri" w:hAnsi="Calibri" w:cs="Arial"/>
    </w:rPr>
  </w:style>
  <w:style w:type="paragraph" w:styleId="CommentSubject">
    <w:name w:val="annotation subject"/>
    <w:basedOn w:val="CommentText"/>
    <w:next w:val="CommentText"/>
    <w:link w:val="CommentSubjectChar"/>
    <w:uiPriority w:val="99"/>
    <w:semiHidden/>
    <w:unhideWhenUsed/>
    <w:rsid w:val="00C911F6"/>
    <w:rPr>
      <w:b/>
      <w:bCs/>
    </w:rPr>
  </w:style>
  <w:style w:type="character" w:customStyle="1" w:styleId="CommentSubjectChar">
    <w:name w:val="Comment Subject Char"/>
    <w:basedOn w:val="CommentTextChar"/>
    <w:link w:val="CommentSubject"/>
    <w:uiPriority w:val="99"/>
    <w:semiHidden/>
    <w:rsid w:val="00C911F6"/>
    <w:rPr>
      <w:rFonts w:ascii="Calibri" w:hAnsi="Calibri" w:cs="Arial"/>
      <w:b/>
      <w:bCs/>
    </w:rPr>
  </w:style>
  <w:style w:type="paragraph" w:styleId="ListParagraph">
    <w:name w:val="List Paragraph"/>
    <w:aliases w:val="Numbered para,BulletPoints,Body Text Bullet Points,List Paragraph1,Bullet point,List Paragraph11,Recommendation,Section heading,Footnote,Styl moj,Akapit z listą1,Akapit z listą11,ES Paragraph,PBAC ES Paragraph,PBAC normal points,Figure_na"/>
    <w:basedOn w:val="Normal"/>
    <w:link w:val="ListParagraphChar"/>
    <w:uiPriority w:val="34"/>
    <w:qFormat/>
    <w:rsid w:val="00EC23F9"/>
    <w:pPr>
      <w:ind w:left="720"/>
      <w:contextualSpacing/>
    </w:pPr>
  </w:style>
  <w:style w:type="paragraph" w:customStyle="1" w:styleId="ListBulletlvl3">
    <w:name w:val="List Bullet lvl 3"/>
    <w:basedOn w:val="ListBullet"/>
    <w:qFormat/>
    <w:rsid w:val="002B58F8"/>
    <w:pPr>
      <w:numPr>
        <w:ilvl w:val="2"/>
        <w:numId w:val="5"/>
      </w:numPr>
      <w:spacing w:after="120" w:line="276" w:lineRule="auto"/>
      <w:contextualSpacing w:val="0"/>
      <w:jc w:val="left"/>
    </w:pPr>
    <w:rPr>
      <w:rFonts w:eastAsiaTheme="minorHAnsi" w:cstheme="minorBidi"/>
      <w:szCs w:val="22"/>
      <w:lang w:eastAsia="en-US"/>
    </w:rPr>
  </w:style>
  <w:style w:type="paragraph" w:customStyle="1" w:styleId="ListBulletlvl4">
    <w:name w:val="List Bullet lvl 4"/>
    <w:basedOn w:val="ListBullet"/>
    <w:qFormat/>
    <w:rsid w:val="002B58F8"/>
    <w:pPr>
      <w:numPr>
        <w:ilvl w:val="3"/>
        <w:numId w:val="5"/>
      </w:numPr>
      <w:spacing w:after="120" w:line="276" w:lineRule="auto"/>
      <w:contextualSpacing w:val="0"/>
      <w:jc w:val="left"/>
    </w:pPr>
    <w:rPr>
      <w:rFonts w:eastAsiaTheme="minorHAnsi" w:cstheme="minorBidi"/>
      <w:szCs w:val="22"/>
      <w:lang w:eastAsia="en-US"/>
    </w:rPr>
  </w:style>
  <w:style w:type="paragraph" w:customStyle="1" w:styleId="ListBulletlvl5">
    <w:name w:val="List Bullet lvl 5"/>
    <w:basedOn w:val="ListBullet"/>
    <w:qFormat/>
    <w:rsid w:val="002B58F8"/>
    <w:pPr>
      <w:numPr>
        <w:ilvl w:val="4"/>
        <w:numId w:val="5"/>
      </w:numPr>
      <w:spacing w:after="120" w:line="276" w:lineRule="auto"/>
      <w:contextualSpacing w:val="0"/>
      <w:jc w:val="left"/>
    </w:pPr>
    <w:rPr>
      <w:rFonts w:eastAsiaTheme="minorHAnsi" w:cstheme="minorBidi"/>
      <w:szCs w:val="22"/>
      <w:lang w:eastAsia="en-US"/>
    </w:rPr>
  </w:style>
  <w:style w:type="paragraph" w:customStyle="1" w:styleId="ListBulletlvl6">
    <w:name w:val="List Bullet lvl 6"/>
    <w:basedOn w:val="ListBullet"/>
    <w:qFormat/>
    <w:rsid w:val="002B58F8"/>
    <w:pPr>
      <w:numPr>
        <w:ilvl w:val="5"/>
        <w:numId w:val="5"/>
      </w:numPr>
      <w:spacing w:after="120" w:line="276" w:lineRule="auto"/>
      <w:contextualSpacing w:val="0"/>
      <w:jc w:val="left"/>
    </w:pPr>
    <w:rPr>
      <w:rFonts w:eastAsiaTheme="minorHAnsi" w:cstheme="minorBidi"/>
      <w:szCs w:val="22"/>
      <w:lang w:eastAsia="en-US"/>
    </w:rPr>
  </w:style>
  <w:style w:type="paragraph" w:customStyle="1" w:styleId="ListBulletlvl7">
    <w:name w:val="List Bullet lvl 7"/>
    <w:basedOn w:val="ListBullet"/>
    <w:qFormat/>
    <w:rsid w:val="002B58F8"/>
    <w:pPr>
      <w:numPr>
        <w:ilvl w:val="6"/>
        <w:numId w:val="5"/>
      </w:numPr>
      <w:spacing w:after="120" w:line="276" w:lineRule="auto"/>
      <w:contextualSpacing w:val="0"/>
      <w:jc w:val="left"/>
    </w:pPr>
    <w:rPr>
      <w:rFonts w:eastAsiaTheme="minorHAnsi" w:cstheme="minorBidi"/>
      <w:szCs w:val="22"/>
      <w:lang w:eastAsia="en-US"/>
    </w:rPr>
  </w:style>
  <w:style w:type="paragraph" w:customStyle="1" w:styleId="ListBulletlvl8">
    <w:name w:val="List Bullet lvl 8"/>
    <w:basedOn w:val="ListBullet"/>
    <w:qFormat/>
    <w:rsid w:val="002B58F8"/>
    <w:pPr>
      <w:numPr>
        <w:ilvl w:val="7"/>
        <w:numId w:val="5"/>
      </w:numPr>
      <w:spacing w:after="120" w:line="276" w:lineRule="auto"/>
      <w:contextualSpacing w:val="0"/>
      <w:jc w:val="left"/>
    </w:pPr>
    <w:rPr>
      <w:rFonts w:eastAsiaTheme="minorHAnsi" w:cstheme="minorBidi"/>
      <w:szCs w:val="22"/>
      <w:lang w:eastAsia="en-US"/>
    </w:rPr>
  </w:style>
  <w:style w:type="paragraph" w:customStyle="1" w:styleId="ListBulletlvl9">
    <w:name w:val="List Bullet lvl 9"/>
    <w:basedOn w:val="ListBullet"/>
    <w:qFormat/>
    <w:rsid w:val="002B58F8"/>
    <w:pPr>
      <w:numPr>
        <w:ilvl w:val="8"/>
        <w:numId w:val="5"/>
      </w:numPr>
      <w:spacing w:after="120" w:line="276" w:lineRule="auto"/>
      <w:contextualSpacing w:val="0"/>
      <w:jc w:val="left"/>
    </w:pPr>
    <w:rPr>
      <w:rFonts w:eastAsiaTheme="minorHAnsi" w:cstheme="minorBidi"/>
      <w:szCs w:val="22"/>
      <w:lang w:eastAsia="en-US"/>
    </w:rPr>
  </w:style>
  <w:style w:type="paragraph" w:customStyle="1" w:styleId="TableHeading">
    <w:name w:val="Table Heading"/>
    <w:basedOn w:val="Normal"/>
    <w:qFormat/>
    <w:rsid w:val="00A66A2F"/>
    <w:pPr>
      <w:keepNext/>
      <w:jc w:val="left"/>
    </w:pPr>
    <w:rPr>
      <w:rFonts w:ascii="Arial Narrow" w:eastAsiaTheme="minorHAnsi" w:hAnsi="Arial Narrow" w:cstheme="minorBidi"/>
      <w:b/>
      <w:sz w:val="20"/>
      <w:szCs w:val="22"/>
      <w:lang w:eastAsia="en-US"/>
    </w:rPr>
  </w:style>
  <w:style w:type="character" w:customStyle="1" w:styleId="ListParagraphChar">
    <w:name w:val="List Paragraph Char"/>
    <w:aliases w:val="Numbered para Char,BulletPoints Char,Body Text Bullet Points Char,List Paragraph1 Char,Bullet point Char,List Paragraph11 Char,Recommendation Char,Section heading Char,Footnote Char,Styl moj Char,Akapit z listą1 Char,Figure_na Char"/>
    <w:basedOn w:val="DefaultParagraphFont"/>
    <w:link w:val="ListParagraph"/>
    <w:uiPriority w:val="34"/>
    <w:qFormat/>
    <w:locked/>
    <w:rsid w:val="00E90D12"/>
    <w:rPr>
      <w:rFonts w:ascii="Calibri" w:hAnsi="Calibri" w:cs="Arial"/>
      <w:sz w:val="24"/>
      <w:szCs w:val="24"/>
    </w:rPr>
  </w:style>
  <w:style w:type="character" w:customStyle="1" w:styleId="li-content">
    <w:name w:val="li-content"/>
    <w:basedOn w:val="DefaultParagraphFont"/>
    <w:rsid w:val="0003550B"/>
    <w:rPr>
      <w:color w:val="000000"/>
    </w:rPr>
  </w:style>
  <w:style w:type="paragraph" w:customStyle="1" w:styleId="COMtbl-HEADLeftAligned">
    <w:name w:val="COMtbl-HEAD Left Aligned"/>
    <w:basedOn w:val="Normal"/>
    <w:qFormat/>
    <w:rsid w:val="006B5102"/>
    <w:pPr>
      <w:widowControl w:val="0"/>
      <w:tabs>
        <w:tab w:val="left" w:pos="720"/>
      </w:tabs>
      <w:jc w:val="left"/>
    </w:pPr>
    <w:rPr>
      <w:rFonts w:ascii="Arial Narrow" w:hAnsi="Arial Narrow"/>
      <w:b/>
      <w:snapToGrid w:val="0"/>
      <w:sz w:val="20"/>
      <w:szCs w:val="20"/>
      <w:lang w:eastAsia="en-US"/>
    </w:rPr>
  </w:style>
  <w:style w:type="paragraph" w:customStyle="1" w:styleId="COMtbl-HEADCentred">
    <w:name w:val="COMtbl-HEAD Centred"/>
    <w:basedOn w:val="COMtbl-HEADLeftAligned"/>
    <w:qFormat/>
    <w:rsid w:val="006B5102"/>
    <w:pPr>
      <w:jc w:val="center"/>
    </w:pPr>
  </w:style>
  <w:style w:type="paragraph" w:customStyle="1" w:styleId="COMtbl-textLeftAligned">
    <w:name w:val="COMtbl-text Left Aligned"/>
    <w:basedOn w:val="COMtbl-HEADLeftAligned"/>
    <w:qFormat/>
    <w:rsid w:val="006B5102"/>
    <w:rPr>
      <w:b w:val="0"/>
    </w:rPr>
  </w:style>
  <w:style w:type="paragraph" w:customStyle="1" w:styleId="COMtbl-textCentred">
    <w:name w:val="COMtbl-text Centred"/>
    <w:basedOn w:val="COMtbl-HEADCentred"/>
    <w:qFormat/>
    <w:rsid w:val="006B5102"/>
    <w:rPr>
      <w:b w:val="0"/>
    </w:rPr>
  </w:style>
  <w:style w:type="character" w:styleId="PlaceholderText">
    <w:name w:val="Placeholder Text"/>
    <w:basedOn w:val="DefaultParagraphFont"/>
    <w:uiPriority w:val="99"/>
    <w:semiHidden/>
    <w:rsid w:val="00F575DD"/>
    <w:rPr>
      <w:color w:val="808080"/>
    </w:rPr>
  </w:style>
  <w:style w:type="paragraph" w:styleId="Caption">
    <w:name w:val="caption"/>
    <w:basedOn w:val="Normal"/>
    <w:next w:val="Normal"/>
    <w:unhideWhenUsed/>
    <w:rsid w:val="009674A8"/>
    <w:pPr>
      <w:spacing w:after="200"/>
    </w:pPr>
    <w:rPr>
      <w:i/>
      <w:iCs/>
      <w:color w:val="1F497D" w:themeColor="text2"/>
      <w:sz w:val="18"/>
      <w:szCs w:val="18"/>
    </w:rPr>
  </w:style>
  <w:style w:type="paragraph" w:customStyle="1" w:styleId="RegularText">
    <w:name w:val="Regular Text"/>
    <w:basedOn w:val="BodyText"/>
    <w:link w:val="RegularTextChar"/>
    <w:rsid w:val="00312146"/>
    <w:pPr>
      <w:widowControl w:val="0"/>
      <w:spacing w:after="0"/>
      <w:jc w:val="left"/>
    </w:pPr>
    <w:rPr>
      <w:b/>
      <w:snapToGrid w:val="0"/>
      <w:szCs w:val="22"/>
      <w:lang w:eastAsia="en-US"/>
    </w:rPr>
  </w:style>
  <w:style w:type="character" w:customStyle="1" w:styleId="RegularTextChar">
    <w:name w:val="Regular Text Char"/>
    <w:basedOn w:val="BodyTextChar"/>
    <w:link w:val="RegularText"/>
    <w:rsid w:val="00312146"/>
    <w:rPr>
      <w:rFonts w:ascii="Calibri" w:hAnsi="Calibri" w:cs="Arial"/>
      <w:b/>
      <w:snapToGrid w:val="0"/>
      <w:sz w:val="24"/>
      <w:szCs w:val="22"/>
      <w:lang w:eastAsia="en-US"/>
    </w:rPr>
  </w:style>
  <w:style w:type="paragraph" w:styleId="BodyText">
    <w:name w:val="Body Text"/>
    <w:basedOn w:val="Normal"/>
    <w:link w:val="BodyTextChar"/>
    <w:unhideWhenUsed/>
    <w:qFormat/>
    <w:rsid w:val="00312146"/>
    <w:pPr>
      <w:spacing w:after="120"/>
    </w:pPr>
  </w:style>
  <w:style w:type="character" w:customStyle="1" w:styleId="BodyTextChar">
    <w:name w:val="Body Text Char"/>
    <w:basedOn w:val="DefaultParagraphFont"/>
    <w:link w:val="BodyText"/>
    <w:rsid w:val="00312146"/>
    <w:rPr>
      <w:rFonts w:ascii="Calibri" w:hAnsi="Calibri" w:cs="Arial"/>
      <w:sz w:val="24"/>
      <w:szCs w:val="24"/>
    </w:rPr>
  </w:style>
  <w:style w:type="paragraph" w:styleId="TOC5">
    <w:name w:val="toc 5"/>
    <w:basedOn w:val="Normal"/>
    <w:next w:val="Normal"/>
    <w:autoRedefine/>
    <w:uiPriority w:val="39"/>
    <w:rsid w:val="00312146"/>
    <w:pPr>
      <w:widowControl w:val="0"/>
      <w:ind w:left="880"/>
      <w:jc w:val="left"/>
    </w:pPr>
    <w:rPr>
      <w:rFonts w:asciiTheme="minorHAnsi" w:hAnsiTheme="minorHAnsi"/>
      <w:snapToGrid w:val="0"/>
      <w:sz w:val="20"/>
      <w:szCs w:val="22"/>
      <w:lang w:eastAsia="en-US"/>
    </w:rPr>
  </w:style>
  <w:style w:type="table" w:customStyle="1" w:styleId="TableGridbeth1">
    <w:name w:val="Table Gridbeth1"/>
    <w:basedOn w:val="TableNormal"/>
    <w:next w:val="TableGrid"/>
    <w:uiPriority w:val="59"/>
    <w:rsid w:val="00C944FC"/>
    <w:rPr>
      <w:rFonts w:ascii="Arial Narrow" w:hAnsi="Arial Narrow"/>
    </w:rPr>
    <w:tblPr>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CE7398"/>
    <w:pPr>
      <w:spacing w:before="100" w:beforeAutospacing="1" w:after="100" w:afterAutospacing="1"/>
      <w:jc w:val="left"/>
    </w:pPr>
    <w:rPr>
      <w:rFonts w:ascii="Times New Roman" w:hAnsi="Times New Roman" w:cs="Times New Roman"/>
    </w:rPr>
  </w:style>
  <w:style w:type="paragraph" w:customStyle="1" w:styleId="PBACHeading1">
    <w:name w:val="PBAC Heading 1"/>
    <w:qFormat/>
    <w:rsid w:val="00CE7398"/>
    <w:pPr>
      <w:ind w:left="720" w:hanging="720"/>
      <w:outlineLvl w:val="0"/>
    </w:pPr>
    <w:rPr>
      <w:rFonts w:ascii="Calibri" w:hAnsi="Calibri" w:cs="Arial"/>
      <w:b/>
      <w:snapToGrid w:val="0"/>
      <w:sz w:val="32"/>
      <w:szCs w:val="22"/>
      <w:lang w:eastAsia="en-US"/>
    </w:rPr>
  </w:style>
  <w:style w:type="paragraph" w:styleId="Subtitle">
    <w:name w:val="Subtitle"/>
    <w:basedOn w:val="Normal"/>
    <w:link w:val="SubtitleChar"/>
    <w:qFormat/>
    <w:rsid w:val="00C2435D"/>
    <w:rPr>
      <w:rFonts w:ascii="Times New Roman" w:hAnsi="Times New Roman" w:cs="Times New Roman"/>
      <w:b/>
      <w:szCs w:val="20"/>
    </w:rPr>
  </w:style>
  <w:style w:type="character" w:customStyle="1" w:styleId="SubtitleChar">
    <w:name w:val="Subtitle Char"/>
    <w:basedOn w:val="DefaultParagraphFont"/>
    <w:link w:val="Subtitle"/>
    <w:rsid w:val="00C2435D"/>
    <w:rPr>
      <w:b/>
      <w:sz w:val="24"/>
    </w:rPr>
  </w:style>
  <w:style w:type="paragraph" w:styleId="FootnoteText">
    <w:name w:val="footnote text"/>
    <w:basedOn w:val="Normal"/>
    <w:link w:val="FootnoteTextChar"/>
    <w:semiHidden/>
    <w:unhideWhenUsed/>
    <w:rsid w:val="00F22120"/>
    <w:rPr>
      <w:sz w:val="20"/>
      <w:szCs w:val="20"/>
    </w:rPr>
  </w:style>
  <w:style w:type="character" w:customStyle="1" w:styleId="FootnoteTextChar">
    <w:name w:val="Footnote Text Char"/>
    <w:basedOn w:val="DefaultParagraphFont"/>
    <w:link w:val="FootnoteText"/>
    <w:semiHidden/>
    <w:rsid w:val="00F22120"/>
    <w:rPr>
      <w:rFonts w:ascii="Calibri" w:hAnsi="Calibri" w:cs="Arial"/>
    </w:rPr>
  </w:style>
  <w:style w:type="character" w:styleId="FootnoteReference">
    <w:name w:val="footnote reference"/>
    <w:basedOn w:val="DefaultParagraphFont"/>
    <w:semiHidden/>
    <w:unhideWhenUsed/>
    <w:rsid w:val="00F22120"/>
    <w:rPr>
      <w:vertAlign w:val="superscript"/>
    </w:rPr>
  </w:style>
  <w:style w:type="paragraph" w:customStyle="1" w:styleId="3-BodyText">
    <w:name w:val="3-Body Text"/>
    <w:basedOn w:val="ListParagraph"/>
    <w:link w:val="3-BodyTextChar"/>
    <w:qFormat/>
    <w:rsid w:val="006215FA"/>
    <w:pPr>
      <w:spacing w:after="120"/>
      <w:ind w:hanging="720"/>
      <w:contextualSpacing w:val="0"/>
    </w:pPr>
    <w:rPr>
      <w:rFonts w:asciiTheme="minorHAnsi" w:hAnsiTheme="minorHAnsi"/>
      <w:snapToGrid w:val="0"/>
    </w:rPr>
  </w:style>
  <w:style w:type="paragraph" w:customStyle="1" w:styleId="Default">
    <w:name w:val="Default"/>
    <w:rsid w:val="009F04FB"/>
    <w:pPr>
      <w:autoSpaceDE w:val="0"/>
      <w:autoSpaceDN w:val="0"/>
      <w:adjustRightInd w:val="0"/>
    </w:pPr>
    <w:rPr>
      <w:rFonts w:ascii="Calibri" w:hAnsi="Calibri" w:cs="Calibri"/>
      <w:color w:val="000000"/>
      <w:sz w:val="24"/>
      <w:szCs w:val="24"/>
    </w:rPr>
  </w:style>
  <w:style w:type="character" w:customStyle="1" w:styleId="3-BodyTextChar">
    <w:name w:val="3-Body Text Char"/>
    <w:basedOn w:val="DefaultParagraphFont"/>
    <w:link w:val="3-BodyText"/>
    <w:rsid w:val="00F03956"/>
    <w:rPr>
      <w:rFonts w:asciiTheme="minorHAnsi" w:hAnsiTheme="minorHAnsi" w:cs="Arial"/>
      <w:snapToGrid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0999308">
      <w:bodyDiv w:val="1"/>
      <w:marLeft w:val="0"/>
      <w:marRight w:val="0"/>
      <w:marTop w:val="0"/>
      <w:marBottom w:val="0"/>
      <w:divBdr>
        <w:top w:val="none" w:sz="0" w:space="0" w:color="auto"/>
        <w:left w:val="none" w:sz="0" w:space="0" w:color="auto"/>
        <w:bottom w:val="none" w:sz="0" w:space="0" w:color="auto"/>
        <w:right w:val="none" w:sz="0" w:space="0" w:color="auto"/>
      </w:divBdr>
    </w:div>
    <w:div w:id="121578584">
      <w:bodyDiv w:val="1"/>
      <w:marLeft w:val="0"/>
      <w:marRight w:val="0"/>
      <w:marTop w:val="0"/>
      <w:marBottom w:val="0"/>
      <w:divBdr>
        <w:top w:val="none" w:sz="0" w:space="0" w:color="auto"/>
        <w:left w:val="none" w:sz="0" w:space="0" w:color="auto"/>
        <w:bottom w:val="none" w:sz="0" w:space="0" w:color="auto"/>
        <w:right w:val="none" w:sz="0" w:space="0" w:color="auto"/>
      </w:divBdr>
    </w:div>
    <w:div w:id="316298999">
      <w:bodyDiv w:val="1"/>
      <w:marLeft w:val="0"/>
      <w:marRight w:val="0"/>
      <w:marTop w:val="0"/>
      <w:marBottom w:val="0"/>
      <w:divBdr>
        <w:top w:val="none" w:sz="0" w:space="0" w:color="auto"/>
        <w:left w:val="none" w:sz="0" w:space="0" w:color="auto"/>
        <w:bottom w:val="none" w:sz="0" w:space="0" w:color="auto"/>
        <w:right w:val="none" w:sz="0" w:space="0" w:color="auto"/>
      </w:divBdr>
    </w:div>
    <w:div w:id="343286544">
      <w:bodyDiv w:val="1"/>
      <w:marLeft w:val="0"/>
      <w:marRight w:val="0"/>
      <w:marTop w:val="0"/>
      <w:marBottom w:val="0"/>
      <w:divBdr>
        <w:top w:val="none" w:sz="0" w:space="0" w:color="auto"/>
        <w:left w:val="none" w:sz="0" w:space="0" w:color="auto"/>
        <w:bottom w:val="none" w:sz="0" w:space="0" w:color="auto"/>
        <w:right w:val="none" w:sz="0" w:space="0" w:color="auto"/>
      </w:divBdr>
    </w:div>
    <w:div w:id="363791809">
      <w:bodyDiv w:val="1"/>
      <w:marLeft w:val="0"/>
      <w:marRight w:val="0"/>
      <w:marTop w:val="0"/>
      <w:marBottom w:val="0"/>
      <w:divBdr>
        <w:top w:val="none" w:sz="0" w:space="0" w:color="auto"/>
        <w:left w:val="none" w:sz="0" w:space="0" w:color="auto"/>
        <w:bottom w:val="none" w:sz="0" w:space="0" w:color="auto"/>
        <w:right w:val="none" w:sz="0" w:space="0" w:color="auto"/>
      </w:divBdr>
      <w:divsChild>
        <w:div w:id="617568923">
          <w:marLeft w:val="960"/>
          <w:marRight w:val="0"/>
          <w:marTop w:val="0"/>
          <w:marBottom w:val="0"/>
          <w:divBdr>
            <w:top w:val="none" w:sz="0" w:space="0" w:color="auto"/>
            <w:left w:val="none" w:sz="0" w:space="0" w:color="auto"/>
            <w:bottom w:val="none" w:sz="0" w:space="0" w:color="auto"/>
            <w:right w:val="none" w:sz="0" w:space="0" w:color="auto"/>
          </w:divBdr>
        </w:div>
      </w:divsChild>
    </w:div>
    <w:div w:id="825048383">
      <w:bodyDiv w:val="1"/>
      <w:marLeft w:val="0"/>
      <w:marRight w:val="0"/>
      <w:marTop w:val="0"/>
      <w:marBottom w:val="0"/>
      <w:divBdr>
        <w:top w:val="none" w:sz="0" w:space="0" w:color="auto"/>
        <w:left w:val="none" w:sz="0" w:space="0" w:color="auto"/>
        <w:bottom w:val="none" w:sz="0" w:space="0" w:color="auto"/>
        <w:right w:val="none" w:sz="0" w:space="0" w:color="auto"/>
      </w:divBdr>
    </w:div>
    <w:div w:id="1173183840">
      <w:bodyDiv w:val="1"/>
      <w:marLeft w:val="0"/>
      <w:marRight w:val="0"/>
      <w:marTop w:val="0"/>
      <w:marBottom w:val="0"/>
      <w:divBdr>
        <w:top w:val="none" w:sz="0" w:space="0" w:color="auto"/>
        <w:left w:val="none" w:sz="0" w:space="0" w:color="auto"/>
        <w:bottom w:val="none" w:sz="0" w:space="0" w:color="auto"/>
        <w:right w:val="none" w:sz="0" w:space="0" w:color="auto"/>
      </w:divBdr>
      <w:divsChild>
        <w:div w:id="574321363">
          <w:marLeft w:val="0"/>
          <w:marRight w:val="0"/>
          <w:marTop w:val="0"/>
          <w:marBottom w:val="0"/>
          <w:divBdr>
            <w:top w:val="none" w:sz="0" w:space="0" w:color="auto"/>
            <w:left w:val="none" w:sz="0" w:space="0" w:color="auto"/>
            <w:bottom w:val="none" w:sz="0" w:space="0" w:color="auto"/>
            <w:right w:val="none" w:sz="0" w:space="0" w:color="auto"/>
          </w:divBdr>
          <w:divsChild>
            <w:div w:id="1144078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2714401">
      <w:bodyDiv w:val="1"/>
      <w:marLeft w:val="0"/>
      <w:marRight w:val="0"/>
      <w:marTop w:val="0"/>
      <w:marBottom w:val="0"/>
      <w:divBdr>
        <w:top w:val="none" w:sz="0" w:space="0" w:color="auto"/>
        <w:left w:val="none" w:sz="0" w:space="0" w:color="auto"/>
        <w:bottom w:val="none" w:sz="0" w:space="0" w:color="auto"/>
        <w:right w:val="none" w:sz="0" w:space="0" w:color="auto"/>
      </w:divBdr>
    </w:div>
    <w:div w:id="1317800043">
      <w:bodyDiv w:val="1"/>
      <w:marLeft w:val="0"/>
      <w:marRight w:val="0"/>
      <w:marTop w:val="0"/>
      <w:marBottom w:val="0"/>
      <w:divBdr>
        <w:top w:val="none" w:sz="0" w:space="0" w:color="auto"/>
        <w:left w:val="none" w:sz="0" w:space="0" w:color="auto"/>
        <w:bottom w:val="none" w:sz="0" w:space="0" w:color="auto"/>
        <w:right w:val="none" w:sz="0" w:space="0" w:color="auto"/>
      </w:divBdr>
    </w:div>
    <w:div w:id="1344286771">
      <w:bodyDiv w:val="1"/>
      <w:marLeft w:val="0"/>
      <w:marRight w:val="0"/>
      <w:marTop w:val="0"/>
      <w:marBottom w:val="0"/>
      <w:divBdr>
        <w:top w:val="none" w:sz="0" w:space="0" w:color="auto"/>
        <w:left w:val="none" w:sz="0" w:space="0" w:color="auto"/>
        <w:bottom w:val="none" w:sz="0" w:space="0" w:color="auto"/>
        <w:right w:val="none" w:sz="0" w:space="0" w:color="auto"/>
      </w:divBdr>
    </w:div>
    <w:div w:id="1483695900">
      <w:bodyDiv w:val="1"/>
      <w:marLeft w:val="0"/>
      <w:marRight w:val="0"/>
      <w:marTop w:val="0"/>
      <w:marBottom w:val="0"/>
      <w:divBdr>
        <w:top w:val="none" w:sz="0" w:space="0" w:color="auto"/>
        <w:left w:val="none" w:sz="0" w:space="0" w:color="auto"/>
        <w:bottom w:val="none" w:sz="0" w:space="0" w:color="auto"/>
        <w:right w:val="none" w:sz="0" w:space="0" w:color="auto"/>
      </w:divBdr>
    </w:div>
    <w:div w:id="19533919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ervicesaustralia.gov.au/HPOS" TargetMode="Externa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1.png"/><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servicesaustralia.gov.au/HPOS"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www.servicesaustralia.gov.au/HPOS"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servicesaustralia.gov.au/HPOS" TargetMode="Externa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022041E-BFCD-4C62-8B22-9798A373A2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11</Pages>
  <Words>22045</Words>
  <Characters>125659</Characters>
  <Application>Microsoft Office Word</Application>
  <DocSecurity>0</DocSecurity>
  <Lines>1047</Lines>
  <Paragraphs>294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147410</CharactersWithSpaces>
  <SharedDoc>false</SharedDoc>
  <HLinks>
    <vt:vector size="456" baseType="variant">
      <vt:variant>
        <vt:i4>1703996</vt:i4>
      </vt:variant>
      <vt:variant>
        <vt:i4>452</vt:i4>
      </vt:variant>
      <vt:variant>
        <vt:i4>0</vt:i4>
      </vt:variant>
      <vt:variant>
        <vt:i4>5</vt:i4>
      </vt:variant>
      <vt:variant>
        <vt:lpwstr/>
      </vt:variant>
      <vt:variant>
        <vt:lpwstr>_Toc98144504</vt:lpwstr>
      </vt:variant>
      <vt:variant>
        <vt:i4>1900604</vt:i4>
      </vt:variant>
      <vt:variant>
        <vt:i4>446</vt:i4>
      </vt:variant>
      <vt:variant>
        <vt:i4>0</vt:i4>
      </vt:variant>
      <vt:variant>
        <vt:i4>5</vt:i4>
      </vt:variant>
      <vt:variant>
        <vt:lpwstr/>
      </vt:variant>
      <vt:variant>
        <vt:lpwstr>_Toc98144503</vt:lpwstr>
      </vt:variant>
      <vt:variant>
        <vt:i4>1835068</vt:i4>
      </vt:variant>
      <vt:variant>
        <vt:i4>440</vt:i4>
      </vt:variant>
      <vt:variant>
        <vt:i4>0</vt:i4>
      </vt:variant>
      <vt:variant>
        <vt:i4>5</vt:i4>
      </vt:variant>
      <vt:variant>
        <vt:lpwstr/>
      </vt:variant>
      <vt:variant>
        <vt:lpwstr>_Toc98144502</vt:lpwstr>
      </vt:variant>
      <vt:variant>
        <vt:i4>2031676</vt:i4>
      </vt:variant>
      <vt:variant>
        <vt:i4>434</vt:i4>
      </vt:variant>
      <vt:variant>
        <vt:i4>0</vt:i4>
      </vt:variant>
      <vt:variant>
        <vt:i4>5</vt:i4>
      </vt:variant>
      <vt:variant>
        <vt:lpwstr/>
      </vt:variant>
      <vt:variant>
        <vt:lpwstr>_Toc98144501</vt:lpwstr>
      </vt:variant>
      <vt:variant>
        <vt:i4>1966140</vt:i4>
      </vt:variant>
      <vt:variant>
        <vt:i4>428</vt:i4>
      </vt:variant>
      <vt:variant>
        <vt:i4>0</vt:i4>
      </vt:variant>
      <vt:variant>
        <vt:i4>5</vt:i4>
      </vt:variant>
      <vt:variant>
        <vt:lpwstr/>
      </vt:variant>
      <vt:variant>
        <vt:lpwstr>_Toc98144500</vt:lpwstr>
      </vt:variant>
      <vt:variant>
        <vt:i4>1441845</vt:i4>
      </vt:variant>
      <vt:variant>
        <vt:i4>422</vt:i4>
      </vt:variant>
      <vt:variant>
        <vt:i4>0</vt:i4>
      </vt:variant>
      <vt:variant>
        <vt:i4>5</vt:i4>
      </vt:variant>
      <vt:variant>
        <vt:lpwstr/>
      </vt:variant>
      <vt:variant>
        <vt:lpwstr>_Toc98144499</vt:lpwstr>
      </vt:variant>
      <vt:variant>
        <vt:i4>1507381</vt:i4>
      </vt:variant>
      <vt:variant>
        <vt:i4>416</vt:i4>
      </vt:variant>
      <vt:variant>
        <vt:i4>0</vt:i4>
      </vt:variant>
      <vt:variant>
        <vt:i4>5</vt:i4>
      </vt:variant>
      <vt:variant>
        <vt:lpwstr/>
      </vt:variant>
      <vt:variant>
        <vt:lpwstr>_Toc98144498</vt:lpwstr>
      </vt:variant>
      <vt:variant>
        <vt:i4>1572917</vt:i4>
      </vt:variant>
      <vt:variant>
        <vt:i4>410</vt:i4>
      </vt:variant>
      <vt:variant>
        <vt:i4>0</vt:i4>
      </vt:variant>
      <vt:variant>
        <vt:i4>5</vt:i4>
      </vt:variant>
      <vt:variant>
        <vt:lpwstr/>
      </vt:variant>
      <vt:variant>
        <vt:lpwstr>_Toc98144497</vt:lpwstr>
      </vt:variant>
      <vt:variant>
        <vt:i4>1638453</vt:i4>
      </vt:variant>
      <vt:variant>
        <vt:i4>404</vt:i4>
      </vt:variant>
      <vt:variant>
        <vt:i4>0</vt:i4>
      </vt:variant>
      <vt:variant>
        <vt:i4>5</vt:i4>
      </vt:variant>
      <vt:variant>
        <vt:lpwstr/>
      </vt:variant>
      <vt:variant>
        <vt:lpwstr>_Toc98144496</vt:lpwstr>
      </vt:variant>
      <vt:variant>
        <vt:i4>1703989</vt:i4>
      </vt:variant>
      <vt:variant>
        <vt:i4>398</vt:i4>
      </vt:variant>
      <vt:variant>
        <vt:i4>0</vt:i4>
      </vt:variant>
      <vt:variant>
        <vt:i4>5</vt:i4>
      </vt:variant>
      <vt:variant>
        <vt:lpwstr/>
      </vt:variant>
      <vt:variant>
        <vt:lpwstr>_Toc98144495</vt:lpwstr>
      </vt:variant>
      <vt:variant>
        <vt:i4>1769525</vt:i4>
      </vt:variant>
      <vt:variant>
        <vt:i4>392</vt:i4>
      </vt:variant>
      <vt:variant>
        <vt:i4>0</vt:i4>
      </vt:variant>
      <vt:variant>
        <vt:i4>5</vt:i4>
      </vt:variant>
      <vt:variant>
        <vt:lpwstr/>
      </vt:variant>
      <vt:variant>
        <vt:lpwstr>_Toc98144494</vt:lpwstr>
      </vt:variant>
      <vt:variant>
        <vt:i4>1835061</vt:i4>
      </vt:variant>
      <vt:variant>
        <vt:i4>386</vt:i4>
      </vt:variant>
      <vt:variant>
        <vt:i4>0</vt:i4>
      </vt:variant>
      <vt:variant>
        <vt:i4>5</vt:i4>
      </vt:variant>
      <vt:variant>
        <vt:lpwstr/>
      </vt:variant>
      <vt:variant>
        <vt:lpwstr>_Toc98144493</vt:lpwstr>
      </vt:variant>
      <vt:variant>
        <vt:i4>1900597</vt:i4>
      </vt:variant>
      <vt:variant>
        <vt:i4>380</vt:i4>
      </vt:variant>
      <vt:variant>
        <vt:i4>0</vt:i4>
      </vt:variant>
      <vt:variant>
        <vt:i4>5</vt:i4>
      </vt:variant>
      <vt:variant>
        <vt:lpwstr/>
      </vt:variant>
      <vt:variant>
        <vt:lpwstr>_Toc98144492</vt:lpwstr>
      </vt:variant>
      <vt:variant>
        <vt:i4>1966133</vt:i4>
      </vt:variant>
      <vt:variant>
        <vt:i4>374</vt:i4>
      </vt:variant>
      <vt:variant>
        <vt:i4>0</vt:i4>
      </vt:variant>
      <vt:variant>
        <vt:i4>5</vt:i4>
      </vt:variant>
      <vt:variant>
        <vt:lpwstr/>
      </vt:variant>
      <vt:variant>
        <vt:lpwstr>_Toc98144491</vt:lpwstr>
      </vt:variant>
      <vt:variant>
        <vt:i4>2031669</vt:i4>
      </vt:variant>
      <vt:variant>
        <vt:i4>368</vt:i4>
      </vt:variant>
      <vt:variant>
        <vt:i4>0</vt:i4>
      </vt:variant>
      <vt:variant>
        <vt:i4>5</vt:i4>
      </vt:variant>
      <vt:variant>
        <vt:lpwstr/>
      </vt:variant>
      <vt:variant>
        <vt:lpwstr>_Toc98144490</vt:lpwstr>
      </vt:variant>
      <vt:variant>
        <vt:i4>1441844</vt:i4>
      </vt:variant>
      <vt:variant>
        <vt:i4>362</vt:i4>
      </vt:variant>
      <vt:variant>
        <vt:i4>0</vt:i4>
      </vt:variant>
      <vt:variant>
        <vt:i4>5</vt:i4>
      </vt:variant>
      <vt:variant>
        <vt:lpwstr/>
      </vt:variant>
      <vt:variant>
        <vt:lpwstr>_Toc98144489</vt:lpwstr>
      </vt:variant>
      <vt:variant>
        <vt:i4>1507380</vt:i4>
      </vt:variant>
      <vt:variant>
        <vt:i4>356</vt:i4>
      </vt:variant>
      <vt:variant>
        <vt:i4>0</vt:i4>
      </vt:variant>
      <vt:variant>
        <vt:i4>5</vt:i4>
      </vt:variant>
      <vt:variant>
        <vt:lpwstr/>
      </vt:variant>
      <vt:variant>
        <vt:lpwstr>_Toc98144488</vt:lpwstr>
      </vt:variant>
      <vt:variant>
        <vt:i4>1572916</vt:i4>
      </vt:variant>
      <vt:variant>
        <vt:i4>350</vt:i4>
      </vt:variant>
      <vt:variant>
        <vt:i4>0</vt:i4>
      </vt:variant>
      <vt:variant>
        <vt:i4>5</vt:i4>
      </vt:variant>
      <vt:variant>
        <vt:lpwstr/>
      </vt:variant>
      <vt:variant>
        <vt:lpwstr>_Toc98144487</vt:lpwstr>
      </vt:variant>
      <vt:variant>
        <vt:i4>1638452</vt:i4>
      </vt:variant>
      <vt:variant>
        <vt:i4>344</vt:i4>
      </vt:variant>
      <vt:variant>
        <vt:i4>0</vt:i4>
      </vt:variant>
      <vt:variant>
        <vt:i4>5</vt:i4>
      </vt:variant>
      <vt:variant>
        <vt:lpwstr/>
      </vt:variant>
      <vt:variant>
        <vt:lpwstr>_Toc98144486</vt:lpwstr>
      </vt:variant>
      <vt:variant>
        <vt:i4>1703988</vt:i4>
      </vt:variant>
      <vt:variant>
        <vt:i4>338</vt:i4>
      </vt:variant>
      <vt:variant>
        <vt:i4>0</vt:i4>
      </vt:variant>
      <vt:variant>
        <vt:i4>5</vt:i4>
      </vt:variant>
      <vt:variant>
        <vt:lpwstr/>
      </vt:variant>
      <vt:variant>
        <vt:lpwstr>_Toc98144485</vt:lpwstr>
      </vt:variant>
      <vt:variant>
        <vt:i4>1769524</vt:i4>
      </vt:variant>
      <vt:variant>
        <vt:i4>332</vt:i4>
      </vt:variant>
      <vt:variant>
        <vt:i4>0</vt:i4>
      </vt:variant>
      <vt:variant>
        <vt:i4>5</vt:i4>
      </vt:variant>
      <vt:variant>
        <vt:lpwstr/>
      </vt:variant>
      <vt:variant>
        <vt:lpwstr>_Toc98144484</vt:lpwstr>
      </vt:variant>
      <vt:variant>
        <vt:i4>1835060</vt:i4>
      </vt:variant>
      <vt:variant>
        <vt:i4>326</vt:i4>
      </vt:variant>
      <vt:variant>
        <vt:i4>0</vt:i4>
      </vt:variant>
      <vt:variant>
        <vt:i4>5</vt:i4>
      </vt:variant>
      <vt:variant>
        <vt:lpwstr/>
      </vt:variant>
      <vt:variant>
        <vt:lpwstr>_Toc98144483</vt:lpwstr>
      </vt:variant>
      <vt:variant>
        <vt:i4>1900596</vt:i4>
      </vt:variant>
      <vt:variant>
        <vt:i4>320</vt:i4>
      </vt:variant>
      <vt:variant>
        <vt:i4>0</vt:i4>
      </vt:variant>
      <vt:variant>
        <vt:i4>5</vt:i4>
      </vt:variant>
      <vt:variant>
        <vt:lpwstr/>
      </vt:variant>
      <vt:variant>
        <vt:lpwstr>_Toc98144482</vt:lpwstr>
      </vt:variant>
      <vt:variant>
        <vt:i4>1966132</vt:i4>
      </vt:variant>
      <vt:variant>
        <vt:i4>314</vt:i4>
      </vt:variant>
      <vt:variant>
        <vt:i4>0</vt:i4>
      </vt:variant>
      <vt:variant>
        <vt:i4>5</vt:i4>
      </vt:variant>
      <vt:variant>
        <vt:lpwstr/>
      </vt:variant>
      <vt:variant>
        <vt:lpwstr>_Toc98144481</vt:lpwstr>
      </vt:variant>
      <vt:variant>
        <vt:i4>2031668</vt:i4>
      </vt:variant>
      <vt:variant>
        <vt:i4>308</vt:i4>
      </vt:variant>
      <vt:variant>
        <vt:i4>0</vt:i4>
      </vt:variant>
      <vt:variant>
        <vt:i4>5</vt:i4>
      </vt:variant>
      <vt:variant>
        <vt:lpwstr/>
      </vt:variant>
      <vt:variant>
        <vt:lpwstr>_Toc98144480</vt:lpwstr>
      </vt:variant>
      <vt:variant>
        <vt:i4>1441851</vt:i4>
      </vt:variant>
      <vt:variant>
        <vt:i4>302</vt:i4>
      </vt:variant>
      <vt:variant>
        <vt:i4>0</vt:i4>
      </vt:variant>
      <vt:variant>
        <vt:i4>5</vt:i4>
      </vt:variant>
      <vt:variant>
        <vt:lpwstr/>
      </vt:variant>
      <vt:variant>
        <vt:lpwstr>_Toc98144479</vt:lpwstr>
      </vt:variant>
      <vt:variant>
        <vt:i4>1507387</vt:i4>
      </vt:variant>
      <vt:variant>
        <vt:i4>296</vt:i4>
      </vt:variant>
      <vt:variant>
        <vt:i4>0</vt:i4>
      </vt:variant>
      <vt:variant>
        <vt:i4>5</vt:i4>
      </vt:variant>
      <vt:variant>
        <vt:lpwstr/>
      </vt:variant>
      <vt:variant>
        <vt:lpwstr>_Toc98144478</vt:lpwstr>
      </vt:variant>
      <vt:variant>
        <vt:i4>1572923</vt:i4>
      </vt:variant>
      <vt:variant>
        <vt:i4>290</vt:i4>
      </vt:variant>
      <vt:variant>
        <vt:i4>0</vt:i4>
      </vt:variant>
      <vt:variant>
        <vt:i4>5</vt:i4>
      </vt:variant>
      <vt:variant>
        <vt:lpwstr/>
      </vt:variant>
      <vt:variant>
        <vt:lpwstr>_Toc98144477</vt:lpwstr>
      </vt:variant>
      <vt:variant>
        <vt:i4>1638459</vt:i4>
      </vt:variant>
      <vt:variant>
        <vt:i4>284</vt:i4>
      </vt:variant>
      <vt:variant>
        <vt:i4>0</vt:i4>
      </vt:variant>
      <vt:variant>
        <vt:i4>5</vt:i4>
      </vt:variant>
      <vt:variant>
        <vt:lpwstr/>
      </vt:variant>
      <vt:variant>
        <vt:lpwstr>_Toc98144476</vt:lpwstr>
      </vt:variant>
      <vt:variant>
        <vt:i4>1703995</vt:i4>
      </vt:variant>
      <vt:variant>
        <vt:i4>278</vt:i4>
      </vt:variant>
      <vt:variant>
        <vt:i4>0</vt:i4>
      </vt:variant>
      <vt:variant>
        <vt:i4>5</vt:i4>
      </vt:variant>
      <vt:variant>
        <vt:lpwstr/>
      </vt:variant>
      <vt:variant>
        <vt:lpwstr>_Toc98144475</vt:lpwstr>
      </vt:variant>
      <vt:variant>
        <vt:i4>1769531</vt:i4>
      </vt:variant>
      <vt:variant>
        <vt:i4>272</vt:i4>
      </vt:variant>
      <vt:variant>
        <vt:i4>0</vt:i4>
      </vt:variant>
      <vt:variant>
        <vt:i4>5</vt:i4>
      </vt:variant>
      <vt:variant>
        <vt:lpwstr/>
      </vt:variant>
      <vt:variant>
        <vt:lpwstr>_Toc98144474</vt:lpwstr>
      </vt:variant>
      <vt:variant>
        <vt:i4>1835067</vt:i4>
      </vt:variant>
      <vt:variant>
        <vt:i4>266</vt:i4>
      </vt:variant>
      <vt:variant>
        <vt:i4>0</vt:i4>
      </vt:variant>
      <vt:variant>
        <vt:i4>5</vt:i4>
      </vt:variant>
      <vt:variant>
        <vt:lpwstr/>
      </vt:variant>
      <vt:variant>
        <vt:lpwstr>_Toc98144473</vt:lpwstr>
      </vt:variant>
      <vt:variant>
        <vt:i4>1900603</vt:i4>
      </vt:variant>
      <vt:variant>
        <vt:i4>260</vt:i4>
      </vt:variant>
      <vt:variant>
        <vt:i4>0</vt:i4>
      </vt:variant>
      <vt:variant>
        <vt:i4>5</vt:i4>
      </vt:variant>
      <vt:variant>
        <vt:lpwstr/>
      </vt:variant>
      <vt:variant>
        <vt:lpwstr>_Toc98144472</vt:lpwstr>
      </vt:variant>
      <vt:variant>
        <vt:i4>1966139</vt:i4>
      </vt:variant>
      <vt:variant>
        <vt:i4>254</vt:i4>
      </vt:variant>
      <vt:variant>
        <vt:i4>0</vt:i4>
      </vt:variant>
      <vt:variant>
        <vt:i4>5</vt:i4>
      </vt:variant>
      <vt:variant>
        <vt:lpwstr/>
      </vt:variant>
      <vt:variant>
        <vt:lpwstr>_Toc98144471</vt:lpwstr>
      </vt:variant>
      <vt:variant>
        <vt:i4>2031675</vt:i4>
      </vt:variant>
      <vt:variant>
        <vt:i4>248</vt:i4>
      </vt:variant>
      <vt:variant>
        <vt:i4>0</vt:i4>
      </vt:variant>
      <vt:variant>
        <vt:i4>5</vt:i4>
      </vt:variant>
      <vt:variant>
        <vt:lpwstr/>
      </vt:variant>
      <vt:variant>
        <vt:lpwstr>_Toc98144470</vt:lpwstr>
      </vt:variant>
      <vt:variant>
        <vt:i4>1441850</vt:i4>
      </vt:variant>
      <vt:variant>
        <vt:i4>242</vt:i4>
      </vt:variant>
      <vt:variant>
        <vt:i4>0</vt:i4>
      </vt:variant>
      <vt:variant>
        <vt:i4>5</vt:i4>
      </vt:variant>
      <vt:variant>
        <vt:lpwstr/>
      </vt:variant>
      <vt:variant>
        <vt:lpwstr>_Toc98144469</vt:lpwstr>
      </vt:variant>
      <vt:variant>
        <vt:i4>1507386</vt:i4>
      </vt:variant>
      <vt:variant>
        <vt:i4>236</vt:i4>
      </vt:variant>
      <vt:variant>
        <vt:i4>0</vt:i4>
      </vt:variant>
      <vt:variant>
        <vt:i4>5</vt:i4>
      </vt:variant>
      <vt:variant>
        <vt:lpwstr/>
      </vt:variant>
      <vt:variant>
        <vt:lpwstr>_Toc98144468</vt:lpwstr>
      </vt:variant>
      <vt:variant>
        <vt:i4>1572922</vt:i4>
      </vt:variant>
      <vt:variant>
        <vt:i4>230</vt:i4>
      </vt:variant>
      <vt:variant>
        <vt:i4>0</vt:i4>
      </vt:variant>
      <vt:variant>
        <vt:i4>5</vt:i4>
      </vt:variant>
      <vt:variant>
        <vt:lpwstr/>
      </vt:variant>
      <vt:variant>
        <vt:lpwstr>_Toc98144467</vt:lpwstr>
      </vt:variant>
      <vt:variant>
        <vt:i4>1638458</vt:i4>
      </vt:variant>
      <vt:variant>
        <vt:i4>224</vt:i4>
      </vt:variant>
      <vt:variant>
        <vt:i4>0</vt:i4>
      </vt:variant>
      <vt:variant>
        <vt:i4>5</vt:i4>
      </vt:variant>
      <vt:variant>
        <vt:lpwstr/>
      </vt:variant>
      <vt:variant>
        <vt:lpwstr>_Toc98144466</vt:lpwstr>
      </vt:variant>
      <vt:variant>
        <vt:i4>1703994</vt:i4>
      </vt:variant>
      <vt:variant>
        <vt:i4>218</vt:i4>
      </vt:variant>
      <vt:variant>
        <vt:i4>0</vt:i4>
      </vt:variant>
      <vt:variant>
        <vt:i4>5</vt:i4>
      </vt:variant>
      <vt:variant>
        <vt:lpwstr/>
      </vt:variant>
      <vt:variant>
        <vt:lpwstr>_Toc98144465</vt:lpwstr>
      </vt:variant>
      <vt:variant>
        <vt:i4>1769530</vt:i4>
      </vt:variant>
      <vt:variant>
        <vt:i4>212</vt:i4>
      </vt:variant>
      <vt:variant>
        <vt:i4>0</vt:i4>
      </vt:variant>
      <vt:variant>
        <vt:i4>5</vt:i4>
      </vt:variant>
      <vt:variant>
        <vt:lpwstr/>
      </vt:variant>
      <vt:variant>
        <vt:lpwstr>_Toc98144464</vt:lpwstr>
      </vt:variant>
      <vt:variant>
        <vt:i4>1835066</vt:i4>
      </vt:variant>
      <vt:variant>
        <vt:i4>206</vt:i4>
      </vt:variant>
      <vt:variant>
        <vt:i4>0</vt:i4>
      </vt:variant>
      <vt:variant>
        <vt:i4>5</vt:i4>
      </vt:variant>
      <vt:variant>
        <vt:lpwstr/>
      </vt:variant>
      <vt:variant>
        <vt:lpwstr>_Toc98144463</vt:lpwstr>
      </vt:variant>
      <vt:variant>
        <vt:i4>1900602</vt:i4>
      </vt:variant>
      <vt:variant>
        <vt:i4>200</vt:i4>
      </vt:variant>
      <vt:variant>
        <vt:i4>0</vt:i4>
      </vt:variant>
      <vt:variant>
        <vt:i4>5</vt:i4>
      </vt:variant>
      <vt:variant>
        <vt:lpwstr/>
      </vt:variant>
      <vt:variant>
        <vt:lpwstr>_Toc98144462</vt:lpwstr>
      </vt:variant>
      <vt:variant>
        <vt:i4>1966138</vt:i4>
      </vt:variant>
      <vt:variant>
        <vt:i4>194</vt:i4>
      </vt:variant>
      <vt:variant>
        <vt:i4>0</vt:i4>
      </vt:variant>
      <vt:variant>
        <vt:i4>5</vt:i4>
      </vt:variant>
      <vt:variant>
        <vt:lpwstr/>
      </vt:variant>
      <vt:variant>
        <vt:lpwstr>_Toc98144461</vt:lpwstr>
      </vt:variant>
      <vt:variant>
        <vt:i4>2031674</vt:i4>
      </vt:variant>
      <vt:variant>
        <vt:i4>188</vt:i4>
      </vt:variant>
      <vt:variant>
        <vt:i4>0</vt:i4>
      </vt:variant>
      <vt:variant>
        <vt:i4>5</vt:i4>
      </vt:variant>
      <vt:variant>
        <vt:lpwstr/>
      </vt:variant>
      <vt:variant>
        <vt:lpwstr>_Toc98144460</vt:lpwstr>
      </vt:variant>
      <vt:variant>
        <vt:i4>1441849</vt:i4>
      </vt:variant>
      <vt:variant>
        <vt:i4>182</vt:i4>
      </vt:variant>
      <vt:variant>
        <vt:i4>0</vt:i4>
      </vt:variant>
      <vt:variant>
        <vt:i4>5</vt:i4>
      </vt:variant>
      <vt:variant>
        <vt:lpwstr/>
      </vt:variant>
      <vt:variant>
        <vt:lpwstr>_Toc98144459</vt:lpwstr>
      </vt:variant>
      <vt:variant>
        <vt:i4>1507385</vt:i4>
      </vt:variant>
      <vt:variant>
        <vt:i4>176</vt:i4>
      </vt:variant>
      <vt:variant>
        <vt:i4>0</vt:i4>
      </vt:variant>
      <vt:variant>
        <vt:i4>5</vt:i4>
      </vt:variant>
      <vt:variant>
        <vt:lpwstr/>
      </vt:variant>
      <vt:variant>
        <vt:lpwstr>_Toc98144458</vt:lpwstr>
      </vt:variant>
      <vt:variant>
        <vt:i4>1572921</vt:i4>
      </vt:variant>
      <vt:variant>
        <vt:i4>170</vt:i4>
      </vt:variant>
      <vt:variant>
        <vt:i4>0</vt:i4>
      </vt:variant>
      <vt:variant>
        <vt:i4>5</vt:i4>
      </vt:variant>
      <vt:variant>
        <vt:lpwstr/>
      </vt:variant>
      <vt:variant>
        <vt:lpwstr>_Toc98144457</vt:lpwstr>
      </vt:variant>
      <vt:variant>
        <vt:i4>1638457</vt:i4>
      </vt:variant>
      <vt:variant>
        <vt:i4>164</vt:i4>
      </vt:variant>
      <vt:variant>
        <vt:i4>0</vt:i4>
      </vt:variant>
      <vt:variant>
        <vt:i4>5</vt:i4>
      </vt:variant>
      <vt:variant>
        <vt:lpwstr/>
      </vt:variant>
      <vt:variant>
        <vt:lpwstr>_Toc98144456</vt:lpwstr>
      </vt:variant>
      <vt:variant>
        <vt:i4>1703993</vt:i4>
      </vt:variant>
      <vt:variant>
        <vt:i4>158</vt:i4>
      </vt:variant>
      <vt:variant>
        <vt:i4>0</vt:i4>
      </vt:variant>
      <vt:variant>
        <vt:i4>5</vt:i4>
      </vt:variant>
      <vt:variant>
        <vt:lpwstr/>
      </vt:variant>
      <vt:variant>
        <vt:lpwstr>_Toc98144455</vt:lpwstr>
      </vt:variant>
      <vt:variant>
        <vt:i4>1769529</vt:i4>
      </vt:variant>
      <vt:variant>
        <vt:i4>152</vt:i4>
      </vt:variant>
      <vt:variant>
        <vt:i4>0</vt:i4>
      </vt:variant>
      <vt:variant>
        <vt:i4>5</vt:i4>
      </vt:variant>
      <vt:variant>
        <vt:lpwstr/>
      </vt:variant>
      <vt:variant>
        <vt:lpwstr>_Toc98144454</vt:lpwstr>
      </vt:variant>
      <vt:variant>
        <vt:i4>1835065</vt:i4>
      </vt:variant>
      <vt:variant>
        <vt:i4>146</vt:i4>
      </vt:variant>
      <vt:variant>
        <vt:i4>0</vt:i4>
      </vt:variant>
      <vt:variant>
        <vt:i4>5</vt:i4>
      </vt:variant>
      <vt:variant>
        <vt:lpwstr/>
      </vt:variant>
      <vt:variant>
        <vt:lpwstr>_Toc98144453</vt:lpwstr>
      </vt:variant>
      <vt:variant>
        <vt:i4>1900601</vt:i4>
      </vt:variant>
      <vt:variant>
        <vt:i4>140</vt:i4>
      </vt:variant>
      <vt:variant>
        <vt:i4>0</vt:i4>
      </vt:variant>
      <vt:variant>
        <vt:i4>5</vt:i4>
      </vt:variant>
      <vt:variant>
        <vt:lpwstr/>
      </vt:variant>
      <vt:variant>
        <vt:lpwstr>_Toc98144452</vt:lpwstr>
      </vt:variant>
      <vt:variant>
        <vt:i4>1966137</vt:i4>
      </vt:variant>
      <vt:variant>
        <vt:i4>134</vt:i4>
      </vt:variant>
      <vt:variant>
        <vt:i4>0</vt:i4>
      </vt:variant>
      <vt:variant>
        <vt:i4>5</vt:i4>
      </vt:variant>
      <vt:variant>
        <vt:lpwstr/>
      </vt:variant>
      <vt:variant>
        <vt:lpwstr>_Toc98144451</vt:lpwstr>
      </vt:variant>
      <vt:variant>
        <vt:i4>2031673</vt:i4>
      </vt:variant>
      <vt:variant>
        <vt:i4>128</vt:i4>
      </vt:variant>
      <vt:variant>
        <vt:i4>0</vt:i4>
      </vt:variant>
      <vt:variant>
        <vt:i4>5</vt:i4>
      </vt:variant>
      <vt:variant>
        <vt:lpwstr/>
      </vt:variant>
      <vt:variant>
        <vt:lpwstr>_Toc98144450</vt:lpwstr>
      </vt:variant>
      <vt:variant>
        <vt:i4>1441848</vt:i4>
      </vt:variant>
      <vt:variant>
        <vt:i4>122</vt:i4>
      </vt:variant>
      <vt:variant>
        <vt:i4>0</vt:i4>
      </vt:variant>
      <vt:variant>
        <vt:i4>5</vt:i4>
      </vt:variant>
      <vt:variant>
        <vt:lpwstr/>
      </vt:variant>
      <vt:variant>
        <vt:lpwstr>_Toc98144449</vt:lpwstr>
      </vt:variant>
      <vt:variant>
        <vt:i4>1507384</vt:i4>
      </vt:variant>
      <vt:variant>
        <vt:i4>116</vt:i4>
      </vt:variant>
      <vt:variant>
        <vt:i4>0</vt:i4>
      </vt:variant>
      <vt:variant>
        <vt:i4>5</vt:i4>
      </vt:variant>
      <vt:variant>
        <vt:lpwstr/>
      </vt:variant>
      <vt:variant>
        <vt:lpwstr>_Toc98144448</vt:lpwstr>
      </vt:variant>
      <vt:variant>
        <vt:i4>1572920</vt:i4>
      </vt:variant>
      <vt:variant>
        <vt:i4>110</vt:i4>
      </vt:variant>
      <vt:variant>
        <vt:i4>0</vt:i4>
      </vt:variant>
      <vt:variant>
        <vt:i4>5</vt:i4>
      </vt:variant>
      <vt:variant>
        <vt:lpwstr/>
      </vt:variant>
      <vt:variant>
        <vt:lpwstr>_Toc98144447</vt:lpwstr>
      </vt:variant>
      <vt:variant>
        <vt:i4>1638456</vt:i4>
      </vt:variant>
      <vt:variant>
        <vt:i4>104</vt:i4>
      </vt:variant>
      <vt:variant>
        <vt:i4>0</vt:i4>
      </vt:variant>
      <vt:variant>
        <vt:i4>5</vt:i4>
      </vt:variant>
      <vt:variant>
        <vt:lpwstr/>
      </vt:variant>
      <vt:variant>
        <vt:lpwstr>_Toc98144446</vt:lpwstr>
      </vt:variant>
      <vt:variant>
        <vt:i4>1703992</vt:i4>
      </vt:variant>
      <vt:variant>
        <vt:i4>98</vt:i4>
      </vt:variant>
      <vt:variant>
        <vt:i4>0</vt:i4>
      </vt:variant>
      <vt:variant>
        <vt:i4>5</vt:i4>
      </vt:variant>
      <vt:variant>
        <vt:lpwstr/>
      </vt:variant>
      <vt:variant>
        <vt:lpwstr>_Toc98144445</vt:lpwstr>
      </vt:variant>
      <vt:variant>
        <vt:i4>1769528</vt:i4>
      </vt:variant>
      <vt:variant>
        <vt:i4>92</vt:i4>
      </vt:variant>
      <vt:variant>
        <vt:i4>0</vt:i4>
      </vt:variant>
      <vt:variant>
        <vt:i4>5</vt:i4>
      </vt:variant>
      <vt:variant>
        <vt:lpwstr/>
      </vt:variant>
      <vt:variant>
        <vt:lpwstr>_Toc98144444</vt:lpwstr>
      </vt:variant>
      <vt:variant>
        <vt:i4>1835064</vt:i4>
      </vt:variant>
      <vt:variant>
        <vt:i4>86</vt:i4>
      </vt:variant>
      <vt:variant>
        <vt:i4>0</vt:i4>
      </vt:variant>
      <vt:variant>
        <vt:i4>5</vt:i4>
      </vt:variant>
      <vt:variant>
        <vt:lpwstr/>
      </vt:variant>
      <vt:variant>
        <vt:lpwstr>_Toc98144443</vt:lpwstr>
      </vt:variant>
      <vt:variant>
        <vt:i4>1900600</vt:i4>
      </vt:variant>
      <vt:variant>
        <vt:i4>80</vt:i4>
      </vt:variant>
      <vt:variant>
        <vt:i4>0</vt:i4>
      </vt:variant>
      <vt:variant>
        <vt:i4>5</vt:i4>
      </vt:variant>
      <vt:variant>
        <vt:lpwstr/>
      </vt:variant>
      <vt:variant>
        <vt:lpwstr>_Toc98144442</vt:lpwstr>
      </vt:variant>
      <vt:variant>
        <vt:i4>1966136</vt:i4>
      </vt:variant>
      <vt:variant>
        <vt:i4>74</vt:i4>
      </vt:variant>
      <vt:variant>
        <vt:i4>0</vt:i4>
      </vt:variant>
      <vt:variant>
        <vt:i4>5</vt:i4>
      </vt:variant>
      <vt:variant>
        <vt:lpwstr/>
      </vt:variant>
      <vt:variant>
        <vt:lpwstr>_Toc98144441</vt:lpwstr>
      </vt:variant>
      <vt:variant>
        <vt:i4>2031672</vt:i4>
      </vt:variant>
      <vt:variant>
        <vt:i4>68</vt:i4>
      </vt:variant>
      <vt:variant>
        <vt:i4>0</vt:i4>
      </vt:variant>
      <vt:variant>
        <vt:i4>5</vt:i4>
      </vt:variant>
      <vt:variant>
        <vt:lpwstr/>
      </vt:variant>
      <vt:variant>
        <vt:lpwstr>_Toc98144440</vt:lpwstr>
      </vt:variant>
      <vt:variant>
        <vt:i4>1441855</vt:i4>
      </vt:variant>
      <vt:variant>
        <vt:i4>62</vt:i4>
      </vt:variant>
      <vt:variant>
        <vt:i4>0</vt:i4>
      </vt:variant>
      <vt:variant>
        <vt:i4>5</vt:i4>
      </vt:variant>
      <vt:variant>
        <vt:lpwstr/>
      </vt:variant>
      <vt:variant>
        <vt:lpwstr>_Toc98144439</vt:lpwstr>
      </vt:variant>
      <vt:variant>
        <vt:i4>1507391</vt:i4>
      </vt:variant>
      <vt:variant>
        <vt:i4>56</vt:i4>
      </vt:variant>
      <vt:variant>
        <vt:i4>0</vt:i4>
      </vt:variant>
      <vt:variant>
        <vt:i4>5</vt:i4>
      </vt:variant>
      <vt:variant>
        <vt:lpwstr/>
      </vt:variant>
      <vt:variant>
        <vt:lpwstr>_Toc98144438</vt:lpwstr>
      </vt:variant>
      <vt:variant>
        <vt:i4>1572927</vt:i4>
      </vt:variant>
      <vt:variant>
        <vt:i4>50</vt:i4>
      </vt:variant>
      <vt:variant>
        <vt:i4>0</vt:i4>
      </vt:variant>
      <vt:variant>
        <vt:i4>5</vt:i4>
      </vt:variant>
      <vt:variant>
        <vt:lpwstr/>
      </vt:variant>
      <vt:variant>
        <vt:lpwstr>_Toc98144437</vt:lpwstr>
      </vt:variant>
      <vt:variant>
        <vt:i4>1638463</vt:i4>
      </vt:variant>
      <vt:variant>
        <vt:i4>44</vt:i4>
      </vt:variant>
      <vt:variant>
        <vt:i4>0</vt:i4>
      </vt:variant>
      <vt:variant>
        <vt:i4>5</vt:i4>
      </vt:variant>
      <vt:variant>
        <vt:lpwstr/>
      </vt:variant>
      <vt:variant>
        <vt:lpwstr>_Toc98144436</vt:lpwstr>
      </vt:variant>
      <vt:variant>
        <vt:i4>1703999</vt:i4>
      </vt:variant>
      <vt:variant>
        <vt:i4>38</vt:i4>
      </vt:variant>
      <vt:variant>
        <vt:i4>0</vt:i4>
      </vt:variant>
      <vt:variant>
        <vt:i4>5</vt:i4>
      </vt:variant>
      <vt:variant>
        <vt:lpwstr/>
      </vt:variant>
      <vt:variant>
        <vt:lpwstr>_Toc98144435</vt:lpwstr>
      </vt:variant>
      <vt:variant>
        <vt:i4>1769535</vt:i4>
      </vt:variant>
      <vt:variant>
        <vt:i4>32</vt:i4>
      </vt:variant>
      <vt:variant>
        <vt:i4>0</vt:i4>
      </vt:variant>
      <vt:variant>
        <vt:i4>5</vt:i4>
      </vt:variant>
      <vt:variant>
        <vt:lpwstr/>
      </vt:variant>
      <vt:variant>
        <vt:lpwstr>_Toc98144434</vt:lpwstr>
      </vt:variant>
      <vt:variant>
        <vt:i4>1835071</vt:i4>
      </vt:variant>
      <vt:variant>
        <vt:i4>26</vt:i4>
      </vt:variant>
      <vt:variant>
        <vt:i4>0</vt:i4>
      </vt:variant>
      <vt:variant>
        <vt:i4>5</vt:i4>
      </vt:variant>
      <vt:variant>
        <vt:lpwstr/>
      </vt:variant>
      <vt:variant>
        <vt:lpwstr>_Toc98144433</vt:lpwstr>
      </vt:variant>
      <vt:variant>
        <vt:i4>1900607</vt:i4>
      </vt:variant>
      <vt:variant>
        <vt:i4>20</vt:i4>
      </vt:variant>
      <vt:variant>
        <vt:i4>0</vt:i4>
      </vt:variant>
      <vt:variant>
        <vt:i4>5</vt:i4>
      </vt:variant>
      <vt:variant>
        <vt:lpwstr/>
      </vt:variant>
      <vt:variant>
        <vt:lpwstr>_Toc98144432</vt:lpwstr>
      </vt:variant>
      <vt:variant>
        <vt:i4>1966143</vt:i4>
      </vt:variant>
      <vt:variant>
        <vt:i4>14</vt:i4>
      </vt:variant>
      <vt:variant>
        <vt:i4>0</vt:i4>
      </vt:variant>
      <vt:variant>
        <vt:i4>5</vt:i4>
      </vt:variant>
      <vt:variant>
        <vt:lpwstr/>
      </vt:variant>
      <vt:variant>
        <vt:lpwstr>_Toc98144431</vt:lpwstr>
      </vt:variant>
      <vt:variant>
        <vt:i4>2031679</vt:i4>
      </vt:variant>
      <vt:variant>
        <vt:i4>8</vt:i4>
      </vt:variant>
      <vt:variant>
        <vt:i4>0</vt:i4>
      </vt:variant>
      <vt:variant>
        <vt:i4>5</vt:i4>
      </vt:variant>
      <vt:variant>
        <vt:lpwstr/>
      </vt:variant>
      <vt:variant>
        <vt:lpwstr>_Toc98144430</vt:lpwstr>
      </vt:variant>
      <vt:variant>
        <vt:i4>1441854</vt:i4>
      </vt:variant>
      <vt:variant>
        <vt:i4>2</vt:i4>
      </vt:variant>
      <vt:variant>
        <vt:i4>0</vt:i4>
      </vt:variant>
      <vt:variant>
        <vt:i4>5</vt:i4>
      </vt:variant>
      <vt:variant>
        <vt:lpwstr/>
      </vt:variant>
      <vt:variant>
        <vt:lpwstr>_Toc98144429</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2022-10-20T04:45:00Z</dcterms:created>
  <dcterms:modified xsi:type="dcterms:W3CDTF">2022-10-20T04:45:00Z</dcterms:modified>
</cp:coreProperties>
</file>